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September 4,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Sales Release and Charts Dated September 4, 2013</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4, 2013, General Motors Company issued a news release announcing August 2013 U.S. sales. The release and charts are attached as Exhibit 99.1.</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U.S. 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September 4, 2013</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160"/>
          </w:cols>
          <w:pgMar w:left="240" w:top="796"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640" w:type="dxa"/>
            <w:vAlign w:val="bottom"/>
            <w:vMerge w:val="restart"/>
          </w:tcPr>
          <w:p>
            <w:pPr>
              <w:spacing w:after="0"/>
              <w:rPr>
                <w:sz w:val="20"/>
                <w:szCs w:val="20"/>
                <w:color w:val="auto"/>
              </w:rPr>
            </w:pPr>
            <w:r>
              <w:rPr>
                <w:rFonts w:ascii="Arial" w:cs="Arial" w:eastAsia="Arial" w:hAnsi="Arial"/>
                <w:sz w:val="18"/>
                <w:szCs w:val="18"/>
                <w:color w:val="auto"/>
              </w:rPr>
              <w:t>Date: September 5, 2013</w:t>
            </w:r>
          </w:p>
        </w:tc>
        <w:tc>
          <w:tcPr>
            <w:tcW w:w="2500" w:type="dxa"/>
            <w:vAlign w:val="bottom"/>
            <w:vMerge w:val="restart"/>
          </w:tcPr>
          <w:p>
            <w:pPr>
              <w:ind w:left="184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40" w:type="dxa"/>
            <w:vAlign w:val="bottom"/>
            <w:vMerge w:val="continue"/>
          </w:tcPr>
          <w:p>
            <w:pPr>
              <w:spacing w:after="0"/>
              <w:rPr>
                <w:sz w:val="19"/>
                <w:szCs w:val="19"/>
                <w:color w:val="auto"/>
              </w:rPr>
            </w:pPr>
          </w:p>
        </w:tc>
        <w:tc>
          <w:tcPr>
            <w:tcW w:w="25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25400</wp:posOffset>
            </wp:positionV>
            <wp:extent cx="281305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For Release: Wednesday, Sept. 4, 2013, 10 a.m. EDT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GM's Retail Sales Increased 22 percent in August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Record month for Cadillac XTS, Buick Encore and Verano,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Chevrolet Volt, Spark, Sonic and Equinox</w:t>
      </w:r>
    </w:p>
    <w:p>
      <w:pPr>
        <w:spacing w:after="0" w:line="185" w:lineRule="exact"/>
        <w:rPr>
          <w:sz w:val="20"/>
          <w:szCs w:val="20"/>
          <w:color w:val="auto"/>
        </w:rPr>
      </w:pPr>
    </w:p>
    <w:p>
      <w:pPr>
        <w:ind w:right="400"/>
        <w:spacing w:after="0" w:line="272"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dealers delivered 275,847 vehicles in the United States in August, up 15 percent</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with a year ago. Retail sales increased 22 percent while fleet sales were down 8 percent.</w:t>
      </w:r>
    </w:p>
    <w:p>
      <w:pPr>
        <w:spacing w:after="0" w:line="178"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color w:val="auto"/>
        </w:rPr>
        <w:t>Total and retail deliveries increased by double-digits at all GM brands. In total, Cadillac was up 38 percent, Buick was up 37 percent, GMC was up 14 percent and Chevrolet was up 10 percent. Deliveries to retail customers were up 38 percent at Cadillac, 22 percent at Chevrolet, 16 percent at GMC and 24 percent at Buick. Buick's retail sales were up for the 16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month in row, and it was the brand's best August since 2003. Cadillac's retail sales were the brand's best August since 1989.</w:t>
      </w:r>
    </w:p>
    <w:p>
      <w:pPr>
        <w:spacing w:after="0" w:line="210" w:lineRule="exact"/>
        <w:rPr>
          <w:sz w:val="20"/>
          <w:szCs w:val="20"/>
          <w:color w:val="auto"/>
        </w:rPr>
      </w:pPr>
    </w:p>
    <w:p>
      <w:pPr>
        <w:ind w:right="220"/>
        <w:spacing w:after="0" w:line="242" w:lineRule="auto"/>
        <w:rPr>
          <w:sz w:val="20"/>
          <w:szCs w:val="20"/>
          <w:color w:val="auto"/>
        </w:rPr>
      </w:pPr>
      <w:r>
        <w:rPr>
          <w:rFonts w:ascii="Arial" w:cs="Arial" w:eastAsia="Arial" w:hAnsi="Arial"/>
          <w:sz w:val="20"/>
          <w:szCs w:val="20"/>
          <w:color w:val="auto"/>
        </w:rPr>
        <w:t>“The second half of 2013 is off to a very solid start for GM and our model-year change over and new product launches are going smoothly,” said Kurt McNeil, vice president, U.S. sales operations. “We have a lot of momentum and we feel good about the direction of the U.S. economy as we prepare to launch even more new products, including all-new heavy duty pickups and large SUVs for Chevrolet and GMC, a completely redesigned Cadillac CTS and the Chevrolet Corvette Stingray.”</w:t>
      </w:r>
    </w:p>
    <w:p>
      <w:pPr>
        <w:spacing w:after="0" w:line="207" w:lineRule="exact"/>
        <w:rPr>
          <w:sz w:val="20"/>
          <w:szCs w:val="20"/>
          <w:color w:val="auto"/>
        </w:rPr>
      </w:pPr>
    </w:p>
    <w:p>
      <w:pPr>
        <w:ind w:right="460"/>
        <w:spacing w:after="0" w:line="242" w:lineRule="auto"/>
        <w:rPr>
          <w:sz w:val="20"/>
          <w:szCs w:val="20"/>
          <w:color w:val="auto"/>
        </w:rPr>
      </w:pPr>
      <w:r>
        <w:rPr>
          <w:rFonts w:ascii="Arial" w:cs="Arial" w:eastAsia="Arial" w:hAnsi="Arial"/>
          <w:sz w:val="20"/>
          <w:szCs w:val="20"/>
          <w:color w:val="auto"/>
        </w:rPr>
        <w:t>GM's sales last month were the highest of 2013 and the best since September 2008, when the global financial crisis began to accelerate. Two years later, on Sept. 8, 2010, Chevrolet launched the Cruze in North America, marking the beginning of an aggressive rollout of new products that will see nearly 30 Chevrolet, Cadillac, Buick and GMC nameplates either all new or redesigned by early 2014.</w:t>
      </w:r>
    </w:p>
    <w:p>
      <w:pPr>
        <w:spacing w:after="0" w:line="207" w:lineRule="exact"/>
        <w:rPr>
          <w:sz w:val="20"/>
          <w:szCs w:val="20"/>
          <w:color w:val="auto"/>
        </w:rPr>
      </w:pPr>
    </w:p>
    <w:p>
      <w:pPr>
        <w:ind w:right="160"/>
        <w:spacing w:after="0" w:line="242" w:lineRule="auto"/>
        <w:rPr>
          <w:sz w:val="20"/>
          <w:szCs w:val="20"/>
          <w:color w:val="auto"/>
        </w:rPr>
      </w:pPr>
      <w:r>
        <w:rPr>
          <w:rFonts w:ascii="Arial" w:cs="Arial" w:eastAsia="Arial" w:hAnsi="Arial"/>
          <w:sz w:val="20"/>
          <w:szCs w:val="20"/>
          <w:color w:val="auto"/>
        </w:rPr>
        <w:t>Since then, the 2011 Chevrolet Volt and the 2013 Cadillac ATS won the North American Car of the Year award, the 2014 Chevrolet Impala was named the top sedan in the country by a leading consumer publication, GM topped the 2013 J.D. Power and Associates Initial Quality Study and the company has returned to competitive levels of leasing. GM and its dealers have also embarked on a multibillion-dollar program to renovate sales and service facilities in all 50 states.</w:t>
      </w:r>
    </w:p>
    <w:p>
      <w:pPr>
        <w:spacing w:after="0" w:line="207"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“If our first Cruze customer were to walk into a Chevrolet dealership today, he wouldn't recognize the place,” McNeil said. “The same holds true for Buick-GMC and Cadillac. The cars and trucks, the sales and service experience - everything is being elevated so we can offer customers the best ownership experience in the business.”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August Sales Highlights (vs. 2012)</w:t>
      </w:r>
    </w:p>
    <w:p>
      <w:pPr>
        <w:spacing w:after="0" w:line="24" w:lineRule="exact"/>
        <w:rPr>
          <w:sz w:val="20"/>
          <w:szCs w:val="20"/>
          <w:color w:val="auto"/>
        </w:rPr>
      </w:pPr>
    </w:p>
    <w:p>
      <w:pPr>
        <w:ind w:left="660" w:right="7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Crossover sales were up 34 percent. The GMC Terrain and Cadillac SRX had their best-ever August sales and the Chevrolet Equinox and Buick Encore had their best months ever.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Full-size pickup sales were up 15 percent. Large SUV sales were up 29 percent.</w:t>
      </w:r>
    </w:p>
    <w:p>
      <w:pPr>
        <w:sectPr>
          <w:pgSz w:w="11900" w:h="16838" w:orient="portrait"/>
          <w:cols w:equalWidth="0" w:num="1">
            <w:col w:w="11420"/>
          </w:cols>
          <w:pgMar w:left="240" w:top="811" w:right="239" w:bottom="1440" w:gutter="0" w:footer="0" w:header="0"/>
        </w:sectPr>
      </w:pPr>
    </w:p>
    <w:bookmarkStart w:id="5" w:name="page6"/>
    <w:bookmarkEnd w:id="5"/>
    <w:p>
      <w:pPr>
        <w:ind w:left="66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Passenger car deliveries were up 8 percent. Retail deliveries were up 27 percent, driven by a 93 percent increase for the Chevrolet Malibu and a 76 percent increase for the Chevrolet Impala. The Impala has increased its retail share of the large car segment by about 3 percentage points, according to J.D. Power PIN data.</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color w:val="auto"/>
        </w:rPr>
        <w:t>The Chevrolet Volt had its best month ever, as did the Chevrolet Spark, Chevrolet Sonic, Cadillac XTS and Buick Verano.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August 2013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205740</wp:posOffset>
            </wp:positionV>
            <wp:extent cx="6586220" cy="3542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6220" cy="3542030"/>
                    </a:xfrm>
                    <a:prstGeom prst="rect">
                      <a:avLst/>
                    </a:prstGeom>
                    <a:noFill/>
                  </pic:spPr>
                </pic:pic>
              </a:graphicData>
            </a:graphic>
          </wp:anchor>
        </w:drawing>
      </w:r>
    </w:p>
    <w:p>
      <w:pPr>
        <w:spacing w:after="0" w:line="327"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6"/>
              </w:rPr>
              <w:t>Month</w:t>
            </w:r>
          </w:p>
        </w:tc>
        <w:tc>
          <w:tcPr>
            <w:tcW w:w="2060" w:type="dxa"/>
            <w:vAlign w:val="bottom"/>
          </w:tcPr>
          <w:p>
            <w:pPr>
              <w:ind w:left="660"/>
              <w:spacing w:after="0"/>
              <w:rPr>
                <w:sz w:val="20"/>
                <w:szCs w:val="20"/>
                <w:color w:val="auto"/>
              </w:rPr>
            </w:pPr>
            <w:r>
              <w:rPr>
                <w:rFonts w:ascii="Arial" w:cs="Arial" w:eastAsia="Arial" w:hAnsi="Arial"/>
                <w:sz w:val="18"/>
                <w:szCs w:val="18"/>
                <w:b w:val="1"/>
                <w:bCs w:val="1"/>
                <w:color w:val="auto"/>
              </w:rPr>
              <w:t>Total Sales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5"/>
              </w:rPr>
              <w:t>YOY Change</w:t>
            </w:r>
          </w:p>
        </w:tc>
        <w:tc>
          <w:tcPr>
            <w:tcW w:w="2000" w:type="dxa"/>
            <w:vAlign w:val="bottom"/>
          </w:tcPr>
          <w:p>
            <w:pPr>
              <w:ind w:left="560"/>
              <w:spacing w:after="0"/>
              <w:rPr>
                <w:sz w:val="20"/>
                <w:szCs w:val="20"/>
                <w:color w:val="auto"/>
              </w:rPr>
            </w:pPr>
            <w:r>
              <w:rPr>
                <w:rFonts w:ascii="Arial" w:cs="Arial" w:eastAsia="Arial" w:hAnsi="Arial"/>
                <w:sz w:val="18"/>
                <w:szCs w:val="18"/>
                <w:b w:val="1"/>
                <w:bCs w:val="1"/>
                <w:color w:val="auto"/>
              </w:rPr>
              <w:t>Retail Sales</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5"/>
              </w:rPr>
              <w:t>YOY Change</w:t>
            </w:r>
          </w:p>
        </w:tc>
      </w:tr>
      <w:tr>
        <w:trPr>
          <w:trHeight w:val="27"/>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3"/>
              </w:rPr>
              <w:t>Chevrolet</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187,740</w:t>
            </w: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10.4%</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143,030</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21.6%</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6"/>
              </w:rPr>
              <w:t>GMC</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43,202</w:t>
            </w: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14.2%</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38,908</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16.3%</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rPr>
              <w:t>Buick</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24,650</w:t>
            </w: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36.9%</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20,038</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24.1%</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4"/>
              </w:rPr>
              <w:t>Cadillac</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20,255</w:t>
            </w: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37.8%</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18,982</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38.3%</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7"/>
              </w:rPr>
              <w:t>Total GM</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275,847</w:t>
            </w: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14.7%</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220,958</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22.1%</w:t>
            </w:r>
          </w:p>
        </w:tc>
      </w:tr>
    </w:tbl>
    <w:p>
      <w:pPr>
        <w:spacing w:after="0" w:line="298"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040" w:type="dxa"/>
            <w:vAlign w:val="bottom"/>
          </w:tcPr>
          <w:p>
            <w:pPr>
              <w:jc w:val="center"/>
              <w:spacing w:after="0"/>
              <w:rPr>
                <w:sz w:val="20"/>
                <w:szCs w:val="20"/>
                <w:color w:val="auto"/>
              </w:rPr>
            </w:pPr>
            <w:r>
              <w:rPr>
                <w:rFonts w:ascii="Arial" w:cs="Arial" w:eastAsia="Arial" w:hAnsi="Arial"/>
                <w:sz w:val="18"/>
                <w:szCs w:val="18"/>
                <w:b w:val="1"/>
                <w:bCs w:val="1"/>
                <w:color w:val="auto"/>
              </w:rPr>
              <w:t>CYTD</w:t>
            </w:r>
          </w:p>
        </w:tc>
        <w:tc>
          <w:tcPr>
            <w:tcW w:w="2060" w:type="dxa"/>
            <w:vAlign w:val="bottom"/>
          </w:tcPr>
          <w:p>
            <w:pPr>
              <w:ind w:left="660"/>
              <w:spacing w:after="0"/>
              <w:rPr>
                <w:sz w:val="20"/>
                <w:szCs w:val="20"/>
                <w:color w:val="auto"/>
              </w:rPr>
            </w:pPr>
            <w:r>
              <w:rPr>
                <w:rFonts w:ascii="Arial" w:cs="Arial" w:eastAsia="Arial" w:hAnsi="Arial"/>
                <w:sz w:val="18"/>
                <w:szCs w:val="18"/>
                <w:b w:val="1"/>
                <w:bCs w:val="1"/>
                <w:color w:val="auto"/>
              </w:rPr>
              <w:t>Total Sales</w:t>
            </w:r>
          </w:p>
        </w:tc>
        <w:tc>
          <w:tcPr>
            <w:tcW w:w="2160" w:type="dxa"/>
            <w:vAlign w:val="bottom"/>
          </w:tcPr>
          <w:p>
            <w:pPr>
              <w:ind w:left="580"/>
              <w:spacing w:after="0"/>
              <w:rPr>
                <w:sz w:val="20"/>
                <w:szCs w:val="20"/>
                <w:color w:val="auto"/>
              </w:rPr>
            </w:pPr>
            <w:r>
              <w:rPr>
                <w:rFonts w:ascii="Arial" w:cs="Arial" w:eastAsia="Arial" w:hAnsi="Arial"/>
                <w:sz w:val="18"/>
                <w:szCs w:val="18"/>
                <w:b w:val="1"/>
                <w:bCs w:val="1"/>
                <w:color w:val="auto"/>
              </w:rPr>
              <w:t>YOY Change</w:t>
            </w:r>
          </w:p>
        </w:tc>
        <w:tc>
          <w:tcPr>
            <w:tcW w:w="2000" w:type="dxa"/>
            <w:vAlign w:val="bottom"/>
          </w:tcPr>
          <w:p>
            <w:pPr>
              <w:ind w:left="560"/>
              <w:spacing w:after="0"/>
              <w:rPr>
                <w:sz w:val="20"/>
                <w:szCs w:val="20"/>
                <w:color w:val="auto"/>
              </w:rPr>
            </w:pPr>
            <w:r>
              <w:rPr>
                <w:rFonts w:ascii="Arial" w:cs="Arial" w:eastAsia="Arial" w:hAnsi="Arial"/>
                <w:sz w:val="18"/>
                <w:szCs w:val="18"/>
                <w:b w:val="1"/>
                <w:bCs w:val="1"/>
                <w:color w:val="auto"/>
              </w:rPr>
              <w:t>Retail Sales</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5"/>
              </w:rPr>
              <w:t>YOY Change</w:t>
            </w:r>
          </w:p>
        </w:tc>
      </w:tr>
      <w:tr>
        <w:trPr>
          <w:trHeight w:val="27"/>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3"/>
              </w:rPr>
              <w:t>Chevrolet</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1,365,544</w:t>
            </w:r>
          </w:p>
        </w:tc>
        <w:tc>
          <w:tcPr>
            <w:tcW w:w="2160" w:type="dxa"/>
            <w:vAlign w:val="bottom"/>
          </w:tcPr>
          <w:p>
            <w:pPr>
              <w:jc w:val="center"/>
              <w:spacing w:after="0"/>
              <w:rPr>
                <w:sz w:val="20"/>
                <w:szCs w:val="20"/>
                <w:color w:val="auto"/>
              </w:rPr>
            </w:pPr>
            <w:r>
              <w:rPr>
                <w:rFonts w:ascii="Arial" w:cs="Arial" w:eastAsia="Arial" w:hAnsi="Arial"/>
                <w:sz w:val="16"/>
                <w:szCs w:val="16"/>
                <w:color w:val="auto"/>
                <w:w w:val="93"/>
              </w:rPr>
              <w:t>7.5%</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956,410</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11.7%</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6"/>
              </w:rPr>
              <w:t>GMC</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303,254</w:t>
            </w: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10.9%</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262,215</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15.1%</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rPr>
              <w:t>Buick</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141,880</w:t>
            </w: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15.7%</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125,865</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15.6%</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4"/>
              </w:rPr>
              <w:t>Cadillac</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119,586</w:t>
            </w: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31.5%</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109,767</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27.9%</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7"/>
              </w:rPr>
              <w:t>Total GM</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1,930,264</w:t>
            </w:r>
          </w:p>
        </w:tc>
        <w:tc>
          <w:tcPr>
            <w:tcW w:w="2160" w:type="dxa"/>
            <w:vAlign w:val="bottom"/>
          </w:tcPr>
          <w:p>
            <w:pPr>
              <w:jc w:val="center"/>
              <w:spacing w:after="0"/>
              <w:rPr>
                <w:sz w:val="20"/>
                <w:szCs w:val="20"/>
                <w:color w:val="auto"/>
              </w:rPr>
            </w:pPr>
            <w:r>
              <w:rPr>
                <w:rFonts w:ascii="Arial" w:cs="Arial" w:eastAsia="Arial" w:hAnsi="Arial"/>
                <w:sz w:val="16"/>
                <w:szCs w:val="16"/>
                <w:color w:val="auto"/>
                <w:w w:val="93"/>
              </w:rPr>
              <w:t>9.8%</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1,454,257</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13.7%</w:t>
            </w:r>
          </w:p>
        </w:tc>
      </w:tr>
    </w:tbl>
    <w:p>
      <w:pPr>
        <w:spacing w:after="0" w:line="298"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Fleet Segment</w:t>
            </w:r>
          </w:p>
        </w:tc>
        <w:tc>
          <w:tcPr>
            <w:tcW w:w="1940" w:type="dxa"/>
            <w:vAlign w:val="bottom"/>
          </w:tcPr>
          <w:p>
            <w:pPr>
              <w:jc w:val="center"/>
              <w:ind w:left="134"/>
              <w:spacing w:after="0"/>
              <w:rPr>
                <w:sz w:val="20"/>
                <w:szCs w:val="20"/>
                <w:color w:val="auto"/>
              </w:rPr>
            </w:pPr>
            <w:r>
              <w:rPr>
                <w:rFonts w:ascii="Arial" w:cs="Arial" w:eastAsia="Arial" w:hAnsi="Arial"/>
                <w:sz w:val="18"/>
                <w:szCs w:val="18"/>
                <w:b w:val="1"/>
                <w:bCs w:val="1"/>
                <w:color w:val="auto"/>
                <w:w w:val="96"/>
              </w:rPr>
              <w:t>Month</w:t>
            </w:r>
          </w:p>
        </w:tc>
        <w:tc>
          <w:tcPr>
            <w:tcW w:w="2540" w:type="dxa"/>
            <w:vAlign w:val="bottom"/>
          </w:tcPr>
          <w:p>
            <w:pPr>
              <w:jc w:val="center"/>
              <w:ind w:right="17"/>
              <w:spacing w:after="0"/>
              <w:rPr>
                <w:sz w:val="20"/>
                <w:szCs w:val="20"/>
                <w:color w:val="auto"/>
              </w:rPr>
            </w:pPr>
            <w:r>
              <w:rPr>
                <w:rFonts w:ascii="Arial" w:cs="Arial" w:eastAsia="Arial" w:hAnsi="Arial"/>
                <w:sz w:val="18"/>
                <w:szCs w:val="18"/>
                <w:b w:val="1"/>
                <w:bCs w:val="1"/>
                <w:color w:val="auto"/>
                <w:w w:val="95"/>
              </w:rPr>
              <w:t>YOY Change</w:t>
            </w:r>
          </w:p>
        </w:tc>
        <w:tc>
          <w:tcPr>
            <w:tcW w:w="1780" w:type="dxa"/>
            <w:vAlign w:val="bottom"/>
          </w:tcPr>
          <w:p>
            <w:pPr>
              <w:jc w:val="center"/>
              <w:ind w:right="214"/>
              <w:spacing w:after="0"/>
              <w:rPr>
                <w:sz w:val="20"/>
                <w:szCs w:val="20"/>
                <w:color w:val="auto"/>
              </w:rPr>
            </w:pPr>
            <w:r>
              <w:rPr>
                <w:rFonts w:ascii="Arial" w:cs="Arial" w:eastAsia="Arial" w:hAnsi="Arial"/>
                <w:sz w:val="18"/>
                <w:szCs w:val="18"/>
                <w:b w:val="1"/>
                <w:bCs w:val="1"/>
                <w:color w:val="auto"/>
              </w:rPr>
              <w:t>CYTD</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CYTD Change</w:t>
            </w:r>
          </w:p>
        </w:tc>
      </w:tr>
      <w:tr>
        <w:trPr>
          <w:trHeight w:val="27"/>
        </w:trPr>
        <w:tc>
          <w:tcPr>
            <w:tcW w:w="1320" w:type="dxa"/>
            <w:vAlign w:val="bottom"/>
            <w:tcBorders>
              <w:bottom w:val="single" w:sz="8" w:color="BFBFBF"/>
            </w:tcBorders>
          </w:tcPr>
          <w:p>
            <w:pPr>
              <w:spacing w:after="0"/>
              <w:rPr>
                <w:sz w:val="2"/>
                <w:szCs w:val="2"/>
                <w:color w:val="auto"/>
              </w:rPr>
            </w:pPr>
          </w:p>
        </w:tc>
        <w:tc>
          <w:tcPr>
            <w:tcW w:w="720" w:type="dxa"/>
            <w:vAlign w:val="bottom"/>
            <w:tcBorders>
              <w:bottom w:val="single" w:sz="8" w:color="BFBFBF"/>
            </w:tcBorders>
          </w:tcPr>
          <w:p>
            <w:pPr>
              <w:spacing w:after="0"/>
              <w:rPr>
                <w:sz w:val="2"/>
                <w:szCs w:val="2"/>
                <w:color w:val="auto"/>
              </w:rPr>
            </w:pPr>
          </w:p>
        </w:tc>
        <w:tc>
          <w:tcPr>
            <w:tcW w:w="1940" w:type="dxa"/>
            <w:vAlign w:val="bottom"/>
            <w:tcBorders>
              <w:bottom w:val="single" w:sz="8" w:color="BFBFBF"/>
            </w:tcBorders>
          </w:tcPr>
          <w:p>
            <w:pPr>
              <w:spacing w:after="0"/>
              <w:rPr>
                <w:sz w:val="2"/>
                <w:szCs w:val="2"/>
                <w:color w:val="auto"/>
              </w:rPr>
            </w:pPr>
          </w:p>
        </w:tc>
        <w:tc>
          <w:tcPr>
            <w:tcW w:w="2540" w:type="dxa"/>
            <w:vAlign w:val="bottom"/>
            <w:tcBorders>
              <w:bottom w:val="single" w:sz="8" w:color="BFBFBF"/>
            </w:tcBorders>
          </w:tcPr>
          <w:p>
            <w:pPr>
              <w:spacing w:after="0"/>
              <w:rPr>
                <w:sz w:val="2"/>
                <w:szCs w:val="2"/>
                <w:color w:val="auto"/>
              </w:rPr>
            </w:pPr>
          </w:p>
        </w:tc>
        <w:tc>
          <w:tcPr>
            <w:tcW w:w="1780" w:type="dxa"/>
            <w:vAlign w:val="bottom"/>
            <w:tcBorders>
              <w:bottom w:val="single" w:sz="8" w:color="BFBFBF"/>
            </w:tcBorders>
          </w:tcPr>
          <w:p>
            <w:pPr>
              <w:spacing w:after="0"/>
              <w:rPr>
                <w:sz w:val="2"/>
                <w:szCs w:val="2"/>
                <w:color w:val="auto"/>
              </w:rPr>
            </w:pPr>
          </w:p>
        </w:tc>
        <w:tc>
          <w:tcPr>
            <w:tcW w:w="780" w:type="dxa"/>
            <w:vAlign w:val="bottom"/>
            <w:tcBorders>
              <w:bottom w:val="single" w:sz="8" w:color="BFBFBF"/>
            </w:tcBorders>
          </w:tcPr>
          <w:p>
            <w:pPr>
              <w:spacing w:after="0"/>
              <w:rPr>
                <w:sz w:val="2"/>
                <w:szCs w:val="2"/>
                <w:color w:val="auto"/>
              </w:rPr>
            </w:pPr>
          </w:p>
        </w:tc>
        <w:tc>
          <w:tcPr>
            <w:tcW w:w="1280" w:type="dxa"/>
            <w:vAlign w:val="bottom"/>
            <w:tcBorders>
              <w:bottom w:val="single" w:sz="8" w:color="BFBFBF"/>
            </w:tcBorders>
          </w:tcPr>
          <w:p>
            <w:pPr>
              <w:spacing w:after="0"/>
              <w:rPr>
                <w:sz w:val="2"/>
                <w:szCs w:val="2"/>
                <w:color w:val="auto"/>
              </w:rPr>
            </w:pPr>
          </w:p>
        </w:tc>
      </w:tr>
      <w:tr>
        <w:trPr>
          <w:trHeight w:val="217"/>
        </w:trPr>
        <w:tc>
          <w:tcPr>
            <w:tcW w:w="2040" w:type="dxa"/>
            <w:vAlign w:val="bottom"/>
            <w:gridSpan w:val="2"/>
          </w:tcPr>
          <w:p>
            <w:pPr>
              <w:jc w:val="center"/>
              <w:spacing w:after="0"/>
              <w:rPr>
                <w:sz w:val="20"/>
                <w:szCs w:val="20"/>
                <w:color w:val="auto"/>
              </w:rPr>
            </w:pPr>
            <w:r>
              <w:rPr>
                <w:rFonts w:ascii="Arial" w:cs="Arial" w:eastAsia="Arial" w:hAnsi="Arial"/>
                <w:sz w:val="16"/>
                <w:szCs w:val="16"/>
                <w:color w:val="auto"/>
                <w:w w:val="91"/>
              </w:rPr>
              <w:t>Fleet Share of Total GM Sales</w:t>
            </w:r>
          </w:p>
        </w:tc>
        <w:tc>
          <w:tcPr>
            <w:tcW w:w="1940" w:type="dxa"/>
            <w:vAlign w:val="bottom"/>
          </w:tcPr>
          <w:p>
            <w:pPr>
              <w:jc w:val="center"/>
              <w:ind w:left="154"/>
              <w:spacing w:after="0"/>
              <w:rPr>
                <w:sz w:val="20"/>
                <w:szCs w:val="20"/>
                <w:color w:val="auto"/>
              </w:rPr>
            </w:pPr>
            <w:r>
              <w:rPr>
                <w:rFonts w:ascii="Arial" w:cs="Arial" w:eastAsia="Arial" w:hAnsi="Arial"/>
                <w:sz w:val="16"/>
                <w:szCs w:val="16"/>
                <w:color w:val="auto"/>
                <w:w w:val="92"/>
              </w:rPr>
              <w:t>19.9%</w:t>
            </w:r>
          </w:p>
        </w:tc>
        <w:tc>
          <w:tcPr>
            <w:tcW w:w="2540" w:type="dxa"/>
            <w:vAlign w:val="bottom"/>
          </w:tcPr>
          <w:p>
            <w:pPr>
              <w:jc w:val="center"/>
              <w:ind w:right="37"/>
              <w:spacing w:after="0"/>
              <w:rPr>
                <w:sz w:val="20"/>
                <w:szCs w:val="20"/>
                <w:color w:val="auto"/>
              </w:rPr>
            </w:pPr>
            <w:r>
              <w:rPr>
                <w:rFonts w:ascii="Arial" w:cs="Arial" w:eastAsia="Arial" w:hAnsi="Arial"/>
                <w:sz w:val="16"/>
                <w:szCs w:val="16"/>
                <w:color w:val="auto"/>
                <w:w w:val="92"/>
              </w:rPr>
              <w:t>(4.9) points</w:t>
            </w:r>
          </w:p>
        </w:tc>
        <w:tc>
          <w:tcPr>
            <w:tcW w:w="1780" w:type="dxa"/>
            <w:vAlign w:val="bottom"/>
          </w:tcPr>
          <w:p>
            <w:pPr>
              <w:jc w:val="center"/>
              <w:ind w:right="214"/>
              <w:spacing w:after="0"/>
              <w:rPr>
                <w:sz w:val="20"/>
                <w:szCs w:val="20"/>
                <w:color w:val="auto"/>
              </w:rPr>
            </w:pPr>
            <w:r>
              <w:rPr>
                <w:rFonts w:ascii="Arial" w:cs="Arial" w:eastAsia="Arial" w:hAnsi="Arial"/>
                <w:sz w:val="16"/>
                <w:szCs w:val="16"/>
                <w:color w:val="auto"/>
                <w:w w:val="88"/>
              </w:rPr>
              <w:t>24.7%</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w w:val="92"/>
              </w:rPr>
              <w:t>(2.6) points</w:t>
            </w:r>
          </w:p>
        </w:tc>
      </w:tr>
      <w:tr>
        <w:trPr>
          <w:trHeight w:val="33"/>
        </w:trPr>
        <w:tc>
          <w:tcPr>
            <w:tcW w:w="1320" w:type="dxa"/>
            <w:vAlign w:val="bottom"/>
            <w:tcBorders>
              <w:bottom w:val="single" w:sz="8" w:color="BFBFBF"/>
            </w:tcBorders>
          </w:tcPr>
          <w:p>
            <w:pPr>
              <w:spacing w:after="0"/>
              <w:rPr>
                <w:sz w:val="2"/>
                <w:szCs w:val="2"/>
                <w:color w:val="auto"/>
              </w:rPr>
            </w:pPr>
          </w:p>
        </w:tc>
        <w:tc>
          <w:tcPr>
            <w:tcW w:w="720" w:type="dxa"/>
            <w:vAlign w:val="bottom"/>
            <w:tcBorders>
              <w:bottom w:val="single" w:sz="8" w:color="BFBFBF"/>
            </w:tcBorders>
          </w:tcPr>
          <w:p>
            <w:pPr>
              <w:spacing w:after="0"/>
              <w:rPr>
                <w:sz w:val="2"/>
                <w:szCs w:val="2"/>
                <w:color w:val="auto"/>
              </w:rPr>
            </w:pPr>
          </w:p>
        </w:tc>
        <w:tc>
          <w:tcPr>
            <w:tcW w:w="1940" w:type="dxa"/>
            <w:vAlign w:val="bottom"/>
            <w:tcBorders>
              <w:bottom w:val="single" w:sz="8" w:color="BFBFBF"/>
            </w:tcBorders>
          </w:tcPr>
          <w:p>
            <w:pPr>
              <w:spacing w:after="0"/>
              <w:rPr>
                <w:sz w:val="2"/>
                <w:szCs w:val="2"/>
                <w:color w:val="auto"/>
              </w:rPr>
            </w:pPr>
          </w:p>
        </w:tc>
        <w:tc>
          <w:tcPr>
            <w:tcW w:w="2540" w:type="dxa"/>
            <w:vAlign w:val="bottom"/>
            <w:tcBorders>
              <w:bottom w:val="single" w:sz="8" w:color="BFBFBF"/>
            </w:tcBorders>
          </w:tcPr>
          <w:p>
            <w:pPr>
              <w:spacing w:after="0"/>
              <w:rPr>
                <w:sz w:val="2"/>
                <w:szCs w:val="2"/>
                <w:color w:val="auto"/>
              </w:rPr>
            </w:pPr>
          </w:p>
        </w:tc>
        <w:tc>
          <w:tcPr>
            <w:tcW w:w="1780" w:type="dxa"/>
            <w:vAlign w:val="bottom"/>
            <w:tcBorders>
              <w:bottom w:val="single" w:sz="8" w:color="BFBFBF"/>
            </w:tcBorders>
          </w:tcPr>
          <w:p>
            <w:pPr>
              <w:spacing w:after="0"/>
              <w:rPr>
                <w:sz w:val="2"/>
                <w:szCs w:val="2"/>
                <w:color w:val="auto"/>
              </w:rPr>
            </w:pPr>
          </w:p>
        </w:tc>
        <w:tc>
          <w:tcPr>
            <w:tcW w:w="780" w:type="dxa"/>
            <w:vAlign w:val="bottom"/>
            <w:tcBorders>
              <w:bottom w:val="single" w:sz="8" w:color="BFBFBF"/>
            </w:tcBorders>
          </w:tcPr>
          <w:p>
            <w:pPr>
              <w:spacing w:after="0"/>
              <w:rPr>
                <w:sz w:val="2"/>
                <w:szCs w:val="2"/>
                <w:color w:val="auto"/>
              </w:rPr>
            </w:pPr>
          </w:p>
        </w:tc>
        <w:tc>
          <w:tcPr>
            <w:tcW w:w="1280" w:type="dxa"/>
            <w:vAlign w:val="bottom"/>
            <w:tcBorders>
              <w:bottom w:val="single" w:sz="8" w:color="BFBFBF"/>
            </w:tcBorders>
          </w:tcPr>
          <w:p>
            <w:pPr>
              <w:spacing w:after="0"/>
              <w:rPr>
                <w:sz w:val="2"/>
                <w:szCs w:val="2"/>
                <w:color w:val="auto"/>
              </w:rPr>
            </w:pPr>
          </w:p>
        </w:tc>
      </w:tr>
      <w:tr>
        <w:trPr>
          <w:trHeight w:val="223"/>
        </w:trPr>
        <w:tc>
          <w:tcPr>
            <w:tcW w:w="1320" w:type="dxa"/>
            <w:vAlign w:val="bottom"/>
            <w:tcBorders>
              <w:bottom w:val="single" w:sz="8" w:color="BFBFBF"/>
            </w:tcBorders>
          </w:tcPr>
          <w:p>
            <w:pPr>
              <w:spacing w:after="0"/>
              <w:rPr>
                <w:sz w:val="19"/>
                <w:szCs w:val="19"/>
                <w:color w:val="auto"/>
              </w:rPr>
            </w:pPr>
          </w:p>
        </w:tc>
        <w:tc>
          <w:tcPr>
            <w:tcW w:w="720" w:type="dxa"/>
            <w:vAlign w:val="bottom"/>
            <w:tcBorders>
              <w:bottom w:val="single" w:sz="8" w:color="BFBFBF"/>
            </w:tcBorders>
          </w:tcPr>
          <w:p>
            <w:pPr>
              <w:spacing w:after="0"/>
              <w:rPr>
                <w:sz w:val="19"/>
                <w:szCs w:val="19"/>
                <w:color w:val="auto"/>
              </w:rPr>
            </w:pPr>
          </w:p>
        </w:tc>
        <w:tc>
          <w:tcPr>
            <w:tcW w:w="1940" w:type="dxa"/>
            <w:vAlign w:val="bottom"/>
            <w:tcBorders>
              <w:bottom w:val="single" w:sz="8" w:color="BFBFBF"/>
            </w:tcBorders>
          </w:tcPr>
          <w:p>
            <w:pPr>
              <w:spacing w:after="0"/>
              <w:rPr>
                <w:sz w:val="19"/>
                <w:szCs w:val="19"/>
                <w:color w:val="auto"/>
              </w:rPr>
            </w:pPr>
          </w:p>
        </w:tc>
        <w:tc>
          <w:tcPr>
            <w:tcW w:w="2540" w:type="dxa"/>
            <w:vAlign w:val="bottom"/>
            <w:tcBorders>
              <w:bottom w:val="single" w:sz="8" w:color="BFBFBF"/>
            </w:tcBorders>
          </w:tcPr>
          <w:p>
            <w:pPr>
              <w:spacing w:after="0"/>
              <w:rPr>
                <w:sz w:val="19"/>
                <w:szCs w:val="19"/>
                <w:color w:val="auto"/>
              </w:rPr>
            </w:pPr>
          </w:p>
        </w:tc>
        <w:tc>
          <w:tcPr>
            <w:tcW w:w="1780" w:type="dxa"/>
            <w:vAlign w:val="bottom"/>
            <w:tcBorders>
              <w:bottom w:val="single" w:sz="8" w:color="BFBFBF"/>
            </w:tcBorders>
          </w:tcPr>
          <w:p>
            <w:pPr>
              <w:spacing w:after="0"/>
              <w:rPr>
                <w:sz w:val="19"/>
                <w:szCs w:val="19"/>
                <w:color w:val="auto"/>
              </w:rPr>
            </w:pPr>
          </w:p>
        </w:tc>
        <w:tc>
          <w:tcPr>
            <w:tcW w:w="780" w:type="dxa"/>
            <w:vAlign w:val="bottom"/>
            <w:tcBorders>
              <w:bottom w:val="single" w:sz="8" w:color="BFBFBF"/>
            </w:tcBorders>
          </w:tcPr>
          <w:p>
            <w:pPr>
              <w:spacing w:after="0"/>
              <w:rPr>
                <w:sz w:val="19"/>
                <w:szCs w:val="19"/>
                <w:color w:val="auto"/>
              </w:rPr>
            </w:pPr>
          </w:p>
        </w:tc>
        <w:tc>
          <w:tcPr>
            <w:tcW w:w="1280" w:type="dxa"/>
            <w:vAlign w:val="bottom"/>
            <w:tcBorders>
              <w:bottom w:val="single" w:sz="8" w:color="BFBFBF"/>
            </w:tcBorders>
          </w:tcPr>
          <w:p>
            <w:pPr>
              <w:spacing w:after="0"/>
              <w:rPr>
                <w:sz w:val="19"/>
                <w:szCs w:val="19"/>
                <w:color w:val="auto"/>
              </w:rPr>
            </w:pPr>
          </w:p>
        </w:tc>
      </w:tr>
      <w:tr>
        <w:trPr>
          <w:trHeight w:val="277"/>
        </w:trPr>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Inventory</w:t>
            </w:r>
          </w:p>
        </w:tc>
        <w:tc>
          <w:tcPr>
            <w:tcW w:w="1940" w:type="dxa"/>
            <w:vAlign w:val="bottom"/>
          </w:tcPr>
          <w:p>
            <w:pPr>
              <w:jc w:val="center"/>
              <w:ind w:left="154"/>
              <w:spacing w:after="0"/>
              <w:rPr>
                <w:sz w:val="20"/>
                <w:szCs w:val="20"/>
                <w:color w:val="auto"/>
              </w:rPr>
            </w:pPr>
            <w:r>
              <w:rPr>
                <w:rFonts w:ascii="Arial" w:cs="Arial" w:eastAsia="Arial" w:hAnsi="Arial"/>
                <w:sz w:val="18"/>
                <w:szCs w:val="18"/>
                <w:b w:val="1"/>
                <w:bCs w:val="1"/>
                <w:color w:val="auto"/>
                <w:w w:val="99"/>
              </w:rPr>
              <w:t>Units at</w:t>
            </w:r>
          </w:p>
        </w:tc>
        <w:tc>
          <w:tcPr>
            <w:tcW w:w="2540" w:type="dxa"/>
            <w:vAlign w:val="bottom"/>
          </w:tcPr>
          <w:p>
            <w:pPr>
              <w:jc w:val="center"/>
              <w:ind w:right="17"/>
              <w:spacing w:after="0"/>
              <w:rPr>
                <w:sz w:val="20"/>
                <w:szCs w:val="20"/>
                <w:color w:val="auto"/>
              </w:rPr>
            </w:pPr>
            <w:r>
              <w:rPr>
                <w:rFonts w:ascii="Arial" w:cs="Arial" w:eastAsia="Arial" w:hAnsi="Arial"/>
                <w:sz w:val="18"/>
                <w:szCs w:val="18"/>
                <w:b w:val="1"/>
                <w:bCs w:val="1"/>
                <w:color w:val="auto"/>
              </w:rPr>
              <w:t xml:space="preserve">Days Supply </w:t>
            </w:r>
            <w:r>
              <w:rPr>
                <w:rFonts w:ascii="Arial" w:cs="Arial" w:eastAsia="Arial" w:hAnsi="Arial"/>
                <w:sz w:val="14"/>
                <w:szCs w:val="14"/>
                <w:b w:val="1"/>
                <w:bCs w:val="1"/>
                <w:color w:val="auto"/>
              </w:rPr>
              <w:t>(selling day</w:t>
            </w:r>
          </w:p>
        </w:tc>
        <w:tc>
          <w:tcPr>
            <w:tcW w:w="1780" w:type="dxa"/>
            <w:vAlign w:val="bottom"/>
          </w:tcPr>
          <w:p>
            <w:pPr>
              <w:jc w:val="center"/>
              <w:ind w:right="214"/>
              <w:spacing w:after="0"/>
              <w:rPr>
                <w:sz w:val="20"/>
                <w:szCs w:val="20"/>
                <w:color w:val="auto"/>
              </w:rPr>
            </w:pPr>
            <w:r>
              <w:rPr>
                <w:rFonts w:ascii="Arial" w:cs="Arial" w:eastAsia="Arial" w:hAnsi="Arial"/>
                <w:sz w:val="18"/>
                <w:szCs w:val="18"/>
                <w:b w:val="1"/>
                <w:bCs w:val="1"/>
                <w:color w:val="auto"/>
              </w:rPr>
              <w:t>Units at Previous</w:t>
            </w:r>
          </w:p>
        </w:tc>
        <w:tc>
          <w:tcPr>
            <w:tcW w:w="2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 xml:space="preserve">Days Supply </w:t>
            </w:r>
            <w:r>
              <w:rPr>
                <w:rFonts w:ascii="Arial" w:cs="Arial" w:eastAsia="Arial" w:hAnsi="Arial"/>
                <w:sz w:val="14"/>
                <w:szCs w:val="14"/>
                <w:b w:val="1"/>
                <w:bCs w:val="1"/>
                <w:color w:val="auto"/>
              </w:rPr>
              <w:t>(selling day</w:t>
            </w:r>
          </w:p>
        </w:tc>
      </w:tr>
      <w:tr>
        <w:trPr>
          <w:trHeight w:val="176"/>
        </w:trPr>
        <w:tc>
          <w:tcPr>
            <w:tcW w:w="1320" w:type="dxa"/>
            <w:vAlign w:val="bottom"/>
            <w:tcBorders>
              <w:bottom w:val="single" w:sz="8" w:color="BFBFBF"/>
            </w:tcBorders>
          </w:tcPr>
          <w:p>
            <w:pPr>
              <w:spacing w:after="0"/>
              <w:rPr>
                <w:sz w:val="15"/>
                <w:szCs w:val="15"/>
                <w:color w:val="auto"/>
              </w:rPr>
            </w:pPr>
          </w:p>
        </w:tc>
        <w:tc>
          <w:tcPr>
            <w:tcW w:w="720" w:type="dxa"/>
            <w:vAlign w:val="bottom"/>
            <w:tcBorders>
              <w:bottom w:val="single" w:sz="8" w:color="BFBFBF"/>
            </w:tcBorders>
          </w:tcPr>
          <w:p>
            <w:pPr>
              <w:spacing w:after="0"/>
              <w:rPr>
                <w:sz w:val="15"/>
                <w:szCs w:val="15"/>
                <w:color w:val="auto"/>
              </w:rPr>
            </w:pPr>
          </w:p>
        </w:tc>
        <w:tc>
          <w:tcPr>
            <w:tcW w:w="1940" w:type="dxa"/>
            <w:vAlign w:val="bottom"/>
            <w:tcBorders>
              <w:bottom w:val="single" w:sz="8" w:color="BFBFBF"/>
            </w:tcBorders>
          </w:tcPr>
          <w:p>
            <w:pPr>
              <w:jc w:val="center"/>
              <w:ind w:left="134"/>
              <w:spacing w:after="0" w:line="176" w:lineRule="exact"/>
              <w:rPr>
                <w:sz w:val="20"/>
                <w:szCs w:val="20"/>
                <w:color w:val="auto"/>
              </w:rPr>
            </w:pPr>
            <w:r>
              <w:rPr>
                <w:rFonts w:ascii="Arial" w:cs="Arial" w:eastAsia="Arial" w:hAnsi="Arial"/>
                <w:sz w:val="18"/>
                <w:szCs w:val="18"/>
                <w:b w:val="1"/>
                <w:bCs w:val="1"/>
                <w:color w:val="auto"/>
                <w:w w:val="99"/>
              </w:rPr>
              <w:t>Month-end</w:t>
            </w:r>
          </w:p>
        </w:tc>
        <w:tc>
          <w:tcPr>
            <w:tcW w:w="2540" w:type="dxa"/>
            <w:vAlign w:val="bottom"/>
            <w:tcBorders>
              <w:bottom w:val="single" w:sz="8" w:color="BFBFBF"/>
            </w:tcBorders>
          </w:tcPr>
          <w:p>
            <w:pPr>
              <w:jc w:val="center"/>
              <w:ind w:right="17"/>
              <w:spacing w:after="0"/>
              <w:rPr>
                <w:sz w:val="20"/>
                <w:szCs w:val="20"/>
                <w:color w:val="auto"/>
              </w:rPr>
            </w:pPr>
            <w:r>
              <w:rPr>
                <w:rFonts w:ascii="Arial" w:cs="Arial" w:eastAsia="Arial" w:hAnsi="Arial"/>
                <w:sz w:val="14"/>
                <w:szCs w:val="14"/>
                <w:b w:val="1"/>
                <w:bCs w:val="1"/>
                <w:color w:val="auto"/>
              </w:rPr>
              <w:t>adjusted)</w:t>
            </w:r>
          </w:p>
        </w:tc>
        <w:tc>
          <w:tcPr>
            <w:tcW w:w="1780" w:type="dxa"/>
            <w:vAlign w:val="bottom"/>
            <w:tcBorders>
              <w:bottom w:val="single" w:sz="8" w:color="BFBFBF"/>
            </w:tcBorders>
          </w:tcPr>
          <w:p>
            <w:pPr>
              <w:jc w:val="center"/>
              <w:ind w:right="214"/>
              <w:spacing w:after="0" w:line="176" w:lineRule="exact"/>
              <w:rPr>
                <w:sz w:val="20"/>
                <w:szCs w:val="20"/>
                <w:color w:val="auto"/>
              </w:rPr>
            </w:pPr>
            <w:r>
              <w:rPr>
                <w:rFonts w:ascii="Arial" w:cs="Arial" w:eastAsia="Arial" w:hAnsi="Arial"/>
                <w:sz w:val="18"/>
                <w:szCs w:val="18"/>
                <w:b w:val="1"/>
                <w:bCs w:val="1"/>
                <w:color w:val="auto"/>
                <w:w w:val="99"/>
              </w:rPr>
              <w:t>Month-end</w:t>
            </w:r>
          </w:p>
        </w:tc>
        <w:tc>
          <w:tcPr>
            <w:tcW w:w="2060" w:type="dxa"/>
            <w:vAlign w:val="bottom"/>
            <w:tcBorders>
              <w:bottom w:val="single" w:sz="8" w:color="BFBFBF"/>
            </w:tcBorders>
            <w:gridSpan w:val="2"/>
          </w:tcPr>
          <w:p>
            <w:pPr>
              <w:jc w:val="center"/>
              <w:ind w:right="20"/>
              <w:spacing w:after="0"/>
              <w:rPr>
                <w:sz w:val="20"/>
                <w:szCs w:val="20"/>
                <w:color w:val="auto"/>
              </w:rPr>
            </w:pPr>
            <w:r>
              <w:rPr>
                <w:rFonts w:ascii="Arial" w:cs="Arial" w:eastAsia="Arial" w:hAnsi="Arial"/>
                <w:sz w:val="14"/>
                <w:szCs w:val="14"/>
                <w:b w:val="1"/>
                <w:bCs w:val="1"/>
                <w:color w:val="auto"/>
              </w:rPr>
              <w:t>adjusted)</w:t>
            </w:r>
          </w:p>
        </w:tc>
      </w:tr>
      <w:tr>
        <w:trPr>
          <w:trHeight w:val="217"/>
        </w:trPr>
        <w:tc>
          <w:tcPr>
            <w:tcW w:w="2040" w:type="dxa"/>
            <w:vAlign w:val="bottom"/>
            <w:gridSpan w:val="2"/>
          </w:tcPr>
          <w:p>
            <w:pPr>
              <w:jc w:val="center"/>
              <w:spacing w:after="0"/>
              <w:rPr>
                <w:sz w:val="20"/>
                <w:szCs w:val="20"/>
                <w:color w:val="auto"/>
              </w:rPr>
            </w:pPr>
            <w:r>
              <w:rPr>
                <w:rFonts w:ascii="Arial" w:cs="Arial" w:eastAsia="Arial" w:hAnsi="Arial"/>
                <w:sz w:val="16"/>
                <w:szCs w:val="16"/>
                <w:color w:val="auto"/>
                <w:w w:val="96"/>
              </w:rPr>
              <w:t>All Vehicles</w:t>
            </w:r>
          </w:p>
        </w:tc>
        <w:tc>
          <w:tcPr>
            <w:tcW w:w="1940" w:type="dxa"/>
            <w:vAlign w:val="bottom"/>
          </w:tcPr>
          <w:p>
            <w:pPr>
              <w:jc w:val="center"/>
              <w:ind w:left="134"/>
              <w:spacing w:after="0"/>
              <w:rPr>
                <w:sz w:val="20"/>
                <w:szCs w:val="20"/>
                <w:color w:val="auto"/>
              </w:rPr>
            </w:pPr>
            <w:r>
              <w:rPr>
                <w:rFonts w:ascii="Arial" w:cs="Arial" w:eastAsia="Arial" w:hAnsi="Arial"/>
                <w:sz w:val="16"/>
                <w:szCs w:val="16"/>
                <w:color w:val="auto"/>
                <w:w w:val="89"/>
              </w:rPr>
              <w:t>628,644</w:t>
            </w:r>
          </w:p>
        </w:tc>
        <w:tc>
          <w:tcPr>
            <w:tcW w:w="2540" w:type="dxa"/>
            <w:vAlign w:val="bottom"/>
          </w:tcPr>
          <w:p>
            <w:pPr>
              <w:jc w:val="center"/>
              <w:ind w:right="17"/>
              <w:spacing w:after="0"/>
              <w:rPr>
                <w:sz w:val="20"/>
                <w:szCs w:val="20"/>
                <w:color w:val="auto"/>
              </w:rPr>
            </w:pPr>
            <w:r>
              <w:rPr>
                <w:rFonts w:ascii="Arial" w:cs="Arial" w:eastAsia="Arial" w:hAnsi="Arial"/>
                <w:sz w:val="16"/>
                <w:szCs w:val="16"/>
                <w:color w:val="auto"/>
                <w:w w:val="89"/>
              </w:rPr>
              <w:t>64</w:t>
            </w:r>
          </w:p>
        </w:tc>
        <w:tc>
          <w:tcPr>
            <w:tcW w:w="1780" w:type="dxa"/>
            <w:vAlign w:val="bottom"/>
          </w:tcPr>
          <w:p>
            <w:pPr>
              <w:jc w:val="center"/>
              <w:ind w:right="214"/>
              <w:spacing w:after="0"/>
              <w:rPr>
                <w:sz w:val="20"/>
                <w:szCs w:val="20"/>
                <w:color w:val="auto"/>
              </w:rPr>
            </w:pPr>
            <w:r>
              <w:rPr>
                <w:rFonts w:ascii="Arial" w:cs="Arial" w:eastAsia="Arial" w:hAnsi="Arial"/>
                <w:sz w:val="16"/>
                <w:szCs w:val="16"/>
                <w:color w:val="auto"/>
                <w:w w:val="89"/>
              </w:rPr>
              <w:t>638,517</w:t>
            </w:r>
          </w:p>
        </w:tc>
        <w:tc>
          <w:tcPr>
            <w:tcW w:w="2060" w:type="dxa"/>
            <w:vAlign w:val="bottom"/>
            <w:gridSpan w:val="2"/>
          </w:tcPr>
          <w:p>
            <w:pPr>
              <w:jc w:val="center"/>
              <w:ind w:right="20"/>
              <w:spacing w:after="0"/>
              <w:rPr>
                <w:sz w:val="20"/>
                <w:szCs w:val="20"/>
                <w:color w:val="auto"/>
              </w:rPr>
            </w:pPr>
            <w:r>
              <w:rPr>
                <w:rFonts w:ascii="Arial" w:cs="Arial" w:eastAsia="Arial" w:hAnsi="Arial"/>
                <w:sz w:val="16"/>
                <w:szCs w:val="16"/>
                <w:color w:val="auto"/>
                <w:w w:val="89"/>
              </w:rPr>
              <w:t>68</w:t>
            </w:r>
          </w:p>
        </w:tc>
      </w:tr>
      <w:tr>
        <w:trPr>
          <w:trHeight w:val="33"/>
        </w:trPr>
        <w:tc>
          <w:tcPr>
            <w:tcW w:w="1320" w:type="dxa"/>
            <w:vAlign w:val="bottom"/>
            <w:tcBorders>
              <w:bottom w:val="single" w:sz="8" w:color="BFBFBF"/>
            </w:tcBorders>
          </w:tcPr>
          <w:p>
            <w:pPr>
              <w:spacing w:after="0"/>
              <w:rPr>
                <w:sz w:val="2"/>
                <w:szCs w:val="2"/>
                <w:color w:val="auto"/>
              </w:rPr>
            </w:pPr>
          </w:p>
        </w:tc>
        <w:tc>
          <w:tcPr>
            <w:tcW w:w="720" w:type="dxa"/>
            <w:vAlign w:val="bottom"/>
            <w:tcBorders>
              <w:bottom w:val="single" w:sz="8" w:color="BFBFBF"/>
            </w:tcBorders>
          </w:tcPr>
          <w:p>
            <w:pPr>
              <w:spacing w:after="0"/>
              <w:rPr>
                <w:sz w:val="2"/>
                <w:szCs w:val="2"/>
                <w:color w:val="auto"/>
              </w:rPr>
            </w:pPr>
          </w:p>
        </w:tc>
        <w:tc>
          <w:tcPr>
            <w:tcW w:w="1940" w:type="dxa"/>
            <w:vAlign w:val="bottom"/>
            <w:tcBorders>
              <w:bottom w:val="single" w:sz="8" w:color="BFBFBF"/>
            </w:tcBorders>
          </w:tcPr>
          <w:p>
            <w:pPr>
              <w:spacing w:after="0"/>
              <w:rPr>
                <w:sz w:val="2"/>
                <w:szCs w:val="2"/>
                <w:color w:val="auto"/>
              </w:rPr>
            </w:pPr>
          </w:p>
        </w:tc>
        <w:tc>
          <w:tcPr>
            <w:tcW w:w="2540" w:type="dxa"/>
            <w:vAlign w:val="bottom"/>
            <w:tcBorders>
              <w:bottom w:val="single" w:sz="8" w:color="BFBFBF"/>
            </w:tcBorders>
          </w:tcPr>
          <w:p>
            <w:pPr>
              <w:spacing w:after="0"/>
              <w:rPr>
                <w:sz w:val="2"/>
                <w:szCs w:val="2"/>
                <w:color w:val="auto"/>
              </w:rPr>
            </w:pPr>
          </w:p>
        </w:tc>
        <w:tc>
          <w:tcPr>
            <w:tcW w:w="1780" w:type="dxa"/>
            <w:vAlign w:val="bottom"/>
            <w:tcBorders>
              <w:bottom w:val="single" w:sz="8" w:color="BFBFBF"/>
            </w:tcBorders>
          </w:tcPr>
          <w:p>
            <w:pPr>
              <w:spacing w:after="0"/>
              <w:rPr>
                <w:sz w:val="2"/>
                <w:szCs w:val="2"/>
                <w:color w:val="auto"/>
              </w:rPr>
            </w:pPr>
          </w:p>
        </w:tc>
        <w:tc>
          <w:tcPr>
            <w:tcW w:w="780" w:type="dxa"/>
            <w:vAlign w:val="bottom"/>
            <w:tcBorders>
              <w:bottom w:val="single" w:sz="8" w:color="BFBFBF"/>
            </w:tcBorders>
          </w:tcPr>
          <w:p>
            <w:pPr>
              <w:spacing w:after="0"/>
              <w:rPr>
                <w:sz w:val="2"/>
                <w:szCs w:val="2"/>
                <w:color w:val="auto"/>
              </w:rPr>
            </w:pPr>
          </w:p>
        </w:tc>
        <w:tc>
          <w:tcPr>
            <w:tcW w:w="1280" w:type="dxa"/>
            <w:vAlign w:val="bottom"/>
            <w:tcBorders>
              <w:bottom w:val="single" w:sz="8" w:color="BFBFBF"/>
            </w:tcBorders>
          </w:tcPr>
          <w:p>
            <w:pPr>
              <w:spacing w:after="0"/>
              <w:rPr>
                <w:sz w:val="2"/>
                <w:szCs w:val="2"/>
                <w:color w:val="auto"/>
              </w:rPr>
            </w:pPr>
          </w:p>
        </w:tc>
      </w:tr>
      <w:tr>
        <w:trPr>
          <w:trHeight w:val="217"/>
        </w:trPr>
        <w:tc>
          <w:tcPr>
            <w:tcW w:w="2040" w:type="dxa"/>
            <w:vAlign w:val="bottom"/>
            <w:gridSpan w:val="2"/>
          </w:tcPr>
          <w:p>
            <w:pPr>
              <w:jc w:val="center"/>
              <w:spacing w:after="0"/>
              <w:rPr>
                <w:sz w:val="20"/>
                <w:szCs w:val="20"/>
                <w:color w:val="auto"/>
              </w:rPr>
            </w:pPr>
            <w:r>
              <w:rPr>
                <w:rFonts w:ascii="Arial" w:cs="Arial" w:eastAsia="Arial" w:hAnsi="Arial"/>
                <w:sz w:val="16"/>
                <w:szCs w:val="16"/>
                <w:color w:val="auto"/>
                <w:w w:val="93"/>
              </w:rPr>
              <w:t>GMT-900 Pickups</w:t>
            </w:r>
          </w:p>
        </w:tc>
        <w:tc>
          <w:tcPr>
            <w:tcW w:w="1940" w:type="dxa"/>
            <w:vAlign w:val="bottom"/>
          </w:tcPr>
          <w:p>
            <w:pPr>
              <w:jc w:val="center"/>
              <w:ind w:left="134"/>
              <w:spacing w:after="0"/>
              <w:rPr>
                <w:sz w:val="20"/>
                <w:szCs w:val="20"/>
                <w:color w:val="auto"/>
              </w:rPr>
            </w:pPr>
            <w:r>
              <w:rPr>
                <w:rFonts w:ascii="Arial" w:cs="Arial" w:eastAsia="Arial" w:hAnsi="Arial"/>
                <w:sz w:val="16"/>
                <w:szCs w:val="16"/>
                <w:color w:val="auto"/>
                <w:w w:val="89"/>
              </w:rPr>
              <w:t>106,282</w:t>
            </w:r>
          </w:p>
        </w:tc>
        <w:tc>
          <w:tcPr>
            <w:tcW w:w="2540" w:type="dxa"/>
            <w:vAlign w:val="bottom"/>
          </w:tcPr>
          <w:p>
            <w:pPr>
              <w:jc w:val="center"/>
              <w:ind w:right="17"/>
              <w:spacing w:after="0"/>
              <w:rPr>
                <w:sz w:val="20"/>
                <w:szCs w:val="20"/>
                <w:color w:val="auto"/>
              </w:rPr>
            </w:pPr>
            <w:r>
              <w:rPr>
                <w:rFonts w:ascii="Arial" w:cs="Arial" w:eastAsia="Arial" w:hAnsi="Arial"/>
                <w:sz w:val="16"/>
                <w:szCs w:val="16"/>
                <w:color w:val="auto"/>
                <w:w w:val="89"/>
              </w:rPr>
              <w:t>60</w:t>
            </w:r>
          </w:p>
        </w:tc>
        <w:tc>
          <w:tcPr>
            <w:tcW w:w="1780" w:type="dxa"/>
            <w:vAlign w:val="bottom"/>
          </w:tcPr>
          <w:p>
            <w:pPr>
              <w:jc w:val="center"/>
              <w:ind w:right="214"/>
              <w:spacing w:after="0"/>
              <w:rPr>
                <w:sz w:val="20"/>
                <w:szCs w:val="20"/>
                <w:color w:val="auto"/>
              </w:rPr>
            </w:pPr>
            <w:r>
              <w:rPr>
                <w:rFonts w:ascii="Arial" w:cs="Arial" w:eastAsia="Arial" w:hAnsi="Arial"/>
                <w:sz w:val="16"/>
                <w:szCs w:val="16"/>
                <w:color w:val="auto"/>
                <w:w w:val="89"/>
              </w:rPr>
              <w:t>140,035</w:t>
            </w:r>
          </w:p>
        </w:tc>
        <w:tc>
          <w:tcPr>
            <w:tcW w:w="2060" w:type="dxa"/>
            <w:vAlign w:val="bottom"/>
            <w:gridSpan w:val="2"/>
          </w:tcPr>
          <w:p>
            <w:pPr>
              <w:jc w:val="center"/>
              <w:ind w:right="20"/>
              <w:spacing w:after="0"/>
              <w:rPr>
                <w:sz w:val="20"/>
                <w:szCs w:val="20"/>
                <w:color w:val="auto"/>
              </w:rPr>
            </w:pPr>
            <w:r>
              <w:rPr>
                <w:rFonts w:ascii="Arial" w:cs="Arial" w:eastAsia="Arial" w:hAnsi="Arial"/>
                <w:sz w:val="16"/>
                <w:szCs w:val="16"/>
                <w:color w:val="auto"/>
                <w:w w:val="89"/>
              </w:rPr>
              <w:t>68</w:t>
            </w:r>
          </w:p>
        </w:tc>
      </w:tr>
      <w:tr>
        <w:trPr>
          <w:trHeight w:val="33"/>
        </w:trPr>
        <w:tc>
          <w:tcPr>
            <w:tcW w:w="1320" w:type="dxa"/>
            <w:vAlign w:val="bottom"/>
            <w:tcBorders>
              <w:bottom w:val="single" w:sz="8" w:color="BFBFBF"/>
            </w:tcBorders>
          </w:tcPr>
          <w:p>
            <w:pPr>
              <w:spacing w:after="0"/>
              <w:rPr>
                <w:sz w:val="2"/>
                <w:szCs w:val="2"/>
                <w:color w:val="auto"/>
              </w:rPr>
            </w:pPr>
          </w:p>
        </w:tc>
        <w:tc>
          <w:tcPr>
            <w:tcW w:w="720" w:type="dxa"/>
            <w:vAlign w:val="bottom"/>
            <w:tcBorders>
              <w:bottom w:val="single" w:sz="8" w:color="BFBFBF"/>
            </w:tcBorders>
          </w:tcPr>
          <w:p>
            <w:pPr>
              <w:spacing w:after="0"/>
              <w:rPr>
                <w:sz w:val="2"/>
                <w:szCs w:val="2"/>
                <w:color w:val="auto"/>
              </w:rPr>
            </w:pPr>
          </w:p>
        </w:tc>
        <w:tc>
          <w:tcPr>
            <w:tcW w:w="1940" w:type="dxa"/>
            <w:vAlign w:val="bottom"/>
            <w:tcBorders>
              <w:bottom w:val="single" w:sz="8" w:color="BFBFBF"/>
            </w:tcBorders>
          </w:tcPr>
          <w:p>
            <w:pPr>
              <w:spacing w:after="0"/>
              <w:rPr>
                <w:sz w:val="2"/>
                <w:szCs w:val="2"/>
                <w:color w:val="auto"/>
              </w:rPr>
            </w:pPr>
          </w:p>
        </w:tc>
        <w:tc>
          <w:tcPr>
            <w:tcW w:w="2540" w:type="dxa"/>
            <w:vAlign w:val="bottom"/>
            <w:tcBorders>
              <w:bottom w:val="single" w:sz="8" w:color="BFBFBF"/>
            </w:tcBorders>
          </w:tcPr>
          <w:p>
            <w:pPr>
              <w:spacing w:after="0"/>
              <w:rPr>
                <w:sz w:val="2"/>
                <w:szCs w:val="2"/>
                <w:color w:val="auto"/>
              </w:rPr>
            </w:pPr>
          </w:p>
        </w:tc>
        <w:tc>
          <w:tcPr>
            <w:tcW w:w="1780" w:type="dxa"/>
            <w:vAlign w:val="bottom"/>
            <w:tcBorders>
              <w:bottom w:val="single" w:sz="8" w:color="BFBFBF"/>
            </w:tcBorders>
          </w:tcPr>
          <w:p>
            <w:pPr>
              <w:spacing w:after="0"/>
              <w:rPr>
                <w:sz w:val="2"/>
                <w:szCs w:val="2"/>
                <w:color w:val="auto"/>
              </w:rPr>
            </w:pPr>
          </w:p>
        </w:tc>
        <w:tc>
          <w:tcPr>
            <w:tcW w:w="780" w:type="dxa"/>
            <w:vAlign w:val="bottom"/>
            <w:tcBorders>
              <w:bottom w:val="single" w:sz="8" w:color="BFBFBF"/>
            </w:tcBorders>
          </w:tcPr>
          <w:p>
            <w:pPr>
              <w:spacing w:after="0"/>
              <w:rPr>
                <w:sz w:val="2"/>
                <w:szCs w:val="2"/>
                <w:color w:val="auto"/>
              </w:rPr>
            </w:pPr>
          </w:p>
        </w:tc>
        <w:tc>
          <w:tcPr>
            <w:tcW w:w="1280" w:type="dxa"/>
            <w:vAlign w:val="bottom"/>
            <w:tcBorders>
              <w:bottom w:val="single" w:sz="8" w:color="BFBFBF"/>
            </w:tcBorders>
          </w:tcPr>
          <w:p>
            <w:pPr>
              <w:spacing w:after="0"/>
              <w:rPr>
                <w:sz w:val="2"/>
                <w:szCs w:val="2"/>
                <w:color w:val="auto"/>
              </w:rPr>
            </w:pPr>
          </w:p>
        </w:tc>
      </w:tr>
      <w:tr>
        <w:trPr>
          <w:trHeight w:val="345"/>
        </w:trPr>
        <w:tc>
          <w:tcPr>
            <w:tcW w:w="1320" w:type="dxa"/>
            <w:vAlign w:val="bottom"/>
          </w:tcPr>
          <w:p>
            <w:pPr>
              <w:spacing w:after="0"/>
              <w:rPr>
                <w:sz w:val="24"/>
                <w:szCs w:val="24"/>
                <w:color w:val="auto"/>
              </w:rPr>
            </w:pPr>
          </w:p>
        </w:tc>
        <w:tc>
          <w:tcPr>
            <w:tcW w:w="720" w:type="dxa"/>
            <w:vAlign w:val="bottom"/>
            <w:tcBorders>
              <w:bottom w:val="single" w:sz="8" w:color="BFBFBF"/>
            </w:tcBorders>
          </w:tcPr>
          <w:p>
            <w:pPr>
              <w:spacing w:after="0"/>
              <w:rPr>
                <w:sz w:val="24"/>
                <w:szCs w:val="24"/>
                <w:color w:val="auto"/>
              </w:rPr>
            </w:pPr>
          </w:p>
        </w:tc>
        <w:tc>
          <w:tcPr>
            <w:tcW w:w="1940" w:type="dxa"/>
            <w:vAlign w:val="bottom"/>
            <w:tcBorders>
              <w:bottom w:val="single" w:sz="8" w:color="BFBFBF"/>
            </w:tcBorders>
          </w:tcPr>
          <w:p>
            <w:pPr>
              <w:spacing w:after="0"/>
              <w:rPr>
                <w:sz w:val="24"/>
                <w:szCs w:val="24"/>
                <w:color w:val="auto"/>
              </w:rPr>
            </w:pPr>
          </w:p>
        </w:tc>
        <w:tc>
          <w:tcPr>
            <w:tcW w:w="2540" w:type="dxa"/>
            <w:vAlign w:val="bottom"/>
            <w:tcBorders>
              <w:bottom w:val="single" w:sz="8" w:color="BFBFBF"/>
            </w:tcBorders>
          </w:tcPr>
          <w:p>
            <w:pPr>
              <w:spacing w:after="0"/>
              <w:rPr>
                <w:sz w:val="24"/>
                <w:szCs w:val="24"/>
                <w:color w:val="auto"/>
              </w:rPr>
            </w:pPr>
          </w:p>
        </w:tc>
        <w:tc>
          <w:tcPr>
            <w:tcW w:w="178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1280" w:type="dxa"/>
            <w:vAlign w:val="bottom"/>
          </w:tcPr>
          <w:p>
            <w:pPr>
              <w:spacing w:after="0"/>
              <w:rPr>
                <w:sz w:val="24"/>
                <w:szCs w:val="24"/>
                <w:color w:val="auto"/>
              </w:rPr>
            </w:pPr>
          </w:p>
        </w:tc>
      </w:tr>
      <w:tr>
        <w:trPr>
          <w:trHeight w:val="237"/>
        </w:trPr>
        <w:tc>
          <w:tcPr>
            <w:tcW w:w="1320" w:type="dxa"/>
            <w:vAlign w:val="bottom"/>
            <w:tcBorders>
              <w:right w:val="single" w:sz="8" w:color="BFBFBF"/>
            </w:tcBorders>
          </w:tcPr>
          <w:p>
            <w:pPr>
              <w:spacing w:after="0"/>
              <w:rPr>
                <w:sz w:val="20"/>
                <w:szCs w:val="20"/>
                <w:color w:val="auto"/>
              </w:rPr>
            </w:pPr>
          </w:p>
        </w:tc>
        <w:tc>
          <w:tcPr>
            <w:tcW w:w="720" w:type="dxa"/>
            <w:vAlign w:val="bottom"/>
          </w:tcPr>
          <w:p>
            <w:pPr>
              <w:spacing w:after="0"/>
              <w:rPr>
                <w:sz w:val="20"/>
                <w:szCs w:val="20"/>
                <w:color w:val="auto"/>
              </w:rPr>
            </w:pPr>
          </w:p>
        </w:tc>
        <w:tc>
          <w:tcPr>
            <w:tcW w:w="1940" w:type="dxa"/>
            <w:vAlign w:val="bottom"/>
            <w:tcBorders>
              <w:right w:val="single" w:sz="8" w:color="BFBFBF"/>
            </w:tcBorders>
          </w:tcPr>
          <w:p>
            <w:pPr>
              <w:jc w:val="center"/>
              <w:ind w:right="674"/>
              <w:spacing w:after="0"/>
              <w:rPr>
                <w:sz w:val="20"/>
                <w:szCs w:val="20"/>
                <w:color w:val="auto"/>
              </w:rPr>
            </w:pPr>
            <w:r>
              <w:rPr>
                <w:rFonts w:ascii="Arial" w:cs="Arial" w:eastAsia="Arial" w:hAnsi="Arial"/>
                <w:sz w:val="18"/>
                <w:szCs w:val="18"/>
                <w:b w:val="1"/>
                <w:bCs w:val="1"/>
                <w:color w:val="auto"/>
                <w:w w:val="89"/>
              </w:rPr>
              <w:t>Industry Sales</w:t>
            </w:r>
          </w:p>
        </w:tc>
        <w:tc>
          <w:tcPr>
            <w:tcW w:w="2540" w:type="dxa"/>
            <w:vAlign w:val="bottom"/>
            <w:tcBorders>
              <w:right w:val="single" w:sz="8" w:color="BFBFBF"/>
            </w:tcBorders>
          </w:tcPr>
          <w:p>
            <w:pPr>
              <w:jc w:val="center"/>
              <w:spacing w:after="0"/>
              <w:rPr>
                <w:sz w:val="20"/>
                <w:szCs w:val="20"/>
                <w:color w:val="auto"/>
              </w:rPr>
            </w:pPr>
            <w:r>
              <w:rPr>
                <w:rFonts w:ascii="Arial" w:cs="Arial" w:eastAsia="Arial" w:hAnsi="Arial"/>
                <w:sz w:val="18"/>
                <w:szCs w:val="18"/>
                <w:b w:val="1"/>
                <w:bCs w:val="1"/>
                <w:color w:val="auto"/>
                <w:w w:val="92"/>
              </w:rPr>
              <w:t>Month (est.)</w:t>
            </w:r>
          </w:p>
        </w:tc>
        <w:tc>
          <w:tcPr>
            <w:tcW w:w="1780" w:type="dxa"/>
            <w:vAlign w:val="bottom"/>
          </w:tcPr>
          <w:p>
            <w:pPr>
              <w:jc w:val="center"/>
              <w:ind w:left="654"/>
              <w:spacing w:after="0"/>
              <w:rPr>
                <w:sz w:val="20"/>
                <w:szCs w:val="20"/>
                <w:color w:val="auto"/>
              </w:rPr>
            </w:pPr>
            <w:r>
              <w:rPr>
                <w:rFonts w:ascii="Arial" w:cs="Arial" w:eastAsia="Arial" w:hAnsi="Arial"/>
                <w:sz w:val="18"/>
                <w:szCs w:val="18"/>
                <w:b w:val="1"/>
                <w:bCs w:val="1"/>
                <w:color w:val="auto"/>
                <w:w w:val="94"/>
              </w:rPr>
              <w:t>CYTD (est.)</w:t>
            </w:r>
          </w:p>
        </w:tc>
        <w:tc>
          <w:tcPr>
            <w:tcW w:w="780" w:type="dxa"/>
            <w:vAlign w:val="bottom"/>
            <w:tcBorders>
              <w:right w:val="single" w:sz="8" w:color="BFBFBF"/>
            </w:tcBorders>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1320" w:type="dxa"/>
            <w:vAlign w:val="bottom"/>
            <w:tcBorders>
              <w:right w:val="single" w:sz="8" w:color="BFBFBF"/>
            </w:tcBorders>
          </w:tcPr>
          <w:p>
            <w:pPr>
              <w:spacing w:after="0"/>
              <w:rPr>
                <w:sz w:val="2"/>
                <w:szCs w:val="2"/>
                <w:color w:val="auto"/>
              </w:rPr>
            </w:pPr>
          </w:p>
        </w:tc>
        <w:tc>
          <w:tcPr>
            <w:tcW w:w="2660" w:type="dxa"/>
            <w:vAlign w:val="bottom"/>
            <w:tcBorders>
              <w:bottom w:val="single" w:sz="8" w:color="BFBFBF"/>
              <w:right w:val="single" w:sz="8" w:color="BFBFBF"/>
            </w:tcBorders>
            <w:gridSpan w:val="2"/>
          </w:tcPr>
          <w:p>
            <w:pPr>
              <w:spacing w:after="0"/>
              <w:rPr>
                <w:sz w:val="2"/>
                <w:szCs w:val="2"/>
                <w:color w:val="auto"/>
              </w:rPr>
            </w:pPr>
          </w:p>
        </w:tc>
        <w:tc>
          <w:tcPr>
            <w:tcW w:w="2540" w:type="dxa"/>
            <w:vAlign w:val="bottom"/>
            <w:tcBorders>
              <w:bottom w:val="single" w:sz="8" w:color="BFBFBF"/>
              <w:right w:val="single" w:sz="8" w:color="BFBFBF"/>
            </w:tcBorders>
          </w:tcPr>
          <w:p>
            <w:pPr>
              <w:spacing w:after="0"/>
              <w:rPr>
                <w:sz w:val="2"/>
                <w:szCs w:val="2"/>
                <w:color w:val="auto"/>
              </w:rPr>
            </w:pPr>
          </w:p>
        </w:tc>
        <w:tc>
          <w:tcPr>
            <w:tcW w:w="2560" w:type="dxa"/>
            <w:vAlign w:val="bottom"/>
            <w:tcBorders>
              <w:bottom w:val="single" w:sz="8" w:color="BFBFBF"/>
              <w:right w:val="single" w:sz="8" w:color="BFBFBF"/>
            </w:tcBorders>
            <w:gridSpan w:val="2"/>
          </w:tcPr>
          <w:p>
            <w:pPr>
              <w:spacing w:after="0"/>
              <w:rPr>
                <w:sz w:val="2"/>
                <w:szCs w:val="2"/>
                <w:color w:val="auto"/>
              </w:rPr>
            </w:pPr>
          </w:p>
        </w:tc>
        <w:tc>
          <w:tcPr>
            <w:tcW w:w="1280" w:type="dxa"/>
            <w:vAlign w:val="bottom"/>
          </w:tcPr>
          <w:p>
            <w:pPr>
              <w:spacing w:after="0"/>
              <w:rPr>
                <w:sz w:val="2"/>
                <w:szCs w:val="2"/>
                <w:color w:val="auto"/>
              </w:rPr>
            </w:pPr>
          </w:p>
        </w:tc>
      </w:tr>
      <w:tr>
        <w:trPr>
          <w:trHeight w:val="217"/>
        </w:trPr>
        <w:tc>
          <w:tcPr>
            <w:tcW w:w="1320" w:type="dxa"/>
            <w:vAlign w:val="bottom"/>
            <w:tcBorders>
              <w:right w:val="single" w:sz="8" w:color="BFBFBF"/>
            </w:tcBorders>
          </w:tcPr>
          <w:p>
            <w:pPr>
              <w:spacing w:after="0"/>
              <w:rPr>
                <w:sz w:val="18"/>
                <w:szCs w:val="18"/>
                <w:color w:val="auto"/>
              </w:rPr>
            </w:pPr>
          </w:p>
        </w:tc>
        <w:tc>
          <w:tcPr>
            <w:tcW w:w="2660" w:type="dxa"/>
            <w:vAlign w:val="bottom"/>
            <w:tcBorders>
              <w:right w:val="single" w:sz="8" w:color="BFBFBF"/>
            </w:tcBorders>
            <w:gridSpan w:val="2"/>
          </w:tcPr>
          <w:p>
            <w:pPr>
              <w:jc w:val="center"/>
              <w:spacing w:after="0"/>
              <w:rPr>
                <w:sz w:val="20"/>
                <w:szCs w:val="20"/>
                <w:color w:val="auto"/>
              </w:rPr>
            </w:pPr>
            <w:r>
              <w:rPr>
                <w:rFonts w:ascii="Arial" w:cs="Arial" w:eastAsia="Arial" w:hAnsi="Arial"/>
                <w:sz w:val="16"/>
                <w:szCs w:val="16"/>
                <w:color w:val="auto"/>
                <w:w w:val="95"/>
              </w:rPr>
              <w:t>Light Vehicle SAAR</w:t>
            </w:r>
          </w:p>
        </w:tc>
        <w:tc>
          <w:tcPr>
            <w:tcW w:w="254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w w:val="93"/>
              </w:rPr>
              <w:t>16.3 million range</w:t>
            </w:r>
          </w:p>
        </w:tc>
        <w:tc>
          <w:tcPr>
            <w:tcW w:w="2560" w:type="dxa"/>
            <w:vAlign w:val="bottom"/>
            <w:tcBorders>
              <w:right w:val="single" w:sz="8" w:color="BFBFBF"/>
            </w:tcBorders>
            <w:gridSpan w:val="2"/>
          </w:tcPr>
          <w:p>
            <w:pPr>
              <w:jc w:val="center"/>
              <w:spacing w:after="0"/>
              <w:rPr>
                <w:sz w:val="20"/>
                <w:szCs w:val="20"/>
                <w:color w:val="auto"/>
              </w:rPr>
            </w:pPr>
            <w:r>
              <w:rPr>
                <w:rFonts w:ascii="Arial" w:cs="Arial" w:eastAsia="Arial" w:hAnsi="Arial"/>
                <w:sz w:val="16"/>
                <w:szCs w:val="16"/>
                <w:color w:val="auto"/>
                <w:w w:val="94"/>
              </w:rPr>
              <w:t>15.6 million range</w:t>
            </w:r>
          </w:p>
        </w:tc>
        <w:tc>
          <w:tcPr>
            <w:tcW w:w="1280" w:type="dxa"/>
            <w:vAlign w:val="bottom"/>
          </w:tcPr>
          <w:p>
            <w:pPr>
              <w:spacing w:after="0"/>
              <w:rPr>
                <w:sz w:val="18"/>
                <w:szCs w:val="18"/>
                <w:color w:val="auto"/>
              </w:rPr>
            </w:pPr>
          </w:p>
        </w:tc>
      </w:tr>
      <w:tr>
        <w:trPr>
          <w:trHeight w:val="33"/>
        </w:trPr>
        <w:tc>
          <w:tcPr>
            <w:tcW w:w="1320" w:type="dxa"/>
            <w:vAlign w:val="bottom"/>
            <w:tcBorders>
              <w:right w:val="single" w:sz="8" w:color="BFBFBF"/>
            </w:tcBorders>
          </w:tcPr>
          <w:p>
            <w:pPr>
              <w:spacing w:after="0"/>
              <w:rPr>
                <w:sz w:val="2"/>
                <w:szCs w:val="2"/>
                <w:color w:val="auto"/>
              </w:rPr>
            </w:pPr>
          </w:p>
        </w:tc>
        <w:tc>
          <w:tcPr>
            <w:tcW w:w="720" w:type="dxa"/>
            <w:vAlign w:val="bottom"/>
            <w:tcBorders>
              <w:bottom w:val="single" w:sz="8" w:color="BFBFBF"/>
            </w:tcBorders>
          </w:tcPr>
          <w:p>
            <w:pPr>
              <w:spacing w:after="0"/>
              <w:rPr>
                <w:sz w:val="2"/>
                <w:szCs w:val="2"/>
                <w:color w:val="auto"/>
              </w:rPr>
            </w:pPr>
          </w:p>
        </w:tc>
        <w:tc>
          <w:tcPr>
            <w:tcW w:w="1940" w:type="dxa"/>
            <w:vAlign w:val="bottom"/>
            <w:tcBorders>
              <w:bottom w:val="single" w:sz="8" w:color="BFBFBF"/>
              <w:right w:val="single" w:sz="8" w:color="BFBFBF"/>
            </w:tcBorders>
          </w:tcPr>
          <w:p>
            <w:pPr>
              <w:spacing w:after="0"/>
              <w:rPr>
                <w:sz w:val="2"/>
                <w:szCs w:val="2"/>
                <w:color w:val="auto"/>
              </w:rPr>
            </w:pPr>
          </w:p>
        </w:tc>
        <w:tc>
          <w:tcPr>
            <w:tcW w:w="2540" w:type="dxa"/>
            <w:vAlign w:val="bottom"/>
            <w:tcBorders>
              <w:bottom w:val="single" w:sz="8" w:color="BFBFBF"/>
              <w:right w:val="single" w:sz="8" w:color="BFBFBF"/>
            </w:tcBorders>
          </w:tcPr>
          <w:p>
            <w:pPr>
              <w:spacing w:after="0"/>
              <w:rPr>
                <w:sz w:val="2"/>
                <w:szCs w:val="2"/>
                <w:color w:val="auto"/>
              </w:rPr>
            </w:pPr>
          </w:p>
        </w:tc>
        <w:tc>
          <w:tcPr>
            <w:tcW w:w="1780" w:type="dxa"/>
            <w:vAlign w:val="bottom"/>
            <w:tcBorders>
              <w:bottom w:val="single" w:sz="8" w:color="BFBFBF"/>
            </w:tcBorders>
          </w:tcPr>
          <w:p>
            <w:pPr>
              <w:spacing w:after="0"/>
              <w:rPr>
                <w:sz w:val="2"/>
                <w:szCs w:val="2"/>
                <w:color w:val="auto"/>
              </w:rPr>
            </w:pPr>
          </w:p>
        </w:tc>
        <w:tc>
          <w:tcPr>
            <w:tcW w:w="780" w:type="dxa"/>
            <w:vAlign w:val="bottom"/>
            <w:tcBorders>
              <w:bottom w:val="single" w:sz="8" w:color="BFBFBF"/>
              <w:right w:val="single" w:sz="8" w:color="BFBFBF"/>
            </w:tcBorders>
          </w:tcPr>
          <w:p>
            <w:pPr>
              <w:spacing w:after="0"/>
              <w:rPr>
                <w:sz w:val="2"/>
                <w:szCs w:val="2"/>
                <w:color w:val="auto"/>
              </w:rPr>
            </w:pPr>
          </w:p>
        </w:tc>
        <w:tc>
          <w:tcPr>
            <w:tcW w:w="1280" w:type="dxa"/>
            <w:vAlign w:val="bottom"/>
          </w:tcPr>
          <w:p>
            <w:pPr>
              <w:spacing w:after="0"/>
              <w:rPr>
                <w:sz w:val="2"/>
                <w:szCs w:val="2"/>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190"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b w:val="1"/>
          <w:bCs w:val="1"/>
          <w:color w:val="auto"/>
        </w:rPr>
        <w:t xml:space="preserve">General Motors Co. </w:t>
      </w:r>
      <w:r>
        <w:rPr>
          <w:rFonts w:ascii="Arial" w:cs="Arial" w:eastAsia="Arial" w:hAnsi="Arial"/>
          <w:sz w:val="14"/>
          <w:szCs w:val="14"/>
          <w:color w:val="auto"/>
        </w:rPr>
        <w:t xml:space="preserve">(NYSE:GM, TSX: GMM) and its partners produce vehicles in 30 countries, and the company has leadership positions in the world's largest and fastest-growing automotive markets. GM, its subsidiaries and joint venture entities sell vehicles under the Chevrolet, Cadillac, Baojun, Buick, GMC, Holden, Isuzu, Jiefang, Opel, Vauxhall and Wuling brands. More information on the company and its subsidiaries, including OnStar, a global leader in vehicle safety, security and information services, can be found at </w:t>
      </w:r>
      <w:r>
        <w:rPr>
          <w:rFonts w:ascii="Arial" w:cs="Arial" w:eastAsia="Arial" w:hAnsi="Arial"/>
          <w:sz w:val="14"/>
          <w:szCs w:val="14"/>
          <w:u w:val="single" w:color="auto"/>
          <w:color w:val="0000FF"/>
        </w:rPr>
        <w:t>http://www.gm.com</w:t>
      </w:r>
      <w:r>
        <w:rPr>
          <w:rFonts w:ascii="Arial" w:cs="Arial" w:eastAsia="Arial" w:hAnsi="Arial"/>
          <w:sz w:val="14"/>
          <w:szCs w:val="14"/>
          <w:color w:val="000000"/>
        </w:rPr>
        <w: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CONTACT: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Jim Cain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313-407-2843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james.cain@gm.com</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 #</w:t>
      </w:r>
    </w:p>
    <w:p>
      <w:pPr>
        <w:sectPr>
          <w:pgSz w:w="11900" w:h="16838" w:orient="portrait"/>
          <w:cols w:equalWidth="0" w:num="1">
            <w:col w:w="11380"/>
          </w:cols>
          <w:pgMar w:left="240" w:top="595" w:right="27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170"/>
        </w:trPr>
        <w:tc>
          <w:tcPr>
            <w:tcW w:w="2480" w:type="dxa"/>
            <w:vAlign w:val="bottom"/>
            <w:tcBorders>
              <w:top w:val="single" w:sz="8" w:color="auto"/>
              <w:left w:val="single" w:sz="8" w:color="auto"/>
              <w:right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100" w:type="dxa"/>
            <w:vAlign w:val="bottom"/>
            <w:tcBorders>
              <w:top w:val="single" w:sz="8" w:color="auto"/>
              <w:right w:val="single" w:sz="8" w:color="auto"/>
            </w:tcBorders>
          </w:tcPr>
          <w:p>
            <w:pPr>
              <w:spacing w:after="0"/>
              <w:rPr>
                <w:sz w:val="14"/>
                <w:szCs w:val="14"/>
                <w:color w:val="auto"/>
              </w:rPr>
            </w:pPr>
          </w:p>
        </w:tc>
        <w:tc>
          <w:tcPr>
            <w:tcW w:w="250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40" w:type="dxa"/>
            <w:vAlign w:val="bottom"/>
            <w:tcBorders>
              <w:top w:val="single" w:sz="8" w:color="auto"/>
              <w:right w:val="single" w:sz="8" w:color="auto"/>
            </w:tcBorders>
          </w:tcPr>
          <w:p>
            <w:pPr>
              <w:spacing w:after="0"/>
              <w:rPr>
                <w:sz w:val="14"/>
                <w:szCs w:val="14"/>
                <w:color w:val="auto"/>
              </w:rPr>
            </w:pPr>
          </w:p>
        </w:tc>
      </w:tr>
      <w:tr>
        <w:trPr>
          <w:trHeight w:val="188"/>
        </w:trPr>
        <w:tc>
          <w:tcPr>
            <w:tcW w:w="2480" w:type="dxa"/>
            <w:vAlign w:val="bottom"/>
            <w:tcBorders>
              <w:left w:val="single" w:sz="8" w:color="auto"/>
              <w:right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August</w:t>
            </w:r>
          </w:p>
        </w:tc>
        <w:tc>
          <w:tcPr>
            <w:tcW w:w="110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98"/>
              </w:rPr>
              <w:t>January - August</w:t>
            </w:r>
          </w:p>
        </w:tc>
        <w:tc>
          <w:tcPr>
            <w:tcW w:w="940" w:type="dxa"/>
            <w:vAlign w:val="bottom"/>
            <w:tcBorders>
              <w:bottom w:val="single" w:sz="8" w:color="auto"/>
              <w:right w:val="single" w:sz="8" w:color="auto"/>
            </w:tcBorders>
          </w:tcPr>
          <w:p>
            <w:pPr>
              <w:spacing w:after="0"/>
              <w:rPr>
                <w:sz w:val="16"/>
                <w:szCs w:val="16"/>
                <w:color w:val="auto"/>
              </w:rPr>
            </w:pPr>
          </w:p>
        </w:tc>
      </w:tr>
      <w:tr>
        <w:trPr>
          <w:trHeight w:val="156"/>
        </w:trPr>
        <w:tc>
          <w:tcPr>
            <w:tcW w:w="2480" w:type="dxa"/>
            <w:vAlign w:val="bottom"/>
            <w:tcBorders>
              <w:left w:val="single" w:sz="8" w:color="auto"/>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Borders>
              <w:right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%Change</w:t>
            </w:r>
          </w:p>
        </w:tc>
        <w:tc>
          <w:tcPr>
            <w:tcW w:w="1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4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188"/>
        </w:trPr>
        <w:tc>
          <w:tcPr>
            <w:tcW w:w="2480" w:type="dxa"/>
            <w:vAlign w:val="bottom"/>
            <w:tcBorders>
              <w:left w:val="single" w:sz="8" w:color="auto"/>
              <w:bottom w:val="single" w:sz="8" w:color="auto"/>
              <w:right w:val="single" w:sz="8" w:color="auto"/>
            </w:tcBorders>
          </w:tcPr>
          <w:p>
            <w:pPr>
              <w:spacing w:after="0"/>
              <w:rPr>
                <w:sz w:val="16"/>
                <w:szCs w:val="16"/>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2013</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2012</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Volume</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2013</w:t>
            </w: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2012</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6,103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5,125</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19.1</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42,907</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37,351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14.9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Encore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4,296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19,724</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6,965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5,593</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24.5</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34,893</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40,486</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Lucerne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10</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964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1,460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2,072</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(29.5)</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11,467</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18,684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(38.6)</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5,826</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5,200</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12.0</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32,880</w:t>
            </w: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25,104</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31.0</w:t>
            </w: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Buick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24,650</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18,000</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36.9</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141,880</w:t>
            </w: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122,589</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15.7</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3,380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25,468</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3,980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5,136</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(22.5)</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22,002</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35,362</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(37.8)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DTS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11</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460</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1,203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1,264</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(4.8)</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7,985</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8,381</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767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742</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3.4</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5,282</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5,200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181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183</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(1.1)</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1,522</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1,160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31.2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7,211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5,203</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38.6</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36,144</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35,564</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7</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156</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(95.5)</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3,533</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2,158</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63.7</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21,157</w:t>
            </w: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4,650</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355.0</w:t>
            </w: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20,255</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14,704</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37.8</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119,586</w:t>
            </w: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90,933</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31.5</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1,525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2,294</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(33.5)</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14,899</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15,119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Aveo</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59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(96.6)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8,875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6,675</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33.0</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59,156</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63,298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718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731</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(1.8)</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2,452</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2,411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5,735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2,464</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132.8</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33,045</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24,299</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36.0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Cobalt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11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93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4,222</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(97.8)</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3,334</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29,775</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(88.8)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655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1,210</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(45.9)</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6,999</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9,219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(24.1)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23,909</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25,975</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(8.0)</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183,045</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154,813</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18.2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25,073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20,231</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23.9</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169,977</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151,027</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12.5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8,218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6,861</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19.8</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54,389</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54,005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HHR</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20</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(85.0)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13,274</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17,066</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(22.2)</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109,571</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124,920</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16,890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14,495</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16.5</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140,463</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168,277</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(16.5)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43,603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38,295</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13.9</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328,269</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261,775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25.4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11,354</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8,703</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30.5</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62,314</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57,221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8.9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4,534</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2,630</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72.4</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25,969</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4,090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534.9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4,003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3,093</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29.4</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31,847</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30,606</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6,818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5,458</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24.9</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54,794</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44,785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22.3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9,112</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6,743</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35.1</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70,022</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61,355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14.1</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3,351</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2,831</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18.4</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14,994</w:t>
            </w: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13,497</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11.1</w:t>
            </w: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187,740</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169,978</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10.4</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1,365,544</w:t>
            </w: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1,270,582</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7.5</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7,801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8,148</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(4.3)</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61,857</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57,698</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12</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702</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(98.3)</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910</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7,063</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(87.1)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1,128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1,545</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(27.0)</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10,738</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16,254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(33.9)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18,017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14,495</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24.3</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122,232</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98,545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24.0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11,120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9,143</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21.6</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69,651</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63,340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10.0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2,345</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2,211</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6.1</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17,240</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17,078</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0.9</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2,779</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1,594</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74.3</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20,626</w:t>
            </w: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13,388</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54.1</w:t>
            </w: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43,202</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37,838</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14.2</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303,254</w:t>
            </w: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273,366</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10.9</w:t>
            </w: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GM Vehicle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275,847</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240,520</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14.7</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1,930,264</w:t>
            </w: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1,757,470</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9.8</w:t>
            </w:r>
          </w:p>
        </w:tc>
      </w:tr>
    </w:tbl>
    <w:p>
      <w:pPr>
        <w:spacing w:after="0" w:line="76" w:lineRule="exact"/>
        <w:rPr>
          <w:sz w:val="20"/>
          <w:szCs w:val="20"/>
          <w:color w:val="auto"/>
        </w:rPr>
      </w:pPr>
    </w:p>
    <w:p>
      <w:pPr>
        <w:sectPr>
          <w:pgSz w:w="11900" w:h="16838" w:orient="portrait"/>
          <w:cols w:equalWidth="0" w:num="1">
            <w:col w:w="9440"/>
          </w:cols>
          <w:pgMar w:left="1240" w:top="714" w:right="1219" w:bottom="1440" w:gutter="0" w:footer="0" w:header="0"/>
        </w:sectPr>
      </w:pPr>
    </w:p>
    <w:p>
      <w:pPr>
        <w:ind w:left="20"/>
        <w:spacing w:after="0"/>
        <w:rPr>
          <w:sz w:val="20"/>
          <w:szCs w:val="20"/>
          <w:color w:val="auto"/>
        </w:rPr>
      </w:pPr>
      <w:r>
        <w:rPr>
          <w:rFonts w:ascii="Arial" w:cs="Arial" w:eastAsia="Arial" w:hAnsi="Arial"/>
          <w:sz w:val="13"/>
          <w:szCs w:val="13"/>
          <w:color w:val="auto"/>
        </w:rPr>
        <w:t>28 selling days for the August period this year and 27 for last year.</w:t>
      </w:r>
    </w:p>
    <w:sectPr>
      <w:pgSz w:w="11900" w:h="16838" w:orient="portrait"/>
      <w:cols w:equalWidth="0" w:num="1">
        <w:col w:w="9440"/>
      </w:cols>
      <w:pgMar w:left="1240" w:top="714"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2019-12-07T20:26:51Z</dcterms:created>
  <dcterms:modified xsi:type="dcterms:W3CDTF">2019-12-07T20:26:51Z</dcterms:modified>
</cp:coreProperties>
</file>