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40" w:type="dxa"/>
            <w:vAlign w:val="bottom"/>
            <w:gridSpan w:val="6"/>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60" w:type="dxa"/>
            <w:vAlign w:val="bottom"/>
            <w:gridSpan w:val="7"/>
          </w:tcPr>
          <w:p>
            <w:pPr>
              <w:ind w:left="50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3"/>
          </w:tcPr>
          <w:p>
            <w:pPr>
              <w:ind w:left="500"/>
              <w:spacing w:after="0"/>
              <w:rPr>
                <w:sz w:val="20"/>
                <w:szCs w:val="20"/>
                <w:color w:val="auto"/>
              </w:rPr>
            </w:pPr>
            <w:r>
              <w:rPr>
                <w:rFonts w:ascii="Arial" w:cs="Arial" w:eastAsia="Arial" w:hAnsi="Arial"/>
                <w:sz w:val="14"/>
                <w:szCs w:val="14"/>
                <w:color w:val="auto"/>
              </w:rPr>
              <w:t>Line)</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620" w:type="dxa"/>
            <w:vAlign w:val="bottom"/>
            <w:tcBorders>
              <w:bottom w:val="single" w:sz="8" w:color="2C2C2C"/>
            </w:tcBorders>
            <w:gridSpan w:val="9"/>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8"/>
                <w:szCs w:val="18"/>
                <w:color w:val="0000FF"/>
              </w:rPr>
              <w:t>07/28/2017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16,000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line="324" w:lineRule="exact"/>
              <w:rPr>
                <w:sz w:val="20"/>
                <w:szCs w:val="20"/>
                <w:color w:val="auto"/>
              </w:rPr>
            </w:pPr>
            <w:r>
              <w:rPr>
                <w:rFonts w:ascii="Arial" w:cs="Arial" w:eastAsia="Arial" w:hAnsi="Arial"/>
                <w:sz w:val="35"/>
                <w:szCs w:val="35"/>
                <w:color w:val="000000"/>
                <w:w w:val="84"/>
                <w:vertAlign w:val="subscript"/>
              </w:rPr>
              <w:t>$</w:t>
            </w:r>
            <w:r>
              <w:rPr>
                <w:rFonts w:ascii="Arial" w:cs="Arial" w:eastAsia="Arial" w:hAnsi="Arial"/>
                <w:sz w:val="35"/>
                <w:szCs w:val="35"/>
                <w:color w:val="0000FF"/>
                <w:w w:val="84"/>
                <w:vertAlign w:val="subscript"/>
              </w:rPr>
              <w:t>35.8</w:t>
            </w:r>
            <w:r>
              <w:rPr>
                <w:rFonts w:ascii="Arial" w:cs="Arial" w:eastAsia="Arial" w:hAnsi="Arial"/>
                <w:sz w:val="11"/>
                <w:szCs w:val="11"/>
                <w:color w:val="008000"/>
                <w:w w:val="84"/>
              </w:rPr>
              <w:t>(1)(2)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77,052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the Reporting Person in May 2017. Upon entry into the plan, the Reporting Person provided instructions to his broker to sell shares in quantities and at prices determined at that time. Pursuant to the terms of the plan, the Reporting Person has no discretion to modify those instructions.</w:t>
      </w:r>
    </w:p>
    <w:p>
      <w:pPr>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$35.67 to $35.84, inclusive. The Reporting Person undertakes to provide to the SEC, GM and any security holder, upon request, full information regarding the number of shares sold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08/01/2017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Stevens</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2019-12-04T02:02:58Z</dcterms:created>
  <dcterms:modified xsi:type="dcterms:W3CDTF">2019-12-04T02:02:58Z</dcterms:modified>
</cp:coreProperties>
</file>