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393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ectPr>
          <w:pgSz w:w="11900" w:h="16838" w:orient="portrait"/>
          <w:cols w:equalWidth="0" w:num="1">
            <w:col w:w="11420"/>
          </w:cols>
          <w:pgMar w:left="240" w:top="226" w:right="239" w:bottom="391"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6"/>
          </w:tcPr>
          <w:p>
            <w:pPr>
              <w:jc w:val="center"/>
              <w:ind w:right="592"/>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0" w:type="dxa"/>
            <w:vAlign w:val="bottom"/>
            <w:gridSpan w:val="3"/>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Lee Timothy E</w:t>
              </w:r>
            </w:hyperlink>
          </w:p>
        </w:tc>
        <w:tc>
          <w:tcPr>
            <w:tcW w:w="1420" w:type="dxa"/>
            <w:vAlign w:val="bottom"/>
          </w:tcPr>
          <w:p>
            <w:pPr>
              <w:spacing w:after="0"/>
              <w:rPr>
                <w:sz w:val="11"/>
                <w:szCs w:val="11"/>
                <w:color w:val="auto"/>
              </w:rPr>
            </w:pPr>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0" w:type="dxa"/>
            <w:vAlign w:val="bottom"/>
            <w:gridSpan w:val="3"/>
            <w:vMerge w:val="continue"/>
          </w:tcPr>
          <w:p>
            <w:pPr>
              <w:spacing w:after="0"/>
              <w:rPr>
                <w:sz w:val="11"/>
                <w:szCs w:val="11"/>
                <w:color w:val="auto"/>
              </w:rPr>
            </w:pPr>
          </w:p>
        </w:tc>
        <w:tc>
          <w:tcPr>
            <w:tcW w:w="1420" w:type="dxa"/>
            <w:vAlign w:val="bottom"/>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06/07/2010</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2"/>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0000FF"/>
              </w:rPr>
              <w:t>300 RENAISSANCE CENTER</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M/C: 482-C25-A36</w:t>
      </w:r>
    </w:p>
    <w:p>
      <w:pPr>
        <w:spacing w:after="0" w:line="300"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8"/>
          <w:szCs w:val="18"/>
          <w:color w:val="0000FF"/>
        </w:rPr>
        <w:t>DETROIT</w:t>
      </w:r>
      <w:r>
        <w:rPr>
          <w:sz w:val="20"/>
          <w:szCs w:val="20"/>
          <w:color w:val="auto"/>
        </w:rPr>
        <w:tab/>
      </w:r>
      <w:r>
        <w:rPr>
          <w:rFonts w:ascii="Arial" w:cs="Arial" w:eastAsia="Arial" w:hAnsi="Arial"/>
          <w:sz w:val="18"/>
          <w:szCs w:val="18"/>
          <w:color w:val="0000FF"/>
        </w:rPr>
        <w:t>MI</w:t>
      </w:r>
      <w:r>
        <w:rPr>
          <w:sz w:val="20"/>
          <w:szCs w:val="20"/>
          <w:color w:val="auto"/>
        </w:rPr>
        <w:tab/>
      </w:r>
      <w:r>
        <w:rPr>
          <w:rFonts w:ascii="Arial" w:cs="Arial" w:eastAsia="Arial" w:hAnsi="Arial"/>
          <w:sz w:val="15"/>
          <w:szCs w:val="15"/>
          <w:color w:val="0000FF"/>
        </w:rPr>
        <w:t>48265-3000</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NO SYMBOL</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21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1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7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20"/>
              <w:spacing w:after="0"/>
              <w:rPr>
                <w:sz w:val="20"/>
                <w:szCs w:val="20"/>
                <w:color w:val="auto"/>
              </w:rPr>
            </w:pPr>
            <w:r>
              <w:rPr>
                <w:rFonts w:ascii="Arial" w:cs="Arial" w:eastAsia="Arial" w:hAnsi="Arial"/>
                <w:sz w:val="14"/>
                <w:szCs w:val="14"/>
                <w:color w:val="auto"/>
              </w:rPr>
              <w:t>10% Owner</w:t>
            </w:r>
          </w:p>
        </w:tc>
        <w:tc>
          <w:tcPr>
            <w:tcW w:w="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2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72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180" w:type="dxa"/>
            <w:vAlign w:val="bottom"/>
            <w:vMerge w:val="restart"/>
          </w:tcPr>
          <w:p>
            <w:pPr>
              <w:ind w:left="2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3"/>
                <w:szCs w:val="3"/>
                <w:color w:val="auto"/>
              </w:rPr>
            </w:pPr>
          </w:p>
        </w:tc>
        <w:tc>
          <w:tcPr>
            <w:tcW w:w="26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42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68"/>
        </w:trPr>
        <w:tc>
          <w:tcPr>
            <w:tcW w:w="420" w:type="dxa"/>
            <w:vAlign w:val="bottom"/>
            <w:vMerge w:val="continue"/>
          </w:tcPr>
          <w:p>
            <w:pPr>
              <w:spacing w:after="0"/>
              <w:rPr>
                <w:sz w:val="5"/>
                <w:szCs w:val="5"/>
                <w:color w:val="auto"/>
              </w:rPr>
            </w:pPr>
          </w:p>
        </w:tc>
        <w:tc>
          <w:tcPr>
            <w:tcW w:w="17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20"/>
              <w:spacing w:after="0"/>
              <w:rPr>
                <w:sz w:val="20"/>
                <w:szCs w:val="20"/>
                <w:color w:val="auto"/>
              </w:rPr>
            </w:pPr>
            <w:r>
              <w:rPr>
                <w:rFonts w:ascii="Arial" w:cs="Arial" w:eastAsia="Arial" w:hAnsi="Arial"/>
                <w:sz w:val="14"/>
                <w:szCs w:val="14"/>
                <w:color w:val="auto"/>
              </w:rPr>
              <w:t>below)</w:t>
            </w:r>
          </w:p>
        </w:tc>
        <w:tc>
          <w:tcPr>
            <w:tcW w:w="200" w:type="dxa"/>
            <w:vAlign w:val="bottom"/>
            <w:vMerge w:val="continue"/>
          </w:tcPr>
          <w:p>
            <w:pPr>
              <w:spacing w:after="0"/>
              <w:rPr>
                <w:sz w:val="5"/>
                <w:szCs w:val="5"/>
                <w:color w:val="auto"/>
              </w:rPr>
            </w:pPr>
          </w:p>
        </w:tc>
        <w:tc>
          <w:tcPr>
            <w:tcW w:w="2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2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720" w:type="dxa"/>
            <w:vAlign w:val="bottom"/>
            <w:vMerge w:val="restart"/>
          </w:tcPr>
          <w:p>
            <w:pPr>
              <w:ind w:left="700"/>
              <w:spacing w:after="0"/>
              <w:rPr>
                <w:sz w:val="20"/>
                <w:szCs w:val="20"/>
                <w:color w:val="auto"/>
              </w:rPr>
            </w:pPr>
            <w:r>
              <w:rPr>
                <w:rFonts w:ascii="Arial" w:cs="Arial" w:eastAsia="Arial" w:hAnsi="Arial"/>
                <w:sz w:val="18"/>
                <w:szCs w:val="18"/>
                <w:color w:val="0000FF"/>
                <w:w w:val="86"/>
              </w:rPr>
              <w:t>Vice President</w:t>
            </w:r>
          </w:p>
        </w:tc>
        <w:tc>
          <w:tcPr>
            <w:tcW w:w="1180" w:type="dxa"/>
            <w:vAlign w:val="bottom"/>
          </w:tcPr>
          <w:p>
            <w:pPr>
              <w:spacing w:after="0"/>
              <w:rPr>
                <w:sz w:val="5"/>
                <w:szCs w:val="5"/>
                <w:color w:val="auto"/>
              </w:rPr>
            </w:pP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420" w:type="dxa"/>
            <w:vAlign w:val="bottom"/>
          </w:tcPr>
          <w:p>
            <w:pPr>
              <w:spacing w:after="0"/>
              <w:rPr>
                <w:sz w:val="21"/>
                <w:szCs w:val="21"/>
                <w:color w:val="auto"/>
              </w:rPr>
            </w:pPr>
          </w:p>
        </w:tc>
        <w:tc>
          <w:tcPr>
            <w:tcW w:w="1720" w:type="dxa"/>
            <w:vAlign w:val="bottom"/>
            <w:vMerge w:val="continue"/>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200" w:lineRule="exact"/>
        <w:rPr>
          <w:sz w:val="24"/>
          <w:szCs w:val="24"/>
          <w:color w:val="auto"/>
        </w:rPr>
      </w:pPr>
    </w:p>
    <w:p>
      <w:pPr>
        <w:sectPr>
          <w:pgSz w:w="11900" w:h="16838" w:orient="portrait"/>
          <w:cols w:equalWidth="0" w:num="2">
            <w:col w:w="4720" w:space="480"/>
            <w:col w:w="6220"/>
          </w:cols>
          <w:pgMar w:left="240" w:top="226" w:right="239" w:bottom="391"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None</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820"/>
              <w:spacing w:after="0"/>
              <w:rPr>
                <w:sz w:val="20"/>
                <w:szCs w:val="20"/>
                <w:color w:val="auto"/>
              </w:rPr>
            </w:pPr>
            <w:r>
              <w:rPr>
                <w:rFonts w:ascii="Arial" w:cs="Arial" w:eastAsia="Arial" w:hAnsi="Arial"/>
                <w:sz w:val="18"/>
                <w:szCs w:val="18"/>
                <w:color w:val="0000FF"/>
              </w:rPr>
              <w:t>0</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jc w:val="right"/>
              <w:ind w:right="698"/>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7"/>
              </w:rPr>
              <w:t>10,125</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8"/>
              </w:rPr>
              <w:t>1,764</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(5)</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8"/>
              </w:rPr>
              <w:t>2,646</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(6)</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(6)</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8"/>
              </w:rPr>
              <w:t>2,646</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(7)</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8"/>
              </w:rPr>
              <w:t>2,644</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(8)</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(8)</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8"/>
              </w:rPr>
              <w:t>5,615</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00" w:firstLine="9"/>
        <w:spacing w:after="0" w:line="270"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Restricted Stock Units ("RSUs") were awarded on March 15, 2010, pursuant to the General Motors Company 2009 Long-Term Incentive Plan (the "GMLTIP"). The RSUs will vest on the third anniversary of the award date provided the executive remains continuously employed through that date. RSU awards will be settled when they vest except that until all GM's obligations under Treasury Regulation 31 CFR 30.1 (Q-1) (the "TARP Obligations") have been repaid, awards will be settled after vesting in increments of 25% for each 25% of the TARP Obligations that have been repaid. Each RSU represents a right to receive one share of the Company's common stock upon settlement, provided, however, that if a settlement date occurs prior to the date that is six months following a consummation of an initial public offering of the Company's common stock, the RSUs will be settled by the delivery of cash in an amount equal to the Fair Market Value (as defined in the GMLTIP) of the Company's common stock as of the applicable settlement date. The RSUs do not have an expiration or exercise date or a conversion or exercise price.</w:t>
      </w:r>
    </w:p>
    <w:p>
      <w:pPr>
        <w:spacing w:after="0" w:line="13" w:lineRule="exact"/>
        <w:rPr>
          <w:rFonts w:ascii="Arial" w:cs="Arial" w:eastAsia="Arial" w:hAnsi="Arial"/>
          <w:sz w:val="12"/>
          <w:szCs w:val="12"/>
          <w:color w:val="008000"/>
        </w:rPr>
      </w:pPr>
    </w:p>
    <w:p>
      <w:pPr>
        <w:jc w:val="both"/>
        <w:ind w:left="40" w:right="100" w:firstLine="9"/>
        <w:spacing w:after="0" w:line="270"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Under the General Motors Company Salary Stock Plan (the "GMSSP") each Salary Stock Unit ("SSU") is fully vested upon grant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of the SSU's grant. The GMSSP provides that grants are settled in three equal annual installments beginning on the one year anniversary of the date of the grant. All of the SSUs granted in 2009 are deemed to have been granted, nunc pro tunc, on March 31, 2009, June 30, 2009, September 30, 2009 and December 31, 2009 in four grants of equal amounts, each of which will be settled in three equal annual installments, beginning on the first year anniversary of the deemed issuance date (for example, on March 31, 2010 for the first deemed grant). The SSUs do not have an expiration or exercise date.</w:t>
      </w:r>
    </w:p>
    <w:p>
      <w:pPr>
        <w:spacing w:after="0" w:line="13"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are deemed to have been granted March 31, 2009 and will be settled in three equal annual installments beginning March 31, 2010.</w:t>
      </w:r>
    </w:p>
    <w:p>
      <w:pPr>
        <w:spacing w:after="0" w:line="41" w:lineRule="exact"/>
        <w:rPr>
          <w:rFonts w:ascii="Arial" w:cs="Arial" w:eastAsia="Arial" w:hAnsi="Arial"/>
          <w:sz w:val="14"/>
          <w:szCs w:val="14"/>
          <w:color w:val="008000"/>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SSUs do not have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are deemed to have been granted June 30, 2009 and will be settled in three equal annual installments beginning June 30,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are deemed to have been granted September 30, 2009 and will be settled in three equal annual installments beginning September 30,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are deemed to have been granted December 31, 2009 and will be settled in three equal annual installments beginning December 31,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were granted March 31, 2010 and will be settled in three equal annual installments beginning March 31, 2011.</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06/07/2010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Lee</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39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92533" TargetMode="External"/><Relationship Id="rId12"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2019-12-17T00:20:34Z</dcterms:created>
  <dcterms:modified xsi:type="dcterms:W3CDTF">2019-12-17T00:20:34Z</dcterms:modified>
</cp:coreProperties>
</file>