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ind w:right="-1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20549-1004</w:t>
      </w:r>
    </w:p>
    <w:p>
      <w:pPr>
        <w:spacing w:after="0" w:line="5"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48"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May 2, 2013</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19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GENERAL MOTORS COMPANY</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pacing w:after="0" w:line="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00" w:lineRule="exact"/>
        <w:rPr>
          <w:sz w:val="24"/>
          <w:szCs w:val="24"/>
          <w:color w:val="auto"/>
        </w:rPr>
      </w:pPr>
    </w:p>
    <w:p>
      <w:pPr>
        <w:spacing w:after="0" w:line="380" w:lineRule="exact"/>
        <w:rPr>
          <w:sz w:val="24"/>
          <w:szCs w:val="24"/>
          <w:color w:val="auto"/>
        </w:rPr>
      </w:pPr>
    </w:p>
    <w:tbl>
      <w:tblPr>
        <w:tblLayout w:type="fixed"/>
        <w:tblInd w:w="1360" w:type="dxa"/>
        <w:tblCellMar>
          <w:top w:w="0" w:type="dxa"/>
          <w:left w:w="0" w:type="dxa"/>
          <w:bottom w:w="0" w:type="dxa"/>
          <w:right w:w="0" w:type="dxa"/>
        </w:tblCellMar>
      </w:tblPr>
      <w:tr>
        <w:trPr>
          <w:trHeight w:val="220"/>
        </w:trPr>
        <w:tc>
          <w:tcPr>
            <w:tcW w:w="3360" w:type="dxa"/>
            <w:vAlign w:val="bottom"/>
          </w:tcPr>
          <w:p>
            <w:pPr>
              <w:jc w:val="center"/>
              <w:ind w:right="1170"/>
              <w:spacing w:after="0"/>
              <w:rPr>
                <w:sz w:val="20"/>
                <w:szCs w:val="20"/>
                <w:color w:val="auto"/>
              </w:rPr>
            </w:pPr>
            <w:r>
              <w:rPr>
                <w:rFonts w:ascii="Arial" w:cs="Arial" w:eastAsia="Arial" w:hAnsi="Arial"/>
                <w:sz w:val="18"/>
                <w:szCs w:val="18"/>
                <w:b w:val="1"/>
                <w:bCs w:val="1"/>
                <w:color w:val="auto"/>
                <w:w w:val="98"/>
              </w:rPr>
              <w:t>DELAWARE</w:t>
            </w:r>
          </w:p>
        </w:tc>
        <w:tc>
          <w:tcPr>
            <w:tcW w:w="2520" w:type="dxa"/>
            <w:vAlign w:val="bottom"/>
            <w:vMerge w:val="restart"/>
          </w:tcPr>
          <w:p>
            <w:pPr>
              <w:jc w:val="right"/>
              <w:ind w:right="1030"/>
              <w:spacing w:after="0"/>
              <w:rPr>
                <w:sz w:val="20"/>
                <w:szCs w:val="20"/>
                <w:color w:val="auto"/>
              </w:rPr>
            </w:pPr>
            <w:r>
              <w:rPr>
                <w:rFonts w:ascii="Arial" w:cs="Arial" w:eastAsia="Arial" w:hAnsi="Arial"/>
                <w:sz w:val="18"/>
                <w:szCs w:val="18"/>
                <w:b w:val="1"/>
                <w:bCs w:val="1"/>
                <w:color w:val="auto"/>
              </w:rPr>
              <w:t>001-34960</w:t>
            </w:r>
          </w:p>
        </w:tc>
        <w:tc>
          <w:tcPr>
            <w:tcW w:w="2460" w:type="dxa"/>
            <w:vAlign w:val="bottom"/>
          </w:tcPr>
          <w:p>
            <w:pPr>
              <w:jc w:val="center"/>
              <w:ind w:left="1030"/>
              <w:spacing w:after="0"/>
              <w:rPr>
                <w:sz w:val="20"/>
                <w:szCs w:val="20"/>
                <w:color w:val="auto"/>
              </w:rPr>
            </w:pPr>
            <w:r>
              <w:rPr>
                <w:rFonts w:ascii="Arial" w:cs="Arial" w:eastAsia="Arial" w:hAnsi="Arial"/>
                <w:sz w:val="18"/>
                <w:szCs w:val="18"/>
                <w:b w:val="1"/>
                <w:bCs w:val="1"/>
                <w:color w:val="auto"/>
                <w:w w:val="89"/>
              </w:rPr>
              <w:t>27-0756180</w:t>
            </w:r>
          </w:p>
        </w:tc>
        <w:tc>
          <w:tcPr>
            <w:tcW w:w="0" w:type="dxa"/>
            <w:vAlign w:val="bottom"/>
          </w:tcPr>
          <w:p>
            <w:pPr>
              <w:spacing w:after="0"/>
              <w:rPr>
                <w:sz w:val="1"/>
                <w:szCs w:val="1"/>
                <w:color w:val="auto"/>
              </w:rPr>
            </w:pPr>
          </w:p>
        </w:tc>
      </w:tr>
      <w:tr>
        <w:trPr>
          <w:trHeight w:val="216"/>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3"/>
              </w:rPr>
              <w:t>(State or other jurisdiction of</w:t>
            </w:r>
          </w:p>
        </w:tc>
        <w:tc>
          <w:tcPr>
            <w:tcW w:w="2520" w:type="dxa"/>
            <w:vAlign w:val="bottom"/>
            <w:vMerge w:val="continue"/>
          </w:tcPr>
          <w:p>
            <w:pPr>
              <w:spacing w:after="0"/>
              <w:rPr>
                <w:sz w:val="18"/>
                <w:szCs w:val="18"/>
                <w:color w:val="auto"/>
              </w:rPr>
            </w:pP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360" w:type="dxa"/>
            <w:vAlign w:val="bottom"/>
          </w:tcPr>
          <w:p>
            <w:pPr>
              <w:jc w:val="center"/>
              <w:ind w:right="1170"/>
              <w:spacing w:after="0"/>
              <w:rPr>
                <w:sz w:val="20"/>
                <w:szCs w:val="20"/>
                <w:color w:val="auto"/>
              </w:rPr>
            </w:pPr>
            <w:r>
              <w:rPr>
                <w:rFonts w:ascii="Arial" w:cs="Arial" w:eastAsia="Arial" w:hAnsi="Arial"/>
                <w:sz w:val="18"/>
                <w:szCs w:val="18"/>
                <w:color w:val="auto"/>
                <w:w w:val="92"/>
              </w:rPr>
              <w:t>incorporation)</w:t>
            </w:r>
          </w:p>
        </w:tc>
        <w:tc>
          <w:tcPr>
            <w:tcW w:w="2520" w:type="dxa"/>
            <w:vAlign w:val="bottom"/>
          </w:tcPr>
          <w:p>
            <w:pPr>
              <w:jc w:val="center"/>
              <w:ind w:right="430"/>
              <w:spacing w:after="0"/>
              <w:rPr>
                <w:sz w:val="20"/>
                <w:szCs w:val="20"/>
                <w:color w:val="auto"/>
              </w:rPr>
            </w:pPr>
            <w:r>
              <w:rPr>
                <w:rFonts w:ascii="Arial" w:cs="Arial" w:eastAsia="Arial" w:hAnsi="Arial"/>
                <w:sz w:val="18"/>
                <w:szCs w:val="18"/>
                <w:color w:val="auto"/>
                <w:w w:val="93"/>
              </w:rPr>
              <w:t>(Commission File Number)</w:t>
            </w:r>
          </w:p>
        </w:tc>
        <w:tc>
          <w:tcPr>
            <w:tcW w:w="2460" w:type="dxa"/>
            <w:vAlign w:val="bottom"/>
          </w:tcPr>
          <w:p>
            <w:pPr>
              <w:jc w:val="center"/>
              <w:ind w:left="10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472"/>
        </w:trPr>
        <w:tc>
          <w:tcPr>
            <w:tcW w:w="5880" w:type="dxa"/>
            <w:vAlign w:val="bottom"/>
            <w:gridSpan w:val="2"/>
          </w:tcPr>
          <w:p>
            <w:pPr>
              <w:jc w:val="center"/>
              <w:ind w:right="2010"/>
              <w:spacing w:after="0"/>
              <w:rPr>
                <w:sz w:val="20"/>
                <w:szCs w:val="20"/>
                <w:color w:val="auto"/>
              </w:rPr>
            </w:pPr>
            <w:r>
              <w:rPr>
                <w:rFonts w:ascii="Arial" w:cs="Arial" w:eastAsia="Arial" w:hAnsi="Arial"/>
                <w:sz w:val="18"/>
                <w:szCs w:val="18"/>
                <w:b w:val="1"/>
                <w:bCs w:val="1"/>
                <w:color w:val="auto"/>
                <w:w w:val="89"/>
              </w:rPr>
              <w:t>300 Renaissance Center, Detroit, Michigan</w:t>
            </w:r>
          </w:p>
        </w:tc>
        <w:tc>
          <w:tcPr>
            <w:tcW w:w="2460" w:type="dxa"/>
            <w:vAlign w:val="bottom"/>
          </w:tcPr>
          <w:p>
            <w:pPr>
              <w:jc w:val="right"/>
              <w:ind w:right="990"/>
              <w:spacing w:after="0"/>
              <w:rPr>
                <w:sz w:val="20"/>
                <w:szCs w:val="20"/>
                <w:color w:val="auto"/>
              </w:rPr>
            </w:pPr>
            <w:r>
              <w:rPr>
                <w:rFonts w:ascii="Arial" w:cs="Arial" w:eastAsia="Arial" w:hAnsi="Arial"/>
                <w:sz w:val="18"/>
                <w:szCs w:val="18"/>
                <w:b w:val="1"/>
                <w:bCs w:val="1"/>
                <w:color w:val="auto"/>
              </w:rPr>
              <w:t>48265-3000</w:t>
            </w:r>
          </w:p>
        </w:tc>
        <w:tc>
          <w:tcPr>
            <w:tcW w:w="0" w:type="dxa"/>
            <w:vAlign w:val="bottom"/>
          </w:tcPr>
          <w:p>
            <w:pPr>
              <w:spacing w:after="0"/>
              <w:rPr>
                <w:sz w:val="1"/>
                <w:szCs w:val="1"/>
                <w:color w:val="auto"/>
              </w:rPr>
            </w:pPr>
          </w:p>
        </w:tc>
      </w:tr>
      <w:tr>
        <w:trPr>
          <w:trHeight w:val="230"/>
        </w:trPr>
        <w:tc>
          <w:tcPr>
            <w:tcW w:w="3360" w:type="dxa"/>
            <w:vAlign w:val="bottom"/>
          </w:tcPr>
          <w:p>
            <w:pPr>
              <w:jc w:val="center"/>
              <w:ind w:left="330"/>
              <w:spacing w:after="0"/>
              <w:rPr>
                <w:sz w:val="20"/>
                <w:szCs w:val="20"/>
                <w:color w:val="auto"/>
              </w:rPr>
            </w:pPr>
            <w:r>
              <w:rPr>
                <w:rFonts w:ascii="Arial" w:cs="Arial" w:eastAsia="Arial" w:hAnsi="Arial"/>
                <w:sz w:val="18"/>
                <w:szCs w:val="18"/>
                <w:color w:val="auto"/>
                <w:w w:val="92"/>
              </w:rPr>
              <w:t>(Address of Principal Executive Offices)</w:t>
            </w:r>
          </w:p>
        </w:tc>
        <w:tc>
          <w:tcPr>
            <w:tcW w:w="2520" w:type="dxa"/>
            <w:vAlign w:val="bottom"/>
          </w:tcPr>
          <w:p>
            <w:pPr>
              <w:spacing w:after="0"/>
              <w:rPr>
                <w:sz w:val="20"/>
                <w:szCs w:val="20"/>
                <w:color w:val="auto"/>
              </w:rPr>
            </w:pPr>
          </w:p>
        </w:tc>
        <w:tc>
          <w:tcPr>
            <w:tcW w:w="2460" w:type="dxa"/>
            <w:vAlign w:val="bottom"/>
          </w:tcPr>
          <w:p>
            <w:pPr>
              <w:jc w:val="center"/>
              <w:ind w:right="470"/>
              <w:spacing w:after="0"/>
              <w:rPr>
                <w:sz w:val="20"/>
                <w:szCs w:val="20"/>
                <w:color w:val="auto"/>
              </w:rPr>
            </w:pPr>
            <w:r>
              <w:rPr>
                <w:rFonts w:ascii="Arial" w:cs="Arial" w:eastAsia="Arial" w:hAnsi="Arial"/>
                <w:sz w:val="18"/>
                <w:szCs w:val="18"/>
                <w:color w:val="auto"/>
                <w:w w:val="91"/>
              </w:rPr>
              <w:t>(Zip Code)</w:t>
            </w: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41"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313</w:t>
      </w:r>
      <w:r>
        <w:rPr>
          <w:rFonts w:ascii="Arial" w:cs="Arial" w:eastAsia="Arial" w:hAnsi="Arial"/>
          <w:sz w:val="18"/>
          <w:szCs w:val="18"/>
          <w:color w:val="auto"/>
        </w:rPr>
        <w:t xml:space="preserve">) </w:t>
      </w:r>
      <w:r>
        <w:rPr>
          <w:rFonts w:ascii="Arial" w:cs="Arial" w:eastAsia="Arial" w:hAnsi="Arial"/>
          <w:sz w:val="18"/>
          <w:szCs w:val="18"/>
          <w:b w:val="1"/>
          <w:bCs w:val="1"/>
          <w:color w:val="auto"/>
        </w:rPr>
        <w:t>556-5000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7" w:lineRule="exact"/>
        <w:rPr>
          <w:sz w:val="24"/>
          <w:szCs w:val="24"/>
          <w:color w:val="auto"/>
        </w:rPr>
      </w:pPr>
    </w:p>
    <w:p>
      <w:pPr>
        <w:ind w:left="4680"/>
        <w:spacing w:after="0"/>
        <w:rPr>
          <w:sz w:val="20"/>
          <w:szCs w:val="20"/>
          <w:color w:val="auto"/>
        </w:rPr>
      </w:pPr>
      <w:r>
        <w:rPr>
          <w:rFonts w:ascii="Arial" w:cs="Arial" w:eastAsia="Arial" w:hAnsi="Arial"/>
          <w:sz w:val="22"/>
          <w:szCs w:val="22"/>
          <w:color w:val="auto"/>
        </w:rPr>
        <w:t>___________________</w:t>
      </w:r>
    </w:p>
    <w:p>
      <w:pPr>
        <w:spacing w:after="0" w:line="21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87" w:lineRule="exact"/>
        <w:rPr>
          <w:sz w:val="24"/>
          <w:szCs w:val="24"/>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(17-CFR 240.14a-12)</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33" w:lineRule="exact"/>
        <w:rPr>
          <w:rFonts w:ascii="MS PGothic" w:cs="MS PGothic" w:eastAsia="MS PGothic" w:hAnsi="MS PGothic"/>
          <w:sz w:val="18"/>
          <w:szCs w:val="18"/>
          <w:color w:val="auto"/>
        </w:rPr>
      </w:pPr>
    </w:p>
    <w:p>
      <w:pPr>
        <w:ind w:left="620" w:hanging="571"/>
        <w:spacing w:after="0"/>
        <w:tabs>
          <w:tab w:leader="none" w:pos="6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165100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00"/>
          </w:cols>
          <w:pgMar w:left="240" w:top="1143" w:right="359" w:bottom="1440" w:gutter="0" w:footer="0" w:header="0"/>
        </w:sectPr>
      </w:pPr>
    </w:p>
    <w:bookmarkStart w:id="1" w:name="page2"/>
    <w:bookmarkEnd w:id="1"/>
    <w:p>
      <w:pPr>
        <w:ind w:left="4760"/>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237" w:lineRule="exact"/>
        <w:rPr>
          <w:sz w:val="20"/>
          <w:szCs w:val="20"/>
          <w:color w:val="auto"/>
        </w:rPr>
      </w:pPr>
    </w:p>
    <w:p>
      <w:pPr>
        <w:ind w:right="4399"/>
        <w:spacing w:after="0" w:line="275" w:lineRule="auto"/>
        <w:rPr>
          <w:sz w:val="20"/>
          <w:szCs w:val="20"/>
          <w:color w:val="auto"/>
        </w:rPr>
      </w:pPr>
      <w:r>
        <w:rPr>
          <w:rFonts w:ascii="Arial" w:cs="Arial" w:eastAsia="Arial" w:hAnsi="Arial"/>
          <w:sz w:val="18"/>
          <w:szCs w:val="18"/>
          <w:b w:val="1"/>
          <w:bCs w:val="1"/>
          <w:color w:val="auto"/>
        </w:rPr>
        <w:t>ITEM 2.02 RESULTS OF OPERATIONS AND FINANCIAL CONDITION ITEM 9.01 FINANCIAL STATEMENTS AND EXHIBITS SIGNATURE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EXHIBITS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News Release Dated May 2, 2013 and Financial Statements</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Charts Furnished to Securities Analysts</w:t>
      </w:r>
    </w:p>
    <w:p>
      <w:pPr>
        <w:sectPr>
          <w:pgSz w:w="11900" w:h="16838" w:orient="portrait"/>
          <w:cols w:equalWidth="0" w:num="1">
            <w:col w:w="10219"/>
          </w:cols>
          <w:pgMar w:left="240" w:top="79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83" w:lineRule="exact"/>
        <w:rPr>
          <w:sz w:val="20"/>
          <w:szCs w:val="20"/>
          <w:color w:val="auto"/>
        </w:rPr>
      </w:pPr>
    </w:p>
    <w:p>
      <w:pPr>
        <w:jc w:val="both"/>
        <w:ind w:firstLine="162"/>
        <w:spacing w:after="0" w:line="286" w:lineRule="auto"/>
        <w:rPr>
          <w:sz w:val="20"/>
          <w:szCs w:val="20"/>
          <w:color w:val="auto"/>
        </w:rPr>
      </w:pPr>
      <w:r>
        <w:rPr>
          <w:rFonts w:ascii="Arial" w:cs="Arial" w:eastAsia="Arial" w:hAnsi="Arial"/>
          <w:sz w:val="17"/>
          <w:szCs w:val="17"/>
          <w:color w:val="auto"/>
        </w:rPr>
        <w:t>On May 2, 2013 a news release was issued on the subject of first quarter consolidated earnings for General Motors Company (GM). The news release did not include certain financial statements, related footnotes and certain other financial information that will be filed with the Securities and Exchange Commission as part of GM's Quarterly Report on Form 10-Q. The news release and financial statements are incorporated as Exhibit 99.1.</w:t>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Charts furnished to securities analysts in connection with GM's quarter ended March 31, 2013 are attached as Exhibit 99.2.</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00" w:lineRule="exact"/>
        <w:rPr>
          <w:sz w:val="20"/>
          <w:szCs w:val="20"/>
          <w:color w:val="auto"/>
        </w:rPr>
      </w:pPr>
    </w:p>
    <w:p>
      <w:pPr>
        <w:spacing w:after="0" w:line="22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160" w:type="dxa"/>
            <w:vAlign w:val="bottom"/>
            <w:gridSpan w:val="3"/>
          </w:tcPr>
          <w:p>
            <w:pPr>
              <w:ind w:left="520"/>
              <w:spacing w:after="0"/>
              <w:rPr>
                <w:sz w:val="20"/>
                <w:szCs w:val="20"/>
                <w:color w:val="auto"/>
              </w:rPr>
            </w:pPr>
            <w:r>
              <w:rPr>
                <w:rFonts w:ascii="Arial" w:cs="Arial" w:eastAsia="Arial" w:hAnsi="Arial"/>
                <w:sz w:val="18"/>
                <w:szCs w:val="18"/>
                <w:b w:val="1"/>
                <w:bCs w:val="1"/>
                <w:color w:val="auto"/>
              </w:rPr>
              <w:t>EXHIBITS</w:t>
            </w: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574"/>
        </w:trPr>
        <w:tc>
          <w:tcPr>
            <w:tcW w:w="388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136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86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color w:val="auto"/>
              </w:rPr>
              <w:t>Method of Filing</w:t>
            </w:r>
          </w:p>
        </w:tc>
      </w:tr>
      <w:tr>
        <w:trPr>
          <w:trHeight w:val="20"/>
        </w:trPr>
        <w:tc>
          <w:tcPr>
            <w:tcW w:w="52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627"/>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99.1</w:t>
            </w:r>
          </w:p>
        </w:tc>
        <w:tc>
          <w:tcPr>
            <w:tcW w:w="4000" w:type="dxa"/>
            <w:vAlign w:val="bottom"/>
            <w:gridSpan w:val="4"/>
          </w:tcPr>
          <w:p>
            <w:pPr>
              <w:spacing w:after="0"/>
              <w:rPr>
                <w:sz w:val="20"/>
                <w:szCs w:val="20"/>
                <w:color w:val="auto"/>
              </w:rPr>
            </w:pPr>
            <w:r>
              <w:rPr>
                <w:rFonts w:ascii="Arial" w:cs="Arial" w:eastAsia="Arial" w:hAnsi="Arial"/>
                <w:sz w:val="18"/>
                <w:szCs w:val="18"/>
                <w:color w:val="auto"/>
              </w:rPr>
              <w:t>News Release Dated May 2, 2013 and Financial</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r>
        <w:trPr>
          <w:trHeight w:val="230"/>
        </w:trPr>
        <w:tc>
          <w:tcPr>
            <w:tcW w:w="5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4000" w:type="dxa"/>
            <w:vAlign w:val="bottom"/>
            <w:gridSpan w:val="4"/>
          </w:tcPr>
          <w:p>
            <w:pPr>
              <w:spacing w:after="0"/>
              <w:rPr>
                <w:sz w:val="20"/>
                <w:szCs w:val="20"/>
                <w:color w:val="auto"/>
              </w:rPr>
            </w:pPr>
            <w:r>
              <w:rPr>
                <w:rFonts w:ascii="Arial" w:cs="Arial" w:eastAsia="Arial" w:hAnsi="Arial"/>
                <w:sz w:val="18"/>
                <w:szCs w:val="18"/>
                <w:color w:val="auto"/>
              </w:rPr>
              <w:t>Statements</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70"/>
        </w:trPr>
        <w:tc>
          <w:tcPr>
            <w:tcW w:w="3880" w:type="dxa"/>
            <w:vAlign w:val="bottom"/>
            <w:gridSpan w:val="2"/>
          </w:tcPr>
          <w:p>
            <w:pPr>
              <w:spacing w:after="0"/>
              <w:rPr>
                <w:sz w:val="20"/>
                <w:szCs w:val="20"/>
                <w:color w:val="auto"/>
              </w:rPr>
            </w:pPr>
            <w:r>
              <w:rPr>
                <w:rFonts w:ascii="Arial" w:cs="Arial" w:eastAsia="Arial" w:hAnsi="Arial"/>
                <w:sz w:val="18"/>
                <w:szCs w:val="18"/>
                <w:color w:val="auto"/>
              </w:rPr>
              <w:t>Exhibit 99.2</w:t>
            </w:r>
          </w:p>
        </w:tc>
        <w:tc>
          <w:tcPr>
            <w:tcW w:w="4000" w:type="dxa"/>
            <w:vAlign w:val="bottom"/>
            <w:gridSpan w:val="4"/>
          </w:tcPr>
          <w:p>
            <w:pPr>
              <w:spacing w:after="0"/>
              <w:rPr>
                <w:sz w:val="20"/>
                <w:szCs w:val="20"/>
                <w:color w:val="auto"/>
              </w:rPr>
            </w:pPr>
            <w:r>
              <w:rPr>
                <w:rFonts w:ascii="Arial" w:cs="Arial" w:eastAsia="Arial" w:hAnsi="Arial"/>
                <w:sz w:val="18"/>
                <w:szCs w:val="18"/>
                <w:color w:val="auto"/>
              </w:rPr>
              <w:t>Charts Furnished to Securities Analysts</w:t>
            </w:r>
          </w:p>
        </w:tc>
        <w:tc>
          <w:tcPr>
            <w:tcW w:w="1420" w:type="dxa"/>
            <w:vAlign w:val="bottom"/>
            <w:gridSpan w:val="2"/>
          </w:tcPr>
          <w:p>
            <w:pPr>
              <w:spacing w:after="0"/>
              <w:rPr>
                <w:sz w:val="20"/>
                <w:szCs w:val="20"/>
                <w:color w:val="auto"/>
              </w:rPr>
            </w:pPr>
            <w:r>
              <w:rPr>
                <w:rFonts w:ascii="Arial" w:cs="Arial" w:eastAsia="Arial" w:hAnsi="Arial"/>
                <w:sz w:val="18"/>
                <w:szCs w:val="18"/>
                <w:color w:val="auto"/>
                <w:w w:val="90"/>
              </w:rPr>
              <w:t>Attached as Exhibit</w:t>
            </w:r>
          </w:p>
        </w:tc>
      </w:tr>
    </w:tbl>
    <w:p>
      <w:pPr>
        <w:sectPr>
          <w:pgSz w:w="11900" w:h="16838" w:orient="portrait"/>
          <w:cols w:equalWidth="0" w:num="1">
            <w:col w:w="11420"/>
          </w:cols>
          <w:pgMar w:left="240" w:top="101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3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GENERAL MOTORS COMPANY</w:t>
            </w:r>
          </w:p>
        </w:tc>
        <w:tc>
          <w:tcPr>
            <w:tcW w:w="2600" w:type="dxa"/>
            <w:vAlign w:val="bottom"/>
          </w:tcPr>
          <w:p>
            <w:pPr>
              <w:spacing w:after="0"/>
              <w:rPr>
                <w:sz w:val="17"/>
                <w:szCs w:val="17"/>
                <w:color w:val="auto"/>
              </w:rPr>
            </w:pPr>
          </w:p>
        </w:tc>
      </w:tr>
      <w:tr>
        <w:trPr>
          <w:trHeight w:val="237"/>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(Registrant)</w:t>
            </w:r>
          </w:p>
        </w:tc>
      </w:tr>
      <w:tr>
        <w:trPr>
          <w:trHeight w:val="702"/>
        </w:trPr>
        <w:tc>
          <w:tcPr>
            <w:tcW w:w="30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/s/ THOMAS S. TIMKO</w:t>
            </w:r>
          </w:p>
        </w:tc>
      </w:tr>
      <w:tr>
        <w:trPr>
          <w:trHeight w:val="27"/>
        </w:trPr>
        <w:tc>
          <w:tcPr>
            <w:tcW w:w="3080" w:type="dxa"/>
            <w:vAlign w:val="bottom"/>
          </w:tcPr>
          <w:p>
            <w:pPr>
              <w:spacing w:after="0"/>
              <w:rPr>
                <w:sz w:val="2"/>
                <w:szCs w:val="2"/>
                <w:color w:val="auto"/>
              </w:rPr>
            </w:pPr>
          </w:p>
        </w:tc>
        <w:tc>
          <w:tcPr>
            <w:tcW w:w="2360" w:type="dxa"/>
            <w:vAlign w:val="bottom"/>
            <w:gridSpan w:val="2"/>
          </w:tcPr>
          <w:p>
            <w:pPr>
              <w:spacing w:after="0"/>
              <w:rPr>
                <w:sz w:val="2"/>
                <w:szCs w:val="2"/>
                <w:color w:val="auto"/>
              </w:rPr>
            </w:pPr>
          </w:p>
        </w:tc>
        <w:tc>
          <w:tcPr>
            <w:tcW w:w="2560" w:type="dxa"/>
            <w:vAlign w:val="bottom"/>
          </w:tcPr>
          <w:p>
            <w:pPr>
              <w:spacing w:after="0"/>
              <w:rPr>
                <w:sz w:val="2"/>
                <w:szCs w:val="2"/>
                <w:color w:val="auto"/>
              </w:rPr>
            </w:pPr>
          </w:p>
        </w:tc>
        <w:tc>
          <w:tcPr>
            <w:tcW w:w="2600" w:type="dxa"/>
            <w:vAlign w:val="bottom"/>
          </w:tcPr>
          <w:p>
            <w:pPr>
              <w:spacing w:after="0"/>
              <w:rPr>
                <w:sz w:val="2"/>
                <w:szCs w:val="2"/>
                <w:color w:val="auto"/>
              </w:rPr>
            </w:pPr>
          </w:p>
        </w:tc>
      </w:tr>
      <w:tr>
        <w:trPr>
          <w:trHeight w:val="222"/>
        </w:trPr>
        <w:tc>
          <w:tcPr>
            <w:tcW w:w="3080" w:type="dxa"/>
            <w:vAlign w:val="bottom"/>
          </w:tcPr>
          <w:p>
            <w:pPr>
              <w:spacing w:after="0"/>
              <w:rPr>
                <w:sz w:val="20"/>
                <w:szCs w:val="20"/>
                <w:color w:val="auto"/>
              </w:rPr>
            </w:pPr>
            <w:r>
              <w:rPr>
                <w:rFonts w:ascii="Arial" w:cs="Arial" w:eastAsia="Arial" w:hAnsi="Arial"/>
                <w:sz w:val="18"/>
                <w:szCs w:val="18"/>
                <w:color w:val="auto"/>
              </w:rPr>
              <w:t>Date: May 2, 2012</w:t>
            </w:r>
          </w:p>
        </w:tc>
        <w:tc>
          <w:tcPr>
            <w:tcW w:w="2320" w:type="dxa"/>
            <w:vAlign w:val="bottom"/>
          </w:tcPr>
          <w:p>
            <w:pPr>
              <w:ind w:left="1720"/>
              <w:spacing w:after="0"/>
              <w:rPr>
                <w:sz w:val="20"/>
                <w:szCs w:val="20"/>
                <w:color w:val="auto"/>
              </w:rPr>
            </w:pPr>
            <w:r>
              <w:rPr>
                <w:rFonts w:ascii="Arial" w:cs="Arial" w:eastAsia="Arial" w:hAnsi="Arial"/>
                <w:sz w:val="18"/>
                <w:szCs w:val="18"/>
                <w:color w:val="auto"/>
              </w:rPr>
              <w:t>By:</w:t>
            </w:r>
          </w:p>
        </w:tc>
        <w:tc>
          <w:tcPr>
            <w:tcW w:w="40" w:type="dxa"/>
            <w:vAlign w:val="bottom"/>
            <w:tcBorders>
              <w:top w:val="single" w:sz="8" w:color="auto"/>
            </w:tcBorders>
          </w:tcPr>
          <w:p>
            <w:pPr>
              <w:spacing w:after="0"/>
              <w:rPr>
                <w:sz w:val="19"/>
                <w:szCs w:val="19"/>
                <w:color w:val="auto"/>
              </w:rPr>
            </w:pPr>
          </w:p>
        </w:tc>
        <w:tc>
          <w:tcPr>
            <w:tcW w:w="51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Thomas S. Timko</w:t>
            </w:r>
          </w:p>
        </w:tc>
      </w:tr>
      <w:tr>
        <w:trPr>
          <w:trHeight w:val="230"/>
        </w:trPr>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160" w:type="dxa"/>
            <w:vAlign w:val="bottom"/>
            <w:gridSpan w:val="2"/>
          </w:tcPr>
          <w:p>
            <w:pPr>
              <w:spacing w:after="0"/>
              <w:rPr>
                <w:sz w:val="20"/>
                <w:szCs w:val="20"/>
                <w:color w:val="auto"/>
              </w:rPr>
            </w:pPr>
            <w:r>
              <w:rPr>
                <w:rFonts w:ascii="Arial" w:cs="Arial" w:eastAsia="Arial" w:hAnsi="Arial"/>
                <w:sz w:val="18"/>
                <w:szCs w:val="18"/>
                <w:color w:val="auto"/>
              </w:rPr>
              <w:t>Vice President, Controller and Chief Accounting Officer</w:t>
            </w: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380365</wp:posOffset>
            </wp:positionV>
            <wp:extent cx="7272020" cy="9391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39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7780"/>
        <w:spacing w:after="0"/>
        <w:rPr>
          <w:sz w:val="20"/>
          <w:szCs w:val="20"/>
          <w:color w:val="auto"/>
        </w:rPr>
      </w:pPr>
      <w:r>
        <w:rPr>
          <w:rFonts w:ascii="Arial" w:cs="Arial" w:eastAsia="Arial" w:hAnsi="Arial"/>
          <w:sz w:val="22"/>
          <w:szCs w:val="22"/>
          <w:b w:val="1"/>
          <w:bCs w:val="1"/>
          <w:color w:val="auto"/>
        </w:rPr>
        <w:t>Exhibit 99.1</w:t>
      </w:r>
    </w:p>
    <w:p>
      <w:pPr>
        <w:spacing w:after="0" w:line="14" w:lineRule="exact"/>
        <w:rPr>
          <w:sz w:val="20"/>
          <w:szCs w:val="20"/>
          <w:color w:val="auto"/>
        </w:rPr>
      </w:pPr>
    </w:p>
    <w:p>
      <w:pPr>
        <w:spacing w:after="0"/>
        <w:rPr>
          <w:sz w:val="20"/>
          <w:szCs w:val="20"/>
          <w:color w:val="auto"/>
        </w:rPr>
      </w:pPr>
      <w:r>
        <w:rPr>
          <w:rFonts w:ascii="Arial" w:cs="Arial" w:eastAsia="Arial" w:hAnsi="Arial"/>
          <w:sz w:val="20"/>
          <w:szCs w:val="20"/>
          <w:color w:val="auto"/>
        </w:rPr>
        <w:t>For Release: Thursday, May 2, 7:30 a.m. EDT</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GM Reports First Quarter Net Income of $0.9 Billion</w:t>
      </w:r>
    </w:p>
    <w:p>
      <w:pPr>
        <w:spacing w:after="0" w:line="256"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EPS of $0.58 including net loss from special items of $0.09 per share</w:t>
      </w: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20"/>
          <w:szCs w:val="20"/>
          <w:color w:val="auto"/>
        </w:rPr>
        <w:t>EBIT-adjusted of $1.8 billion</w:t>
      </w:r>
    </w:p>
    <w:p>
      <w:pPr>
        <w:spacing w:after="0" w:line="192" w:lineRule="exact"/>
        <w:rPr>
          <w:sz w:val="20"/>
          <w:szCs w:val="20"/>
          <w:color w:val="auto"/>
        </w:rPr>
      </w:pPr>
    </w:p>
    <w:p>
      <w:pPr>
        <w:jc w:val="both"/>
        <w:ind w:right="240"/>
        <w:spacing w:after="0" w:line="255" w:lineRule="auto"/>
        <w:rPr>
          <w:sz w:val="20"/>
          <w:szCs w:val="20"/>
          <w:color w:val="auto"/>
        </w:rPr>
      </w:pPr>
      <w:r>
        <w:rPr>
          <w:rFonts w:ascii="Arial" w:cs="Arial" w:eastAsia="Arial" w:hAnsi="Arial"/>
          <w:sz w:val="20"/>
          <w:szCs w:val="20"/>
          <w:b w:val="1"/>
          <w:bCs w:val="1"/>
          <w:color w:val="auto"/>
        </w:rPr>
        <w:t xml:space="preserve">DETROIT </w:t>
      </w:r>
      <w:r>
        <w:rPr>
          <w:rFonts w:ascii="Arial" w:cs="Arial" w:eastAsia="Arial" w:hAnsi="Arial"/>
          <w:sz w:val="20"/>
          <w:szCs w:val="20"/>
          <w:color w:val="auto"/>
        </w:rPr>
        <w:t>- General Motors Co. (NYSE: GM) today announced first quarter net income attributable to common stockholders of</w:t>
      </w:r>
      <w:r>
        <w:rPr>
          <w:rFonts w:ascii="Arial" w:cs="Arial" w:eastAsia="Arial" w:hAnsi="Arial"/>
          <w:sz w:val="20"/>
          <w:szCs w:val="20"/>
          <w:b w:val="1"/>
          <w:bCs w:val="1"/>
          <w:color w:val="auto"/>
        </w:rPr>
        <w:t xml:space="preserve"> </w:t>
      </w:r>
      <w:r>
        <w:rPr>
          <w:rFonts w:ascii="Arial" w:cs="Arial" w:eastAsia="Arial" w:hAnsi="Arial"/>
          <w:sz w:val="20"/>
          <w:szCs w:val="20"/>
          <w:color w:val="auto"/>
        </w:rPr>
        <w:t>$0.9 billion, or $ 0.58 per fully diluted share. These results include a net loss from special items that reduced net income by $0.2 billion, or $0.09 per fully diluted share.</w:t>
      </w:r>
    </w:p>
    <w:p>
      <w:pPr>
        <w:spacing w:after="0" w:line="196" w:lineRule="exact"/>
        <w:rPr>
          <w:sz w:val="20"/>
          <w:szCs w:val="20"/>
          <w:color w:val="auto"/>
        </w:rPr>
      </w:pPr>
    </w:p>
    <w:p>
      <w:pPr>
        <w:ind w:right="40"/>
        <w:spacing w:after="0" w:line="247" w:lineRule="auto"/>
        <w:rPr>
          <w:sz w:val="20"/>
          <w:szCs w:val="20"/>
          <w:color w:val="auto"/>
        </w:rPr>
      </w:pPr>
      <w:r>
        <w:rPr>
          <w:rFonts w:ascii="Arial" w:cs="Arial" w:eastAsia="Arial" w:hAnsi="Arial"/>
          <w:sz w:val="20"/>
          <w:szCs w:val="20"/>
          <w:color w:val="auto"/>
        </w:rPr>
        <w:t>In the first quarter of 2012, GM's net income attributable to common stockholders was $1.0 billion, or $0.60 per fully diluted share, including a net loss from special items of $0.6 billion or $0.33 per share.</w:t>
      </w:r>
    </w:p>
    <w:p>
      <w:pPr>
        <w:spacing w:after="0" w:line="202" w:lineRule="exact"/>
        <w:rPr>
          <w:sz w:val="20"/>
          <w:szCs w:val="20"/>
          <w:color w:val="auto"/>
        </w:rPr>
      </w:pPr>
    </w:p>
    <w:p>
      <w:pPr>
        <w:jc w:val="both"/>
        <w:ind w:right="320"/>
        <w:spacing w:after="0" w:line="243" w:lineRule="auto"/>
        <w:rPr>
          <w:sz w:val="20"/>
          <w:szCs w:val="20"/>
          <w:color w:val="auto"/>
        </w:rPr>
      </w:pPr>
      <w:r>
        <w:rPr>
          <w:rFonts w:ascii="Arial" w:cs="Arial" w:eastAsia="Arial" w:hAnsi="Arial"/>
          <w:sz w:val="20"/>
          <w:szCs w:val="20"/>
          <w:color w:val="auto"/>
        </w:rPr>
        <w:t>Net revenue in the first quarter of 2013 was $36.9 billion, compared to $37.8 billion in the first quarter of 2012. Earnings before interest and tax (EBIT) adjusted was $1.8 billion, compared to $2.2 billion the first quarter of 2012. First quarter EBIT-adjusted results for 2013 include the impact of $0.1 billion in restructuring costs.</w:t>
      </w:r>
    </w:p>
    <w:p>
      <w:pPr>
        <w:spacing w:after="0" w:line="206"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“The year is off to a solid start as we increased our global share with strong new products that are attracting customers around the world,” said Dan Akerson, GM CEO and chairman. “In addition, we saw progress in Europe thanks to strong cost actions and great vehicles like the Opel Adam and Mokka.”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6380" w:type="dxa"/>
            <w:vAlign w:val="bottom"/>
          </w:tcPr>
          <w:p>
            <w:pPr>
              <w:spacing w:after="0"/>
              <w:rPr>
                <w:sz w:val="20"/>
                <w:szCs w:val="20"/>
                <w:color w:val="auto"/>
              </w:rPr>
            </w:pPr>
            <w:r>
              <w:rPr>
                <w:rFonts w:ascii="Arial" w:cs="Arial" w:eastAsia="Arial" w:hAnsi="Arial"/>
                <w:sz w:val="20"/>
                <w:szCs w:val="20"/>
                <w:b w:val="1"/>
                <w:bCs w:val="1"/>
                <w:color w:val="auto"/>
              </w:rPr>
              <w:t xml:space="preserve">GM Results Overview </w:t>
            </w:r>
            <w:r>
              <w:rPr>
                <w:rFonts w:ascii="Arial" w:cs="Arial" w:eastAsia="Arial" w:hAnsi="Arial"/>
                <w:sz w:val="14"/>
                <w:szCs w:val="14"/>
                <w:color w:val="auto"/>
              </w:rPr>
              <w:t>(in billions except for per share amounts)</w:t>
            </w:r>
          </w:p>
        </w:tc>
        <w:tc>
          <w:tcPr>
            <w:tcW w:w="1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388"/>
        </w:trPr>
        <w:tc>
          <w:tcPr>
            <w:tcW w:w="6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rPr>
              <w:t>Q1 2013</w:t>
            </w:r>
          </w:p>
        </w:tc>
        <w:tc>
          <w:tcPr>
            <w:tcW w:w="4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Q1 2012</w:t>
            </w:r>
          </w:p>
        </w:tc>
      </w:tr>
      <w:tr>
        <w:trPr>
          <w:trHeight w:val="270"/>
        </w:trPr>
        <w:tc>
          <w:tcPr>
            <w:tcW w:w="6380" w:type="dxa"/>
            <w:vAlign w:val="bottom"/>
          </w:tcPr>
          <w:p>
            <w:pPr>
              <w:ind w:left="1540"/>
              <w:spacing w:after="0"/>
              <w:rPr>
                <w:sz w:val="20"/>
                <w:szCs w:val="20"/>
                <w:color w:val="auto"/>
              </w:rPr>
            </w:pPr>
            <w:r>
              <w:rPr>
                <w:rFonts w:ascii="Arial" w:cs="Arial" w:eastAsia="Arial" w:hAnsi="Arial"/>
                <w:sz w:val="18"/>
                <w:szCs w:val="18"/>
                <w:b w:val="1"/>
                <w:bCs w:val="1"/>
                <w:color w:val="auto"/>
              </w:rPr>
              <w:t>Revenue</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36.9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37.8</w:t>
            </w:r>
          </w:p>
        </w:tc>
      </w:tr>
      <w:tr>
        <w:trPr>
          <w:trHeight w:val="270"/>
        </w:trPr>
        <w:tc>
          <w:tcPr>
            <w:tcW w:w="6380" w:type="dxa"/>
            <w:vAlign w:val="bottom"/>
          </w:tcPr>
          <w:p>
            <w:pPr>
              <w:ind w:left="1540"/>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0.9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6380" w:type="dxa"/>
            <w:vAlign w:val="bottom"/>
          </w:tcPr>
          <w:p>
            <w:pPr>
              <w:ind w:left="1540"/>
              <w:spacing w:after="0"/>
              <w:rPr>
                <w:sz w:val="20"/>
                <w:szCs w:val="20"/>
                <w:color w:val="auto"/>
              </w:rPr>
            </w:pPr>
            <w:r>
              <w:rPr>
                <w:rFonts w:ascii="Arial" w:cs="Arial" w:eastAsia="Arial" w:hAnsi="Arial"/>
                <w:sz w:val="18"/>
                <w:szCs w:val="18"/>
                <w:b w:val="1"/>
                <w:bCs w:val="1"/>
                <w:color w:val="auto"/>
              </w:rPr>
              <w:t>Earnings per share (EPS) fully diluted</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0.58</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0.60</w:t>
            </w:r>
          </w:p>
        </w:tc>
      </w:tr>
      <w:tr>
        <w:trPr>
          <w:trHeight w:val="270"/>
        </w:trPr>
        <w:tc>
          <w:tcPr>
            <w:tcW w:w="6380" w:type="dxa"/>
            <w:vAlign w:val="bottom"/>
          </w:tcPr>
          <w:p>
            <w:pPr>
              <w:ind w:left="1540"/>
              <w:spacing w:after="0"/>
              <w:rPr>
                <w:sz w:val="20"/>
                <w:szCs w:val="20"/>
                <w:color w:val="auto"/>
              </w:rPr>
            </w:pPr>
            <w:r>
              <w:rPr>
                <w:rFonts w:ascii="Arial" w:cs="Arial" w:eastAsia="Arial" w:hAnsi="Arial"/>
                <w:sz w:val="18"/>
                <w:szCs w:val="18"/>
                <w:b w:val="1"/>
                <w:bCs w:val="1"/>
                <w:color w:val="auto"/>
              </w:rPr>
              <w:t>Impact of special items on EPS fully diluted</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(0.09)</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567"/>
        </w:trPr>
        <w:tc>
          <w:tcPr>
            <w:tcW w:w="6380" w:type="dxa"/>
            <w:vAlign w:val="bottom"/>
          </w:tcPr>
          <w:p>
            <w:pPr>
              <w:ind w:left="1540"/>
              <w:spacing w:after="0"/>
              <w:rPr>
                <w:sz w:val="20"/>
                <w:szCs w:val="20"/>
                <w:color w:val="auto"/>
              </w:rPr>
            </w:pPr>
            <w:r>
              <w:rPr>
                <w:rFonts w:ascii="Arial" w:cs="Arial" w:eastAsia="Arial" w:hAnsi="Arial"/>
                <w:sz w:val="18"/>
                <w:szCs w:val="18"/>
                <w:b w:val="1"/>
                <w:bCs w:val="1"/>
                <w:color w:val="auto"/>
              </w:rPr>
              <w:t>EBIT-adjusted</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1.8</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567"/>
        </w:trPr>
        <w:tc>
          <w:tcPr>
            <w:tcW w:w="6380" w:type="dxa"/>
            <w:vAlign w:val="bottom"/>
          </w:tcPr>
          <w:p>
            <w:pPr>
              <w:ind w:left="1540"/>
              <w:spacing w:after="0"/>
              <w:rPr>
                <w:sz w:val="20"/>
                <w:szCs w:val="20"/>
                <w:color w:val="auto"/>
              </w:rPr>
            </w:pPr>
            <w:r>
              <w:rPr>
                <w:rFonts w:ascii="Arial" w:cs="Arial" w:eastAsia="Arial" w:hAnsi="Arial"/>
                <w:sz w:val="18"/>
                <w:szCs w:val="18"/>
                <w:b w:val="1"/>
                <w:bCs w:val="1"/>
                <w:color w:val="auto"/>
              </w:rPr>
              <w:t>Automotive net cash flow from operating activities</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70"/>
              <w:spacing w:after="0"/>
              <w:rPr>
                <w:sz w:val="20"/>
                <w:szCs w:val="20"/>
                <w:color w:val="auto"/>
              </w:rPr>
            </w:pPr>
            <w:r>
              <w:rPr>
                <w:rFonts w:ascii="Arial" w:cs="Arial" w:eastAsia="Arial" w:hAnsi="Arial"/>
                <w:sz w:val="18"/>
                <w:szCs w:val="18"/>
                <w:color w:val="auto"/>
              </w:rPr>
              <w:t>0.5</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6380" w:type="dxa"/>
            <w:vAlign w:val="bottom"/>
          </w:tcPr>
          <w:p>
            <w:pPr>
              <w:ind w:left="1540"/>
              <w:spacing w:after="0"/>
              <w:rPr>
                <w:sz w:val="20"/>
                <w:szCs w:val="20"/>
                <w:color w:val="auto"/>
              </w:rPr>
            </w:pPr>
            <w:r>
              <w:rPr>
                <w:rFonts w:ascii="Arial" w:cs="Arial" w:eastAsia="Arial" w:hAnsi="Arial"/>
                <w:sz w:val="18"/>
                <w:szCs w:val="18"/>
                <w:b w:val="1"/>
                <w:bCs w:val="1"/>
                <w:color w:val="auto"/>
              </w:rPr>
              <w:t>Adjusted automotive free cash flow</w:t>
            </w:r>
          </w:p>
        </w:tc>
        <w:tc>
          <w:tcPr>
            <w:tcW w:w="12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(1.3)</w:t>
            </w: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0.3</w:t>
            </w:r>
          </w:p>
        </w:tc>
      </w:tr>
    </w:tbl>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Segment Results</w:t>
      </w:r>
    </w:p>
    <w:p>
      <w:pPr>
        <w:spacing w:after="0" w:line="24"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Beginning this quarter, the company will report segment revenues and profits based on the geographic region in which a vehicle is sold. Previously, segment results included the impacts of inter-segment sales and profits. Prior year segment results have been reclassified so all information is shown on a comparable basis. Financial results for Chevrolet Europe continue to be recorded in GM International Operations. Consolidated results are unaffected by this change.</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440" w:right="279" w:bottom="1440" w:gutter="0" w:footer="0" w:header="0"/>
        </w:sectPr>
      </w:pPr>
    </w:p>
    <w:bookmarkStart w:id="5" w:name="page6"/>
    <w:bookmarkEnd w:id="5"/>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North America reported EBIT-adjusted of $1.4 billion, compared with $1.6 billion in the first quarter of 2012.</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Europe reported an EBIT-adjusted of $(0.2) billion, compared with $(0.3) billion in the first quarter of 2012.</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International Operations reported EBIT-adjusted of $0.5 billion, compared with $0.5 billion in the first quarter of 2012.</w:t>
      </w:r>
    </w:p>
    <w:p>
      <w:pPr>
        <w:ind w:left="660" w:right="180" w:hanging="328"/>
        <w:spacing w:after="0" w:line="23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South America broke even on an EBIT-adjusted basis, compared with EBIT-adjusted of $0.2 billion in the first quarter of 2012.</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20"/>
          <w:szCs w:val="20"/>
          <w:color w:val="auto"/>
        </w:rPr>
        <w:t>GM Financial earnings before tax was $0.2 billion for the quarter, compared to $0.2 billion in the first quarter of 2012.</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Flow and Liquidity</w:t>
      </w:r>
    </w:p>
    <w:p>
      <w:pPr>
        <w:spacing w:after="0" w:line="24" w:lineRule="exact"/>
        <w:rPr>
          <w:sz w:val="20"/>
          <w:szCs w:val="20"/>
          <w:color w:val="auto"/>
        </w:rPr>
      </w:pPr>
    </w:p>
    <w:p>
      <w:pPr>
        <w:jc w:val="both"/>
        <w:ind w:right="140"/>
        <w:spacing w:after="0" w:line="243" w:lineRule="auto"/>
        <w:rPr>
          <w:sz w:val="20"/>
          <w:szCs w:val="20"/>
          <w:color w:val="auto"/>
        </w:rPr>
      </w:pPr>
      <w:r>
        <w:rPr>
          <w:rFonts w:ascii="Arial" w:cs="Arial" w:eastAsia="Arial" w:hAnsi="Arial"/>
          <w:sz w:val="20"/>
          <w:szCs w:val="20"/>
          <w:color w:val="auto"/>
        </w:rPr>
        <w:t>For the quarter, automotive cash flow from operating activities was $0.5 billion and automotive free cash flow adjusted was $ (1.3) billion. The change in year-over-year cash flow was primarily the result of lower earnings and a series of timing-related items that we expect to reverse during the balance of the year.</w:t>
      </w:r>
    </w:p>
    <w:p>
      <w:pPr>
        <w:spacing w:after="0" w:line="206" w:lineRule="exact"/>
        <w:rPr>
          <w:sz w:val="20"/>
          <w:szCs w:val="20"/>
          <w:color w:val="auto"/>
        </w:rPr>
      </w:pPr>
    </w:p>
    <w:p>
      <w:pPr>
        <w:ind w:right="240"/>
        <w:spacing w:after="0" w:line="247" w:lineRule="auto"/>
        <w:rPr>
          <w:sz w:val="20"/>
          <w:szCs w:val="20"/>
          <w:color w:val="auto"/>
        </w:rPr>
      </w:pPr>
      <w:r>
        <w:rPr>
          <w:rFonts w:ascii="Arial" w:cs="Arial" w:eastAsia="Arial" w:hAnsi="Arial"/>
          <w:sz w:val="20"/>
          <w:szCs w:val="20"/>
          <w:color w:val="auto"/>
        </w:rPr>
        <w:t>GM ended the quarter with very strong total automotive liquidity of $35.3 billion. Automotive cash and marketable securities was $24.3 billion compared with $26.1 billion at year-end 2012.</w:t>
      </w:r>
    </w:p>
    <w:p>
      <w:pPr>
        <w:spacing w:after="0" w:line="202" w:lineRule="exact"/>
        <w:rPr>
          <w:sz w:val="20"/>
          <w:szCs w:val="20"/>
          <w:color w:val="auto"/>
        </w:rPr>
      </w:pPr>
    </w:p>
    <w:p>
      <w:pPr>
        <w:jc w:val="both"/>
        <w:ind w:right="480"/>
        <w:spacing w:after="0" w:line="243" w:lineRule="auto"/>
        <w:rPr>
          <w:sz w:val="20"/>
          <w:szCs w:val="20"/>
          <w:color w:val="auto"/>
        </w:rPr>
      </w:pPr>
      <w:r>
        <w:rPr>
          <w:rFonts w:ascii="Arial" w:cs="Arial" w:eastAsia="Arial" w:hAnsi="Arial"/>
          <w:sz w:val="20"/>
          <w:szCs w:val="20"/>
          <w:color w:val="auto"/>
        </w:rPr>
        <w:t>“In the automotive business, outstanding product is what wins,” said Dan Ammann, GM senior vice president and CFO. “With more than 40 new vehicle introductions this year globally, our focus will be on flawless launches of the vehicles that will drive results this year and into 2014.”</w:t>
      </w:r>
    </w:p>
    <w:p>
      <w:pPr>
        <w:spacing w:after="0" w:line="187"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b w:val="1"/>
          <w:bCs w:val="1"/>
          <w:color w:val="auto"/>
        </w:rPr>
        <w:t xml:space="preserve">General Motors Co. </w:t>
      </w:r>
      <w:r>
        <w:rPr>
          <w:rFonts w:ascii="Arial" w:cs="Arial" w:eastAsia="Arial" w:hAnsi="Arial"/>
          <w:sz w:val="18"/>
          <w:szCs w:val="18"/>
          <w:color w:val="auto"/>
        </w:rPr>
        <w:t>(NYSE:GM, TSX: GMM) and its partners produce vehicles in 30 countries, and the company has leadership positions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world's largest and fastest-growing automotive markets. GM's brands include Chevrolet and Cadillac, as well as Baojun, Buick, GMC, Holden, Isuzu, Jiefang, Opel, Vauxhall and Wuling. More information on the company and its subsidiaries, including OnStar, a global leader in vehicle safety, security and information services, can be found at </w:t>
      </w:r>
      <w:r>
        <w:rPr>
          <w:rFonts w:ascii="Arial" w:cs="Arial" w:eastAsia="Arial" w:hAnsi="Arial"/>
          <w:sz w:val="18"/>
          <w:szCs w:val="18"/>
          <w:u w:val="single" w:color="auto"/>
          <w:color w:val="0000FF"/>
        </w:rPr>
        <w:t>http://www.gm.com</w:t>
      </w:r>
      <w:r>
        <w:rPr>
          <w:rFonts w:ascii="Arial" w:cs="Arial" w:eastAsia="Arial" w:hAnsi="Arial"/>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Tom Henderson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GM Financial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313-410-2704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tom.e.henderson@gm.com</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3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this press release and in related comments by our management, our use of the words “expect,” “anticipate,” “possible,” “potential,” “target,” “believe,” “commit,” “intend,” “continue,” “may,” “would,” “could,” “should,” “project,” “projected,” “positioned” or similar expressions is intended to identify forward-looking statements that represent our current judgment about possible future events. We believe these judgments are reasonable, but these statements are not guarantees of any events or financial results, and our actual results may differ materially due to a variety of important factors. Among other items, such factors might include: our ability to realize production efficiencies and to achieve reductions in costs as a result of our restructuring initiatives and labor modifications; our ability to maintain quality control over our vehicles and avoid material vehicle recalls; our ability to maintain adequate financing sources, including as required to fund our planned significant investment in new technology; our ability to successfully integrate Ally Financial's international operations; the ability of our suppliers to timely deliver parts, components and systems; our ability to realize successful vehicle applications of new technology; overall strength and stability of our markets, particularly Europe; and our ability to continue to attract new customers, particularly for our new products. GM's most recent annual report on Form 10-K provides information about these and other factors, which we may revise or supplement in future reports to the SEC.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95" w:right="239" w:bottom="1440" w:gutter="0" w:footer="0" w:header="0"/>
        </w:sectPr>
      </w:pPr>
    </w:p>
    <w:bookmarkStart w:id="6" w:name="page7"/>
    <w:bookmarkEnd w:id="6"/>
    <w:p>
      <w:pPr>
        <w:jc w:val="center"/>
        <w:ind w:left="980"/>
        <w:spacing w:after="0"/>
        <w:rPr>
          <w:sz w:val="20"/>
          <w:szCs w:val="20"/>
          <w:color w:val="auto"/>
        </w:rPr>
      </w:pPr>
      <w:r>
        <w:rPr>
          <w:rFonts w:ascii="Arial" w:cs="Arial" w:eastAsia="Arial" w:hAnsi="Arial"/>
          <w:sz w:val="18"/>
          <w:szCs w:val="18"/>
          <w:b w:val="1"/>
          <w:bCs w:val="1"/>
          <w:color w:val="auto"/>
        </w:rPr>
        <w:t>Exhibit 1</w:t>
      </w:r>
    </w:p>
    <w:p>
      <w:pPr>
        <w:spacing w:after="0" w:line="225"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161" w:lineRule="exact"/>
        <w:rPr>
          <w:sz w:val="20"/>
          <w:szCs w:val="20"/>
          <w:color w:val="auto"/>
        </w:rPr>
      </w:pPr>
    </w:p>
    <w:p>
      <w:pPr>
        <w:ind w:right="360" w:firstLine="162"/>
        <w:spacing w:after="0" w:line="256" w:lineRule="auto"/>
        <w:rPr>
          <w:sz w:val="20"/>
          <w:szCs w:val="20"/>
          <w:color w:val="auto"/>
        </w:rPr>
      </w:pPr>
      <w:r>
        <w:rPr>
          <w:rFonts w:ascii="Arial" w:cs="Arial" w:eastAsia="Arial" w:hAnsi="Arial"/>
          <w:sz w:val="16"/>
          <w:szCs w:val="16"/>
          <w:color w:val="auto"/>
        </w:rPr>
        <w:t>The accompanying tables and charts include earnings before interest and taxes adjusted for special items, presented net of noncontrolling interests, (EBIT-adjusted) and Adjusted automotive free cash flow. These metrics are not prepared in accordance with Accounting Principles Generally Accepted in the United States of America (U.S. GAAP) and have not been audited or reviewed by GM's independent auditors. EBIT-adjusted and Adjusted automotive free cash flow are considered non-GAAP financial measures.</w:t>
      </w:r>
    </w:p>
    <w:p>
      <w:pPr>
        <w:spacing w:after="0" w:line="160" w:lineRule="exact"/>
        <w:rPr>
          <w:sz w:val="20"/>
          <w:szCs w:val="20"/>
          <w:color w:val="auto"/>
        </w:rPr>
      </w:pPr>
    </w:p>
    <w:p>
      <w:pPr>
        <w:ind w:firstLine="162"/>
        <w:spacing w:after="0" w:line="253" w:lineRule="auto"/>
        <w:rPr>
          <w:sz w:val="20"/>
          <w:szCs w:val="20"/>
          <w:color w:val="auto"/>
        </w:rPr>
      </w:pPr>
      <w:r>
        <w:rPr>
          <w:rFonts w:ascii="Arial" w:cs="Arial" w:eastAsia="Arial" w:hAnsi="Arial"/>
          <w:sz w:val="16"/>
          <w:szCs w:val="16"/>
          <w:color w:val="auto"/>
        </w:rPr>
        <w:t>Management believes these non-GAAP financial measures provide meaningful supplemental information regarding GM's operating results because they exclude amounts that management does not consider part of operating results when assessing and measuring the operational and financial performance of the organization. Management believes these measures allow it to readily view operating trends, perform analytical comparisons and benchmark performance between periods and among geographic regions. Accordingly, GM believes these non-GAAP financial measures are useful in allowing for greater transparency of GM's core operations and they are therefore used by management in its financial and operational decision-making.</w:t>
      </w:r>
    </w:p>
    <w:p>
      <w:pPr>
        <w:spacing w:after="0" w:line="165" w:lineRule="exact"/>
        <w:rPr>
          <w:sz w:val="20"/>
          <w:szCs w:val="20"/>
          <w:color w:val="auto"/>
        </w:rPr>
      </w:pPr>
    </w:p>
    <w:p>
      <w:pPr>
        <w:ind w:right="60" w:firstLine="162"/>
        <w:spacing w:after="0" w:line="253" w:lineRule="auto"/>
        <w:rPr>
          <w:sz w:val="20"/>
          <w:szCs w:val="20"/>
          <w:color w:val="auto"/>
        </w:rPr>
      </w:pPr>
      <w:r>
        <w:rPr>
          <w:rFonts w:ascii="Arial" w:cs="Arial" w:eastAsia="Arial" w:hAnsi="Arial"/>
          <w:sz w:val="16"/>
          <w:szCs w:val="16"/>
          <w:color w:val="auto"/>
        </w:rPr>
        <w:t>While management believes that these non-GAAP financial measures provide useful information, they are not operating measures under U.S. GAAP, and there are limitations associated with their use. GM's calculation of these non-GAAP financial measures may not be completely comparable to similarly titled measures of other companies due to potential differences between companies in their method of calculation. As a result the use of these non-GAAP financial measures has limitations and should not be considered in isolation from, or as a substitute for, other measures such as Net income or Net income attributable to stockholders. Due to these limitations, these non-GAAP financial measures are used as a supplement to U.S. GAAP measures.</w:t>
      </w:r>
    </w:p>
    <w:p>
      <w:pPr>
        <w:spacing w:after="0" w:line="17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the reconciliation of EBIT-adjusted to its most comparable U.S. GAAP measure (dollars in millions):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0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60" w:type="dxa"/>
            <w:vAlign w:val="bottom"/>
          </w:tcPr>
          <w:p>
            <w:pPr>
              <w:jc w:val="right"/>
              <w:ind w:right="239"/>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Operating segments</w:t>
            </w:r>
          </w:p>
        </w:tc>
        <w:tc>
          <w:tcPr>
            <w:tcW w:w="22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GMNA(a)(b)</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23"/>
                <w:szCs w:val="23"/>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1,642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GME(a)(b)</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(294)</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GMIO(a)(b)</w:t>
            </w:r>
          </w:p>
        </w:tc>
        <w:tc>
          <w:tcPr>
            <w:tcW w:w="220" w:type="dxa"/>
            <w:vAlign w:val="bottom"/>
          </w:tcPr>
          <w:p>
            <w:pPr>
              <w:spacing w:after="0"/>
              <w:rPr>
                <w:sz w:val="23"/>
                <w:szCs w:val="23"/>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495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521</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GMSA(a)(b)</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GM Financial(c)</w:t>
            </w:r>
          </w:p>
        </w:tc>
        <w:tc>
          <w:tcPr>
            <w:tcW w:w="220" w:type="dxa"/>
            <w:vAlign w:val="bottom"/>
          </w:tcPr>
          <w:p>
            <w:pPr>
              <w:spacing w:after="0"/>
              <w:rPr>
                <w:sz w:val="23"/>
                <w:szCs w:val="23"/>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ind w:left="200"/>
              <w:spacing w:after="0"/>
              <w:rPr>
                <w:sz w:val="20"/>
                <w:szCs w:val="20"/>
                <w:color w:val="auto"/>
              </w:rPr>
            </w:pPr>
            <w:r>
              <w:rPr>
                <w:rFonts w:ascii="Arial" w:cs="Arial" w:eastAsia="Arial" w:hAnsi="Arial"/>
                <w:sz w:val="16"/>
                <w:szCs w:val="16"/>
                <w:color w:val="auto"/>
              </w:rPr>
              <w:t>Total operating segments</w:t>
            </w:r>
          </w:p>
        </w:tc>
        <w:tc>
          <w:tcPr>
            <w:tcW w:w="220" w:type="dxa"/>
            <w:vAlign w:val="bottom"/>
          </w:tcPr>
          <w:p>
            <w:pPr>
              <w:spacing w:after="0"/>
              <w:rPr>
                <w:sz w:val="18"/>
                <w:szCs w:val="18"/>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1,876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2,203</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6"/>
                <w:szCs w:val="16"/>
                <w:color w:val="auto"/>
              </w:rPr>
              <w:t>Corporate(a)</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EBIT-adjusted</w:t>
            </w:r>
          </w:p>
        </w:tc>
        <w:tc>
          <w:tcPr>
            <w:tcW w:w="220" w:type="dxa"/>
            <w:vAlign w:val="bottom"/>
          </w:tcPr>
          <w:p>
            <w:pPr>
              <w:spacing w:after="0"/>
              <w:rPr>
                <w:sz w:val="18"/>
                <w:szCs w:val="18"/>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b w:val="1"/>
                <w:bCs w:val="1"/>
                <w:color w:val="auto"/>
              </w:rPr>
              <w:t>1,766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2,182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Special items</w:t>
            </w:r>
          </w:p>
        </w:tc>
        <w:tc>
          <w:tcPr>
            <w:tcW w:w="22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(612)</w:t>
            </w:r>
          </w:p>
        </w:tc>
        <w:tc>
          <w:tcPr>
            <w:tcW w:w="0" w:type="dxa"/>
            <w:vAlign w:val="bottom"/>
          </w:tcPr>
          <w:p>
            <w:pPr>
              <w:spacing w:after="0"/>
              <w:rPr>
                <w:sz w:val="1"/>
                <w:szCs w:val="1"/>
                <w:color w:val="auto"/>
              </w:rPr>
            </w:pPr>
          </w:p>
        </w:tc>
      </w:tr>
      <w:tr>
        <w:trPr>
          <w:trHeight w:val="276"/>
        </w:trPr>
        <w:tc>
          <w:tcPr>
            <w:tcW w:w="8120" w:type="dxa"/>
            <w:vAlign w:val="bottom"/>
          </w:tcPr>
          <w:p>
            <w:pPr>
              <w:ind w:left="40"/>
              <w:spacing w:after="0"/>
              <w:rPr>
                <w:sz w:val="20"/>
                <w:szCs w:val="20"/>
                <w:color w:val="auto"/>
              </w:rPr>
            </w:pPr>
            <w:r>
              <w:rPr>
                <w:rFonts w:ascii="Arial" w:cs="Arial" w:eastAsia="Arial" w:hAnsi="Arial"/>
                <w:sz w:val="16"/>
                <w:szCs w:val="16"/>
                <w:color w:val="auto"/>
              </w:rPr>
              <w:t>Corporate interest income</w:t>
            </w:r>
          </w:p>
        </w:tc>
        <w:tc>
          <w:tcPr>
            <w:tcW w:w="220" w:type="dxa"/>
            <w:vAlign w:val="bottom"/>
          </w:tcPr>
          <w:p>
            <w:pPr>
              <w:spacing w:after="0"/>
              <w:rPr>
                <w:sz w:val="24"/>
                <w:szCs w:val="24"/>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jc w:val="right"/>
              <w:ind w:right="19"/>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6"/>
                <w:szCs w:val="16"/>
                <w:color w:val="auto"/>
              </w:rPr>
              <w:t>Automotive interest expense</w:t>
            </w:r>
          </w:p>
        </w:tc>
        <w:tc>
          <w:tcPr>
            <w:tcW w:w="220" w:type="dxa"/>
            <w:vAlign w:val="bottom"/>
          </w:tcPr>
          <w:p>
            <w:pPr>
              <w:spacing w:after="0"/>
              <w:rPr>
                <w:sz w:val="22"/>
                <w:szCs w:val="22"/>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Loss on extinguishment of debt</w:t>
            </w:r>
          </w:p>
        </w:tc>
        <w:tc>
          <w:tcPr>
            <w:tcW w:w="220" w:type="dxa"/>
            <w:vAlign w:val="bottom"/>
          </w:tcPr>
          <w:p>
            <w:pPr>
              <w:spacing w:after="0"/>
              <w:rPr>
                <w:sz w:val="23"/>
                <w:szCs w:val="23"/>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6"/>
                <w:szCs w:val="16"/>
                <w:color w:val="auto"/>
              </w:rPr>
              <w:t>Income tax expense</w:t>
            </w:r>
          </w:p>
        </w:tc>
        <w:tc>
          <w:tcPr>
            <w:tcW w:w="220" w:type="dxa"/>
            <w:vAlign w:val="bottom"/>
          </w:tcPr>
          <w:p>
            <w:pPr>
              <w:spacing w:after="0"/>
              <w:rPr>
                <w:sz w:val="23"/>
                <w:szCs w:val="23"/>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409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216</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stockholders</w:t>
            </w:r>
          </w:p>
        </w:tc>
        <w:tc>
          <w:tcPr>
            <w:tcW w:w="220" w:type="dxa"/>
            <w:vAlign w:val="bottom"/>
          </w:tcPr>
          <w:p>
            <w:pPr>
              <w:spacing w:after="0"/>
              <w:rPr>
                <w:sz w:val="18"/>
                <w:szCs w:val="18"/>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b w:val="1"/>
                <w:bCs w:val="1"/>
                <w:color w:val="auto"/>
              </w:rPr>
              <w:t>1,175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b w:val="1"/>
                <w:bCs w:val="1"/>
                <w:color w:val="auto"/>
              </w:rPr>
              <w:t>1,315</w:t>
            </w:r>
          </w:p>
        </w:tc>
        <w:tc>
          <w:tcPr>
            <w:tcW w:w="0" w:type="dxa"/>
            <w:vAlign w:val="bottom"/>
          </w:tcPr>
          <w:p>
            <w:pPr>
              <w:spacing w:after="0"/>
              <w:rPr>
                <w:sz w:val="1"/>
                <w:szCs w:val="1"/>
                <w:color w:val="auto"/>
              </w:rPr>
            </w:pPr>
          </w:p>
        </w:tc>
      </w:tr>
      <w:tr>
        <w:trPr>
          <w:trHeight w:val="253"/>
        </w:trPr>
        <w:tc>
          <w:tcPr>
            <w:tcW w:w="8120" w:type="dxa"/>
            <w:vAlign w:val="bottom"/>
          </w:tcPr>
          <w:p>
            <w:pPr>
              <w:ind w:left="40"/>
              <w:spacing w:after="0"/>
              <w:rPr>
                <w:sz w:val="20"/>
                <w:szCs w:val="20"/>
                <w:color w:val="auto"/>
              </w:rPr>
            </w:pPr>
            <w:r>
              <w:rPr>
                <w:rFonts w:ascii="Arial" w:cs="Arial" w:eastAsia="Arial" w:hAnsi="Arial"/>
                <w:sz w:val="16"/>
                <w:szCs w:val="16"/>
                <w:color w:val="auto"/>
              </w:rPr>
              <w:t>Less: cumulative dividends on preferred stock and undistributed earnings allocated to Series B Preferred Stock</w:t>
            </w:r>
          </w:p>
        </w:tc>
        <w:tc>
          <w:tcPr>
            <w:tcW w:w="2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120" w:type="dxa"/>
            <w:vAlign w:val="bottom"/>
          </w:tcPr>
          <w:p>
            <w:pPr>
              <w:ind w:left="200"/>
              <w:spacing w:after="0"/>
              <w:rPr>
                <w:sz w:val="20"/>
                <w:szCs w:val="20"/>
                <w:color w:val="auto"/>
              </w:rPr>
            </w:pPr>
            <w:r>
              <w:rPr>
                <w:rFonts w:ascii="Arial" w:cs="Arial" w:eastAsia="Arial" w:hAnsi="Arial"/>
                <w:sz w:val="16"/>
                <w:szCs w:val="16"/>
                <w:color w:val="auto"/>
              </w:rPr>
              <w:t>participating security</w:t>
            </w:r>
          </w:p>
        </w:tc>
        <w:tc>
          <w:tcPr>
            <w:tcW w:w="220" w:type="dxa"/>
            <w:vAlign w:val="bottom"/>
          </w:tcPr>
          <w:p>
            <w:pPr>
              <w:spacing w:after="0"/>
              <w:rPr>
                <w:sz w:val="17"/>
                <w:szCs w:val="17"/>
                <w:color w:val="auto"/>
              </w:rPr>
            </w:pPr>
          </w:p>
        </w:tc>
        <w:tc>
          <w:tcPr>
            <w:tcW w:w="1400" w:type="dxa"/>
            <w:vAlign w:val="bottom"/>
          </w:tcPr>
          <w:p>
            <w:pPr>
              <w:jc w:val="right"/>
              <w:ind w:right="40"/>
              <w:spacing w:after="0"/>
              <w:rPr>
                <w:sz w:val="20"/>
                <w:szCs w:val="20"/>
                <w:color w:val="auto"/>
              </w:rPr>
            </w:pPr>
            <w:r>
              <w:rPr>
                <w:rFonts w:ascii="Arial" w:cs="Arial" w:eastAsia="Arial" w:hAnsi="Arial"/>
                <w:sz w:val="16"/>
                <w:szCs w:val="16"/>
                <w:color w:val="auto"/>
              </w:rPr>
              <w:t>310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jc w:val="right"/>
              <w:ind w:right="19"/>
              <w:spacing w:after="0"/>
              <w:rPr>
                <w:sz w:val="20"/>
                <w:szCs w:val="20"/>
                <w:color w:val="auto"/>
              </w:rPr>
            </w:pPr>
            <w:r>
              <w:rPr>
                <w:rFonts w:ascii="Arial" w:cs="Arial" w:eastAsia="Arial" w:hAnsi="Arial"/>
                <w:sz w:val="16"/>
                <w:szCs w:val="16"/>
                <w:color w:val="auto"/>
              </w:rPr>
              <w:t>311</w:t>
            </w:r>
          </w:p>
        </w:tc>
        <w:tc>
          <w:tcPr>
            <w:tcW w:w="0" w:type="dxa"/>
            <w:vAlign w:val="bottom"/>
          </w:tcPr>
          <w:p>
            <w:pPr>
              <w:spacing w:after="0"/>
              <w:rPr>
                <w:sz w:val="1"/>
                <w:szCs w:val="1"/>
                <w:color w:val="auto"/>
              </w:rPr>
            </w:pPr>
          </w:p>
        </w:tc>
      </w:tr>
      <w:tr>
        <w:trPr>
          <w:trHeight w:val="33"/>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120" w:type="dxa"/>
            <w:vAlign w:val="bottom"/>
          </w:tcPr>
          <w:p>
            <w:pPr>
              <w:ind w:left="40"/>
              <w:spacing w:after="0"/>
              <w:rPr>
                <w:sz w:val="20"/>
                <w:szCs w:val="20"/>
                <w:color w:val="auto"/>
              </w:rPr>
            </w:pPr>
            <w:r>
              <w:rPr>
                <w:rFonts w:ascii="Arial" w:cs="Arial" w:eastAsia="Arial" w:hAnsi="Arial"/>
                <w:sz w:val="16"/>
                <w:szCs w:val="16"/>
                <w:b w:val="1"/>
                <w:bCs w:val="1"/>
                <w:color w:val="auto"/>
              </w:rPr>
              <w:t>Net income attributable to common stockholders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140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b w:val="1"/>
                <w:bCs w:val="1"/>
                <w:color w:val="auto"/>
              </w:rPr>
              <w:t>865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w w:val="89"/>
              </w:rPr>
              <w:t>$</w:t>
            </w:r>
          </w:p>
        </w:tc>
        <w:tc>
          <w:tcPr>
            <w:tcW w:w="13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1,004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jc w:val="both"/>
        <w:ind w:left="340" w:hanging="332"/>
        <w:spacing w:after="0" w:line="24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three months ended March 31, 2013 GM changed its managerial and reporting structure to report segment revenues and profits based on the geographic region in which a vehicle is sold. Previously, segment results included the impacts of inter-segment sales and profits. Prior year segment results have been reclassified so all information is shown on a comparable basis. Consolidated results are unaffected by this change.</w:t>
      </w:r>
    </w:p>
    <w:p>
      <w:pPr>
        <w:spacing w:after="0" w:line="1" w:lineRule="exact"/>
        <w:rPr>
          <w:rFonts w:ascii="Arial" w:cs="Arial" w:eastAsia="Arial" w:hAnsi="Arial"/>
          <w:sz w:val="16"/>
          <w:szCs w:val="16"/>
          <w:color w:val="auto"/>
        </w:rPr>
      </w:pPr>
    </w:p>
    <w:p>
      <w:pPr>
        <w:ind w:left="34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GM's automotive operations interest and income taxes are recorded centrally in Corporate; therefore, there are no reconciling items for GM's automotive operating segments between EBIT-adjusted and Net income attributable to stockholders.</w:t>
      </w: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GM Financial amounts represent income before income taxes.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7" w:name="page8"/>
    <w:bookmarkEnd w:id="7"/>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i w:val="1"/>
          <w:iCs w:val="1"/>
          <w:color w:val="auto"/>
        </w:rPr>
        <w:t>(Unaudited)</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summarizes the special items:</w:t>
      </w:r>
    </w:p>
    <w:p>
      <w:pPr>
        <w:spacing w:after="0" w:line="2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 the three months ended March 31, 2013 special items included the following:</w:t>
      </w:r>
    </w:p>
    <w:p>
      <w:pPr>
        <w:spacing w:after="0" w:line="252" w:lineRule="exact"/>
        <w:rPr>
          <w:sz w:val="20"/>
          <w:szCs w:val="20"/>
          <w:color w:val="auto"/>
        </w:rPr>
      </w:pPr>
    </w:p>
    <w:p>
      <w:pPr>
        <w:ind w:left="1360" w:hanging="54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Venezuela currency devaluation of $162 million in GMSA; and</w:t>
      </w:r>
    </w:p>
    <w:p>
      <w:pPr>
        <w:spacing w:after="0" w:line="49" w:lineRule="exact"/>
        <w:rPr>
          <w:rFonts w:ascii="Arial" w:cs="Arial" w:eastAsia="Arial" w:hAnsi="Arial"/>
          <w:sz w:val="18"/>
          <w:szCs w:val="18"/>
          <w:color w:val="auto"/>
        </w:rPr>
      </w:pPr>
    </w:p>
    <w:p>
      <w:pPr>
        <w:ind w:left="1360" w:hanging="542"/>
        <w:spacing w:after="0"/>
        <w:tabs>
          <w:tab w:leader="none" w:pos="1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Pension settlement charges and income related to various insurance recoveries, net, of $8 million.</w:t>
      </w:r>
    </w:p>
    <w:p>
      <w:pPr>
        <w:spacing w:after="0" w:line="23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the three months ended March 31, 2012 special items included Goodwill impairment charges of $590 million in GME and $22 million in GMIO.</w:t>
      </w:r>
    </w:p>
    <w:p>
      <w:pPr>
        <w:spacing w:after="0" w:line="237"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The following table summarizes the reconciliation of Adjusted automotive free cash flow to Automotive net cash provided by operating activities (dollars in millions):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3"/>
              <w:spacing w:after="0"/>
              <w:rPr>
                <w:sz w:val="20"/>
                <w:szCs w:val="20"/>
                <w:color w:val="auto"/>
              </w:rPr>
            </w:pPr>
            <w:r>
              <w:rPr>
                <w:rFonts w:ascii="Arial" w:cs="Arial" w:eastAsia="Arial" w:hAnsi="Arial"/>
                <w:sz w:val="14"/>
                <w:szCs w:val="14"/>
                <w:b w:val="1"/>
                <w:bCs w:val="1"/>
                <w:color w:val="auto"/>
              </w:rPr>
              <w:t>Three Months Ended</w:t>
            </w:r>
          </w:p>
        </w:tc>
      </w:tr>
      <w:tr>
        <w:trPr>
          <w:trHeight w:val="264"/>
        </w:trPr>
        <w:tc>
          <w:tcPr>
            <w:tcW w:w="8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3"/>
              <w:spacing w:after="0"/>
              <w:rPr>
                <w:sz w:val="20"/>
                <w:szCs w:val="20"/>
                <w:color w:val="auto"/>
              </w:rPr>
            </w:pPr>
            <w:r>
              <w:rPr>
                <w:rFonts w:ascii="Arial" w:cs="Arial" w:eastAsia="Arial" w:hAnsi="Arial"/>
                <w:sz w:val="14"/>
                <w:szCs w:val="14"/>
                <w:b w:val="1"/>
                <w:bCs w:val="1"/>
                <w:color w:val="auto"/>
              </w:rPr>
              <w:t>March 31, 2012</w:t>
            </w:r>
          </w:p>
        </w:tc>
      </w:tr>
      <w:tr>
        <w:trPr>
          <w:trHeight w:val="243"/>
        </w:trPr>
        <w:tc>
          <w:tcPr>
            <w:tcW w:w="8080" w:type="dxa"/>
            <w:vAlign w:val="bottom"/>
          </w:tcPr>
          <w:p>
            <w:pPr>
              <w:spacing w:after="0"/>
              <w:rPr>
                <w:sz w:val="20"/>
                <w:szCs w:val="20"/>
                <w:color w:val="auto"/>
              </w:rPr>
            </w:pPr>
            <w:r>
              <w:rPr>
                <w:rFonts w:ascii="Arial" w:cs="Arial" w:eastAsia="Arial" w:hAnsi="Arial"/>
                <w:sz w:val="18"/>
                <w:szCs w:val="18"/>
                <w:color w:val="auto"/>
              </w:rPr>
              <w:t>Adjusted automotive free cash flow</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Pr>
          <w:p>
            <w:pPr>
              <w:spacing w:after="0"/>
              <w:rPr>
                <w:sz w:val="21"/>
                <w:szCs w:val="21"/>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282</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Less: Adjustments for voluntary management actions</w:t>
            </w:r>
          </w:p>
        </w:tc>
        <w:tc>
          <w:tcPr>
            <w:tcW w:w="220" w:type="dxa"/>
            <w:vAlign w:val="bottom"/>
          </w:tcPr>
          <w:p>
            <w:pPr>
              <w:spacing w:after="0"/>
              <w:rPr>
                <w:sz w:val="23"/>
                <w:szCs w:val="23"/>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7"/>
        </w:trPr>
        <w:tc>
          <w:tcPr>
            <w:tcW w:w="8080" w:type="dxa"/>
            <w:vAlign w:val="bottom"/>
          </w:tcPr>
          <w:p>
            <w:pPr>
              <w:spacing w:after="0"/>
              <w:rPr>
                <w:sz w:val="20"/>
                <w:szCs w:val="20"/>
                <w:color w:val="auto"/>
              </w:rPr>
            </w:pPr>
            <w:r>
              <w:rPr>
                <w:rFonts w:ascii="Arial" w:cs="Arial" w:eastAsia="Arial" w:hAnsi="Arial"/>
                <w:sz w:val="18"/>
                <w:szCs w:val="18"/>
                <w:color w:val="auto"/>
              </w:rPr>
              <w:t>Automotive free cash flow</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(1,396)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282</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Capital expenditures</w:t>
            </w:r>
          </w:p>
        </w:tc>
        <w:tc>
          <w:tcPr>
            <w:tcW w:w="220" w:type="dxa"/>
            <w:vAlign w:val="bottom"/>
          </w:tcPr>
          <w:p>
            <w:pPr>
              <w:spacing w:after="0"/>
              <w:rPr>
                <w:sz w:val="23"/>
                <w:szCs w:val="23"/>
                <w:color w:val="auto"/>
              </w:rPr>
            </w:pPr>
          </w:p>
        </w:tc>
        <w:tc>
          <w:tcPr>
            <w:tcW w:w="1380" w:type="dxa"/>
            <w:vAlign w:val="bottom"/>
          </w:tcPr>
          <w:p>
            <w:pPr>
              <w:jc w:val="right"/>
              <w:ind w:right="15"/>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3"/>
              <w:spacing w:after="0"/>
              <w:rPr>
                <w:sz w:val="20"/>
                <w:szCs w:val="20"/>
                <w:color w:val="auto"/>
              </w:rPr>
            </w:pPr>
            <w:r>
              <w:rPr>
                <w:rFonts w:ascii="Arial" w:cs="Arial" w:eastAsia="Arial" w:hAnsi="Arial"/>
                <w:sz w:val="18"/>
                <w:szCs w:val="18"/>
                <w:color w:val="auto"/>
              </w:rPr>
              <w:t>1,990</w:t>
            </w: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57"/>
        </w:trPr>
        <w:tc>
          <w:tcPr>
            <w:tcW w:w="8080" w:type="dxa"/>
            <w:vAlign w:val="bottom"/>
          </w:tcPr>
          <w:p>
            <w:pPr>
              <w:spacing w:after="0"/>
              <w:rPr>
                <w:sz w:val="20"/>
                <w:szCs w:val="20"/>
                <w:color w:val="auto"/>
              </w:rPr>
            </w:pPr>
            <w:r>
              <w:rPr>
                <w:rFonts w:ascii="Arial" w:cs="Arial" w:eastAsia="Arial" w:hAnsi="Arial"/>
                <w:sz w:val="18"/>
                <w:szCs w:val="18"/>
                <w:b w:val="1"/>
                <w:bCs w:val="1"/>
                <w:color w:val="auto"/>
              </w:rPr>
              <w:t>Automotive net cash provided by operating activities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543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3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2,272</w:t>
            </w: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162"/>
        <w:spacing w:after="0" w:line="277" w:lineRule="auto"/>
        <w:rPr>
          <w:sz w:val="20"/>
          <w:szCs w:val="20"/>
          <w:color w:val="auto"/>
        </w:rPr>
      </w:pPr>
      <w:r>
        <w:rPr>
          <w:rFonts w:ascii="Arial" w:cs="Arial" w:eastAsia="Arial" w:hAnsi="Arial"/>
          <w:sz w:val="18"/>
          <w:szCs w:val="18"/>
          <w:color w:val="auto"/>
        </w:rPr>
        <w:t>In the three months ended March 31, 2013 adjustments for voluntary management actions included pension contributions of $71 million related to the previously announced annuitization of the U.S. salaried pension plan.</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tables summarize key financial information by segment (dollars in millions):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12"/>
                <w:szCs w:val="12"/>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4"/>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6"/>
              </w:rPr>
              <w:t>Corporate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54"/>
        </w:trPr>
        <w:tc>
          <w:tcPr>
            <w:tcW w:w="3440" w:type="dxa"/>
            <w:vAlign w:val="bottom"/>
          </w:tcPr>
          <w:p>
            <w:pPr>
              <w:ind w:left="40"/>
              <w:spacing w:after="0"/>
              <w:rPr>
                <w:sz w:val="20"/>
                <w:szCs w:val="20"/>
                <w:color w:val="auto"/>
              </w:rPr>
            </w:pPr>
            <w:r>
              <w:rPr>
                <w:rFonts w:ascii="Arial" w:cs="Arial" w:eastAsia="Arial" w:hAnsi="Arial"/>
                <w:sz w:val="13"/>
                <w:szCs w:val="13"/>
                <w:b w:val="1"/>
                <w:bCs w:val="1"/>
                <w:color w:val="auto"/>
              </w:rPr>
              <w:t>Three Months Ended March 31, 2013</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3"/>
                <w:szCs w:val="13"/>
                <w:color w:val="auto"/>
              </w:rPr>
              <w:t>Total net sales and revenue</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22,979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4,818</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4,820</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3,691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36</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36,344</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540</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36,884</w:t>
            </w:r>
          </w:p>
        </w:tc>
      </w:tr>
      <w:tr>
        <w:trPr>
          <w:trHeight w:val="285"/>
        </w:trPr>
        <w:tc>
          <w:tcPr>
            <w:tcW w:w="3440" w:type="dxa"/>
            <w:vAlign w:val="bottom"/>
          </w:tcPr>
          <w:p>
            <w:pPr>
              <w:ind w:left="40"/>
              <w:spacing w:after="0"/>
              <w:rPr>
                <w:sz w:val="20"/>
                <w:szCs w:val="20"/>
                <w:color w:val="auto"/>
              </w:rPr>
            </w:pPr>
            <w:r>
              <w:rPr>
                <w:rFonts w:ascii="Arial" w:cs="Arial" w:eastAsia="Arial" w:hAnsi="Arial"/>
                <w:sz w:val="13"/>
                <w:szCs w:val="13"/>
                <w:color w:val="auto"/>
                <w:w w:val="94"/>
              </w:rPr>
              <w:t>Depreciation, amortization and impairment of long-lived assets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0"/>
        </w:trPr>
        <w:tc>
          <w:tcPr>
            <w:tcW w:w="3440" w:type="dxa"/>
            <w:vAlign w:val="bottom"/>
          </w:tcPr>
          <w:p>
            <w:pPr>
              <w:ind w:left="200"/>
              <w:spacing w:after="0"/>
              <w:rPr>
                <w:sz w:val="20"/>
                <w:szCs w:val="20"/>
                <w:color w:val="auto"/>
              </w:rPr>
            </w:pPr>
            <w:r>
              <w:rPr>
                <w:rFonts w:ascii="Arial" w:cs="Arial" w:eastAsia="Arial" w:hAnsi="Arial"/>
                <w:sz w:val="13"/>
                <w:szCs w:val="13"/>
                <w:color w:val="auto"/>
              </w:rPr>
              <w:t>and 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926</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110</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203</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130</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16</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1,385</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84</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1,465</w:t>
            </w:r>
          </w:p>
        </w:tc>
      </w:tr>
      <w:tr>
        <w:trPr>
          <w:trHeight w:val="392"/>
        </w:trPr>
        <w:tc>
          <w:tcPr>
            <w:tcW w:w="3440" w:type="dxa"/>
            <w:vAlign w:val="bottom"/>
          </w:tcPr>
          <w:p>
            <w:pPr>
              <w:ind w:left="40"/>
              <w:spacing w:after="0"/>
              <w:rPr>
                <w:sz w:val="20"/>
                <w:szCs w:val="20"/>
                <w:color w:val="auto"/>
              </w:rPr>
            </w:pPr>
            <w:r>
              <w:rPr>
                <w:rFonts w:ascii="Arial" w:cs="Arial" w:eastAsia="Arial" w:hAnsi="Arial"/>
                <w:sz w:val="13"/>
                <w:szCs w:val="13"/>
                <w:color w:val="auto"/>
              </w:rPr>
              <w:t>Equity income, net of tax</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550</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555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555</w:t>
            </w:r>
          </w:p>
        </w:tc>
      </w:tr>
      <w:tr>
        <w:trPr>
          <w:trHeight w:val="281"/>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3"/>
              </w:rPr>
              <w:t>Total</w:t>
            </w:r>
          </w:p>
        </w:tc>
        <w:tc>
          <w:tcPr>
            <w:tcW w:w="120" w:type="dxa"/>
            <w:vAlign w:val="bottom"/>
          </w:tcPr>
          <w:p>
            <w:pPr>
              <w:spacing w:after="0"/>
              <w:rPr>
                <w:sz w:val="24"/>
                <w:szCs w:val="24"/>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GM</w:t>
            </w: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4"/>
        </w:trPr>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GMNA</w:t>
            </w:r>
          </w:p>
        </w:tc>
        <w:tc>
          <w:tcPr>
            <w:tcW w:w="14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b w:val="1"/>
                <w:bCs w:val="1"/>
                <w:color w:val="auto"/>
              </w:rPr>
              <w:t>GME</w:t>
            </w:r>
          </w:p>
        </w:tc>
        <w:tc>
          <w:tcPr>
            <w:tcW w:w="140" w:type="dxa"/>
            <w:vAlign w:val="bottom"/>
          </w:tcPr>
          <w:p>
            <w:pPr>
              <w:spacing w:after="0"/>
              <w:rPr>
                <w:sz w:val="15"/>
                <w:szCs w:val="15"/>
                <w:color w:val="auto"/>
              </w:rPr>
            </w:pPr>
          </w:p>
        </w:tc>
        <w:tc>
          <w:tcPr>
            <w:tcW w:w="680" w:type="dxa"/>
            <w:vAlign w:val="bottom"/>
            <w:gridSpan w:val="2"/>
          </w:tcPr>
          <w:p>
            <w:pPr>
              <w:ind w:left="40"/>
              <w:spacing w:after="0"/>
              <w:rPr>
                <w:sz w:val="20"/>
                <w:szCs w:val="20"/>
                <w:color w:val="auto"/>
              </w:rPr>
            </w:pPr>
            <w:r>
              <w:rPr>
                <w:rFonts w:ascii="Arial" w:cs="Arial" w:eastAsia="Arial" w:hAnsi="Arial"/>
                <w:sz w:val="13"/>
                <w:szCs w:val="13"/>
                <w:b w:val="1"/>
                <w:bCs w:val="1"/>
                <w:color w:val="auto"/>
              </w:rPr>
              <w:t>GMIO</w:t>
            </w: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GMSA</w:t>
            </w:r>
          </w:p>
        </w:tc>
        <w:tc>
          <w:tcPr>
            <w:tcW w:w="100" w:type="dxa"/>
            <w:vAlign w:val="bottom"/>
          </w:tcPr>
          <w:p>
            <w:pPr>
              <w:spacing w:after="0"/>
              <w:rPr>
                <w:sz w:val="15"/>
                <w:szCs w:val="15"/>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86"/>
              </w:rPr>
              <w:t>Corporate</w:t>
            </w:r>
          </w:p>
        </w:tc>
        <w:tc>
          <w:tcPr>
            <w:tcW w:w="140" w:type="dxa"/>
            <w:vAlign w:val="bottom"/>
          </w:tcPr>
          <w:p>
            <w:pPr>
              <w:spacing w:after="0"/>
              <w:rPr>
                <w:sz w:val="15"/>
                <w:szCs w:val="15"/>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6"/>
              </w:rPr>
              <w:t>Automotive</w:t>
            </w:r>
          </w:p>
        </w:tc>
        <w:tc>
          <w:tcPr>
            <w:tcW w:w="120" w:type="dxa"/>
            <w:vAlign w:val="bottom"/>
          </w:tcPr>
          <w:p>
            <w:pPr>
              <w:spacing w:after="0"/>
              <w:rPr>
                <w:sz w:val="15"/>
                <w:szCs w:val="15"/>
                <w:color w:val="auto"/>
              </w:rPr>
            </w:pPr>
          </w:p>
        </w:tc>
        <w:tc>
          <w:tcPr>
            <w:tcW w:w="7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8"/>
              </w:rPr>
              <w:t>Financial</w:t>
            </w:r>
          </w:p>
        </w:tc>
        <w:tc>
          <w:tcPr>
            <w:tcW w:w="120" w:type="dxa"/>
            <w:vAlign w:val="bottom"/>
          </w:tcPr>
          <w:p>
            <w:pPr>
              <w:spacing w:after="0"/>
              <w:rPr>
                <w:sz w:val="15"/>
                <w:szCs w:val="15"/>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Eliminations</w:t>
            </w:r>
          </w:p>
        </w:tc>
        <w:tc>
          <w:tcPr>
            <w:tcW w:w="140" w:type="dxa"/>
            <w:vAlign w:val="bottom"/>
          </w:tcPr>
          <w:p>
            <w:pPr>
              <w:spacing w:after="0"/>
              <w:rPr>
                <w:sz w:val="15"/>
                <w:szCs w:val="15"/>
                <w:color w:val="auto"/>
              </w:rPr>
            </w:pPr>
          </w:p>
        </w:tc>
        <w:tc>
          <w:tcPr>
            <w:tcW w:w="520" w:type="dxa"/>
            <w:vAlign w:val="bottom"/>
          </w:tcPr>
          <w:p>
            <w:pPr>
              <w:jc w:val="right"/>
              <w:ind w:right="137"/>
              <w:spacing w:after="0"/>
              <w:rPr>
                <w:sz w:val="20"/>
                <w:szCs w:val="20"/>
                <w:color w:val="auto"/>
              </w:rPr>
            </w:pPr>
            <w:r>
              <w:rPr>
                <w:rFonts w:ascii="Arial" w:cs="Arial" w:eastAsia="Arial" w:hAnsi="Arial"/>
                <w:sz w:val="13"/>
                <w:szCs w:val="13"/>
                <w:b w:val="1"/>
                <w:bCs w:val="1"/>
                <w:color w:val="auto"/>
                <w:w w:val="96"/>
              </w:rPr>
              <w:t>Total</w:t>
            </w:r>
          </w:p>
        </w:tc>
      </w:tr>
      <w:tr>
        <w:trPr>
          <w:trHeight w:val="254"/>
        </w:trPr>
        <w:tc>
          <w:tcPr>
            <w:tcW w:w="3440" w:type="dxa"/>
            <w:vAlign w:val="bottom"/>
          </w:tcPr>
          <w:p>
            <w:pPr>
              <w:ind w:left="40"/>
              <w:spacing w:after="0"/>
              <w:rPr>
                <w:sz w:val="20"/>
                <w:szCs w:val="20"/>
                <w:color w:val="auto"/>
              </w:rPr>
            </w:pPr>
            <w:r>
              <w:rPr>
                <w:rFonts w:ascii="Arial" w:cs="Arial" w:eastAsia="Arial" w:hAnsi="Arial"/>
                <w:sz w:val="13"/>
                <w:szCs w:val="13"/>
                <w:b w:val="1"/>
                <w:bCs w:val="1"/>
                <w:color w:val="auto"/>
              </w:rPr>
              <w:t>Three Months Ended March 31, 2012</w:t>
            </w:r>
          </w:p>
        </w:tc>
        <w:tc>
          <w:tcPr>
            <w:tcW w:w="12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Borders>
              <w:top w:val="single" w:sz="8" w:color="auto"/>
            </w:tcBorders>
          </w:tcPr>
          <w:p>
            <w:pPr>
              <w:spacing w:after="0"/>
              <w:rPr>
                <w:sz w:val="22"/>
                <w:szCs w:val="22"/>
                <w:color w:val="auto"/>
              </w:rPr>
            </w:pPr>
          </w:p>
        </w:tc>
        <w:tc>
          <w:tcPr>
            <w:tcW w:w="9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520" w:type="dxa"/>
            <w:vAlign w:val="bottom"/>
            <w:tcBorders>
              <w:top w:val="single" w:sz="8" w:color="auto"/>
            </w:tcBorders>
          </w:tcPr>
          <w:p>
            <w:pPr>
              <w:spacing w:after="0"/>
              <w:rPr>
                <w:sz w:val="22"/>
                <w:szCs w:val="22"/>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3"/>
                <w:szCs w:val="13"/>
                <w:color w:val="auto"/>
              </w:rPr>
              <w:t>Total net sales and revenue(a)</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23,175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5,255</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5,016</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3,867</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37,328</w:t>
            </w:r>
          </w:p>
        </w:tc>
        <w:tc>
          <w:tcPr>
            <w:tcW w:w="10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431</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37,759</w:t>
            </w:r>
          </w:p>
        </w:tc>
      </w:tr>
      <w:tr>
        <w:trPr>
          <w:trHeight w:val="285"/>
        </w:trPr>
        <w:tc>
          <w:tcPr>
            <w:tcW w:w="3440" w:type="dxa"/>
            <w:vAlign w:val="bottom"/>
          </w:tcPr>
          <w:p>
            <w:pPr>
              <w:ind w:left="40"/>
              <w:spacing w:after="0"/>
              <w:rPr>
                <w:sz w:val="20"/>
                <w:szCs w:val="20"/>
                <w:color w:val="auto"/>
              </w:rPr>
            </w:pPr>
            <w:r>
              <w:rPr>
                <w:rFonts w:ascii="Arial" w:cs="Arial" w:eastAsia="Arial" w:hAnsi="Arial"/>
                <w:sz w:val="13"/>
                <w:szCs w:val="13"/>
                <w:color w:val="auto"/>
                <w:w w:val="94"/>
              </w:rPr>
              <w:t>Depreciation, amortization and impairment of long-lived assets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0"/>
        </w:trPr>
        <w:tc>
          <w:tcPr>
            <w:tcW w:w="3440" w:type="dxa"/>
            <w:vAlign w:val="bottom"/>
          </w:tcPr>
          <w:p>
            <w:pPr>
              <w:ind w:left="200"/>
              <w:spacing w:after="0"/>
              <w:rPr>
                <w:sz w:val="20"/>
                <w:szCs w:val="20"/>
                <w:color w:val="auto"/>
              </w:rPr>
            </w:pPr>
            <w:r>
              <w:rPr>
                <w:rFonts w:ascii="Arial" w:cs="Arial" w:eastAsia="Arial" w:hAnsi="Arial"/>
                <w:sz w:val="13"/>
                <w:szCs w:val="13"/>
                <w:color w:val="auto"/>
              </w:rPr>
              <w:t>and finite-lived intangible assets</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888</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280</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129</w:t>
            </w:r>
          </w:p>
        </w:tc>
        <w:tc>
          <w:tcPr>
            <w:tcW w:w="12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1,427</w:t>
            </w:r>
          </w:p>
        </w:tc>
        <w:tc>
          <w:tcPr>
            <w:tcW w:w="1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43</w:t>
            </w:r>
          </w:p>
        </w:tc>
        <w:tc>
          <w:tcPr>
            <w:tcW w:w="12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0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1,468</w:t>
            </w:r>
          </w:p>
        </w:tc>
      </w:tr>
      <w:tr>
        <w:trPr>
          <w:trHeight w:val="392"/>
        </w:trPr>
        <w:tc>
          <w:tcPr>
            <w:tcW w:w="3440" w:type="dxa"/>
            <w:vAlign w:val="bottom"/>
          </w:tcPr>
          <w:p>
            <w:pPr>
              <w:ind w:left="40"/>
              <w:spacing w:after="0"/>
              <w:rPr>
                <w:sz w:val="20"/>
                <w:szCs w:val="20"/>
                <w:color w:val="auto"/>
              </w:rPr>
            </w:pPr>
            <w:r>
              <w:rPr>
                <w:rFonts w:ascii="Arial" w:cs="Arial" w:eastAsia="Arial" w:hAnsi="Arial"/>
                <w:sz w:val="13"/>
                <w:szCs w:val="13"/>
                <w:color w:val="auto"/>
              </w:rPr>
              <w:t>Equity income, net of tax</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421</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
              <w:spacing w:after="0"/>
              <w:rPr>
                <w:sz w:val="20"/>
                <w:szCs w:val="20"/>
                <w:color w:val="auto"/>
              </w:rPr>
            </w:pPr>
            <w:r>
              <w:rPr>
                <w:rFonts w:ascii="Arial" w:cs="Arial" w:eastAsia="Arial" w:hAnsi="Arial"/>
                <w:sz w:val="13"/>
                <w:szCs w:val="13"/>
                <w:color w:val="auto"/>
              </w:rPr>
              <w:t>423</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20" w:type="dxa"/>
            <w:vAlign w:val="bottom"/>
          </w:tcPr>
          <w:p>
            <w:pPr>
              <w:jc w:val="right"/>
              <w:ind w:right="37"/>
              <w:spacing w:after="0"/>
              <w:rPr>
                <w:sz w:val="20"/>
                <w:szCs w:val="20"/>
                <w:color w:val="auto"/>
              </w:rPr>
            </w:pPr>
            <w:r>
              <w:rPr>
                <w:rFonts w:ascii="Arial" w:cs="Arial" w:eastAsia="Arial" w:hAnsi="Arial"/>
                <w:sz w:val="13"/>
                <w:szCs w:val="13"/>
                <w:color w:val="auto"/>
              </w:rPr>
              <w:t>423</w:t>
            </w:r>
          </w:p>
        </w:tc>
      </w:tr>
      <w:tr>
        <w:trPr>
          <w:trHeight w:val="201"/>
        </w:trPr>
        <w:tc>
          <w:tcPr>
            <w:tcW w:w="3440" w:type="dxa"/>
            <w:vAlign w:val="bottom"/>
          </w:tcPr>
          <w:p>
            <w:pPr>
              <w:spacing w:after="0"/>
              <w:rPr>
                <w:sz w:val="20"/>
                <w:szCs w:val="20"/>
                <w:color w:val="auto"/>
              </w:rPr>
            </w:pPr>
            <w:r>
              <w:rPr>
                <w:rFonts w:ascii="Arial" w:cs="Arial" w:eastAsia="Arial" w:hAnsi="Arial"/>
                <w:sz w:val="16"/>
                <w:szCs w:val="16"/>
                <w:color w:val="auto"/>
              </w:rPr>
              <w:t>__________</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r>
    </w:tbl>
    <w:p>
      <w:pPr>
        <w:ind w:left="340" w:hanging="332"/>
        <w:spacing w:after="0" w:line="327" w:lineRule="auto"/>
        <w:tabs>
          <w:tab w:leader="none" w:pos="340" w:val="left"/>
        </w:tabs>
        <w:numPr>
          <w:ilvl w:val="0"/>
          <w:numId w:val="6"/>
        </w:numPr>
        <w:rPr>
          <w:rFonts w:ascii="Arial" w:cs="Arial" w:eastAsia="Arial" w:hAnsi="Arial"/>
          <w:sz w:val="11"/>
          <w:szCs w:val="11"/>
          <w:color w:val="auto"/>
        </w:rPr>
      </w:pPr>
      <w:r>
        <w:rPr>
          <w:rFonts w:ascii="Arial" w:cs="Arial" w:eastAsia="Arial" w:hAnsi="Arial"/>
          <w:sz w:val="11"/>
          <w:szCs w:val="11"/>
          <w:color w:val="auto"/>
        </w:rPr>
        <w:t>In the three months ended March 31, 2013 GM changed its managerial and reporting structure to report segment revenues and profits based on the geographic region in which a vehicle is sold. Previously, segment results included the impacts of inter-segment sales and profits. Prior year segment results have been reclassified so all information is shown on a comparable basis. Consolidated results are unaffected by this 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8" w:name="page9"/>
    <w:bookmarkEnd w:id="8"/>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2013</w:t>
            </w:r>
          </w:p>
        </w:tc>
        <w:tc>
          <w:tcPr>
            <w:tcW w:w="1580" w:type="dxa"/>
            <w:vAlign w:val="bottom"/>
          </w:tcPr>
          <w:p>
            <w:pPr>
              <w:jc w:val="right"/>
              <w:ind w:right="112"/>
              <w:spacing w:after="0"/>
              <w:rPr>
                <w:sz w:val="20"/>
                <w:szCs w:val="20"/>
                <w:color w:val="auto"/>
              </w:rPr>
            </w:pPr>
            <w:r>
              <w:rPr>
                <w:rFonts w:ascii="Arial" w:cs="Arial" w:eastAsia="Arial" w:hAnsi="Arial"/>
                <w:sz w:val="14"/>
                <w:szCs w:val="14"/>
                <w:b w:val="1"/>
                <w:bCs w:val="1"/>
                <w:color w:val="auto"/>
              </w:rPr>
              <w:t>December 31, 2012</w:t>
            </w:r>
          </w:p>
        </w:tc>
      </w:tr>
      <w:tr>
        <w:trPr>
          <w:trHeight w:val="243"/>
        </w:trPr>
        <w:tc>
          <w:tcPr>
            <w:tcW w:w="8080" w:type="dxa"/>
            <w:vAlign w:val="bottom"/>
          </w:tcPr>
          <w:p>
            <w:pPr>
              <w:spacing w:after="0"/>
              <w:rPr>
                <w:sz w:val="20"/>
                <w:szCs w:val="20"/>
                <w:color w:val="auto"/>
              </w:rPr>
            </w:pPr>
            <w:r>
              <w:rPr>
                <w:rFonts w:ascii="Arial" w:cs="Arial" w:eastAsia="Arial" w:hAnsi="Arial"/>
                <w:sz w:val="18"/>
                <w:szCs w:val="18"/>
                <w:b w:val="1"/>
                <w:bCs w:val="1"/>
                <w:color w:val="auto"/>
              </w:rPr>
              <w:t>Worldwide Employment (in thousands)</w:t>
            </w: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GMNA(a)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101</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GME</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37</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GMIO</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39</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GMSA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32</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GM Financial</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w:t>
            </w:r>
          </w:p>
        </w:tc>
      </w:tr>
      <w:tr>
        <w:trPr>
          <w:trHeight w:val="27"/>
        </w:trPr>
        <w:tc>
          <w:tcPr>
            <w:tcW w:w="8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8080" w:type="dxa"/>
            <w:vAlign w:val="bottom"/>
          </w:tcPr>
          <w:p>
            <w:pPr>
              <w:spacing w:after="0"/>
              <w:rPr>
                <w:sz w:val="20"/>
                <w:szCs w:val="20"/>
                <w:color w:val="auto"/>
              </w:rPr>
            </w:pPr>
            <w:r>
              <w:rPr>
                <w:rFonts w:ascii="Arial" w:cs="Arial" w:eastAsia="Arial" w:hAnsi="Arial"/>
                <w:sz w:val="18"/>
                <w:szCs w:val="18"/>
                <w:b w:val="1"/>
                <w:bCs w:val="1"/>
                <w:color w:val="auto"/>
              </w:rPr>
              <w:t>Total Worldwide</w:t>
            </w:r>
          </w:p>
        </w:tc>
        <w:tc>
          <w:tcPr>
            <w:tcW w:w="16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213</w:t>
            </w:r>
          </w:p>
        </w:tc>
      </w:tr>
      <w:tr>
        <w:trPr>
          <w:trHeight w:val="20"/>
        </w:trPr>
        <w:tc>
          <w:tcPr>
            <w:tcW w:w="80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500"/>
        </w:trPr>
        <w:tc>
          <w:tcPr>
            <w:tcW w:w="8080" w:type="dxa"/>
            <w:vAlign w:val="bottom"/>
          </w:tcPr>
          <w:p>
            <w:pPr>
              <w:spacing w:after="0"/>
              <w:rPr>
                <w:sz w:val="20"/>
                <w:szCs w:val="20"/>
                <w:color w:val="auto"/>
              </w:rPr>
            </w:pPr>
            <w:r>
              <w:rPr>
                <w:rFonts w:ascii="Arial" w:cs="Arial" w:eastAsia="Arial" w:hAnsi="Arial"/>
                <w:sz w:val="18"/>
                <w:szCs w:val="18"/>
                <w:color w:val="auto"/>
              </w:rPr>
              <w:t>U.S. - Salaried(a)</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U.S. - Hourly</w:t>
            </w:r>
          </w:p>
        </w:tc>
        <w:tc>
          <w:tcPr>
            <w:tcW w:w="1600" w:type="dxa"/>
            <w:vAlign w:val="bottom"/>
          </w:tcPr>
          <w:p>
            <w:pPr>
              <w:jc w:val="right"/>
              <w:ind w:right="3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50</w:t>
            </w:r>
          </w:p>
        </w:tc>
      </w:tr>
    </w:tbl>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Headcount increased primarily due to the insourcing of certain information technology support functions that were previously provided by outside parties.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and Retail Vehicle Sales</w:t>
      </w:r>
    </w:p>
    <w:p>
      <w:pPr>
        <w:spacing w:after="0" w:line="229" w:lineRule="exact"/>
        <w:rPr>
          <w:sz w:val="20"/>
          <w:szCs w:val="20"/>
          <w:color w:val="auto"/>
        </w:rPr>
      </w:pPr>
    </w:p>
    <w:p>
      <w:pPr>
        <w:jc w:val="both"/>
        <w:ind w:firstLine="162"/>
        <w:spacing w:after="0" w:line="291" w:lineRule="auto"/>
        <w:rPr>
          <w:sz w:val="20"/>
          <w:szCs w:val="20"/>
          <w:color w:val="auto"/>
        </w:rPr>
      </w:pPr>
      <w:r>
        <w:rPr>
          <w:rFonts w:ascii="Arial" w:cs="Arial" w:eastAsia="Arial" w:hAnsi="Arial"/>
          <w:sz w:val="16"/>
          <w:szCs w:val="16"/>
          <w:color w:val="auto"/>
        </w:rPr>
        <w:t>Wholesale vehicle sales data, which represents sales directly to dealers and others, is the measure that correlates vehicle sales to our revenue from the sale of vehicles, which is the largest component of Automotive sales and revenue. Wholesale vehicle sales exclude vehicle sales produced by unconsolidated joint ventures. Retail vehicle sales data, which represents estimated sales to the end customer, including fleets, does not correlate directly to the revenue recognized during the period. However, retail vehicle sales data is indicative of the underlying demand for GM's vehicles, is the basis for market share, and is based upon the good faith estimates of management and includes all sales by joint ventures on a total vehicle basis, not based on the percentage of ownership in the joint venture. Market share information is based primarily on retail vehicle sales volume, but estimates may be used where retail vehicle sales volume is not available. Worldwide market share and retail vehicle sales data exclude the markets of Iran, North Korea, Sudan and Syria.</w:t>
      </w:r>
    </w:p>
    <w:p>
      <w:pPr>
        <w:spacing w:after="0" w:line="167"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Retail sales volume includes vehicles produced by certain joint ventures. The joint venture agreements with SAIC-GM-Wuling Automobile Co., Ltd. (SGMW) and FAW-GM Light Duty Commercial Vehicle Co., Ltd. (FAW-GM) allow for significant rights as a member as well as the contractual right to report SGMW and FAW-GM joint venture sales in China.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9" w:name="page10"/>
    <w:bookmarkEnd w:id="9"/>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Wholesale Vehicle Sales</w:t>
      </w:r>
    </w:p>
    <w:p>
      <w:pPr>
        <w:spacing w:after="0" w:line="22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total wholesale vehicle sales of new motor vehicles by automotive segment (vehicles in thousands):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2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974"/>
              <w:spacing w:after="0"/>
              <w:rPr>
                <w:sz w:val="20"/>
                <w:szCs w:val="20"/>
                <w:color w:val="auto"/>
              </w:rPr>
            </w:pPr>
            <w:r>
              <w:rPr>
                <w:rFonts w:ascii="Arial" w:cs="Arial" w:eastAsia="Arial" w:hAnsi="Arial"/>
                <w:sz w:val="13"/>
                <w:szCs w:val="13"/>
                <w:b w:val="1"/>
                <w:bCs w:val="1"/>
                <w:color w:val="auto"/>
              </w:rPr>
              <w:t>Three Months Ended</w:t>
            </w:r>
          </w:p>
        </w:tc>
        <w:tc>
          <w:tcPr>
            <w:tcW w:w="0" w:type="dxa"/>
            <w:vAlign w:val="bottom"/>
          </w:tcPr>
          <w:p>
            <w:pPr>
              <w:spacing w:after="0"/>
              <w:rPr>
                <w:sz w:val="1"/>
                <w:szCs w:val="1"/>
                <w:color w:val="auto"/>
              </w:rPr>
            </w:pPr>
          </w:p>
        </w:tc>
      </w:tr>
      <w:tr>
        <w:trPr>
          <w:trHeight w:val="264"/>
        </w:trPr>
        <w:tc>
          <w:tcPr>
            <w:tcW w:w="8120" w:type="dxa"/>
            <w:vAlign w:val="bottom"/>
          </w:tcPr>
          <w:p>
            <w:pPr>
              <w:spacing w:after="0"/>
              <w:rPr>
                <w:sz w:val="22"/>
                <w:szCs w:val="22"/>
                <w:color w:val="auto"/>
              </w:rPr>
            </w:pPr>
          </w:p>
        </w:tc>
        <w:tc>
          <w:tcPr>
            <w:tcW w:w="1720" w:type="dxa"/>
            <w:vAlign w:val="bottom"/>
            <w:gridSpan w:val="2"/>
          </w:tcPr>
          <w:p>
            <w:pPr>
              <w:ind w:left="380"/>
              <w:spacing w:after="0"/>
              <w:rPr>
                <w:sz w:val="20"/>
                <w:szCs w:val="20"/>
                <w:color w:val="auto"/>
              </w:rPr>
            </w:pPr>
            <w:r>
              <w:rPr>
                <w:rFonts w:ascii="Arial" w:cs="Arial" w:eastAsia="Arial" w:hAnsi="Arial"/>
                <w:sz w:val="13"/>
                <w:szCs w:val="13"/>
                <w:b w:val="1"/>
                <w:bCs w:val="1"/>
                <w:color w:val="auto"/>
              </w:rPr>
              <w:t>March 31, 2013</w:t>
            </w:r>
          </w:p>
        </w:tc>
        <w:tc>
          <w:tcPr>
            <w:tcW w:w="1580" w:type="dxa"/>
            <w:vAlign w:val="bottom"/>
          </w:tcPr>
          <w:p>
            <w:pPr>
              <w:jc w:val="right"/>
              <w:ind w:right="294"/>
              <w:spacing w:after="0"/>
              <w:rPr>
                <w:sz w:val="20"/>
                <w:szCs w:val="20"/>
                <w:color w:val="auto"/>
              </w:rPr>
            </w:pPr>
            <w:r>
              <w:rPr>
                <w:rFonts w:ascii="Arial" w:cs="Arial" w:eastAsia="Arial" w:hAnsi="Arial"/>
                <w:sz w:val="13"/>
                <w:szCs w:val="13"/>
                <w:b w:val="1"/>
                <w:bCs w:val="1"/>
                <w:color w:val="auto"/>
              </w:rPr>
              <w:t>March 31, 2012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GMNA</w:t>
            </w:r>
          </w:p>
        </w:tc>
        <w:tc>
          <w:tcPr>
            <w:tcW w:w="16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1"/>
                <w:szCs w:val="21"/>
                <w:color w:val="auto"/>
              </w:rPr>
            </w:pP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GME(a)</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GMIO(a)(b)</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243</w:t>
            </w:r>
          </w:p>
        </w:tc>
        <w:tc>
          <w:tcPr>
            <w:tcW w:w="12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GMSA</w:t>
            </w:r>
          </w:p>
        </w:tc>
        <w:tc>
          <w:tcPr>
            <w:tcW w:w="1600" w:type="dxa"/>
            <w:vAlign w:val="bottom"/>
          </w:tcPr>
          <w:p>
            <w:pPr>
              <w:jc w:val="right"/>
              <w:ind w:right="38"/>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237</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Worldwide</w:t>
            </w:r>
          </w:p>
        </w:tc>
        <w:tc>
          <w:tcPr>
            <w:tcW w:w="160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1,554</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20" w:hanging="332"/>
        <w:spacing w:after="0" w:line="249"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Chevrolet branded vehicles sold in European markets are distributed by subsidiaries of GM Korea Company, which is a component of GMIO. Revenue and wholesale vehicle sales of Chevrolet branded vehicles sold in European markets are included in GMIO's financial results.</w:t>
      </w:r>
    </w:p>
    <w:p>
      <w:pPr>
        <w:jc w:val="both"/>
        <w:ind w:left="340" w:right="20" w:hanging="332"/>
        <w:spacing w:after="0" w:line="252"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joint venture wholesale vehicle sales presented in the following table are excluded from our wholesale vehicle sales. Wholesale vehicle sales for SAIC GM Investment Limited, the holding company of General Motors India Private Limited and Chevrolet Sales India Private Limited (collectively HKJV) are included in the three months ended March 31, 2013.</w:t>
      </w:r>
    </w:p>
    <w:p>
      <w:pPr>
        <w:spacing w:after="0" w:line="200" w:lineRule="exact"/>
        <w:rPr>
          <w:sz w:val="20"/>
          <w:szCs w:val="20"/>
          <w:color w:val="auto"/>
        </w:rPr>
      </w:pPr>
    </w:p>
    <w:p>
      <w:pPr>
        <w:spacing w:after="0" w:line="224"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820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2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2013</w:t>
            </w:r>
          </w:p>
        </w:tc>
        <w:tc>
          <w:tcPr>
            <w:tcW w:w="1160" w:type="dxa"/>
            <w:vAlign w:val="bottom"/>
          </w:tcPr>
          <w:p>
            <w:pPr>
              <w:jc w:val="right"/>
              <w:ind w:right="90"/>
              <w:spacing w:after="0"/>
              <w:rPr>
                <w:sz w:val="20"/>
                <w:szCs w:val="20"/>
                <w:color w:val="auto"/>
              </w:rPr>
            </w:pPr>
            <w:r>
              <w:rPr>
                <w:rFonts w:ascii="Arial" w:cs="Arial" w:eastAsia="Arial" w:hAnsi="Arial"/>
                <w:sz w:val="13"/>
                <w:szCs w:val="13"/>
                <w:b w:val="1"/>
                <w:bCs w:val="1"/>
                <w:color w:val="auto"/>
              </w:rPr>
              <w:t>March 31, 2012</w:t>
            </w:r>
          </w:p>
        </w:tc>
      </w:tr>
      <w:tr>
        <w:trPr>
          <w:trHeight w:val="258"/>
        </w:trPr>
        <w:tc>
          <w:tcPr>
            <w:tcW w:w="8200" w:type="dxa"/>
            <w:vAlign w:val="bottom"/>
          </w:tcPr>
          <w:p>
            <w:pPr>
              <w:spacing w:after="0"/>
              <w:rPr>
                <w:sz w:val="20"/>
                <w:szCs w:val="20"/>
                <w:color w:val="auto"/>
              </w:rPr>
            </w:pPr>
            <w:r>
              <w:rPr>
                <w:rFonts w:ascii="Arial" w:cs="Arial" w:eastAsia="Arial" w:hAnsi="Arial"/>
                <w:sz w:val="14"/>
                <w:szCs w:val="14"/>
                <w:b w:val="1"/>
                <w:bCs w:val="1"/>
                <w:color w:val="auto"/>
              </w:rPr>
              <w:t>Joint venture sales in China</w:t>
            </w: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4"/>
                <w:szCs w:val="14"/>
                <w:color w:val="auto"/>
              </w:rPr>
              <w:t>SAIC General Motors Sales Co., Ltd. (SGMS)</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337</w:t>
            </w:r>
          </w:p>
        </w:tc>
      </w:tr>
      <w:tr>
        <w:trPr>
          <w:trHeight w:val="270"/>
        </w:trPr>
        <w:tc>
          <w:tcPr>
            <w:tcW w:w="8200" w:type="dxa"/>
            <w:vAlign w:val="bottom"/>
          </w:tcPr>
          <w:p>
            <w:pPr>
              <w:spacing w:after="0"/>
              <w:rPr>
                <w:sz w:val="20"/>
                <w:szCs w:val="20"/>
                <w:color w:val="auto"/>
              </w:rPr>
            </w:pPr>
            <w:r>
              <w:rPr>
                <w:rFonts w:ascii="Arial" w:cs="Arial" w:eastAsia="Arial" w:hAnsi="Arial"/>
                <w:sz w:val="14"/>
                <w:szCs w:val="14"/>
                <w:color w:val="auto"/>
              </w:rPr>
              <w:t>SGMW and FAW-GM</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407</w:t>
            </w:r>
          </w:p>
        </w:tc>
      </w:tr>
      <w:tr>
        <w:trPr>
          <w:trHeight w:val="270"/>
        </w:trPr>
        <w:tc>
          <w:tcPr>
            <w:tcW w:w="8200" w:type="dxa"/>
            <w:vAlign w:val="bottom"/>
          </w:tcPr>
          <w:p>
            <w:pPr>
              <w:spacing w:after="0"/>
              <w:rPr>
                <w:sz w:val="20"/>
                <w:szCs w:val="20"/>
                <w:color w:val="auto"/>
              </w:rPr>
            </w:pPr>
            <w:r>
              <w:rPr>
                <w:rFonts w:ascii="Arial" w:cs="Arial" w:eastAsia="Arial" w:hAnsi="Arial"/>
                <w:sz w:val="14"/>
                <w:szCs w:val="14"/>
                <w:b w:val="1"/>
                <w:bCs w:val="1"/>
                <w:color w:val="auto"/>
              </w:rPr>
              <w:t>Joint venture sales in India</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4"/>
                <w:szCs w:val="14"/>
                <w:color w:val="auto"/>
              </w:rPr>
              <w:t>HKJV</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28</w:t>
            </w:r>
          </w:p>
        </w:tc>
      </w:tr>
    </w:tbl>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796" w:right="239" w:bottom="1440" w:gutter="0" w:footer="0" w:header="0"/>
        </w:sectPr>
      </w:pPr>
    </w:p>
    <w:bookmarkStart w:id="10" w:name="page11"/>
    <w:bookmarkEnd w:id="10"/>
    <w:p>
      <w:pPr>
        <w:jc w:val="center"/>
        <w:ind w:left="98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9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8120" w:type="dxa"/>
            <w:vAlign w:val="bottom"/>
          </w:tcPr>
          <w:p>
            <w:pPr>
              <w:spacing w:after="0"/>
              <w:rPr>
                <w:sz w:val="22"/>
                <w:szCs w:val="22"/>
                <w:color w:val="auto"/>
              </w:rPr>
            </w:pPr>
          </w:p>
        </w:tc>
        <w:tc>
          <w:tcPr>
            <w:tcW w:w="172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2013</w:t>
            </w: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Retail Vehicle Sales (units in thousands)(a)(b)(c)</w:t>
            </w:r>
          </w:p>
        </w:tc>
        <w:tc>
          <w:tcPr>
            <w:tcW w:w="16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United States</w:t>
            </w:r>
          </w:p>
        </w:tc>
        <w:tc>
          <w:tcPr>
            <w:tcW w:w="1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Chevrolet - Cars</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Chevrolet - Trucks</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Chevrolet - Crossovers</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Cadillac</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Buick</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GMC</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8"/>
                <w:szCs w:val="18"/>
                <w:b w:val="1"/>
                <w:bCs w:val="1"/>
                <w:color w:val="auto"/>
              </w:rPr>
              <w:t>Total United States</w:t>
            </w: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665</w:t>
            </w:r>
          </w:p>
        </w:tc>
        <w:tc>
          <w:tcPr>
            <w:tcW w:w="120" w:type="dxa"/>
            <w:vAlign w:val="bottom"/>
          </w:tcPr>
          <w:p>
            <w:pPr>
              <w:spacing w:after="0"/>
              <w:rPr>
                <w:sz w:val="20"/>
                <w:szCs w:val="20"/>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b w:val="1"/>
                <w:bCs w:val="1"/>
                <w:color w:val="auto"/>
              </w:rPr>
              <w:t>608</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Canada, Mexico and Other</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8"/>
                <w:szCs w:val="18"/>
                <w:b w:val="1"/>
                <w:bCs w:val="1"/>
                <w:color w:val="auto"/>
              </w:rPr>
              <w:t>Total North America</w:t>
            </w: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762</w:t>
            </w:r>
          </w:p>
        </w:tc>
        <w:tc>
          <w:tcPr>
            <w:tcW w:w="120" w:type="dxa"/>
            <w:vAlign w:val="bottom"/>
          </w:tcPr>
          <w:p>
            <w:pPr>
              <w:spacing w:after="0"/>
              <w:rPr>
                <w:sz w:val="20"/>
                <w:szCs w:val="20"/>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b w:val="1"/>
                <w:bCs w:val="1"/>
                <w:color w:val="auto"/>
              </w:rPr>
              <w:t>704</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Europe</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Opel/Vauxhall</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Chevrolet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112</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8"/>
                <w:szCs w:val="18"/>
                <w:b w:val="1"/>
                <w:bCs w:val="1"/>
                <w:color w:val="auto"/>
              </w:rPr>
              <w:t>Total Europe</w:t>
            </w: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373</w:t>
            </w:r>
          </w:p>
        </w:tc>
        <w:tc>
          <w:tcPr>
            <w:tcW w:w="120" w:type="dxa"/>
            <w:vAlign w:val="bottom"/>
          </w:tcPr>
          <w:p>
            <w:pPr>
              <w:spacing w:after="0"/>
              <w:rPr>
                <w:sz w:val="20"/>
                <w:szCs w:val="20"/>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b w:val="1"/>
                <w:bCs w:val="1"/>
                <w:color w:val="auto"/>
              </w:rPr>
              <w:t>398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Asia/Pacific, Middle East and Africa</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Chevrolet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291</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Wuling</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397</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Buick</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Holden</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GMC</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Cadillac</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8"/>
                <w:szCs w:val="18"/>
                <w:b w:val="1"/>
                <w:bCs w:val="1"/>
                <w:color w:val="auto"/>
              </w:rPr>
              <w:t>Total Asia/Pacific, Middle East and Africa(d)</w:t>
            </w: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992</w:t>
            </w:r>
          </w:p>
        </w:tc>
        <w:tc>
          <w:tcPr>
            <w:tcW w:w="120" w:type="dxa"/>
            <w:vAlign w:val="bottom"/>
          </w:tcPr>
          <w:p>
            <w:pPr>
              <w:spacing w:after="0"/>
              <w:rPr>
                <w:sz w:val="20"/>
                <w:szCs w:val="20"/>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b w:val="1"/>
                <w:bCs w:val="1"/>
                <w:color w:val="auto"/>
              </w:rPr>
              <w:t>928</w:t>
            </w:r>
          </w:p>
        </w:tc>
        <w:tc>
          <w:tcPr>
            <w:tcW w:w="0" w:type="dxa"/>
            <w:vAlign w:val="bottom"/>
          </w:tcPr>
          <w:p>
            <w:pPr>
              <w:spacing w:after="0"/>
              <w:rPr>
                <w:sz w:val="1"/>
                <w:szCs w:val="1"/>
                <w:color w:val="auto"/>
              </w:rPr>
            </w:pPr>
          </w:p>
        </w:tc>
      </w:tr>
      <w:tr>
        <w:trPr>
          <w:trHeight w:val="27"/>
        </w:trPr>
        <w:tc>
          <w:tcPr>
            <w:tcW w:w="8120" w:type="dxa"/>
            <w:vAlign w:val="bottom"/>
            <w:vMerge w:val="restart"/>
          </w:tcPr>
          <w:p>
            <w:pPr>
              <w:ind w:left="40"/>
              <w:spacing w:after="0"/>
              <w:rPr>
                <w:sz w:val="20"/>
                <w:szCs w:val="20"/>
                <w:color w:val="auto"/>
              </w:rPr>
            </w:pPr>
            <w:r>
              <w:rPr>
                <w:rFonts w:ascii="Arial" w:cs="Arial" w:eastAsia="Arial" w:hAnsi="Arial"/>
                <w:sz w:val="18"/>
                <w:szCs w:val="18"/>
                <w:color w:val="auto"/>
              </w:rPr>
              <w:t>South America</w:t>
            </w: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vMerge w:val="continue"/>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Chevrolet</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Other</w:t>
            </w:r>
          </w:p>
        </w:tc>
        <w:tc>
          <w:tcPr>
            <w:tcW w:w="16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3"/>
                <w:szCs w:val="23"/>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120" w:type="dxa"/>
            <w:vAlign w:val="bottom"/>
          </w:tcPr>
          <w:p>
            <w:pPr>
              <w:ind w:left="200"/>
              <w:spacing w:after="0"/>
              <w:rPr>
                <w:sz w:val="20"/>
                <w:szCs w:val="20"/>
                <w:color w:val="auto"/>
              </w:rPr>
            </w:pPr>
            <w:r>
              <w:rPr>
                <w:rFonts w:ascii="Arial" w:cs="Arial" w:eastAsia="Arial" w:hAnsi="Arial"/>
                <w:sz w:val="18"/>
                <w:szCs w:val="18"/>
                <w:b w:val="1"/>
                <w:bCs w:val="1"/>
                <w:color w:val="auto"/>
              </w:rPr>
              <w:t>Total South America</w:t>
            </w:r>
          </w:p>
        </w:tc>
        <w:tc>
          <w:tcPr>
            <w:tcW w:w="1600" w:type="dxa"/>
            <w:vAlign w:val="bottom"/>
          </w:tcPr>
          <w:p>
            <w:pPr>
              <w:jc w:val="right"/>
              <w:ind w:right="31"/>
              <w:spacing w:after="0"/>
              <w:rPr>
                <w:sz w:val="20"/>
                <w:szCs w:val="20"/>
                <w:color w:val="auto"/>
              </w:rPr>
            </w:pPr>
            <w:r>
              <w:rPr>
                <w:rFonts w:ascii="Arial" w:cs="Arial" w:eastAsia="Arial" w:hAnsi="Arial"/>
                <w:sz w:val="18"/>
                <w:szCs w:val="18"/>
                <w:b w:val="1"/>
                <w:bCs w:val="1"/>
                <w:color w:val="auto"/>
              </w:rPr>
              <w:t>234</w:t>
            </w:r>
          </w:p>
        </w:tc>
        <w:tc>
          <w:tcPr>
            <w:tcW w:w="120" w:type="dxa"/>
            <w:vAlign w:val="bottom"/>
          </w:tcPr>
          <w:p>
            <w:pPr>
              <w:spacing w:after="0"/>
              <w:rPr>
                <w:sz w:val="20"/>
                <w:szCs w:val="20"/>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b w:val="1"/>
                <w:bCs w:val="1"/>
                <w:color w:val="auto"/>
              </w:rPr>
              <w:t>248</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Total Worldwide</w:t>
            </w:r>
          </w:p>
        </w:tc>
        <w:tc>
          <w:tcPr>
            <w:tcW w:w="16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2,361</w:t>
            </w:r>
          </w:p>
        </w:tc>
        <w:tc>
          <w:tcPr>
            <w:tcW w:w="120" w:type="dxa"/>
            <w:vAlign w:val="bottom"/>
          </w:tcPr>
          <w:p>
            <w:pPr>
              <w:spacing w:after="0"/>
              <w:rPr>
                <w:sz w:val="22"/>
                <w:szCs w:val="22"/>
                <w:color w:val="auto"/>
              </w:rPr>
            </w:pPr>
          </w:p>
        </w:tc>
        <w:tc>
          <w:tcPr>
            <w:tcW w:w="1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2,278</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w:t>
            </w: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20" w:hanging="332"/>
        <w:spacing w:after="0" w:line="248"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North America retail vehicle sales primarily represent sales to the end customer. Europe, Asia/Pacific, Middle East and Africa and South America retail vehicle sales primarily represent estimated sales to the end customer. In countries where end customer data is not readily available other data sources, such as wholesale or forecast volumes, are used to estimate retail vehicle sales.</w:t>
      </w:r>
    </w:p>
    <w:p>
      <w:pPr>
        <w:spacing w:after="0" w:line="1"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Certain fleet sales that are accounted for as operating leases are included in retail vehicle sales at the time of delivery to the daily rental car companies.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Retail vehicle sales data may include rounding differences.</w:t>
      </w:r>
    </w:p>
    <w:p>
      <w:pPr>
        <w:spacing w:after="0" w:line="5" w:lineRule="exact"/>
        <w:rPr>
          <w:rFonts w:ascii="Arial" w:cs="Arial" w:eastAsia="Arial" w:hAnsi="Arial"/>
          <w:sz w:val="16"/>
          <w:szCs w:val="16"/>
          <w:color w:val="auto"/>
        </w:rPr>
      </w:pPr>
    </w:p>
    <w:p>
      <w:pPr>
        <w:ind w:left="340" w:right="380" w:hanging="332"/>
        <w:spacing w:after="0" w:line="257"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joint venture retail vehicle sales presented in the following table are included in GM's retail vehicle sales. Retail vehicle sales for HKJV are included in the three months ended March 31, 2012.</w:t>
      </w:r>
    </w:p>
    <w:p>
      <w:pPr>
        <w:spacing w:after="0" w:line="187" w:lineRule="exact"/>
        <w:rPr>
          <w:sz w:val="20"/>
          <w:szCs w:val="20"/>
          <w:color w:val="auto"/>
        </w:rPr>
      </w:pPr>
    </w:p>
    <w:tbl>
      <w:tblPr>
        <w:tblLayout w:type="fixed"/>
        <w:tblInd w:w="440" w:type="dxa"/>
        <w:tblCellMar>
          <w:top w:w="0" w:type="dxa"/>
          <w:left w:w="0" w:type="dxa"/>
          <w:bottom w:w="0" w:type="dxa"/>
          <w:right w:w="0" w:type="dxa"/>
        </w:tblCellMar>
      </w:tblPr>
      <w:tr>
        <w:trPr>
          <w:trHeight w:val="192"/>
        </w:trPr>
        <w:tc>
          <w:tcPr>
            <w:tcW w:w="7140" w:type="dxa"/>
            <w:vAlign w:val="bottom"/>
          </w:tcPr>
          <w:p>
            <w:pPr>
              <w:spacing w:after="0"/>
              <w:rPr>
                <w:sz w:val="16"/>
                <w:szCs w:val="16"/>
                <w:color w:val="auto"/>
              </w:rPr>
            </w:pPr>
          </w:p>
        </w:tc>
        <w:tc>
          <w:tcPr>
            <w:tcW w:w="3440" w:type="dxa"/>
            <w:vAlign w:val="bottom"/>
            <w:tcBorders>
              <w:bottom w:val="single" w:sz="8" w:color="auto"/>
            </w:tcBorders>
            <w:gridSpan w:val="3"/>
          </w:tcPr>
          <w:p>
            <w:pPr>
              <w:jc w:val="right"/>
              <w:ind w:right="988"/>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7140" w:type="dxa"/>
            <w:vAlign w:val="bottom"/>
          </w:tcPr>
          <w:p>
            <w:pPr>
              <w:spacing w:after="0"/>
              <w:rPr>
                <w:sz w:val="22"/>
                <w:szCs w:val="22"/>
                <w:color w:val="auto"/>
              </w:rPr>
            </w:pPr>
          </w:p>
        </w:tc>
        <w:tc>
          <w:tcPr>
            <w:tcW w:w="15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March 31, 2013</w:t>
            </w:r>
          </w:p>
        </w:tc>
        <w:tc>
          <w:tcPr>
            <w:tcW w:w="4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March 31, 2012</w:t>
            </w:r>
          </w:p>
        </w:tc>
      </w:tr>
      <w:tr>
        <w:trPr>
          <w:trHeight w:val="258"/>
        </w:trPr>
        <w:tc>
          <w:tcPr>
            <w:tcW w:w="7140" w:type="dxa"/>
            <w:vAlign w:val="bottom"/>
          </w:tcPr>
          <w:p>
            <w:pPr>
              <w:spacing w:after="0"/>
              <w:rPr>
                <w:sz w:val="20"/>
                <w:szCs w:val="20"/>
                <w:color w:val="auto"/>
              </w:rPr>
            </w:pPr>
            <w:r>
              <w:rPr>
                <w:rFonts w:ascii="Arial" w:cs="Arial" w:eastAsia="Arial" w:hAnsi="Arial"/>
                <w:sz w:val="14"/>
                <w:szCs w:val="14"/>
                <w:b w:val="1"/>
                <w:bCs w:val="1"/>
                <w:color w:val="auto"/>
              </w:rPr>
              <w:t>Joint venture sales in China</w:t>
            </w:r>
          </w:p>
        </w:tc>
        <w:tc>
          <w:tcPr>
            <w:tcW w:w="15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60" w:type="dxa"/>
            <w:vAlign w:val="bottom"/>
          </w:tcPr>
          <w:p>
            <w:pPr>
              <w:spacing w:after="0"/>
              <w:rPr>
                <w:sz w:val="22"/>
                <w:szCs w:val="22"/>
                <w:color w:val="auto"/>
              </w:rPr>
            </w:pPr>
          </w:p>
        </w:tc>
      </w:tr>
      <w:tr>
        <w:trPr>
          <w:trHeight w:val="216"/>
        </w:trPr>
        <w:tc>
          <w:tcPr>
            <w:tcW w:w="7140" w:type="dxa"/>
            <w:vAlign w:val="bottom"/>
          </w:tcPr>
          <w:p>
            <w:pPr>
              <w:spacing w:after="0"/>
              <w:rPr>
                <w:sz w:val="20"/>
                <w:szCs w:val="20"/>
                <w:color w:val="auto"/>
              </w:rPr>
            </w:pPr>
            <w:r>
              <w:rPr>
                <w:rFonts w:ascii="Arial" w:cs="Arial" w:eastAsia="Arial" w:hAnsi="Arial"/>
                <w:sz w:val="14"/>
                <w:szCs w:val="14"/>
                <w:color w:val="auto"/>
              </w:rPr>
              <w:t>SGMS</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382</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337</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337</w:t>
            </w:r>
          </w:p>
        </w:tc>
      </w:tr>
      <w:tr>
        <w:trPr>
          <w:trHeight w:val="216"/>
        </w:trPr>
        <w:tc>
          <w:tcPr>
            <w:tcW w:w="7140" w:type="dxa"/>
            <w:vAlign w:val="bottom"/>
          </w:tcPr>
          <w:p>
            <w:pPr>
              <w:spacing w:after="0"/>
              <w:rPr>
                <w:sz w:val="20"/>
                <w:szCs w:val="20"/>
                <w:color w:val="auto"/>
              </w:rPr>
            </w:pPr>
            <w:r>
              <w:rPr>
                <w:rFonts w:ascii="Arial" w:cs="Arial" w:eastAsia="Arial" w:hAnsi="Arial"/>
                <w:sz w:val="14"/>
                <w:szCs w:val="14"/>
                <w:color w:val="auto"/>
              </w:rPr>
              <w:t>SGMW and FAW-GM</w:t>
            </w:r>
          </w:p>
        </w:tc>
        <w:tc>
          <w:tcPr>
            <w:tcW w:w="1520" w:type="dxa"/>
            <w:vAlign w:val="bottom"/>
          </w:tcPr>
          <w:p>
            <w:pPr>
              <w:jc w:val="right"/>
              <w:ind w:right="8"/>
              <w:spacing w:after="0"/>
              <w:rPr>
                <w:sz w:val="20"/>
                <w:szCs w:val="20"/>
                <w:color w:val="auto"/>
              </w:rPr>
            </w:pPr>
            <w:r>
              <w:rPr>
                <w:rFonts w:ascii="Arial" w:cs="Arial" w:eastAsia="Arial" w:hAnsi="Arial"/>
                <w:sz w:val="14"/>
                <w:szCs w:val="14"/>
                <w:color w:val="auto"/>
              </w:rPr>
              <w:t>434</w:t>
            </w: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407</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407</w:t>
            </w:r>
          </w:p>
        </w:tc>
      </w:tr>
      <w:tr>
        <w:trPr>
          <w:trHeight w:val="270"/>
        </w:trPr>
        <w:tc>
          <w:tcPr>
            <w:tcW w:w="7140" w:type="dxa"/>
            <w:vAlign w:val="bottom"/>
          </w:tcPr>
          <w:p>
            <w:pPr>
              <w:spacing w:after="0"/>
              <w:rPr>
                <w:sz w:val="20"/>
                <w:szCs w:val="20"/>
                <w:color w:val="auto"/>
              </w:rPr>
            </w:pPr>
            <w:r>
              <w:rPr>
                <w:rFonts w:ascii="Arial" w:cs="Arial" w:eastAsia="Arial" w:hAnsi="Arial"/>
                <w:sz w:val="14"/>
                <w:szCs w:val="14"/>
                <w:b w:val="1"/>
                <w:bCs w:val="1"/>
                <w:color w:val="auto"/>
              </w:rPr>
              <w:t>Joint venture sales in India</w:t>
            </w:r>
          </w:p>
        </w:tc>
        <w:tc>
          <w:tcPr>
            <w:tcW w:w="15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70"/>
        </w:trPr>
        <w:tc>
          <w:tcPr>
            <w:tcW w:w="7140" w:type="dxa"/>
            <w:vAlign w:val="bottom"/>
          </w:tcPr>
          <w:p>
            <w:pPr>
              <w:spacing w:after="0"/>
              <w:rPr>
                <w:sz w:val="20"/>
                <w:szCs w:val="20"/>
                <w:color w:val="auto"/>
              </w:rPr>
            </w:pPr>
            <w:r>
              <w:rPr>
                <w:rFonts w:ascii="Arial" w:cs="Arial" w:eastAsia="Arial" w:hAnsi="Arial"/>
                <w:sz w:val="14"/>
                <w:szCs w:val="14"/>
                <w:color w:val="auto"/>
              </w:rPr>
              <w:t>HKJV</w:t>
            </w:r>
          </w:p>
        </w:tc>
        <w:tc>
          <w:tcPr>
            <w:tcW w:w="1520" w:type="dxa"/>
            <w:vAlign w:val="bottom"/>
          </w:tcPr>
          <w:p>
            <w:pPr>
              <w:spacing w:after="0"/>
              <w:rPr>
                <w:sz w:val="23"/>
                <w:szCs w:val="23"/>
                <w:color w:val="auto"/>
              </w:rPr>
            </w:pPr>
          </w:p>
        </w:tc>
        <w:tc>
          <w:tcPr>
            <w:tcW w:w="460" w:type="dxa"/>
            <w:vAlign w:val="bottom"/>
          </w:tcPr>
          <w:p>
            <w:pPr>
              <w:jc w:val="right"/>
              <w:ind w:right="128"/>
              <w:spacing w:after="0"/>
              <w:rPr>
                <w:sz w:val="20"/>
                <w:szCs w:val="20"/>
                <w:color w:val="auto"/>
              </w:rPr>
            </w:pPr>
            <w:r>
              <w:rPr>
                <w:rFonts w:ascii="Arial" w:cs="Arial" w:eastAsia="Arial" w:hAnsi="Arial"/>
                <w:sz w:val="14"/>
                <w:szCs w:val="14"/>
                <w:color w:val="auto"/>
              </w:rPr>
              <w:t>28</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28</w:t>
            </w: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11" w:name="page12"/>
    <w:bookmarkEnd w:id="11"/>
    <w:p>
      <w:pPr>
        <w:jc w:val="center"/>
        <w:ind w:left="5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Supplemental Material</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3300" w:type="dxa"/>
            <w:vAlign w:val="bottom"/>
            <w:tcBorders>
              <w:bottom w:val="single" w:sz="8" w:color="auto"/>
            </w:tcBorders>
            <w:gridSpan w:val="3"/>
          </w:tcPr>
          <w:p>
            <w:pPr>
              <w:ind w:left="1000"/>
              <w:spacing w:after="0"/>
              <w:rPr>
                <w:sz w:val="20"/>
                <w:szCs w:val="20"/>
                <w:color w:val="auto"/>
              </w:rPr>
            </w:pPr>
            <w:r>
              <w:rPr>
                <w:rFonts w:ascii="Arial" w:cs="Arial" w:eastAsia="Arial" w:hAnsi="Arial"/>
                <w:sz w:val="14"/>
                <w:szCs w:val="14"/>
                <w:b w:val="1"/>
                <w:bCs w:val="1"/>
                <w:color w:val="auto"/>
              </w:rPr>
              <w:t>Three Months Ended</w:t>
            </w:r>
          </w:p>
        </w:tc>
      </w:tr>
      <w:tr>
        <w:trPr>
          <w:trHeight w:val="263"/>
        </w:trPr>
        <w:tc>
          <w:tcPr>
            <w:tcW w:w="8120" w:type="dxa"/>
            <w:vAlign w:val="bottom"/>
          </w:tcPr>
          <w:p>
            <w:pPr>
              <w:spacing w:after="0"/>
              <w:rPr>
                <w:sz w:val="22"/>
                <w:szCs w:val="22"/>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March 31, 2013</w:t>
            </w:r>
          </w:p>
        </w:tc>
        <w:tc>
          <w:tcPr>
            <w:tcW w:w="1600" w:type="dxa"/>
            <w:vAlign w:val="bottom"/>
          </w:tcPr>
          <w:p>
            <w:pPr>
              <w:ind w:left="320"/>
              <w:spacing w:after="0"/>
              <w:rPr>
                <w:sz w:val="20"/>
                <w:szCs w:val="20"/>
                <w:color w:val="auto"/>
              </w:rPr>
            </w:pPr>
            <w:r>
              <w:rPr>
                <w:rFonts w:ascii="Arial" w:cs="Arial" w:eastAsia="Arial" w:hAnsi="Arial"/>
                <w:sz w:val="14"/>
                <w:szCs w:val="14"/>
                <w:b w:val="1"/>
                <w:bCs w:val="1"/>
                <w:color w:val="auto"/>
              </w:rPr>
              <w:t>March 31, 2012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Market Share(a)(b)</w:t>
            </w: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United States - Cars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13.8%</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14.3%</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United States - Trucks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24.2%</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22.8%</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United States - Crossovers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18.8%</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17.3%</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Total United States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17.7%</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17.2%</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Total North America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17.1%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16.7%</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Total Europe</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8.3%</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8.2%</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Total Asia/Pacific, Middle East and Africa(c)</w:t>
            </w: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9.6%</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2"/>
              </w:rPr>
              <w:t>9.4%</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Total South America</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17.2%</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18.3%</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b w:val="1"/>
                <w:bCs w:val="1"/>
                <w:color w:val="auto"/>
              </w:rPr>
              <w:t>Total Worldwide</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11.4%</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3"/>
              </w:rPr>
              <w:t>11.2%</w:t>
            </w:r>
          </w:p>
        </w:tc>
      </w:tr>
      <w:tr>
        <w:trPr>
          <w:trHeight w:val="54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U.S. Retail/Fleet Mix</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 Fleet Sales - Cars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32.1%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33.4%</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 Fleet Sales - Trucks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23.1%</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25.0%</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color w:val="auto"/>
              </w:rPr>
              <w:t>% Fleet Sales - Crossovers</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20.8%</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17.2%</w:t>
            </w:r>
          </w:p>
        </w:tc>
      </w:tr>
      <w:tr>
        <w:trPr>
          <w:trHeight w:val="270"/>
        </w:trPr>
        <w:tc>
          <w:tcPr>
            <w:tcW w:w="8120" w:type="dxa"/>
            <w:vAlign w:val="bottom"/>
          </w:tcPr>
          <w:p>
            <w:pPr>
              <w:ind w:left="200"/>
              <w:spacing w:after="0"/>
              <w:rPr>
                <w:sz w:val="20"/>
                <w:szCs w:val="20"/>
                <w:color w:val="auto"/>
              </w:rPr>
            </w:pPr>
            <w:r>
              <w:rPr>
                <w:rFonts w:ascii="Arial" w:cs="Arial" w:eastAsia="Arial" w:hAnsi="Arial"/>
                <w:sz w:val="18"/>
                <w:szCs w:val="18"/>
                <w:b w:val="1"/>
                <w:bCs w:val="1"/>
                <w:color w:val="auto"/>
              </w:rPr>
              <w:t>Total Vehicles</w:t>
            </w: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25.9%</w:t>
            </w:r>
          </w:p>
        </w:tc>
        <w:tc>
          <w:tcPr>
            <w:tcW w:w="100" w:type="dxa"/>
            <w:vAlign w:val="bottom"/>
          </w:tcPr>
          <w:p>
            <w:pPr>
              <w:spacing w:after="0"/>
              <w:rPr>
                <w:sz w:val="23"/>
                <w:szCs w:val="23"/>
                <w:color w:val="auto"/>
              </w:rPr>
            </w:pPr>
          </w:p>
        </w:tc>
        <w:tc>
          <w:tcPr>
            <w:tcW w:w="1600" w:type="dxa"/>
            <w:vAlign w:val="bottom"/>
          </w:tcPr>
          <w:p>
            <w:pPr>
              <w:jc w:val="center"/>
              <w:spacing w:after="0"/>
              <w:rPr>
                <w:sz w:val="20"/>
                <w:szCs w:val="20"/>
                <w:color w:val="auto"/>
              </w:rPr>
            </w:pPr>
            <w:r>
              <w:rPr>
                <w:rFonts w:ascii="Arial" w:cs="Arial" w:eastAsia="Arial" w:hAnsi="Arial"/>
                <w:sz w:val="18"/>
                <w:szCs w:val="18"/>
                <w:b w:val="1"/>
                <w:bCs w:val="1"/>
                <w:color w:val="auto"/>
                <w:w w:val="97"/>
              </w:rPr>
              <w:t>26.7%</w:t>
            </w:r>
          </w:p>
        </w:tc>
      </w:tr>
      <w:tr>
        <w:trPr>
          <w:trHeight w:val="540"/>
        </w:trPr>
        <w:tc>
          <w:tcPr>
            <w:tcW w:w="8120" w:type="dxa"/>
            <w:vAlign w:val="bottom"/>
          </w:tcPr>
          <w:p>
            <w:pPr>
              <w:ind w:left="40"/>
              <w:spacing w:after="0"/>
              <w:rPr>
                <w:sz w:val="20"/>
                <w:szCs w:val="20"/>
                <w:color w:val="auto"/>
              </w:rPr>
            </w:pPr>
            <w:r>
              <w:rPr>
                <w:rFonts w:ascii="Arial" w:cs="Arial" w:eastAsia="Arial" w:hAnsi="Arial"/>
                <w:sz w:val="18"/>
                <w:szCs w:val="18"/>
                <w:color w:val="auto"/>
              </w:rPr>
              <w:t>North America Capacity Utilization</w:t>
            </w:r>
          </w:p>
        </w:tc>
        <w:tc>
          <w:tcPr>
            <w:tcW w:w="1600" w:type="dxa"/>
            <w:vAlign w:val="bottom"/>
          </w:tcPr>
          <w:p>
            <w:pPr>
              <w:jc w:val="center"/>
              <w:spacing w:after="0"/>
              <w:rPr>
                <w:sz w:val="20"/>
                <w:szCs w:val="20"/>
                <w:color w:val="auto"/>
              </w:rPr>
            </w:pPr>
            <w:r>
              <w:rPr>
                <w:rFonts w:ascii="Arial" w:cs="Arial" w:eastAsia="Arial" w:hAnsi="Arial"/>
                <w:sz w:val="18"/>
                <w:szCs w:val="18"/>
                <w:color w:val="auto"/>
                <w:w w:val="90"/>
              </w:rPr>
              <w:t>98.1%</w:t>
            </w:r>
          </w:p>
        </w:tc>
        <w:tc>
          <w:tcPr>
            <w:tcW w:w="10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103.9%</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________</w:t>
            </w: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r>
    </w:tbl>
    <w:p>
      <w:pPr>
        <w:ind w:left="220" w:hanging="212"/>
        <w:spacing w:after="0"/>
        <w:tabs>
          <w:tab w:leader="none" w:pos="220" w:val="left"/>
        </w:tabs>
        <w:numPr>
          <w:ilvl w:val="0"/>
          <w:numId w:val="9"/>
        </w:numPr>
        <w:rPr>
          <w:rFonts w:ascii="Arial" w:cs="Arial" w:eastAsia="Arial" w:hAnsi="Arial"/>
          <w:sz w:val="16"/>
          <w:szCs w:val="16"/>
          <w:color w:val="auto"/>
        </w:rPr>
      </w:pPr>
      <w:r>
        <w:rPr>
          <w:rFonts w:ascii="Arial" w:cs="Arial" w:eastAsia="Arial" w:hAnsi="Arial"/>
          <w:sz w:val="16"/>
          <w:szCs w:val="16"/>
          <w:color w:val="auto"/>
        </w:rPr>
        <w:t>Market Share information is based on retail vehicles sales volume.</w:t>
      </w:r>
    </w:p>
    <w:p>
      <w:pPr>
        <w:spacing w:after="0" w:line="9" w:lineRule="exact"/>
        <w:rPr>
          <w:rFonts w:ascii="Arial" w:cs="Arial" w:eastAsia="Arial" w:hAnsi="Arial"/>
          <w:sz w:val="16"/>
          <w:szCs w:val="16"/>
          <w:color w:val="auto"/>
        </w:rPr>
      </w:pPr>
    </w:p>
    <w:p>
      <w:pPr>
        <w:ind w:left="340" w:right="320" w:hanging="332"/>
        <w:spacing w:after="0" w:line="246" w:lineRule="auto"/>
        <w:tabs>
          <w:tab w:leader="none" w:pos="245" w:val="left"/>
        </w:tabs>
        <w:numPr>
          <w:ilvl w:val="0"/>
          <w:numId w:val="9"/>
        </w:numPr>
        <w:rPr>
          <w:rFonts w:ascii="Arial" w:cs="Arial" w:eastAsia="Arial" w:hAnsi="Arial"/>
          <w:sz w:val="16"/>
          <w:szCs w:val="16"/>
          <w:color w:val="auto"/>
        </w:rPr>
      </w:pPr>
      <w:r>
        <w:rPr>
          <w:rFonts w:ascii="Arial" w:cs="Arial" w:eastAsia="Arial" w:hAnsi="Arial"/>
          <w:sz w:val="16"/>
          <w:szCs w:val="16"/>
          <w:color w:val="auto"/>
        </w:rPr>
        <w:t>North America retail vehicle sales primarily represent sales to the end customer. Europe, Asia/Pacific, Middle East and Africa and South America retail vehicle sales primarily represent estimated sales to the end customer. In countries where end customer data is not readily available other data sources, such as wholesale or forecast volumes, are used to estimate retail vehicle sales.</w:t>
      </w:r>
    </w:p>
    <w:p>
      <w:pPr>
        <w:spacing w:after="0" w:line="1" w:lineRule="exact"/>
        <w:rPr>
          <w:rFonts w:ascii="Arial" w:cs="Arial" w:eastAsia="Arial" w:hAnsi="Arial"/>
          <w:sz w:val="16"/>
          <w:szCs w:val="16"/>
          <w:color w:val="auto"/>
        </w:rPr>
      </w:pPr>
    </w:p>
    <w:p>
      <w:pPr>
        <w:ind w:left="340" w:right="480" w:hanging="332"/>
        <w:spacing w:after="0" w:line="257" w:lineRule="auto"/>
        <w:tabs>
          <w:tab w:leader="none" w:pos="23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joint venture retail vehicle sales presented in the following table are included in GM's retail vehicle sales. Retail vehicle sales for HKJV are included in the three months ended March 31, 2012.</w:t>
      </w:r>
    </w:p>
    <w:p>
      <w:pPr>
        <w:spacing w:after="0" w:line="200" w:lineRule="exact"/>
        <w:rPr>
          <w:sz w:val="20"/>
          <w:szCs w:val="20"/>
          <w:color w:val="auto"/>
        </w:rPr>
      </w:pPr>
    </w:p>
    <w:p>
      <w:pPr>
        <w:spacing w:after="0" w:line="221" w:lineRule="exact"/>
        <w:rPr>
          <w:sz w:val="20"/>
          <w:szCs w:val="20"/>
          <w:color w:val="auto"/>
        </w:rPr>
      </w:pPr>
    </w:p>
    <w:tbl>
      <w:tblPr>
        <w:tblLayout w:type="fixed"/>
        <w:tblInd w:w="360" w:type="dxa"/>
        <w:tblCellMar>
          <w:top w:w="0" w:type="dxa"/>
          <w:left w:w="0" w:type="dxa"/>
          <w:bottom w:w="0" w:type="dxa"/>
          <w:right w:w="0" w:type="dxa"/>
        </w:tblCellMar>
      </w:tblPr>
      <w:tr>
        <w:trPr>
          <w:trHeight w:val="174"/>
        </w:trPr>
        <w:tc>
          <w:tcPr>
            <w:tcW w:w="8200" w:type="dxa"/>
            <w:vAlign w:val="bottom"/>
          </w:tcPr>
          <w:p>
            <w:pPr>
              <w:spacing w:after="0"/>
              <w:rPr>
                <w:sz w:val="15"/>
                <w:szCs w:val="15"/>
                <w:color w:val="auto"/>
              </w:rPr>
            </w:pPr>
          </w:p>
        </w:tc>
        <w:tc>
          <w:tcPr>
            <w:tcW w:w="244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3"/>
                <w:szCs w:val="13"/>
                <w:b w:val="1"/>
                <w:bCs w:val="1"/>
                <w:color w:val="auto"/>
              </w:rPr>
              <w:t>Three Months Ended</w:t>
            </w:r>
          </w:p>
        </w:tc>
      </w:tr>
      <w:tr>
        <w:trPr>
          <w:trHeight w:val="264"/>
        </w:trPr>
        <w:tc>
          <w:tcPr>
            <w:tcW w:w="8200" w:type="dxa"/>
            <w:vAlign w:val="bottom"/>
          </w:tcPr>
          <w:p>
            <w:pPr>
              <w:spacing w:after="0"/>
              <w:rPr>
                <w:sz w:val="22"/>
                <w:szCs w:val="22"/>
                <w:color w:val="auto"/>
              </w:rPr>
            </w:pPr>
          </w:p>
        </w:tc>
        <w:tc>
          <w:tcPr>
            <w:tcW w:w="12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March 31, 2013</w:t>
            </w:r>
          </w:p>
        </w:tc>
        <w:tc>
          <w:tcPr>
            <w:tcW w:w="1160" w:type="dxa"/>
            <w:vAlign w:val="bottom"/>
          </w:tcPr>
          <w:p>
            <w:pPr>
              <w:jc w:val="right"/>
              <w:ind w:right="90"/>
              <w:spacing w:after="0"/>
              <w:rPr>
                <w:sz w:val="20"/>
                <w:szCs w:val="20"/>
                <w:color w:val="auto"/>
              </w:rPr>
            </w:pPr>
            <w:r>
              <w:rPr>
                <w:rFonts w:ascii="Arial" w:cs="Arial" w:eastAsia="Arial" w:hAnsi="Arial"/>
                <w:sz w:val="13"/>
                <w:szCs w:val="13"/>
                <w:b w:val="1"/>
                <w:bCs w:val="1"/>
                <w:color w:val="auto"/>
              </w:rPr>
              <w:t>March 31, 2012</w:t>
            </w:r>
          </w:p>
        </w:tc>
      </w:tr>
      <w:tr>
        <w:trPr>
          <w:trHeight w:val="258"/>
        </w:trPr>
        <w:tc>
          <w:tcPr>
            <w:tcW w:w="8200" w:type="dxa"/>
            <w:vAlign w:val="bottom"/>
          </w:tcPr>
          <w:p>
            <w:pPr>
              <w:spacing w:after="0"/>
              <w:rPr>
                <w:sz w:val="20"/>
                <w:szCs w:val="20"/>
                <w:color w:val="auto"/>
              </w:rPr>
            </w:pPr>
            <w:r>
              <w:rPr>
                <w:rFonts w:ascii="Arial" w:cs="Arial" w:eastAsia="Arial" w:hAnsi="Arial"/>
                <w:sz w:val="14"/>
                <w:szCs w:val="14"/>
                <w:b w:val="1"/>
                <w:bCs w:val="1"/>
                <w:color w:val="auto"/>
              </w:rPr>
              <w:t>Joint venture sales in China</w:t>
            </w: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4"/>
                <w:szCs w:val="14"/>
                <w:color w:val="auto"/>
              </w:rPr>
              <w:t>SGMS</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337</w:t>
            </w:r>
          </w:p>
        </w:tc>
      </w:tr>
      <w:tr>
        <w:trPr>
          <w:trHeight w:val="270"/>
        </w:trPr>
        <w:tc>
          <w:tcPr>
            <w:tcW w:w="8200" w:type="dxa"/>
            <w:vAlign w:val="bottom"/>
          </w:tcPr>
          <w:p>
            <w:pPr>
              <w:spacing w:after="0"/>
              <w:rPr>
                <w:sz w:val="20"/>
                <w:szCs w:val="20"/>
                <w:color w:val="auto"/>
              </w:rPr>
            </w:pPr>
            <w:r>
              <w:rPr>
                <w:rFonts w:ascii="Arial" w:cs="Arial" w:eastAsia="Arial" w:hAnsi="Arial"/>
                <w:sz w:val="14"/>
                <w:szCs w:val="14"/>
                <w:color w:val="auto"/>
              </w:rPr>
              <w:t>SGMW and FAW-GM</w:t>
            </w:r>
          </w:p>
        </w:tc>
        <w:tc>
          <w:tcPr>
            <w:tcW w:w="1180" w:type="dxa"/>
            <w:vAlign w:val="bottom"/>
          </w:tcPr>
          <w:p>
            <w:pPr>
              <w:jc w:val="right"/>
              <w:ind w:right="33"/>
              <w:spacing w:after="0"/>
              <w:rPr>
                <w:sz w:val="20"/>
                <w:szCs w:val="20"/>
                <w:color w:val="auto"/>
              </w:rPr>
            </w:pPr>
            <w:r>
              <w:rPr>
                <w:rFonts w:ascii="Arial" w:cs="Arial" w:eastAsia="Arial" w:hAnsi="Arial"/>
                <w:sz w:val="14"/>
                <w:szCs w:val="14"/>
                <w:color w:val="auto"/>
              </w:rPr>
              <w:t>434</w:t>
            </w:r>
          </w:p>
        </w:tc>
        <w:tc>
          <w:tcPr>
            <w:tcW w:w="1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407</w:t>
            </w:r>
          </w:p>
        </w:tc>
      </w:tr>
      <w:tr>
        <w:trPr>
          <w:trHeight w:val="270"/>
        </w:trPr>
        <w:tc>
          <w:tcPr>
            <w:tcW w:w="8200" w:type="dxa"/>
            <w:vAlign w:val="bottom"/>
          </w:tcPr>
          <w:p>
            <w:pPr>
              <w:spacing w:after="0"/>
              <w:rPr>
                <w:sz w:val="20"/>
                <w:szCs w:val="20"/>
                <w:color w:val="auto"/>
              </w:rPr>
            </w:pPr>
            <w:r>
              <w:rPr>
                <w:rFonts w:ascii="Arial" w:cs="Arial" w:eastAsia="Arial" w:hAnsi="Arial"/>
                <w:sz w:val="14"/>
                <w:szCs w:val="14"/>
                <w:b w:val="1"/>
                <w:bCs w:val="1"/>
                <w:color w:val="auto"/>
              </w:rPr>
              <w:t>Joint venture sales in India</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0"/>
        </w:trPr>
        <w:tc>
          <w:tcPr>
            <w:tcW w:w="8200" w:type="dxa"/>
            <w:vAlign w:val="bottom"/>
          </w:tcPr>
          <w:p>
            <w:pPr>
              <w:spacing w:after="0"/>
              <w:rPr>
                <w:sz w:val="20"/>
                <w:szCs w:val="20"/>
                <w:color w:val="auto"/>
              </w:rPr>
            </w:pPr>
            <w:r>
              <w:rPr>
                <w:rFonts w:ascii="Arial" w:cs="Arial" w:eastAsia="Arial" w:hAnsi="Arial"/>
                <w:sz w:val="14"/>
                <w:szCs w:val="14"/>
                <w:color w:val="auto"/>
              </w:rPr>
              <w:t>HKJV</w:t>
            </w: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jc w:val="right"/>
              <w:ind w:right="30"/>
              <w:spacing w:after="0"/>
              <w:rPr>
                <w:sz w:val="20"/>
                <w:szCs w:val="20"/>
                <w:color w:val="auto"/>
              </w:rPr>
            </w:pPr>
            <w:r>
              <w:rPr>
                <w:rFonts w:ascii="Arial" w:cs="Arial" w:eastAsia="Arial" w:hAnsi="Arial"/>
                <w:sz w:val="14"/>
                <w:szCs w:val="14"/>
                <w:color w:val="auto"/>
              </w:rPr>
              <w:t>28</w:t>
            </w:r>
          </w:p>
        </w:tc>
      </w:tr>
    </w:tbl>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96" w:right="239" w:bottom="1440" w:gutter="0" w:footer="0" w:header="0"/>
        </w:sectPr>
      </w:pPr>
    </w:p>
    <w:bookmarkStart w:id="12" w:name="page13"/>
    <w:bookmarkEnd w:id="12"/>
    <w:p>
      <w:pPr>
        <w:jc w:val="center"/>
        <w:ind w:left="5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Condensed Consolidated Income Statements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(In millions, except per share amounts)</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8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43"/>
        </w:trPr>
        <w:tc>
          <w:tcPr>
            <w:tcW w:w="8080" w:type="dxa"/>
            <w:vAlign w:val="bottom"/>
          </w:tcPr>
          <w:p>
            <w:pPr>
              <w:spacing w:after="0"/>
              <w:rPr>
                <w:sz w:val="20"/>
                <w:szCs w:val="20"/>
                <w:color w:val="auto"/>
              </w:rPr>
            </w:pPr>
            <w:r>
              <w:rPr>
                <w:rFonts w:ascii="Arial" w:cs="Arial" w:eastAsia="Arial" w:hAnsi="Arial"/>
                <w:sz w:val="18"/>
                <w:szCs w:val="18"/>
                <w:b w:val="1"/>
                <w:bCs w:val="1"/>
                <w:color w:val="auto"/>
              </w:rPr>
              <w:t>Net sales and revenue</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Automotive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36,344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37,328</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GM Financial</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ind w:left="1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36,884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37,759</w:t>
            </w:r>
          </w:p>
        </w:tc>
        <w:tc>
          <w:tcPr>
            <w:tcW w:w="0" w:type="dxa"/>
            <w:vAlign w:val="bottom"/>
          </w:tcPr>
          <w:p>
            <w:pPr>
              <w:spacing w:after="0"/>
              <w:rPr>
                <w:sz w:val="1"/>
                <w:szCs w:val="1"/>
                <w:color w:val="auto"/>
              </w:rPr>
            </w:pPr>
          </w:p>
        </w:tc>
      </w:tr>
      <w:tr>
        <w:trPr>
          <w:trHeight w:val="27"/>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Costs and expenses</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Automotive cost of sales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32,617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32,910</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GM Financial operating and other expenses</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Automotive selling, general and administrative expense</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2,939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2,973</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Other automotive expenses, net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Goodwill impairment charges</w:t>
            </w:r>
          </w:p>
        </w:tc>
        <w:tc>
          <w:tcPr>
            <w:tcW w:w="22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ind w:left="160"/>
              <w:spacing w:after="0"/>
              <w:rPr>
                <w:sz w:val="20"/>
                <w:szCs w:val="20"/>
                <w:color w:val="auto"/>
              </w:rPr>
            </w:pPr>
            <w:r>
              <w:rPr>
                <w:rFonts w:ascii="Arial" w:cs="Arial" w:eastAsia="Arial" w:hAnsi="Arial"/>
                <w:sz w:val="18"/>
                <w:szCs w:val="18"/>
                <w:color w:val="auto"/>
              </w:rPr>
              <w:t>Total costs and expenses</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35,925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36,763</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ind w:left="32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959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Automotive interest expense</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Interest income and other non-operating income, net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220" w:type="dxa"/>
            <w:vAlign w:val="bottom"/>
          </w:tcPr>
          <w:p>
            <w:pPr>
              <w:spacing w:after="0"/>
              <w:rPr>
                <w:sz w:val="23"/>
                <w:szCs w:val="23"/>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tcPr>
          <w:p>
            <w:pPr>
              <w:spacing w:after="0"/>
              <w:rPr>
                <w:sz w:val="20"/>
                <w:szCs w:val="20"/>
                <w:color w:val="auto"/>
              </w:rPr>
            </w:pPr>
            <w:r>
              <w:rPr>
                <w:rFonts w:ascii="Arial" w:cs="Arial" w:eastAsia="Arial" w:hAnsi="Arial"/>
                <w:sz w:val="18"/>
                <w:szCs w:val="18"/>
                <w:color w:val="auto"/>
              </w:rPr>
              <w:t>Income before income taxes and equity income</w:t>
            </w: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1,039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Income tax expense</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Equity income, net of tax</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7"/>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0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1,185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color w:val="auto"/>
              </w:rPr>
              <w:t>Net loss attributable to noncontrolling interests</w:t>
            </w: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080" w:type="dxa"/>
            <w:vAlign w:val="bottom"/>
          </w:tcPr>
          <w:p>
            <w:pPr>
              <w:spacing w:after="0"/>
              <w:rPr>
                <w:sz w:val="20"/>
                <w:szCs w:val="20"/>
                <w:color w:val="auto"/>
              </w:rPr>
            </w:pPr>
            <w:r>
              <w:rPr>
                <w:rFonts w:ascii="Arial" w:cs="Arial" w:eastAsia="Arial" w:hAnsi="Arial"/>
                <w:sz w:val="18"/>
                <w:szCs w:val="18"/>
                <w:b w:val="1"/>
                <w:bCs w:val="1"/>
                <w:color w:val="auto"/>
              </w:rPr>
              <w:t>Net income attributable to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8080" w:type="dxa"/>
            <w:vAlign w:val="bottom"/>
          </w:tcPr>
          <w:p>
            <w:pPr>
              <w:spacing w:after="0"/>
              <w:rPr>
                <w:sz w:val="20"/>
                <w:szCs w:val="20"/>
                <w:color w:val="auto"/>
              </w:rPr>
            </w:pPr>
            <w:r>
              <w:rPr>
                <w:rFonts w:ascii="Arial" w:cs="Arial" w:eastAsia="Arial" w:hAnsi="Arial"/>
                <w:sz w:val="18"/>
                <w:szCs w:val="18"/>
                <w:b w:val="1"/>
                <w:bCs w:val="1"/>
                <w:color w:val="auto"/>
              </w:rPr>
              <w:t>Net income attributable to common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8080" w:type="dxa"/>
            <w:vAlign w:val="bottom"/>
            <w:vMerge w:val="restart"/>
          </w:tcPr>
          <w:p>
            <w:pPr>
              <w:spacing w:after="0"/>
              <w:rPr>
                <w:sz w:val="20"/>
                <w:szCs w:val="20"/>
                <w:color w:val="auto"/>
              </w:rPr>
            </w:pPr>
            <w:r>
              <w:rPr>
                <w:rFonts w:ascii="Arial" w:cs="Arial" w:eastAsia="Arial" w:hAnsi="Arial"/>
                <w:sz w:val="18"/>
                <w:szCs w:val="18"/>
                <w:b w:val="1"/>
                <w:b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80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b w:val="1"/>
                <w:bCs w:val="1"/>
                <w:color w:val="auto"/>
              </w:rPr>
              <w:t>Basic</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0"/>
        </w:trPr>
        <w:tc>
          <w:tcPr>
            <w:tcW w:w="808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70"/>
        </w:trPr>
        <w:tc>
          <w:tcPr>
            <w:tcW w:w="8080" w:type="dxa"/>
            <w:vAlign w:val="bottom"/>
          </w:tcPr>
          <w:p>
            <w:pPr>
              <w:ind w:left="160"/>
              <w:spacing w:after="0"/>
              <w:rPr>
                <w:sz w:val="20"/>
                <w:szCs w:val="20"/>
                <w:color w:val="auto"/>
              </w:rPr>
            </w:pPr>
            <w:r>
              <w:rPr>
                <w:rFonts w:ascii="Arial" w:cs="Arial" w:eastAsia="Arial" w:hAnsi="Arial"/>
                <w:sz w:val="18"/>
                <w:szCs w:val="18"/>
                <w:color w:val="auto"/>
              </w:rPr>
              <w:t>Weighted-average common shares outstanding</w:t>
            </w: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80" w:top="796" w:right="239" w:bottom="1440" w:gutter="0" w:footer="0" w:header="0"/>
        </w:sectPr>
      </w:pPr>
    </w:p>
    <w:bookmarkStart w:id="13" w:name="page14"/>
    <w:bookmarkEnd w:id="13"/>
    <w:p>
      <w:pPr>
        <w:jc w:val="center"/>
        <w:ind w:left="500"/>
        <w:spacing w:after="0"/>
        <w:rPr>
          <w:sz w:val="20"/>
          <w:szCs w:val="20"/>
          <w:color w:val="auto"/>
        </w:rPr>
      </w:pPr>
      <w:r>
        <w:rPr>
          <w:rFonts w:ascii="Arial" w:cs="Arial" w:eastAsia="Arial" w:hAnsi="Arial"/>
          <w:sz w:val="18"/>
          <w:szCs w:val="18"/>
          <w:b w:val="1"/>
          <w:bCs w:val="1"/>
          <w:color w:val="auto"/>
        </w:rPr>
        <w:t>General Motors Company and Subsidiaries</w:t>
      </w:r>
    </w:p>
    <w:p>
      <w:pPr>
        <w:spacing w:after="0" w:line="27" w:lineRule="exact"/>
        <w:rPr>
          <w:sz w:val="20"/>
          <w:szCs w:val="20"/>
          <w:color w:val="auto"/>
        </w:rPr>
      </w:pPr>
    </w:p>
    <w:p>
      <w:pPr>
        <w:jc w:val="center"/>
        <w:ind w:left="500"/>
        <w:spacing w:after="0"/>
        <w:rPr>
          <w:sz w:val="20"/>
          <w:szCs w:val="20"/>
          <w:color w:val="auto"/>
        </w:rPr>
      </w:pPr>
      <w:r>
        <w:rPr>
          <w:rFonts w:ascii="Arial" w:cs="Arial" w:eastAsia="Arial" w:hAnsi="Arial"/>
          <w:sz w:val="18"/>
          <w:szCs w:val="18"/>
          <w:b w:val="1"/>
          <w:bCs w:val="1"/>
          <w:color w:val="auto"/>
        </w:rPr>
        <w:t>Basic and Diluted Earnings per Share</w:t>
      </w:r>
    </w:p>
    <w:p>
      <w:pPr>
        <w:spacing w:after="0" w:line="9" w:lineRule="exact"/>
        <w:rPr>
          <w:sz w:val="20"/>
          <w:szCs w:val="20"/>
          <w:color w:val="auto"/>
        </w:rPr>
      </w:pPr>
    </w:p>
    <w:p>
      <w:pPr>
        <w:jc w:val="center"/>
        <w:ind w:left="500"/>
        <w:spacing w:after="0"/>
        <w:rPr>
          <w:sz w:val="20"/>
          <w:szCs w:val="20"/>
          <w:color w:val="auto"/>
        </w:rPr>
      </w:pPr>
      <w:r>
        <w:rPr>
          <w:rFonts w:ascii="Arial" w:cs="Arial" w:eastAsia="Arial" w:hAnsi="Arial"/>
          <w:sz w:val="18"/>
          <w:szCs w:val="18"/>
          <w:i w:val="1"/>
          <w:iCs w:val="1"/>
          <w:color w:val="auto"/>
        </w:rPr>
        <w:t>(Unaudited)</w:t>
      </w:r>
    </w:p>
    <w:p>
      <w:pPr>
        <w:spacing w:after="0" w:line="215" w:lineRule="exact"/>
        <w:rPr>
          <w:sz w:val="20"/>
          <w:szCs w:val="20"/>
          <w:color w:val="auto"/>
        </w:rPr>
      </w:pPr>
    </w:p>
    <w:p>
      <w:pPr>
        <w:ind w:right="260" w:firstLine="162"/>
        <w:spacing w:after="0" w:line="275" w:lineRule="auto"/>
        <w:rPr>
          <w:sz w:val="20"/>
          <w:szCs w:val="20"/>
          <w:color w:val="auto"/>
        </w:rPr>
      </w:pPr>
      <w:r>
        <w:rPr>
          <w:rFonts w:ascii="Arial" w:cs="Arial" w:eastAsia="Arial" w:hAnsi="Arial"/>
          <w:sz w:val="16"/>
          <w:szCs w:val="16"/>
          <w:color w:val="auto"/>
        </w:rPr>
        <w:t>In the three months ended March 31, 2013 and 2012 GM was required to use the two-class method for calculating earnings per share as the applicable market value of its common stock was below $33.00 per common share in the period ended March 31, 2013 and 2012.</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 summarizes basic and diluted earnings per share (in millions, except per share amounts):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89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263"/>
        </w:trPr>
        <w:tc>
          <w:tcPr>
            <w:tcW w:w="8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31, 2013</w:t>
            </w:r>
          </w:p>
        </w:tc>
        <w:tc>
          <w:tcPr>
            <w:tcW w:w="220" w:type="dxa"/>
            <w:vAlign w:val="bottom"/>
          </w:tcPr>
          <w:p>
            <w:pPr>
              <w:spacing w:after="0"/>
              <w:rPr>
                <w:sz w:val="22"/>
                <w:szCs w:val="22"/>
                <w:color w:val="auto"/>
              </w:rPr>
            </w:pPr>
          </w:p>
        </w:tc>
        <w:tc>
          <w:tcPr>
            <w:tcW w:w="1380" w:type="dxa"/>
            <w:vAlign w:val="bottom"/>
          </w:tcPr>
          <w:p>
            <w:pPr>
              <w:jc w:val="right"/>
              <w:ind w:right="231"/>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Basic earnings per share</w:t>
            </w: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56"/>
        </w:trPr>
        <w:tc>
          <w:tcPr>
            <w:tcW w:w="8120" w:type="dxa"/>
            <w:vAlign w:val="bottom"/>
          </w:tcPr>
          <w:p>
            <w:pPr>
              <w:ind w:left="40"/>
              <w:spacing w:after="0"/>
              <w:rPr>
                <w:sz w:val="20"/>
                <w:szCs w:val="20"/>
                <w:color w:val="auto"/>
              </w:rPr>
            </w:pPr>
            <w:r>
              <w:rPr>
                <w:rFonts w:ascii="Arial" w:cs="Arial" w:eastAsia="Arial" w:hAnsi="Arial"/>
                <w:sz w:val="18"/>
                <w:szCs w:val="18"/>
                <w:color w:val="auto"/>
                <w:w w:val="91"/>
              </w:rPr>
              <w:t>Less: cumulative dividends on preferred stock and undistributed earnings allocated to Series B Preferred Stock</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participating security(a)(b)</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865</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common shares outstanding - basic</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0.63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b w:val="1"/>
                <w:bCs w:val="1"/>
                <w:color w:val="auto"/>
              </w:rPr>
              <w:t>Diluted earnings per share</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stockholders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1,175</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56"/>
        </w:trPr>
        <w:tc>
          <w:tcPr>
            <w:tcW w:w="8120" w:type="dxa"/>
            <w:vAlign w:val="bottom"/>
          </w:tcPr>
          <w:p>
            <w:pPr>
              <w:ind w:left="40"/>
              <w:spacing w:after="0"/>
              <w:rPr>
                <w:sz w:val="20"/>
                <w:szCs w:val="20"/>
                <w:color w:val="auto"/>
              </w:rPr>
            </w:pPr>
            <w:r>
              <w:rPr>
                <w:rFonts w:ascii="Arial" w:cs="Arial" w:eastAsia="Arial" w:hAnsi="Arial"/>
                <w:sz w:val="18"/>
                <w:szCs w:val="18"/>
                <w:color w:val="auto"/>
                <w:w w:val="91"/>
              </w:rPr>
              <w:t>Less: cumulative dividends on preferred stock and undistributed earnings allocated to Series B Preferred Stock</w:t>
            </w: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120" w:type="dxa"/>
            <w:vAlign w:val="bottom"/>
          </w:tcPr>
          <w:p>
            <w:pPr>
              <w:ind w:left="200"/>
              <w:spacing w:after="0"/>
              <w:rPr>
                <w:sz w:val="20"/>
                <w:szCs w:val="20"/>
                <w:color w:val="auto"/>
              </w:rPr>
            </w:pPr>
            <w:r>
              <w:rPr>
                <w:rFonts w:ascii="Arial" w:cs="Arial" w:eastAsia="Arial" w:hAnsi="Arial"/>
                <w:sz w:val="18"/>
                <w:szCs w:val="18"/>
                <w:color w:val="auto"/>
              </w:rPr>
              <w:t>participating security(a)(c)</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Net income attributable to common stockholders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873</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1,010</w:t>
            </w:r>
          </w:p>
        </w:tc>
        <w:tc>
          <w:tcPr>
            <w:tcW w:w="0" w:type="dxa"/>
            <w:vAlign w:val="bottom"/>
          </w:tcPr>
          <w:p>
            <w:pPr>
              <w:spacing w:after="0"/>
              <w:rPr>
                <w:sz w:val="1"/>
                <w:szCs w:val="1"/>
                <w:color w:val="auto"/>
              </w:rPr>
            </w:pPr>
          </w:p>
        </w:tc>
      </w:tr>
      <w:tr>
        <w:trPr>
          <w:trHeight w:val="20"/>
        </w:trPr>
        <w:tc>
          <w:tcPr>
            <w:tcW w:w="81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basic</w:t>
            </w:r>
          </w:p>
        </w:tc>
        <w:tc>
          <w:tcPr>
            <w:tcW w:w="22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1,572</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Dilutive effect of warrants</w:t>
            </w:r>
          </w:p>
        </w:tc>
        <w:tc>
          <w:tcPr>
            <w:tcW w:w="22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134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70"/>
        </w:trPr>
        <w:tc>
          <w:tcPr>
            <w:tcW w:w="8120" w:type="dxa"/>
            <w:vAlign w:val="bottom"/>
          </w:tcPr>
          <w:p>
            <w:pPr>
              <w:ind w:left="40"/>
              <w:spacing w:after="0"/>
              <w:rPr>
                <w:sz w:val="20"/>
                <w:szCs w:val="20"/>
                <w:color w:val="auto"/>
              </w:rPr>
            </w:pPr>
            <w:r>
              <w:rPr>
                <w:rFonts w:ascii="Arial" w:cs="Arial" w:eastAsia="Arial" w:hAnsi="Arial"/>
                <w:sz w:val="18"/>
                <w:szCs w:val="18"/>
                <w:color w:val="auto"/>
              </w:rPr>
              <w:t>Dilutive effect of restricted stock units</w:t>
            </w:r>
          </w:p>
        </w:tc>
        <w:tc>
          <w:tcPr>
            <w:tcW w:w="220" w:type="dxa"/>
            <w:vAlign w:val="bottom"/>
          </w:tcPr>
          <w:p>
            <w:pPr>
              <w:spacing w:after="0"/>
              <w:rPr>
                <w:sz w:val="23"/>
                <w:szCs w:val="23"/>
                <w:color w:val="auto"/>
              </w:rPr>
            </w:pP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 diluted</w:t>
            </w: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1,507</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12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ind w:right="12"/>
              <w:spacing w:after="0"/>
              <w:rPr>
                <w:sz w:val="20"/>
                <w:szCs w:val="20"/>
                <w:color w:val="auto"/>
              </w:rPr>
            </w:pPr>
            <w:r>
              <w:rPr>
                <w:rFonts w:ascii="Arial" w:cs="Arial" w:eastAsia="Arial" w:hAnsi="Arial"/>
                <w:sz w:val="18"/>
                <w:szCs w:val="18"/>
                <w:color w:val="auto"/>
              </w:rPr>
              <w:t>0.58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1"/>
              <w:spacing w:after="0"/>
              <w:rPr>
                <w:sz w:val="20"/>
                <w:szCs w:val="20"/>
                <w:color w:val="auto"/>
              </w:rPr>
            </w:pPr>
            <w:r>
              <w:rPr>
                <w:rFonts w:ascii="Arial" w:cs="Arial" w:eastAsia="Arial" w:hAnsi="Arial"/>
                <w:sz w:val="18"/>
                <w:szCs w:val="18"/>
                <w:color w:val="auto"/>
              </w:rPr>
              <w:t>0.60</w:t>
            </w:r>
          </w:p>
        </w:tc>
        <w:tc>
          <w:tcPr>
            <w:tcW w:w="0" w:type="dxa"/>
            <w:vAlign w:val="bottom"/>
          </w:tcPr>
          <w:p>
            <w:pPr>
              <w:spacing w:after="0"/>
              <w:rPr>
                <w:sz w:val="1"/>
                <w:szCs w:val="1"/>
                <w:color w:val="auto"/>
              </w:rPr>
            </w:pPr>
          </w:p>
        </w:tc>
      </w:tr>
      <w:tr>
        <w:trPr>
          <w:trHeight w:val="236"/>
        </w:trPr>
        <w:tc>
          <w:tcPr>
            <w:tcW w:w="812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ind w:left="340" w:hanging="332"/>
        <w:spacing w:after="0" w:line="24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earned but undistributed dividends of $26 million on GM's Series A Preferred Stock and $20 million on GM's Series B Preferred Stock in the three months ended March 31, 2013 and 2012.</w:t>
      </w:r>
    </w:p>
    <w:p>
      <w:pPr>
        <w:jc w:val="both"/>
        <w:ind w:left="340" w:hanging="332"/>
        <w:spacing w:after="0" w:line="241"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cumulative dividends on preferred stock of $215 million and earnings of $95 million that have been allocated to the Series B Preferred Stock holders in the three months ended March 31, 2013 and cumulative dividends on preferred stock of $215 million and earnings of $96 million that have been allocated to the Series B Preferred Stock holders in the three months ended March 31, 2012.</w:t>
      </w:r>
    </w:p>
    <w:p>
      <w:pPr>
        <w:spacing w:after="0" w:line="1" w:lineRule="exact"/>
        <w:rPr>
          <w:rFonts w:ascii="Arial" w:cs="Arial" w:eastAsia="Arial" w:hAnsi="Arial"/>
          <w:sz w:val="14"/>
          <w:szCs w:val="14"/>
          <w:color w:val="auto"/>
        </w:rPr>
      </w:pPr>
    </w:p>
    <w:p>
      <w:pPr>
        <w:jc w:val="both"/>
        <w:ind w:left="340" w:hanging="332"/>
        <w:spacing w:after="0" w:line="248"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Includes cumulative dividends on preferred stock of $215 million and earnings of $87 million that have been allocated to the Series B Preferred Stock holders in the three months ended March 31, 2013 and cumulative dividends on preferred stock of $215 million and earnings of $90 million that have been allocated to the Series B Preferred Stock holders in the three months ended March 31, 2012.</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96" w:right="239" w:bottom="1440" w:gutter="0" w:footer="0" w:header="0"/>
        </w:sectPr>
      </w:pPr>
    </w:p>
    <w:bookmarkStart w:id="14" w:name="page15"/>
    <w:bookmarkEnd w:id="14"/>
    <w:p>
      <w:pPr>
        <w:spacing w:after="0" w:line="62" w:lineRule="exact"/>
        <w:rPr>
          <w:sz w:val="20"/>
          <w:szCs w:val="20"/>
          <w:color w:val="auto"/>
        </w:rPr>
      </w:pPr>
    </w:p>
    <w:p>
      <w:pPr>
        <w:jc w:val="center"/>
        <w:ind w:left="4000"/>
        <w:spacing w:after="0"/>
        <w:rPr>
          <w:sz w:val="20"/>
          <w:szCs w:val="20"/>
          <w:color w:val="auto"/>
        </w:rPr>
      </w:pPr>
      <w:r>
        <w:rPr>
          <w:rFonts w:ascii="Arial" w:cs="Arial" w:eastAsia="Arial" w:hAnsi="Arial"/>
          <w:sz w:val="16"/>
          <w:szCs w:val="16"/>
          <w:b w:val="1"/>
          <w:bCs w:val="1"/>
          <w:color w:val="auto"/>
        </w:rPr>
        <w:t>General Motors Company and Subsidiaries</w:t>
      </w:r>
    </w:p>
    <w:p>
      <w:pPr>
        <w:spacing w:after="0" w:line="50" w:lineRule="exact"/>
        <w:rPr>
          <w:sz w:val="20"/>
          <w:szCs w:val="20"/>
          <w:color w:val="auto"/>
        </w:rPr>
      </w:pPr>
    </w:p>
    <w:p>
      <w:pPr>
        <w:jc w:val="center"/>
        <w:ind w:left="400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32" w:lineRule="exact"/>
        <w:rPr>
          <w:sz w:val="20"/>
          <w:szCs w:val="20"/>
          <w:color w:val="auto"/>
        </w:rPr>
      </w:pPr>
    </w:p>
    <w:p>
      <w:pPr>
        <w:jc w:val="center"/>
        <w:ind w:left="4000"/>
        <w:spacing w:after="0"/>
        <w:rPr>
          <w:sz w:val="20"/>
          <w:szCs w:val="20"/>
          <w:color w:val="auto"/>
        </w:rPr>
      </w:pPr>
      <w:r>
        <w:rPr>
          <w:rFonts w:ascii="Arial" w:cs="Arial" w:eastAsia="Arial" w:hAnsi="Arial"/>
          <w:sz w:val="18"/>
          <w:szCs w:val="18"/>
          <w:i w:val="1"/>
          <w:iCs w:val="1"/>
          <w:color w:val="auto"/>
        </w:rPr>
        <w:t>(In millions, except share amounts)</w:t>
      </w:r>
    </w:p>
    <w:p>
      <w:pPr>
        <w:spacing w:after="0" w:line="9" w:lineRule="exact"/>
        <w:rPr>
          <w:sz w:val="20"/>
          <w:szCs w:val="20"/>
          <w:color w:val="auto"/>
        </w:rPr>
      </w:pPr>
    </w:p>
    <w:p>
      <w:pPr>
        <w:jc w:val="center"/>
        <w:ind w:left="4000"/>
        <w:spacing w:after="0"/>
        <w:rPr>
          <w:sz w:val="20"/>
          <w:szCs w:val="20"/>
          <w:color w:val="auto"/>
        </w:rPr>
      </w:pPr>
      <w:r>
        <w:rPr>
          <w:rFonts w:ascii="Arial" w:cs="Arial" w:eastAsia="Arial" w:hAnsi="Arial"/>
          <w:sz w:val="18"/>
          <w:szCs w:val="18"/>
          <w:i w:val="1"/>
          <w:iCs w:val="1"/>
          <w:color w:val="auto"/>
        </w:rPr>
        <w:t>(Unaudited)</w:t>
      </w:r>
    </w:p>
    <w:p>
      <w:pPr>
        <w:spacing w:after="0" w:line="200" w:lineRule="exact"/>
        <w:rPr>
          <w:sz w:val="20"/>
          <w:szCs w:val="20"/>
          <w:color w:val="auto"/>
        </w:rPr>
      </w:pPr>
    </w:p>
    <w:p>
      <w:pPr>
        <w:spacing w:after="0" w:line="223"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ASSETS</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Assets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Cash and cash equivalents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Marketable securities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Restricted cash and marketable securities</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and notes receivable (net of allowance of $312 and $311)</w:t>
      </w:r>
    </w:p>
    <w:p>
      <w:pPr>
        <w:spacing w:after="0" w:line="40"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$4,512 and $3,444)</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Inventories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Equipment on operating leases,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current assets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Assets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Restricted cash and marketable securities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 finance receivables, net (including gross consumer finance receivables transferred to SPEs of $7,131 and $6,458)</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Equity in net assets of nonconsolidated affiliates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Property,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Goodwill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Intangible assets, net</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GM Financial equipment on operating leases, net (including assets transferred to SPEs of $2,047 and $540)</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Deferred income taxes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assets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non-current assets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Assets</w:t>
      </w:r>
    </w:p>
    <w:p>
      <w:pPr>
        <w:spacing w:after="0" w:line="121" w:lineRule="exact"/>
        <w:rPr>
          <w:sz w:val="20"/>
          <w:szCs w:val="20"/>
          <w:color w:val="auto"/>
        </w:rPr>
      </w:pPr>
    </w:p>
    <w:p>
      <w:pPr>
        <w:jc w:val="center"/>
        <w:ind w:left="680"/>
        <w:spacing w:after="0"/>
        <w:rPr>
          <w:sz w:val="20"/>
          <w:szCs w:val="20"/>
          <w:color w:val="auto"/>
        </w:rPr>
      </w:pPr>
      <w:r>
        <w:rPr>
          <w:rFonts w:ascii="Arial" w:cs="Arial" w:eastAsia="Arial" w:hAnsi="Arial"/>
          <w:sz w:val="13"/>
          <w:szCs w:val="13"/>
          <w:b w:val="1"/>
          <w:bCs w:val="1"/>
          <w:color w:val="auto"/>
        </w:rPr>
        <w:t>LIABILITIES AND EQUITY</w:t>
      </w:r>
    </w:p>
    <w:p>
      <w:pPr>
        <w:spacing w:after="0" w:line="14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Current Liabilities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Accounts payable (principally trade)</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Short-term debt and current portion of long-term debt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Automotive (including certain debt at VIEs of $273 and $228)</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Accrued liabilities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Non-current Liabilities</w:t>
      </w:r>
    </w:p>
    <w:p>
      <w:pPr>
        <w:spacing w:after="0" w:line="125" w:lineRule="exact"/>
        <w:rPr>
          <w:sz w:val="20"/>
          <w:szCs w:val="20"/>
          <w:color w:val="auto"/>
        </w:rPr>
      </w:pPr>
    </w:p>
    <w:p>
      <w:pPr>
        <w:ind w:left="140"/>
        <w:spacing w:after="0"/>
        <w:rPr>
          <w:sz w:val="20"/>
          <w:szCs w:val="20"/>
          <w:color w:val="auto"/>
        </w:rPr>
      </w:pPr>
      <w:r>
        <w:rPr>
          <w:rFonts w:ascii="Arial" w:cs="Arial" w:eastAsia="Arial" w:hAnsi="Arial"/>
          <w:sz w:val="13"/>
          <w:szCs w:val="13"/>
          <w:color w:val="auto"/>
        </w:rPr>
        <w:t>Long-term debt</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Automotive (including certain debt at VIEs of $116 and $122)</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3"/>
          <w:szCs w:val="13"/>
          <w:color w:val="auto"/>
        </w:rPr>
        <w:t>GM Financial</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Postretirement benefits other than pensions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Pensions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Other liabilities and deferred income taxes</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Total non-current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Liabilities</w:t>
      </w: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color w:val="auto"/>
        </w:rPr>
        <w:t>Commitments and contingencies</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w:t>
      </w:r>
    </w:p>
    <w:p>
      <w:pPr>
        <w:spacing w:after="0" w:line="125" w:lineRule="exact"/>
        <w:rPr>
          <w:sz w:val="20"/>
          <w:szCs w:val="20"/>
          <w:color w:val="auto"/>
        </w:rPr>
      </w:pPr>
    </w:p>
    <w:p>
      <w:pPr>
        <w:ind w:left="80"/>
        <w:spacing w:after="0"/>
        <w:rPr>
          <w:sz w:val="20"/>
          <w:szCs w:val="20"/>
          <w:color w:val="auto"/>
        </w:rPr>
      </w:pPr>
      <w:r>
        <w:rPr>
          <w:rFonts w:ascii="Arial" w:cs="Arial" w:eastAsia="Arial" w:hAnsi="Arial"/>
          <w:sz w:val="13"/>
          <w:szCs w:val="13"/>
          <w:color w:val="auto"/>
        </w:rPr>
        <w:t>Preferred stock, $0.01 par value</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Series A</w:t>
      </w:r>
    </w:p>
    <w:p>
      <w:pPr>
        <w:spacing w:after="0" w:line="121" w:lineRule="exact"/>
        <w:rPr>
          <w:sz w:val="20"/>
          <w:szCs w:val="20"/>
          <w:color w:val="auto"/>
        </w:rPr>
      </w:pPr>
    </w:p>
    <w:p>
      <w:pPr>
        <w:ind w:left="140"/>
        <w:spacing w:after="0"/>
        <w:rPr>
          <w:sz w:val="20"/>
          <w:szCs w:val="20"/>
          <w:color w:val="auto"/>
        </w:rPr>
      </w:pPr>
      <w:r>
        <w:rPr>
          <w:rFonts w:ascii="Arial" w:cs="Arial" w:eastAsia="Arial" w:hAnsi="Arial"/>
          <w:sz w:val="13"/>
          <w:szCs w:val="13"/>
          <w:color w:val="auto"/>
        </w:rPr>
        <w:t>Series B</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Common stock, $0.01 par value</w:t>
      </w:r>
    </w:p>
    <w:p>
      <w:pPr>
        <w:spacing w:after="0" w:line="40" w:lineRule="exact"/>
        <w:rPr>
          <w:sz w:val="20"/>
          <w:szCs w:val="20"/>
          <w:color w:val="auto"/>
        </w:rPr>
      </w:pPr>
    </w:p>
    <w:p>
      <w:pPr>
        <w:ind w:left="80"/>
        <w:spacing w:after="0"/>
        <w:rPr>
          <w:sz w:val="20"/>
          <w:szCs w:val="20"/>
          <w:color w:val="auto"/>
        </w:rPr>
      </w:pPr>
      <w:r>
        <w:rPr>
          <w:rFonts w:ascii="Arial" w:cs="Arial" w:eastAsia="Arial" w:hAnsi="Arial"/>
          <w:sz w:val="13"/>
          <w:szCs w:val="13"/>
          <w:color w:val="auto"/>
        </w:rPr>
        <w:t>Capital surplus (principally additional paid-in capital)</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Retained earnings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Accumulated other comprehensive loss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Total stockholders’ equity</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3"/>
          <w:szCs w:val="13"/>
          <w:color w:val="auto"/>
        </w:rPr>
        <w:t>Noncontrolling interests</w:t>
      </w:r>
    </w:p>
    <w:p>
      <w:pPr>
        <w:spacing w:after="0" w:line="1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Equity</w:t>
      </w:r>
    </w:p>
    <w:p>
      <w:pPr>
        <w:spacing w:after="0" w:line="1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Total Liabilities and Equity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200" w:type="dxa"/>
            <w:vAlign w:val="bottom"/>
          </w:tcPr>
          <w:p>
            <w:pPr>
              <w:spacing w:after="0"/>
              <w:rPr>
                <w:sz w:val="12"/>
                <w:szCs w:val="12"/>
                <w:color w:val="auto"/>
              </w:rPr>
            </w:pPr>
          </w:p>
        </w:tc>
        <w:tc>
          <w:tcPr>
            <w:tcW w:w="1280" w:type="dxa"/>
            <w:vAlign w:val="bottom"/>
            <w:gridSpan w:val="2"/>
          </w:tcPr>
          <w:p>
            <w:pPr>
              <w:ind w:left="120"/>
              <w:spacing w:after="0"/>
              <w:rPr>
                <w:sz w:val="20"/>
                <w:szCs w:val="20"/>
                <w:color w:val="auto"/>
              </w:rPr>
            </w:pPr>
            <w:r>
              <w:rPr>
                <w:rFonts w:ascii="Arial" w:cs="Arial" w:eastAsia="Arial" w:hAnsi="Arial"/>
                <w:sz w:val="11"/>
                <w:szCs w:val="11"/>
                <w:b w:val="1"/>
                <w:bCs w:val="1"/>
                <w:color w:val="auto"/>
              </w:rPr>
              <w:t>March 31, 2013</w:t>
            </w:r>
          </w:p>
        </w:tc>
        <w:tc>
          <w:tcPr>
            <w:tcW w:w="180" w:type="dxa"/>
            <w:vAlign w:val="bottom"/>
          </w:tcPr>
          <w:p>
            <w:pPr>
              <w:spacing w:after="0"/>
              <w:rPr>
                <w:sz w:val="12"/>
                <w:szCs w:val="12"/>
                <w:color w:val="auto"/>
              </w:rPr>
            </w:pPr>
          </w:p>
        </w:tc>
        <w:tc>
          <w:tcPr>
            <w:tcW w:w="1180" w:type="dxa"/>
            <w:vAlign w:val="bottom"/>
          </w:tcPr>
          <w:p>
            <w:pPr>
              <w:jc w:val="right"/>
              <w:ind w:right="177"/>
              <w:spacing w:after="0"/>
              <w:rPr>
                <w:sz w:val="20"/>
                <w:szCs w:val="20"/>
                <w:color w:val="auto"/>
              </w:rPr>
            </w:pPr>
            <w:r>
              <w:rPr>
                <w:rFonts w:ascii="Arial" w:cs="Arial" w:eastAsia="Arial" w:hAnsi="Arial"/>
                <w:sz w:val="11"/>
                <w:szCs w:val="11"/>
                <w:b w:val="1"/>
                <w:bCs w:val="1"/>
                <w:color w:val="auto"/>
                <w:w w:val="92"/>
              </w:rPr>
              <w:t>December 31, 2012</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88"/>
        </w:trPr>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20,643</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18,422</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6,560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8,988</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713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686</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12,559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10,395</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4,286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4,044</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15,200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14,714</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1,730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1,782</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9,336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9,429</w:t>
            </w:r>
          </w:p>
        </w:tc>
      </w:tr>
      <w:tr>
        <w:trPr>
          <w:trHeight w:val="280"/>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1,543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1,536</w:t>
            </w:r>
          </w:p>
        </w:tc>
      </w:tr>
      <w:tr>
        <w:trPr>
          <w:trHeight w:val="241"/>
        </w:trPr>
        <w:tc>
          <w:tcPr>
            <w:tcW w:w="20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72,570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69,996</w:t>
            </w:r>
          </w:p>
        </w:tc>
      </w:tr>
      <w:tr>
        <w:trPr>
          <w:trHeight w:val="540"/>
        </w:trPr>
        <w:tc>
          <w:tcPr>
            <w:tcW w:w="200" w:type="dxa"/>
            <w:vAlign w:val="bottom"/>
          </w:tcPr>
          <w:p>
            <w:pPr>
              <w:spacing w:after="0"/>
              <w:rPr>
                <w:sz w:val="24"/>
                <w:szCs w:val="24"/>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623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682</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7,169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6,954</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7,470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6,883</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24,893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24,196</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1,968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1,973</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6,997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6,809</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2,039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1,649</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27,669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27,922</w:t>
            </w:r>
          </w:p>
        </w:tc>
      </w:tr>
      <w:tr>
        <w:trPr>
          <w:trHeight w:val="280"/>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2,377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2,358</w:t>
            </w:r>
          </w:p>
        </w:tc>
      </w:tr>
      <w:tr>
        <w:trPr>
          <w:trHeight w:val="250"/>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81,205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79,426</w:t>
            </w:r>
          </w:p>
        </w:tc>
      </w:tr>
      <w:tr>
        <w:trPr>
          <w:trHeight w:val="237"/>
        </w:trPr>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153,775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149,422</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781"/>
        </w:trPr>
        <w:tc>
          <w:tcPr>
            <w:tcW w:w="200" w:type="dxa"/>
            <w:vAlign w:val="bottom"/>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27,117</w:t>
            </w:r>
          </w:p>
        </w:tc>
        <w:tc>
          <w:tcPr>
            <w:tcW w:w="100" w:type="dxa"/>
            <w:vAlign w:val="bottom"/>
          </w:tcPr>
          <w:p>
            <w:pPr>
              <w:spacing w:after="0"/>
              <w:rPr>
                <w:sz w:val="24"/>
                <w:szCs w:val="24"/>
                <w:color w:val="auto"/>
              </w:rPr>
            </w:pPr>
          </w:p>
        </w:tc>
        <w:tc>
          <w:tcPr>
            <w:tcW w:w="1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25,166</w:t>
            </w:r>
          </w:p>
        </w:tc>
      </w:tr>
      <w:tr>
        <w:trPr>
          <w:trHeight w:val="540"/>
        </w:trPr>
        <w:tc>
          <w:tcPr>
            <w:tcW w:w="200" w:type="dxa"/>
            <w:vAlign w:val="bottom"/>
          </w:tcPr>
          <w:p>
            <w:pPr>
              <w:spacing w:after="0"/>
              <w:rPr>
                <w:sz w:val="24"/>
                <w:szCs w:val="24"/>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1,756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1,748</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5,216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3,770</w:t>
            </w:r>
          </w:p>
        </w:tc>
      </w:tr>
      <w:tr>
        <w:trPr>
          <w:trHeight w:val="280"/>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22,450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23,308</w:t>
            </w:r>
          </w:p>
        </w:tc>
      </w:tr>
      <w:tr>
        <w:trPr>
          <w:trHeight w:val="241"/>
        </w:trPr>
        <w:tc>
          <w:tcPr>
            <w:tcW w:w="20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56,539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53,992</w:t>
            </w:r>
          </w:p>
        </w:tc>
      </w:tr>
      <w:tr>
        <w:trPr>
          <w:trHeight w:val="810"/>
        </w:trPr>
        <w:tc>
          <w:tcPr>
            <w:tcW w:w="200" w:type="dxa"/>
            <w:vAlign w:val="bottom"/>
          </w:tcPr>
          <w:p>
            <w:pPr>
              <w:spacing w:after="0"/>
              <w:rPr>
                <w:sz w:val="24"/>
                <w:szCs w:val="24"/>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3,419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3,424</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8,033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7,108</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7,246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7,309</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26,775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27,420</w:t>
            </w:r>
          </w:p>
        </w:tc>
      </w:tr>
      <w:tr>
        <w:trPr>
          <w:trHeight w:val="280"/>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13,428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13,169</w:t>
            </w:r>
          </w:p>
        </w:tc>
      </w:tr>
      <w:tr>
        <w:trPr>
          <w:trHeight w:val="250"/>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58,901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58,430</w:t>
            </w:r>
          </w:p>
        </w:tc>
      </w:tr>
      <w:tr>
        <w:trPr>
          <w:trHeight w:val="241"/>
        </w:trPr>
        <w:tc>
          <w:tcPr>
            <w:tcW w:w="20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115,440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112,422</w:t>
            </w:r>
          </w:p>
        </w:tc>
      </w:tr>
      <w:tr>
        <w:trPr>
          <w:trHeight w:val="1080"/>
        </w:trPr>
        <w:tc>
          <w:tcPr>
            <w:tcW w:w="200" w:type="dxa"/>
            <w:vAlign w:val="bottom"/>
          </w:tcPr>
          <w:p>
            <w:pPr>
              <w:spacing w:after="0"/>
              <w:rPr>
                <w:sz w:val="24"/>
                <w:szCs w:val="24"/>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5,536</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5,536</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4,855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4,855</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14</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23,776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23,834</w:t>
            </w:r>
          </w:p>
        </w:tc>
      </w:tr>
      <w:tr>
        <w:trPr>
          <w:trHeight w:val="270"/>
        </w:trPr>
        <w:tc>
          <w:tcPr>
            <w:tcW w:w="200" w:type="dxa"/>
            <w:vAlign w:val="bottom"/>
          </w:tcPr>
          <w:p>
            <w:pPr>
              <w:spacing w:after="0"/>
              <w:rPr>
                <w:sz w:val="23"/>
                <w:szCs w:val="23"/>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11,017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10,057</w:t>
            </w:r>
          </w:p>
        </w:tc>
      </w:tr>
      <w:tr>
        <w:trPr>
          <w:trHeight w:val="280"/>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(7,611)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(8,052)</w:t>
            </w:r>
          </w:p>
        </w:tc>
      </w:tr>
      <w:tr>
        <w:trPr>
          <w:trHeight w:val="241"/>
        </w:trPr>
        <w:tc>
          <w:tcPr>
            <w:tcW w:w="200" w:type="dxa"/>
            <w:vAlign w:val="bottom"/>
          </w:tcPr>
          <w:p>
            <w:pPr>
              <w:spacing w:after="0"/>
              <w:rPr>
                <w:sz w:val="20"/>
                <w:szCs w:val="20"/>
                <w:color w:val="auto"/>
              </w:rPr>
            </w:pPr>
          </w:p>
        </w:tc>
        <w:tc>
          <w:tcPr>
            <w:tcW w:w="1180" w:type="dxa"/>
            <w:vAlign w:val="bottom"/>
          </w:tcPr>
          <w:p>
            <w:pPr>
              <w:jc w:val="right"/>
              <w:ind w:right="57"/>
              <w:spacing w:after="0"/>
              <w:rPr>
                <w:sz w:val="20"/>
                <w:szCs w:val="20"/>
                <w:color w:val="auto"/>
              </w:rPr>
            </w:pPr>
            <w:r>
              <w:rPr>
                <w:rFonts w:ascii="Arial" w:cs="Arial" w:eastAsia="Arial" w:hAnsi="Arial"/>
                <w:sz w:val="13"/>
                <w:szCs w:val="13"/>
                <w:color w:val="auto"/>
              </w:rPr>
              <w:t>37,587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7"/>
              <w:spacing w:after="0"/>
              <w:rPr>
                <w:sz w:val="20"/>
                <w:szCs w:val="20"/>
                <w:color w:val="auto"/>
              </w:rPr>
            </w:pPr>
            <w:r>
              <w:rPr>
                <w:rFonts w:ascii="Arial" w:cs="Arial" w:eastAsia="Arial" w:hAnsi="Arial"/>
                <w:sz w:val="13"/>
                <w:szCs w:val="13"/>
                <w:color w:val="auto"/>
              </w:rPr>
              <w:t>36,244</w:t>
            </w:r>
          </w:p>
        </w:tc>
      </w:tr>
      <w:tr>
        <w:trPr>
          <w:trHeight w:val="280"/>
        </w:trPr>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748</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756</w:t>
            </w:r>
          </w:p>
        </w:tc>
      </w:tr>
      <w:tr>
        <w:trPr>
          <w:trHeight w:val="250"/>
        </w:trPr>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38,335</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37,000</w:t>
            </w:r>
          </w:p>
        </w:tc>
      </w:tr>
      <w:tr>
        <w:trPr>
          <w:trHeight w:val="235"/>
        </w:trPr>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153,775</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1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149,422</w:t>
            </w:r>
          </w:p>
        </w:tc>
      </w:tr>
    </w:tbl>
    <w:p>
      <w:pPr>
        <w:sectPr>
          <w:pgSz w:w="11900" w:h="16900" w:orient="portrait"/>
          <w:cols w:equalWidth="0" w:num="2">
            <w:col w:w="7820" w:space="720"/>
            <w:col w:w="2840"/>
          </w:cols>
          <w:pgMar w:left="280" w:top="796" w:right="239" w:bottom="0" w:gutter="0" w:footer="0" w:header="0"/>
        </w:sectPr>
      </w:pPr>
    </w:p>
    <w:bookmarkStart w:id="15" w:name="page16"/>
    <w:bookmarkEnd w:id="15"/>
    <w:p>
      <w:pPr>
        <w:jc w:val="cente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5594350</wp:posOffset>
            </wp:positionH>
            <wp:positionV relativeFrom="page">
              <wp:posOffset>88900</wp:posOffset>
            </wp:positionV>
            <wp:extent cx="18097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17145"/>
                    </a:xfrm>
                    <a:prstGeom prst="rect">
                      <a:avLst/>
                    </a:prstGeom>
                    <a:noFill/>
                  </pic:spPr>
                </pic:pic>
              </a:graphicData>
            </a:graphic>
          </wp:anchor>
        </w:drawing>
        <w:t>9</w:t>
      </w:r>
    </w:p>
    <w:sectPr>
      <w:pgSz w:w="11900" w:h="16838" w:orient="portrait"/>
      <w:cols w:equalWidth="0" w:num="1">
        <w:col w:w="9019"/>
      </w:cols>
      <w:pgMar w:left="1440" w:top="55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2019-12-07T20:05:06Z</dcterms:created>
  <dcterms:modified xsi:type="dcterms:W3CDTF">2019-12-07T20:05:06Z</dcterms:modified>
</cp:coreProperties>
</file>