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sales reported in this Form 4 were effected pursuant to a Rule 10b5-1 trading plan adopted by the Reporting Person in November 2016.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Jacoby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73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2019-12-08T18:49:10Z</dcterms:created>
  <dcterms:modified xsi:type="dcterms:W3CDTF">2019-12-08T18:49:10Z</dcterms:modified>
</cp:coreProperties>
</file>