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23, 2024</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ectPr>
          <w:pgSz w:w="11900" w:h="16838" w:orient="portrait"/>
          <w:cols w:equalWidth="0" w:num="1">
            <w:col w:w="11100"/>
          </w:cols>
          <w:pgMar w:left="320" w:top="1440" w:right="479" w:bottom="1440" w:gutter="0" w:footer="0" w:header="0"/>
        </w:sectPr>
      </w:pPr>
    </w:p>
    <w:p>
      <w:pPr>
        <w:spacing w:after="0" w:line="11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27-0756180</w:t>
      </w:r>
    </w:p>
    <w:p>
      <w:pPr>
        <w:spacing w:after="0" w:line="67" w:lineRule="exact"/>
        <w:rPr>
          <w:sz w:val="24"/>
          <w:szCs w:val="24"/>
          <w:color w:val="auto"/>
        </w:rPr>
      </w:pPr>
    </w:p>
    <w:p>
      <w:pPr>
        <w:sectPr>
          <w:pgSz w:w="11900" w:h="16838" w:orient="portrait"/>
          <w:cols w:equalWidth="0" w:num="3">
            <w:col w:w="4660" w:space="720"/>
            <w:col w:w="2820" w:space="720"/>
            <w:col w:w="2180"/>
          </w:cols>
          <w:pgMar w:left="320" w:top="1440" w:right="4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79" w:lineRule="exact"/>
        <w:rPr>
          <w:sz w:val="24"/>
          <w:szCs w:val="24"/>
          <w:color w:val="auto"/>
        </w:rPr>
      </w:pPr>
    </w:p>
    <w:p>
      <w:pPr>
        <w:sectPr>
          <w:pgSz w:w="11900" w:h="16838" w:orient="portrait"/>
          <w:cols w:equalWidth="0" w:num="3">
            <w:col w:w="4060" w:space="720"/>
            <w:col w:w="2560" w:space="720"/>
            <w:col w:w="3040"/>
          </w:cols>
          <w:pgMar w:left="320" w:top="1440" w:right="479" w:bottom="1440" w:gutter="0" w:footer="0" w:header="0"/>
          <w:type w:val="continuous"/>
        </w:sectPr>
      </w:pPr>
    </w:p>
    <w:p>
      <w:pPr>
        <w:ind w:left="780"/>
        <w:spacing w:after="0"/>
        <w:tabs>
          <w:tab w:leader="none" w:pos="2800" w:val="left"/>
          <w:tab w:leader="none" w:pos="3580" w:val="left"/>
        </w:tabs>
        <w:rPr>
          <w:sz w:val="20"/>
          <w:szCs w:val="20"/>
          <w:color w:val="auto"/>
        </w:rPr>
      </w:pPr>
      <w:r>
        <w:rPr>
          <w:rFonts w:ascii="Times New Roman" w:cs="Times New Roman" w:eastAsia="Times New Roman" w:hAnsi="Times New Roman"/>
          <w:sz w:val="18"/>
          <w:szCs w:val="18"/>
          <w:b w:val="1"/>
          <w:bCs w:val="1"/>
          <w:color w:val="auto"/>
        </w:rPr>
        <w:t>300 Renaissance Center,</w:t>
        <w:tab/>
        <w:t>Detroit,</w:t>
      </w:r>
      <w:r>
        <w:rPr>
          <w:sz w:val="20"/>
          <w:szCs w:val="20"/>
          <w:color w:val="auto"/>
        </w:rPr>
        <w:tab/>
      </w:r>
      <w:r>
        <w:rPr>
          <w:rFonts w:ascii="Times New Roman" w:cs="Times New Roman" w:eastAsia="Times New Roman" w:hAnsi="Times New Roman"/>
          <w:sz w:val="17"/>
          <w:szCs w:val="17"/>
          <w:b w:val="1"/>
          <w:bCs w:val="1"/>
          <w:color w:val="auto"/>
        </w:rPr>
        <w:t>Michigan</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60"/>
        <w:spacing w:after="0"/>
        <w:rPr>
          <w:sz w:val="20"/>
          <w:szCs w:val="20"/>
          <w:color w:val="auto"/>
        </w:rPr>
      </w:pPr>
      <w:r>
        <w:rPr>
          <w:rFonts w:ascii="Times New Roman" w:cs="Times New Roman" w:eastAsia="Times New Roman" w:hAnsi="Times New Roman"/>
          <w:sz w:val="17"/>
          <w:szCs w:val="17"/>
          <w:b w:val="1"/>
          <w:bCs w:val="1"/>
          <w:color w:val="auto"/>
        </w:rPr>
        <w:t>48265 -3000</w:t>
      </w:r>
    </w:p>
    <w:p>
      <w:pPr>
        <w:spacing w:after="0" w:line="43" w:lineRule="exact"/>
        <w:rPr>
          <w:sz w:val="24"/>
          <w:szCs w:val="24"/>
          <w:color w:val="auto"/>
        </w:rPr>
      </w:pPr>
    </w:p>
    <w:p>
      <w:pPr>
        <w:jc w:val="right"/>
        <w:ind w:right="20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20" w:space="720"/>
            <w:col w:w="2860"/>
          </w:cols>
          <w:pgMar w:left="320" w:top="1440" w:right="479" w:bottom="1440" w:gutter="0" w:footer="0" w:header="0"/>
          <w:type w:val="continuous"/>
        </w:sectPr>
      </w:pPr>
    </w:p>
    <w:p>
      <w:pPr>
        <w:spacing w:after="0" w:line="1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9" w:lineRule="exact"/>
        <w:rPr>
          <w:rFonts w:ascii="MS PGothic" w:cs="MS PGothic" w:eastAsia="MS PGothic" w:hAnsi="MS PGothic"/>
          <w:sz w:val="18"/>
          <w:szCs w:val="18"/>
          <w:color w:val="auto"/>
        </w:rPr>
      </w:pPr>
    </w:p>
    <w:p>
      <w:pPr>
        <w:ind w:left="3760" w:right="3240" w:hanging="3714"/>
        <w:spacing w:after="0" w:line="414" w:lineRule="auto"/>
        <w:tabs>
          <w:tab w:leader="none" w:pos="6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3" w:lineRule="exact"/>
        <w:rPr>
          <w:sz w:val="24"/>
          <w:szCs w:val="24"/>
          <w:color w:val="auto"/>
        </w:rPr>
      </w:pPr>
    </w:p>
    <w:tbl>
      <w:tblPr>
        <w:tblLayout w:type="fixed"/>
        <w:tblInd w:w="132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40" w:type="dxa"/>
            <w:vAlign w:val="bottom"/>
          </w:tcPr>
          <w:p>
            <w:pPr>
              <w:spacing w:after="0"/>
              <w:rPr>
                <w:sz w:val="16"/>
                <w:szCs w:val="16"/>
                <w:color w:val="auto"/>
              </w:rPr>
            </w:pP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3680" w:type="dxa"/>
            <w:vAlign w:val="bottom"/>
            <w:gridSpan w:val="3"/>
          </w:tcPr>
          <w:p>
            <w:pPr>
              <w:jc w:val="center"/>
              <w:ind w:right="15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GM</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On July 23, 2024, General Motors Company (GM) issued a news release and supplemental materials on the subject of its 2024 second quarter consolidated earnings. The news release and supplemental materials are attached as Exhibit 99.1.</w:t>
      </w:r>
    </w:p>
    <w:p>
      <w:pPr>
        <w:spacing w:after="0" w:line="189" w:lineRule="exact"/>
        <w:rPr>
          <w:sz w:val="20"/>
          <w:szCs w:val="20"/>
          <w:color w:val="auto"/>
        </w:rPr>
      </w:pPr>
    </w:p>
    <w:p>
      <w:pPr>
        <w:ind w:right="20" w:firstLine="162"/>
        <w:spacing w:after="0" w:line="282" w:lineRule="auto"/>
        <w:rPr>
          <w:sz w:val="20"/>
          <w:szCs w:val="20"/>
          <w:color w:val="auto"/>
        </w:rPr>
      </w:pPr>
      <w:r>
        <w:rPr>
          <w:rFonts w:ascii="Times New Roman" w:cs="Times New Roman" w:eastAsia="Times New Roman" w:hAnsi="Times New Roman"/>
          <w:sz w:val="18"/>
          <w:szCs w:val="18"/>
          <w:color w:val="auto"/>
        </w:rPr>
        <w:t>Charts furnished to securities analysts in connection with GM's 2024 second quarter consolidated earnings release are available on GM's website at www.gm.com/investors/earnings-releases.html.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560" w:type="dxa"/>
            <w:vAlign w:val="bottom"/>
            <w:gridSpan w:val="4"/>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6"/>
        </w:trPr>
        <w:tc>
          <w:tcPr>
            <w:tcW w:w="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760" w:type="dxa"/>
            <w:vAlign w:val="bottom"/>
            <w:tcBorders>
              <w:top w:val="single" w:sz="8" w:color="auto"/>
            </w:tcBorders>
          </w:tcPr>
          <w:p>
            <w:pPr>
              <w:spacing w:after="0"/>
              <w:rPr>
                <w:sz w:val="20"/>
                <w:szCs w:val="20"/>
                <w:color w:val="auto"/>
              </w:rPr>
            </w:pPr>
          </w:p>
        </w:tc>
        <w:tc>
          <w:tcPr>
            <w:tcW w:w="5240" w:type="dxa"/>
            <w:vAlign w:val="bottom"/>
            <w:gridSpan w:val="2"/>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News Release and Financial Highlights Dated July 23, 2024</w:t>
            </w:r>
          </w:p>
        </w:tc>
      </w:tr>
      <w:tr>
        <w:trPr>
          <w:trHeight w:val="20"/>
        </w:trPr>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320" w:type="dxa"/>
            <w:vAlign w:val="bottom"/>
            <w:gridSpan w:val="4"/>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80"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743"/>
        </w:trPr>
        <w:tc>
          <w:tcPr>
            <w:tcW w:w="606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HATTO</w:t>
            </w:r>
          </w:p>
        </w:tc>
      </w:tr>
      <w:tr>
        <w:trPr>
          <w:trHeight w:val="169"/>
        </w:trPr>
        <w:tc>
          <w:tcPr>
            <w:tcW w:w="60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 July 23, 2024</w:t>
            </w:r>
          </w:p>
        </w:tc>
        <w:tc>
          <w:tcPr>
            <w:tcW w:w="51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tc>
      </w:t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13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1450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640"/>
        <w:spacing w:after="0"/>
        <w:rPr>
          <w:sz w:val="20"/>
          <w:szCs w:val="20"/>
          <w:color w:val="auto"/>
        </w:rPr>
      </w:pPr>
      <w:r>
        <w:rPr>
          <w:rFonts w:ascii="Arial" w:cs="Arial" w:eastAsia="Arial" w:hAnsi="Arial"/>
          <w:sz w:val="52"/>
          <w:szCs w:val="52"/>
          <w:color w:val="6D6D6D"/>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219075</wp:posOffset>
            </wp:positionV>
            <wp:extent cx="6934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For Release: Tuesday, July 23, 2024, at 6:30 a.m. ET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GM Releases 2024 Second-Quarter Results and Raises Full-Year Guidance</w:t>
      </w:r>
    </w:p>
    <w:p>
      <w:pPr>
        <w:spacing w:after="0" w:line="24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reported second-quarter 2024 revenue of $48.0 billion, net income attributable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$2.9 billion and EBIT-adjusted of $4.4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GM is also updating its 2024 full-year earnings guidance for the second consecutive quarter:</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060" w:type="dxa"/>
            <w:vAlign w:val="bottom"/>
          </w:tcPr>
          <w:p>
            <w:pPr>
              <w:spacing w:after="0"/>
              <w:rPr>
                <w:sz w:val="19"/>
                <w:szCs w:val="19"/>
                <w:color w:val="auto"/>
              </w:rPr>
            </w:pPr>
          </w:p>
        </w:tc>
        <w:tc>
          <w:tcPr>
            <w:tcW w:w="25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Updated 2024 Guidance</w:t>
            </w:r>
          </w:p>
        </w:tc>
        <w:tc>
          <w:tcPr>
            <w:tcW w:w="372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rPr>
              <w:t>Previous 2024 Guidance</w:t>
            </w:r>
          </w:p>
        </w:tc>
      </w:tr>
      <w:tr>
        <w:trPr>
          <w:trHeight w:val="215"/>
        </w:trPr>
        <w:tc>
          <w:tcPr>
            <w:tcW w:w="406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$10.0 billion - $11.4 billion</w:t>
            </w:r>
          </w:p>
        </w:tc>
        <w:tc>
          <w:tcPr>
            <w:tcW w:w="3720" w:type="dxa"/>
            <w:vAlign w:val="bottom"/>
            <w:gridSpan w:val="2"/>
          </w:tcPr>
          <w:p>
            <w:pPr>
              <w:ind w:left="620"/>
              <w:spacing w:after="0"/>
              <w:rPr>
                <w:sz w:val="20"/>
                <w:szCs w:val="20"/>
                <w:color w:val="auto"/>
              </w:rPr>
            </w:pPr>
            <w:r>
              <w:rPr>
                <w:rFonts w:ascii="Arial" w:cs="Arial" w:eastAsia="Arial" w:hAnsi="Arial"/>
                <w:sz w:val="16"/>
                <w:szCs w:val="16"/>
                <w:color w:val="auto"/>
              </w:rPr>
              <w:t>$10.1 billion - $11.5 billion</w:t>
            </w:r>
          </w:p>
        </w:tc>
      </w:tr>
      <w:tr>
        <w:trPr>
          <w:trHeight w:val="229"/>
        </w:trPr>
        <w:tc>
          <w:tcPr>
            <w:tcW w:w="4060" w:type="dxa"/>
            <w:vAlign w:val="bottom"/>
          </w:tcPr>
          <w:p>
            <w:pPr>
              <w:spacing w:after="0"/>
              <w:rPr>
                <w:sz w:val="20"/>
                <w:szCs w:val="20"/>
                <w:color w:val="auto"/>
              </w:rPr>
            </w:pPr>
            <w:r>
              <w:rPr>
                <w:rFonts w:ascii="Arial" w:cs="Arial" w:eastAsia="Arial" w:hAnsi="Arial"/>
                <w:sz w:val="16"/>
                <w:szCs w:val="16"/>
                <w:color w:val="auto"/>
              </w:rPr>
              <w:t>EBIT-adjusted</w:t>
            </w: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$13.0 billion - $15.0 billion</w:t>
            </w:r>
          </w:p>
        </w:tc>
        <w:tc>
          <w:tcPr>
            <w:tcW w:w="3720" w:type="dxa"/>
            <w:vAlign w:val="bottom"/>
            <w:gridSpan w:val="2"/>
          </w:tcPr>
          <w:p>
            <w:pPr>
              <w:ind w:left="620"/>
              <w:spacing w:after="0"/>
              <w:rPr>
                <w:sz w:val="20"/>
                <w:szCs w:val="20"/>
                <w:color w:val="auto"/>
              </w:rPr>
            </w:pPr>
            <w:r>
              <w:rPr>
                <w:rFonts w:ascii="Arial" w:cs="Arial" w:eastAsia="Arial" w:hAnsi="Arial"/>
                <w:sz w:val="16"/>
                <w:szCs w:val="16"/>
                <w:color w:val="auto"/>
              </w:rPr>
              <w:t>$12.5 billion - $14.5 billion</w:t>
            </w:r>
          </w:p>
        </w:tc>
      </w:tr>
      <w:tr>
        <w:trPr>
          <w:trHeight w:val="230"/>
        </w:trPr>
        <w:tc>
          <w:tcPr>
            <w:tcW w:w="406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$19.2 billion - $22.2 billion</w:t>
            </w:r>
          </w:p>
        </w:tc>
        <w:tc>
          <w:tcPr>
            <w:tcW w:w="3720" w:type="dxa"/>
            <w:vAlign w:val="bottom"/>
            <w:gridSpan w:val="2"/>
          </w:tcPr>
          <w:p>
            <w:pPr>
              <w:ind w:left="620"/>
              <w:spacing w:after="0"/>
              <w:rPr>
                <w:sz w:val="20"/>
                <w:szCs w:val="20"/>
                <w:color w:val="auto"/>
              </w:rPr>
            </w:pPr>
            <w:r>
              <w:rPr>
                <w:rFonts w:ascii="Arial" w:cs="Arial" w:eastAsia="Arial" w:hAnsi="Arial"/>
                <w:sz w:val="16"/>
                <w:szCs w:val="16"/>
                <w:color w:val="auto"/>
              </w:rPr>
              <w:t>$18.3 billion - $21.3 billion</w:t>
            </w:r>
          </w:p>
        </w:tc>
      </w:tr>
      <w:tr>
        <w:trPr>
          <w:trHeight w:val="229"/>
        </w:trPr>
        <w:tc>
          <w:tcPr>
            <w:tcW w:w="406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$9.5 billion - $11.5 billion</w:t>
            </w:r>
          </w:p>
        </w:tc>
        <w:tc>
          <w:tcPr>
            <w:tcW w:w="3720" w:type="dxa"/>
            <w:vAlign w:val="bottom"/>
            <w:gridSpan w:val="2"/>
          </w:tcPr>
          <w:p>
            <w:pPr>
              <w:ind w:left="620"/>
              <w:spacing w:after="0"/>
              <w:rPr>
                <w:sz w:val="20"/>
                <w:szCs w:val="20"/>
                <w:color w:val="auto"/>
              </w:rPr>
            </w:pPr>
            <w:r>
              <w:rPr>
                <w:rFonts w:ascii="Arial" w:cs="Arial" w:eastAsia="Arial" w:hAnsi="Arial"/>
                <w:sz w:val="16"/>
                <w:szCs w:val="16"/>
                <w:color w:val="auto"/>
              </w:rPr>
              <w:t>$8.5 billion - $10.5 billion</w:t>
            </w:r>
          </w:p>
        </w:tc>
      </w:tr>
      <w:tr>
        <w:trPr>
          <w:trHeight w:val="229"/>
        </w:trPr>
        <w:tc>
          <w:tcPr>
            <w:tcW w:w="4060" w:type="dxa"/>
            <w:vAlign w:val="bottom"/>
          </w:tcPr>
          <w:p>
            <w:pPr>
              <w:spacing w:after="0"/>
              <w:rPr>
                <w:sz w:val="20"/>
                <w:szCs w:val="20"/>
                <w:color w:val="auto"/>
              </w:rPr>
            </w:pPr>
            <w:r>
              <w:rPr>
                <w:rFonts w:ascii="Arial" w:cs="Arial" w:eastAsia="Arial" w:hAnsi="Arial"/>
                <w:sz w:val="16"/>
                <w:szCs w:val="16"/>
                <w:color w:val="auto"/>
              </w:rPr>
              <w:t>EPS-diluted</w:t>
            </w:r>
          </w:p>
        </w:tc>
        <w:tc>
          <w:tcPr>
            <w:tcW w:w="460" w:type="dxa"/>
            <w:vAlign w:val="bottom"/>
          </w:tcPr>
          <w:p>
            <w:pPr>
              <w:ind w:left="20"/>
              <w:spacing w:after="0"/>
              <w:rPr>
                <w:sz w:val="20"/>
                <w:szCs w:val="20"/>
                <w:color w:val="auto"/>
              </w:rPr>
            </w:pPr>
            <w:r>
              <w:rPr>
                <w:rFonts w:ascii="Arial" w:cs="Arial" w:eastAsia="Arial" w:hAnsi="Arial"/>
                <w:sz w:val="16"/>
                <w:szCs w:val="16"/>
                <w:color w:val="auto"/>
              </w:rPr>
              <w:t>$8.93</w:t>
            </w:r>
          </w:p>
        </w:tc>
        <w:tc>
          <w:tcPr>
            <w:tcW w:w="2060" w:type="dxa"/>
            <w:vAlign w:val="bottom"/>
          </w:tcPr>
          <w:p>
            <w:pPr>
              <w:ind w:left="20"/>
              <w:spacing w:after="0"/>
              <w:rPr>
                <w:sz w:val="20"/>
                <w:szCs w:val="20"/>
                <w:color w:val="auto"/>
              </w:rPr>
            </w:pPr>
            <w:r>
              <w:rPr>
                <w:rFonts w:ascii="Arial" w:cs="Arial" w:eastAsia="Arial" w:hAnsi="Arial"/>
                <w:sz w:val="16"/>
                <w:szCs w:val="16"/>
                <w:color w:val="auto"/>
              </w:rPr>
              <w:t>- $9.93</w:t>
            </w:r>
          </w:p>
        </w:tc>
        <w:tc>
          <w:tcPr>
            <w:tcW w:w="1040" w:type="dxa"/>
            <w:vAlign w:val="bottom"/>
          </w:tcPr>
          <w:p>
            <w:pPr>
              <w:ind w:left="620"/>
              <w:spacing w:after="0"/>
              <w:rPr>
                <w:sz w:val="20"/>
                <w:szCs w:val="20"/>
                <w:color w:val="auto"/>
              </w:rPr>
            </w:pPr>
            <w:r>
              <w:rPr>
                <w:rFonts w:ascii="Arial" w:cs="Arial" w:eastAsia="Arial" w:hAnsi="Arial"/>
                <w:sz w:val="16"/>
                <w:szCs w:val="16"/>
                <w:color w:val="auto"/>
                <w:w w:val="99"/>
              </w:rPr>
              <w:t>$8.94</w:t>
            </w:r>
          </w:p>
        </w:tc>
        <w:tc>
          <w:tcPr>
            <w:tcW w:w="2680" w:type="dxa"/>
            <w:vAlign w:val="bottom"/>
          </w:tcPr>
          <w:p>
            <w:pPr>
              <w:ind w:left="40"/>
              <w:spacing w:after="0"/>
              <w:rPr>
                <w:sz w:val="20"/>
                <w:szCs w:val="20"/>
                <w:color w:val="auto"/>
              </w:rPr>
            </w:pPr>
            <w:r>
              <w:rPr>
                <w:rFonts w:ascii="Arial" w:cs="Arial" w:eastAsia="Arial" w:hAnsi="Arial"/>
                <w:sz w:val="16"/>
                <w:szCs w:val="16"/>
                <w:color w:val="auto"/>
              </w:rPr>
              <w:t>- $9.94</w:t>
            </w:r>
          </w:p>
        </w:tc>
      </w:tr>
      <w:tr>
        <w:trPr>
          <w:trHeight w:val="230"/>
        </w:trPr>
        <w:tc>
          <w:tcPr>
            <w:tcW w:w="4060" w:type="dxa"/>
            <w:vAlign w:val="bottom"/>
          </w:tcPr>
          <w:p>
            <w:pPr>
              <w:spacing w:after="0"/>
              <w:rPr>
                <w:sz w:val="20"/>
                <w:szCs w:val="20"/>
                <w:color w:val="auto"/>
              </w:rPr>
            </w:pPr>
            <w:r>
              <w:rPr>
                <w:rFonts w:ascii="Arial" w:cs="Arial" w:eastAsia="Arial" w:hAnsi="Arial"/>
                <w:sz w:val="16"/>
                <w:szCs w:val="16"/>
                <w:color w:val="auto"/>
              </w:rPr>
              <w:t>EPS-diluted-adjusted</w:t>
            </w:r>
          </w:p>
        </w:tc>
        <w:tc>
          <w:tcPr>
            <w:tcW w:w="460" w:type="dxa"/>
            <w:vAlign w:val="bottom"/>
          </w:tcPr>
          <w:p>
            <w:pPr>
              <w:ind w:left="20"/>
              <w:spacing w:after="0"/>
              <w:rPr>
                <w:sz w:val="20"/>
                <w:szCs w:val="20"/>
                <w:color w:val="auto"/>
              </w:rPr>
            </w:pPr>
            <w:r>
              <w:rPr>
                <w:rFonts w:ascii="Arial" w:cs="Arial" w:eastAsia="Arial" w:hAnsi="Arial"/>
                <w:sz w:val="16"/>
                <w:szCs w:val="16"/>
                <w:color w:val="auto"/>
              </w:rPr>
              <w:t>$9.50</w:t>
            </w:r>
          </w:p>
        </w:tc>
        <w:tc>
          <w:tcPr>
            <w:tcW w:w="2060" w:type="dxa"/>
            <w:vAlign w:val="bottom"/>
          </w:tcPr>
          <w:p>
            <w:pPr>
              <w:ind w:left="20"/>
              <w:spacing w:after="0"/>
              <w:rPr>
                <w:sz w:val="20"/>
                <w:szCs w:val="20"/>
                <w:color w:val="auto"/>
              </w:rPr>
            </w:pPr>
            <w:r>
              <w:rPr>
                <w:rFonts w:ascii="Arial" w:cs="Arial" w:eastAsia="Arial" w:hAnsi="Arial"/>
                <w:sz w:val="16"/>
                <w:szCs w:val="16"/>
                <w:color w:val="auto"/>
              </w:rPr>
              <w:t>- $10.50</w:t>
            </w:r>
          </w:p>
        </w:tc>
        <w:tc>
          <w:tcPr>
            <w:tcW w:w="1040" w:type="dxa"/>
            <w:vAlign w:val="bottom"/>
          </w:tcPr>
          <w:p>
            <w:pPr>
              <w:ind w:left="620"/>
              <w:spacing w:after="0"/>
              <w:rPr>
                <w:sz w:val="20"/>
                <w:szCs w:val="20"/>
                <w:color w:val="auto"/>
              </w:rPr>
            </w:pPr>
            <w:r>
              <w:rPr>
                <w:rFonts w:ascii="Arial" w:cs="Arial" w:eastAsia="Arial" w:hAnsi="Arial"/>
                <w:sz w:val="16"/>
                <w:szCs w:val="16"/>
                <w:color w:val="auto"/>
                <w:w w:val="99"/>
              </w:rPr>
              <w:t>$9.00</w:t>
            </w:r>
          </w:p>
        </w:tc>
        <w:tc>
          <w:tcPr>
            <w:tcW w:w="2680" w:type="dxa"/>
            <w:vAlign w:val="bottom"/>
          </w:tcPr>
          <w:p>
            <w:pPr>
              <w:ind w:left="40"/>
              <w:spacing w:after="0"/>
              <w:rPr>
                <w:sz w:val="20"/>
                <w:szCs w:val="20"/>
                <w:color w:val="auto"/>
              </w:rPr>
            </w:pPr>
            <w:r>
              <w:rPr>
                <w:rFonts w:ascii="Arial" w:cs="Arial" w:eastAsia="Arial" w:hAnsi="Arial"/>
                <w:sz w:val="16"/>
                <w:szCs w:val="16"/>
                <w:color w:val="auto"/>
              </w:rPr>
              <w:t>- $10.00</w:t>
            </w:r>
          </w:p>
        </w:tc>
      </w:tr>
    </w:tbl>
    <w:p>
      <w:pPr>
        <w:spacing w:after="0" w:line="32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GM's 2024 financial guidance includes anticipated capital spending of $10.5 billion - $11.5 billion, inclusive of investments in the company's battery cell manufacturing joint ventures.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for Investors and Analysts</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GM Chair and CEO Mary Barra and GM Chief Financial Officer Paul Jacobson will host a conference call for the investment community at 8:30 a.m. ET today to discuss these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details are as follows:</w:t>
      </w:r>
    </w:p>
    <w:p>
      <w:pPr>
        <w:spacing w:after="0" w:line="3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1-800-857-9821 (U.S.)</w:t>
      </w:r>
    </w:p>
    <w:p>
      <w:pPr>
        <w:spacing w:after="0" w:line="10" w:lineRule="exact"/>
        <w:rPr>
          <w:rFonts w:ascii="Arial" w:cs="Arial" w:eastAsia="Arial" w:hAnsi="Arial"/>
          <w:sz w:val="22"/>
          <w:szCs w:val="22"/>
          <w:color w:val="auto"/>
        </w:rPr>
      </w:pPr>
    </w:p>
    <w:p>
      <w:pPr>
        <w:ind w:left="640" w:hanging="308"/>
        <w:spacing w:after="0" w:line="233"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1-517-308-9481 (international/caller-paid)</w:t>
      </w:r>
    </w:p>
    <w:p>
      <w:pPr>
        <w:spacing w:after="0" w:line="12"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Conference call passcode: </w:t>
      </w:r>
      <w:r>
        <w:rPr>
          <w:rFonts w:ascii="Arial" w:cs="Arial" w:eastAsia="Arial" w:hAnsi="Arial"/>
          <w:sz w:val="18"/>
          <w:szCs w:val="18"/>
          <w:color w:val="auto"/>
        </w:rPr>
        <w:t>General Motors</w:t>
      </w:r>
    </w:p>
    <w:p>
      <w:pPr>
        <w:spacing w:after="0" w:line="2" w:lineRule="exact"/>
        <w:rPr>
          <w:rFonts w:ascii="Arial" w:cs="Arial" w:eastAsia="Arial" w:hAnsi="Arial"/>
          <w:sz w:val="22"/>
          <w:szCs w:val="22"/>
          <w:color w:val="auto"/>
        </w:rPr>
      </w:pPr>
    </w:p>
    <w:p>
      <w:pPr>
        <w:ind w:left="640" w:hanging="308"/>
        <w:spacing w:after="0" w:line="233"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An audio replay will be available on the GM Investor Relations website in the Events section.</w:t>
      </w:r>
    </w:p>
    <w:p>
      <w:pPr>
        <w:spacing w:after="0" w:line="235"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color w:val="auto"/>
        </w:rPr>
        <w:t>Visit the GM Investor Relations website to download the company’s earnings deck and GM Chair and CEO Mary Barra’s letter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6" w:right="33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Results Overview</w:t>
      </w:r>
    </w:p>
    <w:p>
      <w:pPr>
        <w:spacing w:after="0" w:line="5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Three Months Ended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680" w:type="dxa"/>
            <w:vAlign w:val="bottom"/>
          </w:tcPr>
          <w:p>
            <w:pPr>
              <w:spacing w:after="0"/>
              <w:rPr>
                <w:sz w:val="20"/>
                <w:szCs w:val="20"/>
                <w:color w:val="auto"/>
              </w:rPr>
            </w:pPr>
            <w:r>
              <w:rPr>
                <w:rFonts w:ascii="Arial" w:cs="Arial" w:eastAsia="Arial" w:hAnsi="Arial"/>
                <w:sz w:val="16"/>
                <w:szCs w:val="16"/>
                <w:i w:val="1"/>
                <w:iCs w:val="1"/>
                <w:color w:val="auto"/>
              </w:rPr>
              <w:t>($M) except per share amounts</w:t>
            </w: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2024</w:t>
            </w: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2023</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1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3680" w:type="dxa"/>
            <w:vAlign w:val="bottom"/>
          </w:tcPr>
          <w:p>
            <w:pPr>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47,969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44,746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3,223</w:t>
            </w:r>
          </w:p>
        </w:tc>
        <w:tc>
          <w:tcPr>
            <w:tcW w:w="150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215"/>
        </w:trPr>
        <w:tc>
          <w:tcPr>
            <w:tcW w:w="368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2,933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2,566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367</w:t>
            </w:r>
          </w:p>
        </w:tc>
        <w:tc>
          <w:tcPr>
            <w:tcW w:w="1500" w:type="dxa"/>
            <w:vAlign w:val="bottom"/>
          </w:tcPr>
          <w:p>
            <w:pPr>
              <w:jc w:val="right"/>
              <w:spacing w:after="0"/>
              <w:rPr>
                <w:sz w:val="20"/>
                <w:szCs w:val="20"/>
                <w:color w:val="auto"/>
              </w:rPr>
            </w:pPr>
            <w:r>
              <w:rPr>
                <w:rFonts w:ascii="Arial" w:cs="Arial" w:eastAsia="Arial" w:hAnsi="Arial"/>
                <w:sz w:val="16"/>
                <w:szCs w:val="16"/>
                <w:color w:val="auto"/>
              </w:rPr>
              <w:t>14.3 %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4,438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3,234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1,204</w:t>
            </w:r>
          </w:p>
        </w:tc>
        <w:tc>
          <w:tcPr>
            <w:tcW w:w="1500" w:type="dxa"/>
            <w:vAlign w:val="bottom"/>
          </w:tcPr>
          <w:p>
            <w:pPr>
              <w:jc w:val="right"/>
              <w:spacing w:after="0"/>
              <w:rPr>
                <w:sz w:val="20"/>
                <w:szCs w:val="20"/>
                <w:color w:val="auto"/>
              </w:rPr>
            </w:pPr>
            <w:r>
              <w:rPr>
                <w:rFonts w:ascii="Arial" w:cs="Arial" w:eastAsia="Arial" w:hAnsi="Arial"/>
                <w:sz w:val="16"/>
                <w:szCs w:val="16"/>
                <w:color w:val="auto"/>
              </w:rPr>
              <w:t>37.2 %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Net income margin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6.1 %</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5.7 %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0.4 ppts</w:t>
            </w:r>
          </w:p>
        </w:tc>
        <w:tc>
          <w:tcPr>
            <w:tcW w:w="1500" w:type="dxa"/>
            <w:vAlign w:val="bottom"/>
          </w:tcPr>
          <w:p>
            <w:pPr>
              <w:jc w:val="right"/>
              <w:spacing w:after="0"/>
              <w:rPr>
                <w:sz w:val="20"/>
                <w:szCs w:val="20"/>
                <w:color w:val="auto"/>
              </w:rPr>
            </w:pPr>
            <w:r>
              <w:rPr>
                <w:rFonts w:ascii="Arial" w:cs="Arial" w:eastAsia="Arial" w:hAnsi="Arial"/>
                <w:sz w:val="16"/>
                <w:szCs w:val="16"/>
                <w:color w:val="auto"/>
              </w:rPr>
              <w:t>7.0 %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 margin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9.3 %</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2.1 ppts</w:t>
            </w:r>
          </w:p>
        </w:tc>
        <w:tc>
          <w:tcPr>
            <w:tcW w:w="1500" w:type="dxa"/>
            <w:vAlign w:val="bottom"/>
          </w:tcPr>
          <w:p>
            <w:pPr>
              <w:jc w:val="right"/>
              <w:spacing w:after="0"/>
              <w:rPr>
                <w:sz w:val="20"/>
                <w:szCs w:val="20"/>
                <w:color w:val="auto"/>
              </w:rPr>
            </w:pPr>
            <w:r>
              <w:rPr>
                <w:rFonts w:ascii="Arial" w:cs="Arial" w:eastAsia="Arial" w:hAnsi="Arial"/>
                <w:sz w:val="16"/>
                <w:szCs w:val="16"/>
                <w:color w:val="auto"/>
              </w:rPr>
              <w:t>29.2 %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7,713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7,114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599</w:t>
            </w:r>
          </w:p>
        </w:tc>
        <w:tc>
          <w:tcPr>
            <w:tcW w:w="1500" w:type="dxa"/>
            <w:vAlign w:val="bottom"/>
          </w:tcPr>
          <w:p>
            <w:pPr>
              <w:jc w:val="right"/>
              <w:spacing w:after="0"/>
              <w:rPr>
                <w:sz w:val="20"/>
                <w:szCs w:val="20"/>
                <w:color w:val="auto"/>
              </w:rPr>
            </w:pPr>
            <w:r>
              <w:rPr>
                <w:rFonts w:ascii="Arial" w:cs="Arial" w:eastAsia="Arial" w:hAnsi="Arial"/>
                <w:sz w:val="16"/>
                <w:szCs w:val="16"/>
                <w:color w:val="auto"/>
              </w:rPr>
              <w:t>8.4 %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5,297</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5,548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(251)</w:t>
            </w:r>
          </w:p>
        </w:tc>
        <w:tc>
          <w:tcPr>
            <w:tcW w:w="15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2.55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1.83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0.72</w:t>
            </w:r>
          </w:p>
        </w:tc>
        <w:tc>
          <w:tcPr>
            <w:tcW w:w="1500" w:type="dxa"/>
            <w:vAlign w:val="bottom"/>
          </w:tcPr>
          <w:p>
            <w:pPr>
              <w:jc w:val="right"/>
              <w:spacing w:after="0"/>
              <w:rPr>
                <w:sz w:val="20"/>
                <w:szCs w:val="20"/>
                <w:color w:val="auto"/>
              </w:rPr>
            </w:pPr>
            <w:r>
              <w:rPr>
                <w:rFonts w:ascii="Arial" w:cs="Arial" w:eastAsia="Arial" w:hAnsi="Arial"/>
                <w:sz w:val="16"/>
                <w:szCs w:val="16"/>
                <w:color w:val="auto"/>
              </w:rPr>
              <w:t>39.3 %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EPS-diluted-adjusted(a)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3.06</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1.91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1.15</w:t>
            </w:r>
          </w:p>
        </w:tc>
        <w:tc>
          <w:tcPr>
            <w:tcW w:w="1500" w:type="dxa"/>
            <w:vAlign w:val="bottom"/>
          </w:tcPr>
          <w:p>
            <w:pPr>
              <w:jc w:val="right"/>
              <w:spacing w:after="0"/>
              <w:rPr>
                <w:sz w:val="20"/>
                <w:szCs w:val="20"/>
                <w:color w:val="auto"/>
              </w:rPr>
            </w:pPr>
            <w:r>
              <w:rPr>
                <w:rFonts w:ascii="Arial" w:cs="Arial" w:eastAsia="Arial" w:hAnsi="Arial"/>
                <w:sz w:val="16"/>
                <w:szCs w:val="16"/>
                <w:color w:val="auto"/>
              </w:rPr>
              <w:t>60.2 %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4,433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3,194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1,239</w:t>
            </w:r>
          </w:p>
        </w:tc>
        <w:tc>
          <w:tcPr>
            <w:tcW w:w="1500" w:type="dxa"/>
            <w:vAlign w:val="bottom"/>
          </w:tcPr>
          <w:p>
            <w:pPr>
              <w:jc w:val="right"/>
              <w:spacing w:after="0"/>
              <w:rPr>
                <w:sz w:val="20"/>
                <w:szCs w:val="20"/>
                <w:color w:val="auto"/>
              </w:rPr>
            </w:pPr>
            <w:r>
              <w:rPr>
                <w:rFonts w:ascii="Arial" w:cs="Arial" w:eastAsia="Arial" w:hAnsi="Arial"/>
                <w:sz w:val="16"/>
                <w:szCs w:val="16"/>
                <w:color w:val="auto"/>
              </w:rPr>
              <w:t>38.8 %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10.9 %</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8.6 %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2.3 ppts</w:t>
            </w:r>
          </w:p>
        </w:tc>
        <w:tc>
          <w:tcPr>
            <w:tcW w:w="1500" w:type="dxa"/>
            <w:vAlign w:val="bottom"/>
          </w:tcPr>
          <w:p>
            <w:pPr>
              <w:jc w:val="right"/>
              <w:spacing w:after="0"/>
              <w:rPr>
                <w:sz w:val="20"/>
                <w:szCs w:val="20"/>
                <w:color w:val="auto"/>
              </w:rPr>
            </w:pPr>
            <w:r>
              <w:rPr>
                <w:rFonts w:ascii="Arial" w:cs="Arial" w:eastAsia="Arial" w:hAnsi="Arial"/>
                <w:sz w:val="16"/>
                <w:szCs w:val="16"/>
                <w:color w:val="auto"/>
              </w:rPr>
              <w:t>26.7 %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GMI EBIT-adjusted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236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(186)</w:t>
            </w:r>
          </w:p>
        </w:tc>
        <w:tc>
          <w:tcPr>
            <w:tcW w:w="1500" w:type="dxa"/>
            <w:vAlign w:val="bottom"/>
          </w:tcPr>
          <w:p>
            <w:pPr>
              <w:jc w:val="right"/>
              <w:spacing w:after="0"/>
              <w:rPr>
                <w:sz w:val="20"/>
                <w:szCs w:val="20"/>
                <w:color w:val="auto"/>
              </w:rPr>
            </w:pPr>
            <w:r>
              <w:rPr>
                <w:rFonts w:ascii="Arial" w:cs="Arial" w:eastAsia="Arial" w:hAnsi="Arial"/>
                <w:sz w:val="16"/>
                <w:szCs w:val="16"/>
                <w:color w:val="auto"/>
              </w:rPr>
              <w:t>(78.8)%</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China equity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78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(182)</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822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766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56</w:t>
            </w:r>
          </w:p>
        </w:tc>
        <w:tc>
          <w:tcPr>
            <w:tcW w:w="1500" w:type="dxa"/>
            <w:vAlign w:val="bottom"/>
          </w:tcPr>
          <w:p>
            <w:pPr>
              <w:jc w:val="right"/>
              <w:spacing w:after="0"/>
              <w:rPr>
                <w:sz w:val="20"/>
                <w:szCs w:val="20"/>
                <w:color w:val="auto"/>
              </w:rPr>
            </w:pPr>
            <w:r>
              <w:rPr>
                <w:rFonts w:ascii="Arial" w:cs="Arial" w:eastAsia="Arial" w:hAnsi="Arial"/>
                <w:sz w:val="16"/>
                <w:szCs w:val="16"/>
                <w:color w:val="auto"/>
              </w:rPr>
              <w:t>7.3 %</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EPS-diluted and EPS-diluted-adjusted include a $(0.10) and $(0.03) impact from revaluation on equity investments in the three months ended June 30, 2024 and 2023.</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27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Six Months Ended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680" w:type="dxa"/>
            <w:vAlign w:val="bottom"/>
          </w:tcPr>
          <w:p>
            <w:pPr>
              <w:spacing w:after="0"/>
              <w:rPr>
                <w:sz w:val="20"/>
                <w:szCs w:val="20"/>
                <w:color w:val="auto"/>
              </w:rPr>
            </w:pPr>
            <w:r>
              <w:rPr>
                <w:rFonts w:ascii="Arial" w:cs="Arial" w:eastAsia="Arial" w:hAnsi="Arial"/>
                <w:sz w:val="16"/>
                <w:szCs w:val="16"/>
                <w:i w:val="1"/>
                <w:iCs w:val="1"/>
                <w:color w:val="auto"/>
              </w:rPr>
              <w:t>($M) except per share amounts</w:t>
            </w: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2024</w:t>
            </w: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2023</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1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3680" w:type="dxa"/>
            <w:vAlign w:val="bottom"/>
          </w:tcPr>
          <w:p>
            <w:pPr>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90,983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84,732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6,251</w:t>
            </w:r>
          </w:p>
        </w:tc>
        <w:tc>
          <w:tcPr>
            <w:tcW w:w="1500" w:type="dxa"/>
            <w:vAlign w:val="bottom"/>
          </w:tcPr>
          <w:p>
            <w:pPr>
              <w:jc w:val="right"/>
              <w:spacing w:after="0"/>
              <w:rPr>
                <w:sz w:val="20"/>
                <w:szCs w:val="20"/>
                <w:color w:val="auto"/>
              </w:rPr>
            </w:pPr>
            <w:r>
              <w:rPr>
                <w:rFonts w:ascii="Arial" w:cs="Arial" w:eastAsia="Arial" w:hAnsi="Arial"/>
                <w:sz w:val="16"/>
                <w:szCs w:val="16"/>
                <w:color w:val="auto"/>
              </w:rPr>
              <w:t>7.4 %</w:t>
            </w:r>
          </w:p>
        </w:tc>
      </w:tr>
      <w:tr>
        <w:trPr>
          <w:trHeight w:val="215"/>
        </w:trPr>
        <w:tc>
          <w:tcPr>
            <w:tcW w:w="368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5,913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4,962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951</w:t>
            </w:r>
          </w:p>
        </w:tc>
        <w:tc>
          <w:tcPr>
            <w:tcW w:w="1500" w:type="dxa"/>
            <w:vAlign w:val="bottom"/>
          </w:tcPr>
          <w:p>
            <w:pPr>
              <w:jc w:val="right"/>
              <w:spacing w:after="0"/>
              <w:rPr>
                <w:sz w:val="20"/>
                <w:szCs w:val="20"/>
                <w:color w:val="auto"/>
              </w:rPr>
            </w:pPr>
            <w:r>
              <w:rPr>
                <w:rFonts w:ascii="Arial" w:cs="Arial" w:eastAsia="Arial" w:hAnsi="Arial"/>
                <w:sz w:val="16"/>
                <w:szCs w:val="16"/>
                <w:color w:val="auto"/>
              </w:rPr>
              <w:t>19.2 %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8,310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7,037</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1,273</w:t>
            </w:r>
          </w:p>
        </w:tc>
        <w:tc>
          <w:tcPr>
            <w:tcW w:w="1500" w:type="dxa"/>
            <w:vAlign w:val="bottom"/>
          </w:tcPr>
          <w:p>
            <w:pPr>
              <w:jc w:val="right"/>
              <w:spacing w:after="0"/>
              <w:rPr>
                <w:sz w:val="20"/>
                <w:szCs w:val="20"/>
                <w:color w:val="auto"/>
              </w:rPr>
            </w:pPr>
            <w:r>
              <w:rPr>
                <w:rFonts w:ascii="Arial" w:cs="Arial" w:eastAsia="Arial" w:hAnsi="Arial"/>
                <w:sz w:val="16"/>
                <w:szCs w:val="16"/>
                <w:color w:val="auto"/>
              </w:rPr>
              <w:t>18.1 %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Net income margin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6.5 %</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0.6 ppts</w:t>
            </w:r>
          </w:p>
        </w:tc>
        <w:tc>
          <w:tcPr>
            <w:tcW w:w="1500" w:type="dxa"/>
            <w:vAlign w:val="bottom"/>
          </w:tcPr>
          <w:p>
            <w:pPr>
              <w:jc w:val="right"/>
              <w:spacing w:after="0"/>
              <w:rPr>
                <w:sz w:val="20"/>
                <w:szCs w:val="20"/>
                <w:color w:val="auto"/>
              </w:rPr>
            </w:pPr>
            <w:r>
              <w:rPr>
                <w:rFonts w:ascii="Arial" w:cs="Arial" w:eastAsia="Arial" w:hAnsi="Arial"/>
                <w:sz w:val="16"/>
                <w:szCs w:val="16"/>
                <w:color w:val="auto"/>
              </w:rPr>
              <w:t>10.2 %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 margin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9.1 %</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8.3 %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0.8 ppts</w:t>
            </w:r>
          </w:p>
        </w:tc>
        <w:tc>
          <w:tcPr>
            <w:tcW w:w="1500" w:type="dxa"/>
            <w:vAlign w:val="bottom"/>
          </w:tcPr>
          <w:p>
            <w:pPr>
              <w:jc w:val="right"/>
              <w:spacing w:after="0"/>
              <w:rPr>
                <w:sz w:val="20"/>
                <w:szCs w:val="20"/>
                <w:color w:val="auto"/>
              </w:rPr>
            </w:pPr>
            <w:r>
              <w:rPr>
                <w:rFonts w:ascii="Arial" w:cs="Arial" w:eastAsia="Arial" w:hAnsi="Arial"/>
                <w:sz w:val="16"/>
                <w:szCs w:val="16"/>
                <w:color w:val="auto"/>
              </w:rPr>
              <w:t>9.6 %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11,311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9,346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1,965</w:t>
            </w:r>
          </w:p>
        </w:tc>
        <w:tc>
          <w:tcPr>
            <w:tcW w:w="1500" w:type="dxa"/>
            <w:vAlign w:val="bottom"/>
          </w:tcPr>
          <w:p>
            <w:pPr>
              <w:jc w:val="right"/>
              <w:spacing w:after="0"/>
              <w:rPr>
                <w:sz w:val="20"/>
                <w:szCs w:val="20"/>
                <w:color w:val="auto"/>
              </w:rPr>
            </w:pPr>
            <w:r>
              <w:rPr>
                <w:rFonts w:ascii="Arial" w:cs="Arial" w:eastAsia="Arial" w:hAnsi="Arial"/>
                <w:sz w:val="16"/>
                <w:szCs w:val="16"/>
                <w:color w:val="auto"/>
              </w:rPr>
              <w:t>21.0 %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6,388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5,415</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973</w:t>
            </w:r>
          </w:p>
        </w:tc>
        <w:tc>
          <w:tcPr>
            <w:tcW w:w="1500" w:type="dxa"/>
            <w:vAlign w:val="bottom"/>
          </w:tcPr>
          <w:p>
            <w:pPr>
              <w:jc w:val="right"/>
              <w:spacing w:after="0"/>
              <w:rPr>
                <w:sz w:val="20"/>
                <w:szCs w:val="20"/>
                <w:color w:val="auto"/>
              </w:rPr>
            </w:pPr>
            <w:r>
              <w:rPr>
                <w:rFonts w:ascii="Arial" w:cs="Arial" w:eastAsia="Arial" w:hAnsi="Arial"/>
                <w:sz w:val="16"/>
                <w:szCs w:val="16"/>
                <w:color w:val="auto"/>
              </w:rPr>
              <w:t>18.0 %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5.10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3.52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1.58</w:t>
            </w:r>
          </w:p>
        </w:tc>
        <w:tc>
          <w:tcPr>
            <w:tcW w:w="1500" w:type="dxa"/>
            <w:vAlign w:val="bottom"/>
          </w:tcPr>
          <w:p>
            <w:pPr>
              <w:jc w:val="right"/>
              <w:spacing w:after="0"/>
              <w:rPr>
                <w:sz w:val="20"/>
                <w:szCs w:val="20"/>
                <w:color w:val="auto"/>
              </w:rPr>
            </w:pPr>
            <w:r>
              <w:rPr>
                <w:rFonts w:ascii="Arial" w:cs="Arial" w:eastAsia="Arial" w:hAnsi="Arial"/>
                <w:sz w:val="16"/>
                <w:szCs w:val="16"/>
                <w:color w:val="auto"/>
              </w:rPr>
              <w:t>44.9 %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EPS-diluted-adjusted(a)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5.68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4.12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1.56</w:t>
            </w:r>
          </w:p>
        </w:tc>
        <w:tc>
          <w:tcPr>
            <w:tcW w:w="1500" w:type="dxa"/>
            <w:vAlign w:val="bottom"/>
          </w:tcPr>
          <w:p>
            <w:pPr>
              <w:jc w:val="right"/>
              <w:spacing w:after="0"/>
              <w:rPr>
                <w:sz w:val="20"/>
                <w:szCs w:val="20"/>
                <w:color w:val="auto"/>
              </w:rPr>
            </w:pPr>
            <w:r>
              <w:rPr>
                <w:rFonts w:ascii="Arial" w:cs="Arial" w:eastAsia="Arial" w:hAnsi="Arial"/>
                <w:sz w:val="16"/>
                <w:szCs w:val="16"/>
                <w:color w:val="auto"/>
              </w:rPr>
              <w:t>37.9 %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8,273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6,769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1,504</w:t>
            </w:r>
          </w:p>
        </w:tc>
        <w:tc>
          <w:tcPr>
            <w:tcW w:w="1500" w:type="dxa"/>
            <w:vAlign w:val="bottom"/>
          </w:tcPr>
          <w:p>
            <w:pPr>
              <w:jc w:val="right"/>
              <w:spacing w:after="0"/>
              <w:rPr>
                <w:sz w:val="20"/>
                <w:szCs w:val="20"/>
                <w:color w:val="auto"/>
              </w:rPr>
            </w:pPr>
            <w:r>
              <w:rPr>
                <w:rFonts w:ascii="Arial" w:cs="Arial" w:eastAsia="Arial" w:hAnsi="Arial"/>
                <w:sz w:val="16"/>
                <w:szCs w:val="16"/>
                <w:color w:val="auto"/>
              </w:rPr>
              <w:t>22.2 %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10.8 %</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9.7 %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1.1 ppts</w:t>
            </w:r>
          </w:p>
        </w:tc>
        <w:tc>
          <w:tcPr>
            <w:tcW w:w="1500" w:type="dxa"/>
            <w:vAlign w:val="bottom"/>
          </w:tcPr>
          <w:p>
            <w:pPr>
              <w:jc w:val="right"/>
              <w:spacing w:after="0"/>
              <w:rPr>
                <w:sz w:val="20"/>
                <w:szCs w:val="20"/>
                <w:color w:val="auto"/>
              </w:rPr>
            </w:pPr>
            <w:r>
              <w:rPr>
                <w:rFonts w:ascii="Arial" w:cs="Arial" w:eastAsia="Arial" w:hAnsi="Arial"/>
                <w:sz w:val="16"/>
                <w:szCs w:val="16"/>
                <w:color w:val="auto"/>
              </w:rPr>
              <w:t>11.3 %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GMI EBIT-adjusted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583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(543)</w:t>
            </w:r>
          </w:p>
        </w:tc>
        <w:tc>
          <w:tcPr>
            <w:tcW w:w="1500" w:type="dxa"/>
            <w:vAlign w:val="bottom"/>
          </w:tcPr>
          <w:p>
            <w:pPr>
              <w:jc w:val="right"/>
              <w:spacing w:after="0"/>
              <w:rPr>
                <w:sz w:val="20"/>
                <w:szCs w:val="20"/>
                <w:color w:val="auto"/>
              </w:rPr>
            </w:pPr>
            <w:r>
              <w:rPr>
                <w:rFonts w:ascii="Arial" w:cs="Arial" w:eastAsia="Arial" w:hAnsi="Arial"/>
                <w:sz w:val="16"/>
                <w:szCs w:val="16"/>
                <w:color w:val="auto"/>
              </w:rPr>
              <w:t>(93.1)%</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China equity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(210)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161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(371)</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1,559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1,537</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22</w:t>
            </w:r>
          </w:p>
        </w:tc>
        <w:tc>
          <w:tcPr>
            <w:tcW w:w="1500" w:type="dxa"/>
            <w:vAlign w:val="bottom"/>
          </w:tcPr>
          <w:p>
            <w:pPr>
              <w:jc w:val="right"/>
              <w:spacing w:after="0"/>
              <w:rPr>
                <w:sz w:val="20"/>
                <w:szCs w:val="20"/>
                <w:color w:val="auto"/>
              </w:rPr>
            </w:pPr>
            <w:r>
              <w:rPr>
                <w:rFonts w:ascii="Arial" w:cs="Arial" w:eastAsia="Arial" w:hAnsi="Arial"/>
                <w:sz w:val="16"/>
                <w:szCs w:val="16"/>
                <w:color w:val="auto"/>
              </w:rPr>
              <w:t>1.4 %</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EPS-diluted and EPS-diluted-adjusted include an $(0.11) impact from revaluation on equity investments in the six months ended June 30, 2024.</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40"/>
          </w:cols>
          <w:pgMar w:left="320" w:top="1440" w:right="639" w:bottom="1440" w:gutter="0" w:footer="0" w:header="0"/>
        </w:sectPr>
      </w:pPr>
    </w:p>
    <w:bookmarkStart w:id="5" w:name="page6"/>
    <w:bookmarkEnd w:id="5"/>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General Motors </w:t>
      </w:r>
      <w:r>
        <w:rPr>
          <w:rFonts w:ascii="Arial" w:cs="Arial" w:eastAsia="Arial" w:hAnsi="Arial"/>
          <w:sz w:val="18"/>
          <w:szCs w:val="18"/>
          <w:color w:val="auto"/>
        </w:rPr>
        <w:t>(NYSE:GM) is a global company focused on advancing an all-electric future that is inclusive and accessible to all. At the</w:t>
      </w:r>
      <w:r>
        <w:rPr>
          <w:rFonts w:ascii="Arial" w:cs="Arial" w:eastAsia="Arial" w:hAnsi="Arial"/>
          <w:sz w:val="18"/>
          <w:szCs w:val="18"/>
          <w:b w:val="1"/>
          <w:bCs w:val="1"/>
          <w:color w:val="auto"/>
        </w:rPr>
        <w:t xml:space="preserve"> </w:t>
      </w:r>
      <w:r>
        <w:rPr>
          <w:rFonts w:ascii="Arial" w:cs="Arial" w:eastAsia="Arial" w:hAnsi="Arial"/>
          <w:sz w:val="18"/>
          <w:szCs w:val="18"/>
          <w:color w:val="auto"/>
        </w:rPr>
        <w:t>heart of this strategy is the Ultium battery platform, which will power everything from mass-market to high-performance vehicles. General Motors, its subsidiaries and its joint venture entities sell vehicles under the Chevrolet, Buick, GMC, Cadillac, Baojun and Wuling brands. More information on the company and its subsidiaries, including OnStar, a global leader in safety services and connected vehicle technology, can be found at https://www.gm.com</w:t>
      </w:r>
      <w:r>
        <w:rPr>
          <w:rFonts w:ascii="Arial" w:cs="Arial" w:eastAsia="Arial" w:hAnsi="Arial"/>
          <w:sz w:val="18"/>
          <w:szCs w:val="18"/>
          <w:color w:val="373F42"/>
        </w:rPr>
        <w:t>.</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780" w:type="dxa"/>
            <w:vAlign w:val="bottom"/>
          </w:tcPr>
          <w:p>
            <w:pPr>
              <w:ind w:left="440"/>
              <w:spacing w:after="0"/>
              <w:rPr>
                <w:sz w:val="20"/>
                <w:szCs w:val="20"/>
                <w:color w:val="auto"/>
              </w:rPr>
            </w:pPr>
            <w:r>
              <w:rPr>
                <w:rFonts w:ascii="Arial" w:cs="Arial" w:eastAsia="Arial" w:hAnsi="Arial"/>
                <w:sz w:val="18"/>
                <w:szCs w:val="18"/>
                <w:b w:val="1"/>
                <w:bCs w:val="1"/>
                <w:color w:val="auto"/>
              </w:rPr>
              <w:t>###</w:t>
            </w:r>
          </w:p>
        </w:tc>
      </w:tr>
      <w:tr>
        <w:trPr>
          <w:trHeight w:val="513"/>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80" w:type="dxa"/>
            <w:vAlign w:val="bottom"/>
          </w:tcPr>
          <w:p>
            <w:pPr>
              <w:spacing w:after="0"/>
              <w:rPr>
                <w:sz w:val="24"/>
                <w:szCs w:val="24"/>
                <w:color w:val="auto"/>
              </w:rPr>
            </w:pPr>
          </w:p>
        </w:tc>
      </w:tr>
      <w:tr>
        <w:trPr>
          <w:trHeight w:val="239"/>
        </w:trPr>
        <w:tc>
          <w:tcPr>
            <w:tcW w:w="5020" w:type="dxa"/>
            <w:vAlign w:val="bottom"/>
            <w:gridSpan w:val="3"/>
          </w:tcPr>
          <w:p>
            <w:pPr>
              <w:spacing w:after="0"/>
              <w:rPr>
                <w:sz w:val="20"/>
                <w:szCs w:val="20"/>
                <w:color w:val="auto"/>
              </w:rPr>
            </w:pPr>
            <w:r>
              <w:rPr>
                <w:rFonts w:ascii="Arial" w:cs="Arial" w:eastAsia="Arial" w:hAnsi="Arial"/>
                <w:sz w:val="18"/>
                <w:szCs w:val="18"/>
                <w:color w:val="auto"/>
              </w:rPr>
              <w:t>Jim Cain</w:t>
            </w:r>
          </w:p>
        </w:tc>
        <w:tc>
          <w:tcPr>
            <w:tcW w:w="1780" w:type="dxa"/>
            <w:vAlign w:val="bottom"/>
          </w:tcPr>
          <w:p>
            <w:pPr>
              <w:spacing w:after="0"/>
              <w:rPr>
                <w:sz w:val="20"/>
                <w:szCs w:val="20"/>
                <w:color w:val="auto"/>
              </w:rPr>
            </w:pPr>
            <w:r>
              <w:rPr>
                <w:rFonts w:ascii="Arial" w:cs="Arial" w:eastAsia="Arial" w:hAnsi="Arial"/>
                <w:sz w:val="18"/>
                <w:szCs w:val="18"/>
                <w:color w:val="auto"/>
              </w:rPr>
              <w:t>Ashish Kohli, CFA</w:t>
            </w: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20"/>
                <w:szCs w:val="20"/>
                <w:color w:val="auto"/>
              </w:rPr>
            </w:pPr>
            <w:r>
              <w:rPr>
                <w:rFonts w:ascii="Arial" w:cs="Arial" w:eastAsia="Arial" w:hAnsi="Arial"/>
                <w:sz w:val="18"/>
                <w:szCs w:val="18"/>
                <w:color w:val="auto"/>
                <w:w w:val="98"/>
              </w:rPr>
              <w:t>GM Investor Relations</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313-407-2843</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847-964-3459</w:t>
            </w: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james.cain@chevrolet.com</w:t>
            </w:r>
          </w:p>
        </w:tc>
        <w:tc>
          <w:tcPr>
            <w:tcW w:w="1780" w:type="dxa"/>
            <w:vAlign w:val="bottom"/>
          </w:tcPr>
          <w:p>
            <w:pPr>
              <w:spacing w:after="0" w:line="195" w:lineRule="exact"/>
              <w:rPr>
                <w:sz w:val="20"/>
                <w:szCs w:val="20"/>
                <w:color w:val="auto"/>
              </w:rPr>
            </w:pPr>
            <w:r>
              <w:rPr>
                <w:rFonts w:ascii="Arial" w:cs="Arial" w:eastAsia="Arial" w:hAnsi="Arial"/>
                <w:sz w:val="18"/>
                <w:szCs w:val="18"/>
                <w:color w:val="0563C1"/>
                <w:w w:val="99"/>
              </w:rPr>
              <w:t>ashish.kohli@gm.com</w:t>
            </w:r>
          </w:p>
        </w:tc>
      </w:tr>
      <w:tr>
        <w:trPr>
          <w:trHeight w:val="515"/>
        </w:trPr>
        <w:tc>
          <w:tcPr>
            <w:tcW w:w="2160" w:type="dxa"/>
            <w:vAlign w:val="bottom"/>
            <w:tcBorders>
              <w:top w:val="single" w:sz="8" w:color="0563C1"/>
            </w:tcBorders>
            <w:gridSpan w:val="2"/>
          </w:tcPr>
          <w:p>
            <w:pPr>
              <w:spacing w:after="0"/>
              <w:rPr>
                <w:sz w:val="20"/>
                <w:szCs w:val="20"/>
                <w:color w:val="auto"/>
              </w:rPr>
            </w:pPr>
            <w:r>
              <w:rPr>
                <w:rFonts w:ascii="Arial" w:cs="Arial" w:eastAsia="Arial" w:hAnsi="Arial"/>
                <w:sz w:val="18"/>
                <w:szCs w:val="18"/>
                <w:color w:val="auto"/>
              </w:rPr>
              <w:t>David Caldwell</w:t>
            </w:r>
          </w:p>
        </w:tc>
        <w:tc>
          <w:tcPr>
            <w:tcW w:w="2860" w:type="dxa"/>
            <w:vAlign w:val="bottom"/>
          </w:tcPr>
          <w:p>
            <w:pPr>
              <w:spacing w:after="0"/>
              <w:rPr>
                <w:sz w:val="24"/>
                <w:szCs w:val="24"/>
                <w:color w:val="auto"/>
              </w:rPr>
            </w:pPr>
          </w:p>
        </w:tc>
        <w:tc>
          <w:tcPr>
            <w:tcW w:w="1780" w:type="dxa"/>
            <w:vAlign w:val="bottom"/>
            <w:tcBorders>
              <w:top w:val="single" w:sz="8" w:color="0563C1"/>
            </w:tcBorders>
          </w:tcPr>
          <w:p>
            <w:pPr>
              <w:spacing w:after="0"/>
              <w:rPr>
                <w:sz w:val="24"/>
                <w:szCs w:val="24"/>
                <w:color w:val="auto"/>
              </w:rPr>
            </w:pP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586-899-7861</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david.caldwell@gm.com</w:t>
            </w:r>
          </w:p>
        </w:tc>
        <w:tc>
          <w:tcPr>
            <w:tcW w:w="1780" w:type="dxa"/>
            <w:vAlign w:val="bottom"/>
          </w:tcPr>
          <w:p>
            <w:pPr>
              <w:spacing w:after="0"/>
              <w:rPr>
                <w:sz w:val="16"/>
                <w:szCs w:val="16"/>
                <w:color w:val="auto"/>
              </w:rPr>
            </w:pPr>
          </w:p>
        </w:tc>
      </w:tr>
      <w:tr>
        <w:trPr>
          <w:trHeight w:val="20"/>
        </w:trPr>
        <w:tc>
          <w:tcPr>
            <w:tcW w:w="19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Cautionary Note on Forward-Looking Statements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press release and related comments by management may include “forward-looking statements” within the meaning of the U.S. federal securities laws. Forward-looking statements are any statements other than statements of historical fact and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Guidance Reconciliations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Net income attributable to stockholders under U.S. GAAP to expected EBIT-adjusted (dollars in billions):</w:t>
      </w:r>
    </w:p>
    <w:p>
      <w:pPr>
        <w:spacing w:after="0" w:line="307"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Year Ending December 31, 2024</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182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4"/>
                <w:szCs w:val="14"/>
                <w:b w:val="1"/>
                <w:bCs w:val="1"/>
                <w:color w:val="auto"/>
              </w:rPr>
              <w:t>Updated</w:t>
            </w:r>
          </w:p>
        </w:tc>
        <w:tc>
          <w:tcPr>
            <w:tcW w:w="9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Previous</w:t>
            </w: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1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$ 10.0-11.4</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$ 10.1-11.5</w:t>
            </w:r>
          </w:p>
        </w:tc>
      </w:tr>
      <w:tr>
        <w:trPr>
          <w:trHeight w:val="215"/>
        </w:trPr>
        <w:tc>
          <w:tcPr>
            <w:tcW w:w="732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980" w:type="dxa"/>
            <w:vAlign w:val="bottom"/>
          </w:tcPr>
          <w:p>
            <w:pPr>
              <w:jc w:val="right"/>
              <w:spacing w:after="0"/>
              <w:rPr>
                <w:sz w:val="20"/>
                <w:szCs w:val="20"/>
                <w:color w:val="auto"/>
              </w:rPr>
            </w:pPr>
            <w:r>
              <w:rPr>
                <w:rFonts w:ascii="Arial" w:cs="Arial" w:eastAsia="Arial" w:hAnsi="Arial"/>
                <w:sz w:val="16"/>
                <w:szCs w:val="16"/>
                <w:color w:val="auto"/>
              </w:rPr>
              <w:t>2.2-2.8</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2.2-2.8</w:t>
            </w:r>
          </w:p>
        </w:tc>
      </w:tr>
      <w:tr>
        <w:trPr>
          <w:trHeight w:val="216"/>
        </w:trPr>
        <w:tc>
          <w:tcPr>
            <w:tcW w:w="7320" w:type="dxa"/>
            <w:vAlign w:val="bottom"/>
            <w:gridSpan w:val="2"/>
          </w:tcPr>
          <w:p>
            <w:pPr>
              <w:spacing w:after="0"/>
              <w:rPr>
                <w:sz w:val="20"/>
                <w:szCs w:val="20"/>
                <w:color w:val="auto"/>
              </w:rPr>
            </w:pPr>
            <w:r>
              <w:rPr>
                <w:rFonts w:ascii="Arial" w:cs="Arial" w:eastAsia="Arial" w:hAnsi="Arial"/>
                <w:sz w:val="16"/>
                <w:szCs w:val="16"/>
                <w:color w:val="auto"/>
              </w:rPr>
              <w:t>Automotive interest (income) expense, net</w:t>
            </w: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7320" w:type="dxa"/>
            <w:vAlign w:val="bottom"/>
            <w:gridSpan w:val="2"/>
          </w:tcPr>
          <w:p>
            <w:pPr>
              <w:spacing w:after="0"/>
              <w:rPr>
                <w:sz w:val="20"/>
                <w:szCs w:val="20"/>
                <w:color w:val="auto"/>
              </w:rPr>
            </w:pPr>
            <w:r>
              <w:rPr>
                <w:rFonts w:ascii="Arial" w:cs="Arial" w:eastAsia="Arial" w:hAnsi="Arial"/>
                <w:sz w:val="16"/>
                <w:szCs w:val="16"/>
                <w:color w:val="auto"/>
              </w:rPr>
              <w:t>Adjustments(a)</w:t>
            </w:r>
          </w:p>
        </w:tc>
        <w:tc>
          <w:tcPr>
            <w:tcW w:w="98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EBIT-adjusted</w:t>
            </w:r>
          </w:p>
        </w:tc>
        <w:tc>
          <w:tcPr>
            <w:tcW w:w="18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$ 13.0-15.0</w:t>
            </w:r>
          </w:p>
        </w:tc>
        <w:tc>
          <w:tcPr>
            <w:tcW w:w="120" w:type="dxa"/>
            <w:vAlign w:val="bottom"/>
          </w:tcPr>
          <w:p>
            <w:pPr>
              <w:spacing w:after="0"/>
              <w:rPr>
                <w:sz w:val="18"/>
                <w:szCs w:val="18"/>
                <w:color w:val="auto"/>
              </w:rPr>
            </w:pP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$ 12.5-14.5</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hanging="332"/>
        <w:spacing w:after="0" w:line="284"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EBIT-adjusted and segment profit (loss) for adjustment details. These expected financial results do not include the potential impact of future adjustments related to special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EPS-diluted under U.S. GAAP to expected EPS-diluted-adjusted:</w:t>
      </w:r>
    </w:p>
    <w:p>
      <w:pPr>
        <w:spacing w:after="0" w:line="293"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Year Ending December 31, 2024</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78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4"/>
                <w:szCs w:val="14"/>
                <w:b w:val="1"/>
                <w:bCs w:val="1"/>
                <w:color w:val="auto"/>
              </w:rPr>
              <w:t>Updated</w:t>
            </w:r>
          </w:p>
        </w:tc>
        <w:tc>
          <w:tcPr>
            <w:tcW w:w="10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Previous</w:t>
            </w:r>
          </w:p>
        </w:tc>
      </w:tr>
      <w:tr>
        <w:trPr>
          <w:trHeight w:val="209"/>
        </w:trPr>
        <w:tc>
          <w:tcPr>
            <w:tcW w:w="548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17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$ 8.93-9.93</w:t>
            </w:r>
          </w:p>
        </w:tc>
        <w:tc>
          <w:tcPr>
            <w:tcW w:w="10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$ 8.94-9.94</w:t>
            </w:r>
          </w:p>
        </w:tc>
      </w:tr>
      <w:tr>
        <w:trPr>
          <w:trHeight w:val="215"/>
        </w:trPr>
        <w:tc>
          <w:tcPr>
            <w:tcW w:w="7260" w:type="dxa"/>
            <w:vAlign w:val="bottom"/>
            <w:gridSpan w:val="2"/>
          </w:tcPr>
          <w:p>
            <w:pPr>
              <w:spacing w:after="0"/>
              <w:rPr>
                <w:sz w:val="20"/>
                <w:szCs w:val="20"/>
                <w:color w:val="auto"/>
              </w:rPr>
            </w:pPr>
            <w:r>
              <w:rPr>
                <w:rFonts w:ascii="Arial" w:cs="Arial" w:eastAsia="Arial" w:hAnsi="Arial"/>
                <w:sz w:val="16"/>
                <w:szCs w:val="16"/>
                <w:color w:val="auto"/>
              </w:rPr>
              <w:t>Adjustments(a)</w:t>
            </w:r>
          </w:p>
        </w:tc>
        <w:tc>
          <w:tcPr>
            <w:tcW w:w="1040" w:type="dxa"/>
            <w:vAlign w:val="bottom"/>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18"/>
                <w:szCs w:val="18"/>
                <w:color w:val="auto"/>
              </w:rPr>
            </w:pPr>
          </w:p>
        </w:tc>
        <w:tc>
          <w:tcPr>
            <w:tcW w:w="2800" w:type="dxa"/>
            <w:vAlign w:val="bottom"/>
          </w:tcPr>
          <w:p>
            <w:pPr>
              <w:jc w:val="right"/>
              <w:ind w:right="1"/>
              <w:spacing w:after="0"/>
              <w:rPr>
                <w:sz w:val="20"/>
                <w:szCs w:val="20"/>
                <w:color w:val="auto"/>
              </w:rPr>
            </w:pPr>
            <w:r>
              <w:rPr>
                <w:rFonts w:ascii="Arial" w:cs="Arial" w:eastAsia="Arial" w:hAnsi="Arial"/>
                <w:sz w:val="16"/>
                <w:szCs w:val="16"/>
                <w:color w:val="auto"/>
              </w:rPr>
              <w:t>0.06</w:t>
            </w:r>
          </w:p>
        </w:tc>
      </w:tr>
      <w:tr>
        <w:trPr>
          <w:trHeight w:val="210"/>
        </w:trPr>
        <w:tc>
          <w:tcPr>
            <w:tcW w:w="5480" w:type="dxa"/>
            <w:vAlign w:val="bottom"/>
          </w:tcPr>
          <w:p>
            <w:pPr>
              <w:spacing w:after="0"/>
              <w:rPr>
                <w:sz w:val="20"/>
                <w:szCs w:val="20"/>
                <w:color w:val="auto"/>
              </w:rPr>
            </w:pPr>
            <w:r>
              <w:rPr>
                <w:rFonts w:ascii="Arial" w:cs="Arial" w:eastAsia="Arial" w:hAnsi="Arial"/>
                <w:sz w:val="16"/>
                <w:szCs w:val="16"/>
                <w:color w:val="auto"/>
              </w:rPr>
              <w:t>EPS-diluted-adjusted</w:t>
            </w:r>
          </w:p>
        </w:tc>
        <w:tc>
          <w:tcPr>
            <w:tcW w:w="17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$ 9.50-10.50</w:t>
            </w:r>
          </w:p>
        </w:tc>
        <w:tc>
          <w:tcPr>
            <w:tcW w:w="100" w:type="dxa"/>
            <w:vAlign w:val="bottom"/>
          </w:tcPr>
          <w:p>
            <w:pPr>
              <w:spacing w:after="0"/>
              <w:rPr>
                <w:sz w:val="18"/>
                <w:szCs w:val="18"/>
                <w:color w:val="auto"/>
              </w:rPr>
            </w:pP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$ 9.00-10.00</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right="20" w:hanging="332"/>
        <w:spacing w:after="0" w:line="284"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Refer to the reconciliation of diluted earnings per common share under U.S. GAAP to EPS-diluted-adjusted for adjustment details. These expected financial results do not include the potential impact of future adjustments related to special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reconciles expected automotive net cash provided by operating activities under U.S. GAAP to expected adjusted automotive free cash flow (dollars in billions):</w:t>
      </w:r>
    </w:p>
    <w:p>
      <w:pPr>
        <w:spacing w:after="0" w:line="214"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Year Ending December 31, 2024</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182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4"/>
                <w:szCs w:val="14"/>
                <w:b w:val="1"/>
                <w:bCs w:val="1"/>
                <w:color w:val="auto"/>
              </w:rPr>
              <w:t>Updated</w:t>
            </w:r>
          </w:p>
        </w:tc>
        <w:tc>
          <w:tcPr>
            <w:tcW w:w="9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Previous</w:t>
            </w: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Net automotive cash provided by operating activities</w:t>
            </w:r>
          </w:p>
        </w:tc>
        <w:tc>
          <w:tcPr>
            <w:tcW w:w="1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$ 19.2-22.2</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$ 18.3-21.3</w:t>
            </w:r>
          </w:p>
        </w:tc>
      </w:tr>
      <w:tr>
        <w:trPr>
          <w:trHeight w:val="215"/>
        </w:trPr>
        <w:tc>
          <w:tcPr>
            <w:tcW w:w="7320" w:type="dxa"/>
            <w:vAlign w:val="bottom"/>
            <w:gridSpan w:val="2"/>
          </w:tcPr>
          <w:p>
            <w:pPr>
              <w:spacing w:after="0"/>
              <w:rPr>
                <w:sz w:val="20"/>
                <w:szCs w:val="20"/>
                <w:color w:val="auto"/>
              </w:rPr>
            </w:pPr>
            <w:r>
              <w:rPr>
                <w:rFonts w:ascii="Arial" w:cs="Arial" w:eastAsia="Arial" w:hAnsi="Arial"/>
                <w:sz w:val="16"/>
                <w:szCs w:val="16"/>
                <w:color w:val="auto"/>
              </w:rPr>
              <w:t>Less: Capital expenditures</w:t>
            </w:r>
          </w:p>
        </w:tc>
        <w:tc>
          <w:tcPr>
            <w:tcW w:w="980" w:type="dxa"/>
            <w:vAlign w:val="bottom"/>
          </w:tcPr>
          <w:p>
            <w:pPr>
              <w:jc w:val="right"/>
              <w:spacing w:after="0"/>
              <w:rPr>
                <w:sz w:val="20"/>
                <w:szCs w:val="20"/>
                <w:color w:val="auto"/>
              </w:rPr>
            </w:pPr>
            <w:r>
              <w:rPr>
                <w:rFonts w:ascii="Arial" w:cs="Arial" w:eastAsia="Arial" w:hAnsi="Arial"/>
                <w:sz w:val="16"/>
                <w:szCs w:val="16"/>
                <w:color w:val="auto"/>
              </w:rPr>
              <w:t>10.0-11.0</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10.0-11.0</w:t>
            </w:r>
          </w:p>
        </w:tc>
      </w:tr>
      <w:tr>
        <w:trPr>
          <w:trHeight w:val="216"/>
        </w:trPr>
        <w:tc>
          <w:tcPr>
            <w:tcW w:w="732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800" w:type="dxa"/>
            <w:vAlign w:val="bottom"/>
          </w:tcPr>
          <w:p>
            <w:pPr>
              <w:jc w:val="right"/>
              <w:ind w:right="1"/>
              <w:spacing w:after="0"/>
              <w:rPr>
                <w:sz w:val="20"/>
                <w:szCs w:val="20"/>
                <w:color w:val="auto"/>
              </w:rPr>
            </w:pPr>
            <w:r>
              <w:rPr>
                <w:rFonts w:ascii="Arial" w:cs="Arial" w:eastAsia="Arial" w:hAnsi="Arial"/>
                <w:sz w:val="16"/>
                <w:szCs w:val="16"/>
                <w:color w:val="auto"/>
              </w:rPr>
              <w:t>0.2</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Adjusted automotive free cash flow(a)</w:t>
            </w:r>
          </w:p>
        </w:tc>
        <w:tc>
          <w:tcPr>
            <w:tcW w:w="18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$ 9.5-11.5</w:t>
            </w:r>
          </w:p>
        </w:tc>
        <w:tc>
          <w:tcPr>
            <w:tcW w:w="120" w:type="dxa"/>
            <w:vAlign w:val="bottom"/>
          </w:tcPr>
          <w:p>
            <w:pPr>
              <w:spacing w:after="0"/>
              <w:rPr>
                <w:sz w:val="18"/>
                <w:szCs w:val="18"/>
                <w:color w:val="auto"/>
              </w:rPr>
            </w:pP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$ 8.5-10.5</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expected financial results do not include the potential impact of future adjustments related to special items.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5900"/>
        <w:spacing w:after="0"/>
        <w:rPr>
          <w:rFonts w:ascii="Arial" w:cs="Arial" w:eastAsia="Arial" w:hAnsi="Arial"/>
          <w:sz w:val="14"/>
          <w:szCs w:val="14"/>
          <w:color w:val="auto"/>
        </w:rPr>
      </w:pPr>
      <w:r>
        <w:rPr>
          <w:rFonts w:ascii="Arial" w:cs="Arial" w:eastAsia="Arial" w:hAnsi="Arial"/>
          <w:sz w:val="16"/>
          <w:szCs w:val="16"/>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(Unaudited)</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11"/>
          </w:tcPr>
          <w:p>
            <w:pPr>
              <w:ind w:left="500"/>
              <w:spacing w:after="0"/>
              <w:rPr>
                <w:sz w:val="20"/>
                <w:szCs w:val="20"/>
                <w:color w:val="auto"/>
              </w:rPr>
            </w:pPr>
            <w:r>
              <w:rPr>
                <w:rFonts w:ascii="Arial" w:cs="Arial" w:eastAsia="Arial" w:hAnsi="Arial"/>
                <w:sz w:val="11"/>
                <w:szCs w:val="11"/>
                <w:b w:val="1"/>
                <w:bCs w:val="1"/>
                <w:color w:val="auto"/>
              </w:rPr>
              <w:t>Three Months Ended June 30, 2024</w:t>
            </w: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7"/>
          </w:tcPr>
          <w:p>
            <w:pPr>
              <w:ind w:left="480"/>
              <w:spacing w:after="0"/>
              <w:rPr>
                <w:sz w:val="20"/>
                <w:szCs w:val="20"/>
                <w:color w:val="auto"/>
              </w:rPr>
            </w:pPr>
            <w:r>
              <w:rPr>
                <w:rFonts w:ascii="Arial" w:cs="Arial" w:eastAsia="Arial" w:hAnsi="Arial"/>
                <w:sz w:val="11"/>
                <w:szCs w:val="11"/>
                <w:b w:val="1"/>
                <w:bCs w:val="1"/>
                <w:color w:val="auto"/>
              </w:rPr>
              <w:t>Three Months Ended June 30, 2023</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auto"/>
              </w:rPr>
              <w:t>Cruise</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tcPr>
          <w:p>
            <w:pPr>
              <w:jc w:val="center"/>
              <w:ind w:right="120"/>
              <w:spacing w:after="0" w:line="109" w:lineRule="exact"/>
              <w:rPr>
                <w:sz w:val="20"/>
                <w:szCs w:val="20"/>
                <w:color w:val="auto"/>
              </w:rPr>
            </w:pPr>
            <w:r>
              <w:rPr>
                <w:rFonts w:ascii="Arial" w:cs="Arial" w:eastAsia="Arial" w:hAnsi="Arial"/>
                <w:sz w:val="11"/>
                <w:szCs w:val="11"/>
                <w:b w:val="1"/>
                <w:bCs w:val="1"/>
                <w:color w:val="auto"/>
              </w:rPr>
              <w:t>GM</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7"/>
              </w:rPr>
              <w:t>Reclassifications/Eliminations</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w w:val="92"/>
              </w:rPr>
              <w:t>Combined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restart"/>
          </w:tcPr>
          <w:p>
            <w:pPr>
              <w:jc w:val="right"/>
              <w:ind w:right="70"/>
              <w:spacing w:after="0"/>
              <w:rPr>
                <w:sz w:val="20"/>
                <w:szCs w:val="20"/>
                <w:color w:val="auto"/>
              </w:rPr>
            </w:pPr>
            <w:r>
              <w:rPr>
                <w:rFonts w:ascii="Arial" w:cs="Arial" w:eastAsia="Arial" w:hAnsi="Arial"/>
                <w:sz w:val="11"/>
                <w:szCs w:val="11"/>
                <w:b w:val="1"/>
                <w:bCs w:val="1"/>
                <w:color w:val="auto"/>
                <w:w w:val="99"/>
              </w:rPr>
              <w:t>Cruise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2"/>
              </w:rPr>
              <w:t>Combined</w:t>
            </w:r>
          </w:p>
        </w:tc>
        <w:tc>
          <w:tcPr>
            <w:tcW w:w="0" w:type="dxa"/>
            <w:vAlign w:val="bottom"/>
          </w:tcPr>
          <w:p>
            <w:pPr>
              <w:spacing w:after="0"/>
              <w:rPr>
                <w:sz w:val="1"/>
                <w:szCs w:val="1"/>
                <w:color w:val="auto"/>
              </w:rPr>
            </w:pPr>
          </w:p>
        </w:tc>
      </w:tr>
      <w:tr>
        <w:trPr>
          <w:trHeight w:val="155"/>
        </w:trPr>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6"/>
              </w:rPr>
              <w:t>Financial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Net sales and revenue</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Automotive</w:t>
            </w: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44,060</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7"/>
                <w:szCs w:val="17"/>
                <w:color w:val="auto"/>
              </w:rPr>
            </w:pPr>
          </w:p>
        </w:tc>
        <w:tc>
          <w:tcPr>
            <w:tcW w:w="22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44,060</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41,254</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41,254</w:t>
            </w:r>
          </w:p>
        </w:tc>
        <w:tc>
          <w:tcPr>
            <w:tcW w:w="0" w:type="dxa"/>
            <w:vAlign w:val="bottom"/>
          </w:tcPr>
          <w:p>
            <w:pPr>
              <w:spacing w:after="0"/>
              <w:rPr>
                <w:sz w:val="1"/>
                <w:szCs w:val="1"/>
                <w:color w:val="auto"/>
              </w:rPr>
            </w:pPr>
          </w:p>
        </w:tc>
      </w:tr>
      <w:tr>
        <w:trPr>
          <w:trHeight w:val="198"/>
        </w:trPr>
        <w:tc>
          <w:tcPr>
            <w:tcW w:w="16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GM Financial</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3,918</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3,908</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3,498</w:t>
            </w: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3,493</w:t>
            </w:r>
          </w:p>
        </w:tc>
        <w:tc>
          <w:tcPr>
            <w:tcW w:w="0" w:type="dxa"/>
            <w:vAlign w:val="bottom"/>
          </w:tcPr>
          <w:p>
            <w:pPr>
              <w:spacing w:after="0"/>
              <w:rPr>
                <w:sz w:val="1"/>
                <w:szCs w:val="1"/>
                <w:color w:val="auto"/>
              </w:rPr>
            </w:pPr>
          </w:p>
        </w:tc>
      </w:tr>
      <w:tr>
        <w:trPr>
          <w:trHeight w:val="200"/>
        </w:trPr>
        <w:tc>
          <w:tcPr>
            <w:tcW w:w="168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4"/>
              </w:rPr>
              <w:t>Total net sales and revenue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47,969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41,254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3,498</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44,746</w:t>
            </w:r>
          </w:p>
        </w:tc>
        <w:tc>
          <w:tcPr>
            <w:tcW w:w="0" w:type="dxa"/>
            <w:vAlign w:val="bottom"/>
          </w:tcPr>
          <w:p>
            <w:pPr>
              <w:spacing w:after="0"/>
              <w:rPr>
                <w:sz w:val="1"/>
                <w:szCs w:val="1"/>
                <w:color w:val="auto"/>
              </w:rPr>
            </w:pPr>
          </w:p>
        </w:tc>
      </w:tr>
      <w:tr>
        <w:trPr>
          <w:trHeight w:val="174"/>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Costs and expenses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ind w:left="140"/>
              <w:spacing w:after="0" w:line="123" w:lineRule="exact"/>
              <w:rPr>
                <w:sz w:val="20"/>
                <w:szCs w:val="20"/>
                <w:color w:val="auto"/>
              </w:rPr>
            </w:pPr>
            <w:r>
              <w:rPr>
                <w:rFonts w:ascii="Arial" w:cs="Arial" w:eastAsia="Arial" w:hAnsi="Arial"/>
                <w:sz w:val="13"/>
                <w:szCs w:val="13"/>
                <w:color w:val="auto"/>
              </w:rPr>
              <w:t>Automotive and other cost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37,592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38,615</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36,059</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36,632</w:t>
            </w: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of sales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140"/>
              <w:spacing w:after="0" w:line="122" w:lineRule="exact"/>
              <w:rPr>
                <w:sz w:val="20"/>
                <w:szCs w:val="20"/>
                <w:color w:val="auto"/>
              </w:rPr>
            </w:pPr>
            <w:r>
              <w:rPr>
                <w:rFonts w:ascii="Arial" w:cs="Arial" w:eastAsia="Arial" w:hAnsi="Arial"/>
                <w:sz w:val="13"/>
                <w:szCs w:val="13"/>
                <w:color w:val="auto"/>
              </w:rPr>
              <w:t>GM Financial interest,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300"/>
              <w:spacing w:after="0" w:line="122" w:lineRule="exact"/>
              <w:rPr>
                <w:sz w:val="20"/>
                <w:szCs w:val="20"/>
                <w:color w:val="auto"/>
              </w:rPr>
            </w:pPr>
            <w:r>
              <w:rPr>
                <w:rFonts w:ascii="Arial" w:cs="Arial" w:eastAsia="Arial" w:hAnsi="Arial"/>
                <w:sz w:val="13"/>
                <w:szCs w:val="13"/>
                <w:color w:val="auto"/>
              </w:rPr>
              <w:t>operating and other</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3,109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3,109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ind w:right="9"/>
              <w:spacing w:after="0"/>
              <w:rPr>
                <w:sz w:val="20"/>
                <w:szCs w:val="20"/>
                <w:color w:val="auto"/>
              </w:rPr>
            </w:pPr>
            <w:r>
              <w:rPr>
                <w:rFonts w:ascii="Arial" w:cs="Arial" w:eastAsia="Arial" w:hAnsi="Arial"/>
                <w:sz w:val="14"/>
                <w:szCs w:val="14"/>
                <w:color w:val="auto"/>
              </w:rPr>
              <w:t>2,768</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2,768</w:t>
            </w:r>
          </w:p>
        </w:tc>
        <w:tc>
          <w:tcPr>
            <w:tcW w:w="0" w:type="dxa"/>
            <w:vAlign w:val="bottom"/>
          </w:tcPr>
          <w:p>
            <w:pPr>
              <w:spacing w:after="0"/>
              <w:rPr>
                <w:sz w:val="1"/>
                <w:szCs w:val="1"/>
                <w:color w:val="auto"/>
              </w:rPr>
            </w:pPr>
          </w:p>
        </w:tc>
      </w:tr>
      <w:tr>
        <w:trPr>
          <w:trHeight w:val="185"/>
        </w:trPr>
        <w:tc>
          <w:tcPr>
            <w:tcW w:w="1680" w:type="dxa"/>
            <w:vAlign w:val="bottom"/>
          </w:tcPr>
          <w:p>
            <w:pPr>
              <w:ind w:left="300"/>
              <w:spacing w:after="0"/>
              <w:rPr>
                <w:sz w:val="20"/>
                <w:szCs w:val="20"/>
                <w:color w:val="auto"/>
              </w:rPr>
            </w:pPr>
            <w:r>
              <w:rPr>
                <w:rFonts w:ascii="Arial" w:cs="Arial" w:eastAsia="Arial" w:hAnsi="Arial"/>
                <w:sz w:val="13"/>
                <w:szCs w:val="13"/>
                <w:color w:val="auto"/>
              </w:rPr>
              <w:t>expenses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68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Automotive and other</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selling, general and</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2,372</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2,434</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r>
        <w:trPr>
          <w:trHeight w:val="185"/>
        </w:trPr>
        <w:tc>
          <w:tcPr>
            <w:tcW w:w="16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administrative expense</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costs and expenses</w:t>
            </w:r>
          </w:p>
        </w:tc>
        <w:tc>
          <w:tcPr>
            <w:tcW w:w="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39,827</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1,161</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3,109</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44,096</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38,493</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2,768</w:t>
            </w:r>
          </w:p>
        </w:tc>
        <w:tc>
          <w:tcPr>
            <w:tcW w:w="8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41,958</w:t>
            </w:r>
          </w:p>
        </w:tc>
        <w:tc>
          <w:tcPr>
            <w:tcW w:w="0" w:type="dxa"/>
            <w:vAlign w:val="bottom"/>
          </w:tcPr>
          <w:p>
            <w:pPr>
              <w:spacing w:after="0"/>
              <w:rPr>
                <w:sz w:val="1"/>
                <w:szCs w:val="1"/>
                <w:color w:val="auto"/>
              </w:rPr>
            </w:pPr>
          </w:p>
        </w:tc>
      </w:tr>
      <w:tr>
        <w:trPr>
          <w:trHeight w:val="200"/>
        </w:trPr>
        <w:tc>
          <w:tcPr>
            <w:tcW w:w="1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income (loss)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(1,136)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729</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198"/>
        </w:trPr>
        <w:tc>
          <w:tcPr>
            <w:tcW w:w="1680" w:type="dxa"/>
            <w:vAlign w:val="bottom"/>
          </w:tcPr>
          <w:p>
            <w:pPr>
              <w:ind w:left="20"/>
              <w:spacing w:after="0"/>
              <w:rPr>
                <w:sz w:val="20"/>
                <w:szCs w:val="20"/>
                <w:color w:val="auto"/>
              </w:rPr>
            </w:pPr>
            <w:r>
              <w:rPr>
                <w:rFonts w:ascii="Arial" w:cs="Arial" w:eastAsia="Arial" w:hAnsi="Arial"/>
                <w:sz w:val="13"/>
                <w:szCs w:val="13"/>
                <w:color w:val="auto"/>
                <w:w w:val="99"/>
              </w:rPr>
              <w:t>Automotive interest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26"/>
        </w:trPr>
        <w:tc>
          <w:tcPr>
            <w:tcW w:w="168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Interest income and other</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(79)</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non-operating income, net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 income (loss)</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(84)</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37</w:t>
            </w: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06"/>
        </w:trPr>
        <w:tc>
          <w:tcPr>
            <w:tcW w:w="168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color w:val="auto"/>
              </w:rPr>
              <w:t>Income (loss) before income</w:t>
            </w:r>
          </w:p>
        </w:tc>
        <w:tc>
          <w:tcPr>
            <w:tcW w:w="1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4,063</w:t>
            </w:r>
          </w:p>
        </w:tc>
        <w:tc>
          <w:tcPr>
            <w:tcW w:w="20" w:type="dxa"/>
            <w:vAlign w:val="bottom"/>
            <w:shd w:val="clear" w:color="auto" w:fill="CCEEFF"/>
          </w:tcPr>
          <w:p>
            <w:pPr>
              <w:spacing w:after="0"/>
              <w:rPr>
                <w:sz w:val="9"/>
                <w:szCs w:val="9"/>
                <w:color w:val="auto"/>
              </w:rPr>
            </w:pPr>
          </w:p>
        </w:tc>
        <w:tc>
          <w:tcPr>
            <w:tcW w:w="2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(1,242)</w:t>
            </w:r>
          </w:p>
        </w:tc>
        <w:tc>
          <w:tcPr>
            <w:tcW w:w="220" w:type="dxa"/>
            <w:vAlign w:val="bottom"/>
            <w:gridSpan w:val="4"/>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40" w:type="dxa"/>
            <w:vAlign w:val="bottom"/>
            <w:shd w:val="clear" w:color="auto" w:fill="CCEEFF"/>
          </w:tcPr>
          <w:p>
            <w:pPr>
              <w:spacing w:after="0"/>
              <w:rPr>
                <w:sz w:val="9"/>
                <w:szCs w:val="9"/>
                <w:color w:val="auto"/>
              </w:rPr>
            </w:pPr>
          </w:p>
        </w:tc>
        <w:tc>
          <w:tcPr>
            <w:tcW w:w="1160" w:type="dxa"/>
            <w:vAlign w:val="bottom"/>
            <w:gridSpan w:val="3"/>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3,643</w:t>
            </w:r>
          </w:p>
        </w:tc>
        <w:tc>
          <w:tcPr>
            <w:tcW w:w="40" w:type="dxa"/>
            <w:vAlign w:val="bottom"/>
            <w:shd w:val="clear" w:color="auto" w:fill="CCEEFF"/>
          </w:tcPr>
          <w:p>
            <w:pPr>
              <w:spacing w:after="0"/>
              <w:rPr>
                <w:sz w:val="9"/>
                <w:szCs w:val="9"/>
                <w:color w:val="auto"/>
              </w:rPr>
            </w:pPr>
          </w:p>
        </w:tc>
        <w:tc>
          <w:tcPr>
            <w:tcW w:w="24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2,914</w:t>
            </w:r>
          </w:p>
        </w:tc>
        <w:tc>
          <w:tcPr>
            <w:tcW w:w="40" w:type="dxa"/>
            <w:vAlign w:val="bottom"/>
            <w:shd w:val="clear" w:color="auto" w:fill="CCEEFF"/>
          </w:tcPr>
          <w:p>
            <w:pPr>
              <w:spacing w:after="0"/>
              <w:rPr>
                <w:sz w:val="9"/>
                <w:szCs w:val="9"/>
                <w:color w:val="auto"/>
              </w:rPr>
            </w:pPr>
          </w:p>
        </w:tc>
        <w:tc>
          <w:tcPr>
            <w:tcW w:w="2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766</w:t>
            </w:r>
          </w:p>
        </w:tc>
        <w:tc>
          <w:tcPr>
            <w:tcW w:w="8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3,029</w:t>
            </w: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taxes</w:t>
            </w:r>
          </w:p>
        </w:tc>
        <w:tc>
          <w:tcPr>
            <w:tcW w:w="180" w:type="dxa"/>
            <w:vAlign w:val="bottom"/>
            <w:gridSpan w:val="2"/>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220" w:type="dxa"/>
            <w:vAlign w:val="bottom"/>
            <w:gridSpan w:val="4"/>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60" w:type="dxa"/>
            <w:vAlign w:val="bottom"/>
            <w:gridSpan w:val="3"/>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gridSpan w:val="3"/>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240" w:type="dxa"/>
            <w:vAlign w:val="bottom"/>
            <w:gridSpan w:val="3"/>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7"/>
              </w:rPr>
              <w:t>Income tax expense (benefit)</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20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122"/>
        </w:trPr>
        <w:tc>
          <w:tcPr>
            <w:tcW w:w="1680" w:type="dxa"/>
            <w:vAlign w:val="bottom"/>
          </w:tcPr>
          <w:p>
            <w:pPr>
              <w:ind w:left="20"/>
              <w:spacing w:after="0" w:line="122" w:lineRule="exact"/>
              <w:rPr>
                <w:sz w:val="20"/>
                <w:szCs w:val="20"/>
                <w:color w:val="auto"/>
              </w:rPr>
            </w:pPr>
            <w:r>
              <w:rPr>
                <w:rFonts w:ascii="Arial" w:cs="Arial" w:eastAsia="Arial" w:hAnsi="Arial"/>
                <w:sz w:val="13"/>
                <w:szCs w:val="13"/>
                <w:color w:val="auto"/>
                <w:w w:val="96"/>
              </w:rPr>
              <w:t>Net loss (income) attributable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5"/>
        </w:trPr>
        <w:tc>
          <w:tcPr>
            <w:tcW w:w="16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w w:val="99"/>
              </w:rPr>
              <w:t>to noncontrolling interests</w:t>
            </w: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168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Net income (loss)</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8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attributable to</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2,933</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2,566</w:t>
            </w:r>
          </w:p>
        </w:tc>
        <w:tc>
          <w:tcPr>
            <w:tcW w:w="0" w:type="dxa"/>
            <w:vAlign w:val="bottom"/>
          </w:tcPr>
          <w:p>
            <w:pPr>
              <w:spacing w:after="0"/>
              <w:rPr>
                <w:sz w:val="1"/>
                <w:szCs w:val="1"/>
                <w:color w:val="auto"/>
              </w:rPr>
            </w:pPr>
          </w:p>
        </w:tc>
      </w:tr>
      <w:tr>
        <w:trPr>
          <w:trHeight w:val="182"/>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16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b w:val="1"/>
                <w:bCs w:val="1"/>
                <w:color w:val="auto"/>
              </w:rPr>
              <w:t>Net income (loss)</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attributable to common</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2,919</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2,540</w:t>
            </w: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06"/>
        </w:trPr>
        <w:tc>
          <w:tcPr>
            <w:tcW w:w="1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9"/>
          </w:tcPr>
          <w:p>
            <w:pPr>
              <w:spacing w:after="0"/>
              <w:rPr>
                <w:sz w:val="20"/>
                <w:szCs w:val="20"/>
                <w:color w:val="auto"/>
              </w:rPr>
            </w:pPr>
            <w:r>
              <w:rPr>
                <w:rFonts w:ascii="Arial" w:cs="Arial" w:eastAsia="Arial" w:hAnsi="Arial"/>
                <w:sz w:val="11"/>
                <w:szCs w:val="11"/>
                <w:b w:val="1"/>
                <w:bCs w:val="1"/>
                <w:color w:val="auto"/>
              </w:rPr>
              <w:t>Six Months Ended June 30, 2024</w:t>
            </w: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rPr>
              <w:t>Six Months Ended June 30, 2023</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1"/>
                <w:szCs w:val="11"/>
                <w:b w:val="1"/>
                <w:bCs w:val="1"/>
                <w:color w:val="auto"/>
                <w:w w:val="99"/>
              </w:rPr>
              <w:t>Cruise</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tcPr>
          <w:p>
            <w:pPr>
              <w:ind w:left="60"/>
              <w:spacing w:after="0" w:line="109" w:lineRule="exact"/>
              <w:rPr>
                <w:sz w:val="20"/>
                <w:szCs w:val="20"/>
                <w:color w:val="auto"/>
              </w:rPr>
            </w:pPr>
            <w:r>
              <w:rPr>
                <w:rFonts w:ascii="Arial" w:cs="Arial" w:eastAsia="Arial" w:hAnsi="Arial"/>
                <w:sz w:val="11"/>
                <w:szCs w:val="11"/>
                <w:b w:val="1"/>
                <w:bCs w:val="1"/>
                <w:color w:val="auto"/>
              </w:rPr>
              <w:t>GM</w:t>
            </w:r>
          </w:p>
        </w:tc>
        <w:tc>
          <w:tcPr>
            <w:tcW w:w="60" w:type="dxa"/>
            <w:vAlign w:val="bottom"/>
          </w:tcPr>
          <w:p>
            <w:pPr>
              <w:spacing w:after="0"/>
              <w:rPr>
                <w:sz w:val="9"/>
                <w:szCs w:val="9"/>
                <w:color w:val="auto"/>
              </w:rPr>
            </w:pPr>
          </w:p>
        </w:tc>
        <w:tc>
          <w:tcPr>
            <w:tcW w:w="16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Reclassifications/Eliminations</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vMerge w:val="restart"/>
          </w:tcPr>
          <w:p>
            <w:pPr>
              <w:jc w:val="right"/>
              <w:ind w:right="140"/>
              <w:spacing w:after="0"/>
              <w:rPr>
                <w:sz w:val="20"/>
                <w:szCs w:val="20"/>
                <w:color w:val="auto"/>
              </w:rPr>
            </w:pPr>
            <w:r>
              <w:rPr>
                <w:rFonts w:ascii="Arial" w:cs="Arial" w:eastAsia="Arial" w:hAnsi="Arial"/>
                <w:sz w:val="11"/>
                <w:szCs w:val="11"/>
                <w:b w:val="1"/>
                <w:bCs w:val="1"/>
                <w:color w:val="auto"/>
              </w:rPr>
              <w:t>Combined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Automotive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1"/>
                <w:szCs w:val="11"/>
                <w:b w:val="1"/>
                <w:bCs w:val="1"/>
                <w:color w:val="auto"/>
                <w:w w:val="93"/>
              </w:rPr>
              <w:t>Cruise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2"/>
              </w:rPr>
              <w:t>Combined</w:t>
            </w:r>
          </w:p>
        </w:tc>
        <w:tc>
          <w:tcPr>
            <w:tcW w:w="0" w:type="dxa"/>
            <w:vAlign w:val="bottom"/>
          </w:tcPr>
          <w:p>
            <w:pPr>
              <w:spacing w:after="0"/>
              <w:rPr>
                <w:sz w:val="1"/>
                <w:szCs w:val="1"/>
                <w:color w:val="auto"/>
              </w:rPr>
            </w:pPr>
          </w:p>
        </w:tc>
      </w:tr>
      <w:tr>
        <w:trPr>
          <w:trHeight w:val="155"/>
        </w:trPr>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3"/>
          </w:tcPr>
          <w:p>
            <w:pPr>
              <w:ind w:left="40"/>
              <w:spacing w:after="0"/>
              <w:rPr>
                <w:sz w:val="20"/>
                <w:szCs w:val="20"/>
                <w:color w:val="auto"/>
              </w:rPr>
            </w:pPr>
            <w:r>
              <w:rPr>
                <w:rFonts w:ascii="Arial" w:cs="Arial" w:eastAsia="Arial" w:hAnsi="Arial"/>
                <w:sz w:val="11"/>
                <w:szCs w:val="11"/>
                <w:b w:val="1"/>
                <w:bCs w:val="1"/>
                <w:color w:val="auto"/>
              </w:rPr>
              <w:t>Financial</w:t>
            </w:r>
          </w:p>
        </w:tc>
        <w:tc>
          <w:tcPr>
            <w:tcW w:w="60" w:type="dxa"/>
            <w:vAlign w:val="bottom"/>
          </w:tcPr>
          <w:p>
            <w:pPr>
              <w:spacing w:after="0"/>
              <w:rPr>
                <w:sz w:val="13"/>
                <w:szCs w:val="13"/>
                <w:color w:val="auto"/>
              </w:rPr>
            </w:pPr>
          </w:p>
        </w:tc>
        <w:tc>
          <w:tcPr>
            <w:tcW w:w="162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Net sales and revenue</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Automotive</w:t>
            </w:r>
          </w:p>
        </w:tc>
        <w:tc>
          <w:tcPr>
            <w:tcW w:w="180" w:type="dxa"/>
            <w:vAlign w:val="bottom"/>
            <w:gridSpan w:val="2"/>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83,272</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w:t>
            </w:r>
          </w:p>
        </w:tc>
        <w:tc>
          <w:tcPr>
            <w:tcW w:w="20" w:type="dxa"/>
            <w:vAlign w:val="bottom"/>
            <w:shd w:val="clear" w:color="auto" w:fill="CCEEFF"/>
          </w:tcPr>
          <w:p>
            <w:pPr>
              <w:spacing w:after="0"/>
              <w:rPr>
                <w:sz w:val="17"/>
                <w:szCs w:val="17"/>
                <w:color w:val="auto"/>
              </w:rPr>
            </w:pPr>
          </w:p>
        </w:tc>
        <w:tc>
          <w:tcPr>
            <w:tcW w:w="220" w:type="dxa"/>
            <w:vAlign w:val="bottom"/>
            <w:gridSpan w:val="4"/>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83,273</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77,900</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77,900</w:t>
            </w:r>
          </w:p>
        </w:tc>
        <w:tc>
          <w:tcPr>
            <w:tcW w:w="0" w:type="dxa"/>
            <w:vAlign w:val="bottom"/>
          </w:tcPr>
          <w:p>
            <w:pPr>
              <w:spacing w:after="0"/>
              <w:rPr>
                <w:sz w:val="1"/>
                <w:szCs w:val="1"/>
                <w:color w:val="auto"/>
              </w:rPr>
            </w:pPr>
          </w:p>
        </w:tc>
      </w:tr>
      <w:tr>
        <w:trPr>
          <w:trHeight w:val="198"/>
        </w:trPr>
        <w:tc>
          <w:tcPr>
            <w:tcW w:w="1680" w:type="dxa"/>
            <w:vAlign w:val="bottom"/>
          </w:tcPr>
          <w:p>
            <w:pPr>
              <w:ind w:left="140"/>
              <w:spacing w:after="0"/>
              <w:rPr>
                <w:sz w:val="20"/>
                <w:szCs w:val="20"/>
                <w:color w:val="auto"/>
              </w:rPr>
            </w:pPr>
            <w:r>
              <w:rPr>
                <w:rFonts w:ascii="Arial" w:cs="Arial" w:eastAsia="Arial" w:hAnsi="Arial"/>
                <w:sz w:val="13"/>
                <w:szCs w:val="13"/>
                <w:color w:val="auto"/>
              </w:rPr>
              <w:t>GM Financial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ind w:right="9"/>
              <w:spacing w:after="0"/>
              <w:rPr>
                <w:sz w:val="20"/>
                <w:szCs w:val="20"/>
                <w:color w:val="auto"/>
              </w:rPr>
            </w:pPr>
            <w:r>
              <w:rPr>
                <w:rFonts w:ascii="Arial" w:cs="Arial" w:eastAsia="Arial" w:hAnsi="Arial"/>
                <w:sz w:val="14"/>
                <w:szCs w:val="14"/>
                <w:color w:val="auto"/>
              </w:rPr>
              <w:t>7,730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7,710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6,841</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6,832</w:t>
            </w:r>
          </w:p>
        </w:tc>
        <w:tc>
          <w:tcPr>
            <w:tcW w:w="0" w:type="dxa"/>
            <w:vAlign w:val="bottom"/>
          </w:tcPr>
          <w:p>
            <w:pPr>
              <w:spacing w:after="0"/>
              <w:rPr>
                <w:sz w:val="1"/>
                <w:szCs w:val="1"/>
                <w:color w:val="auto"/>
              </w:rPr>
            </w:pPr>
          </w:p>
        </w:tc>
      </w:tr>
      <w:tr>
        <w:trPr>
          <w:trHeight w:val="115"/>
        </w:trPr>
        <w:tc>
          <w:tcPr>
            <w:tcW w:w="1680" w:type="dxa"/>
            <w:vAlign w:val="bottom"/>
            <w:tcBorders>
              <w:top w:val="single" w:sz="8" w:color="CCEEFF"/>
            </w:tcBorders>
            <w:shd w:val="clear" w:color="auto" w:fill="CCEEFF"/>
          </w:tcPr>
          <w:p>
            <w:pPr>
              <w:ind w:left="140"/>
              <w:spacing w:after="0" w:line="114" w:lineRule="exact"/>
              <w:rPr>
                <w:sz w:val="20"/>
                <w:szCs w:val="20"/>
                <w:color w:val="auto"/>
              </w:rPr>
            </w:pPr>
            <w:r>
              <w:rPr>
                <w:rFonts w:ascii="Arial" w:cs="Arial" w:eastAsia="Arial" w:hAnsi="Arial"/>
                <w:sz w:val="13"/>
                <w:szCs w:val="13"/>
                <w:color w:val="auto"/>
              </w:rPr>
              <w:t>Total net sales and</w:t>
            </w:r>
          </w:p>
        </w:tc>
        <w:tc>
          <w:tcPr>
            <w:tcW w:w="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83,272</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51</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7,730</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90,983</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77,900</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6,841</w:t>
            </w:r>
          </w:p>
        </w:tc>
        <w:tc>
          <w:tcPr>
            <w:tcW w:w="8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84,732</w:t>
            </w:r>
          </w:p>
        </w:tc>
        <w:tc>
          <w:tcPr>
            <w:tcW w:w="0" w:type="dxa"/>
            <w:vAlign w:val="bottom"/>
          </w:tcPr>
          <w:p>
            <w:pPr>
              <w:spacing w:after="0"/>
              <w:rPr>
                <w:sz w:val="1"/>
                <w:szCs w:val="1"/>
                <w:color w:val="auto"/>
              </w:rPr>
            </w:pPr>
          </w:p>
        </w:tc>
      </w:tr>
      <w:tr>
        <w:trPr>
          <w:trHeight w:val="180"/>
        </w:trPr>
        <w:tc>
          <w:tcPr>
            <w:tcW w:w="1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Costs and expenses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680" w:type="dxa"/>
            <w:vAlign w:val="bottom"/>
            <w:shd w:val="clear" w:color="auto" w:fill="CCEEFF"/>
          </w:tcPr>
          <w:p>
            <w:pPr>
              <w:ind w:left="140"/>
              <w:spacing w:after="0" w:line="133" w:lineRule="exact"/>
              <w:rPr>
                <w:sz w:val="20"/>
                <w:szCs w:val="20"/>
                <w:color w:val="auto"/>
              </w:rPr>
            </w:pPr>
            <w:r>
              <w:rPr>
                <w:rFonts w:ascii="Arial" w:cs="Arial" w:eastAsia="Arial" w:hAnsi="Arial"/>
                <w:sz w:val="13"/>
                <w:szCs w:val="13"/>
                <w:color w:val="auto"/>
              </w:rPr>
              <w:t>Automotive and other cost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71,189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1,422</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72,611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67,775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68,879</w:t>
            </w:r>
          </w:p>
        </w:tc>
        <w:tc>
          <w:tcPr>
            <w:tcW w:w="0" w:type="dxa"/>
            <w:vAlign w:val="bottom"/>
          </w:tcPr>
          <w:p>
            <w:pPr>
              <w:spacing w:after="0"/>
              <w:rPr>
                <w:sz w:val="1"/>
                <w:szCs w:val="1"/>
                <w:color w:val="auto"/>
              </w:rPr>
            </w:pPr>
          </w:p>
        </w:tc>
      </w:tr>
      <w:tr>
        <w:trPr>
          <w:trHeight w:val="180"/>
        </w:trPr>
        <w:tc>
          <w:tcPr>
            <w:tcW w:w="16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of sales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680" w:type="dxa"/>
            <w:vAlign w:val="bottom"/>
          </w:tcPr>
          <w:p>
            <w:pPr>
              <w:ind w:left="140"/>
              <w:spacing w:after="0" w:line="131" w:lineRule="exact"/>
              <w:rPr>
                <w:sz w:val="20"/>
                <w:szCs w:val="20"/>
                <w:color w:val="auto"/>
              </w:rPr>
            </w:pPr>
            <w:r>
              <w:rPr>
                <w:rFonts w:ascii="Arial" w:cs="Arial" w:eastAsia="Arial" w:hAnsi="Arial"/>
                <w:sz w:val="13"/>
                <w:szCs w:val="13"/>
                <w:color w:val="auto"/>
              </w:rPr>
              <w:t>GM Financial interest,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80" w:type="dxa"/>
            <w:vAlign w:val="bottom"/>
          </w:tcPr>
          <w:p>
            <w:pPr>
              <w:ind w:left="300"/>
              <w:spacing w:after="0" w:line="126" w:lineRule="exact"/>
              <w:rPr>
                <w:sz w:val="20"/>
                <w:szCs w:val="20"/>
                <w:color w:val="auto"/>
              </w:rPr>
            </w:pPr>
            <w:r>
              <w:rPr>
                <w:rFonts w:ascii="Arial" w:cs="Arial" w:eastAsia="Arial" w:hAnsi="Arial"/>
                <w:sz w:val="13"/>
                <w:szCs w:val="13"/>
                <w:color w:val="auto"/>
              </w:rPr>
              <w:t>operating and other</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ind w:right="9"/>
              <w:spacing w:after="0"/>
              <w:rPr>
                <w:sz w:val="20"/>
                <w:szCs w:val="20"/>
                <w:color w:val="auto"/>
              </w:rPr>
            </w:pPr>
            <w:r>
              <w:rPr>
                <w:rFonts w:ascii="Arial" w:cs="Arial" w:eastAsia="Arial" w:hAnsi="Arial"/>
                <w:sz w:val="14"/>
                <w:szCs w:val="14"/>
                <w:color w:val="auto"/>
              </w:rPr>
              <w:t>6,215</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6,215</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ind w:right="9"/>
              <w:spacing w:after="0"/>
              <w:rPr>
                <w:sz w:val="20"/>
                <w:szCs w:val="20"/>
                <w:color w:val="auto"/>
              </w:rPr>
            </w:pPr>
            <w:r>
              <w:rPr>
                <w:rFonts w:ascii="Arial" w:cs="Arial" w:eastAsia="Arial" w:hAnsi="Arial"/>
                <w:sz w:val="14"/>
                <w:szCs w:val="14"/>
                <w:color w:val="auto"/>
              </w:rPr>
              <w:t>5,381</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5,380</w:t>
            </w:r>
          </w:p>
        </w:tc>
        <w:tc>
          <w:tcPr>
            <w:tcW w:w="0" w:type="dxa"/>
            <w:vAlign w:val="bottom"/>
          </w:tcPr>
          <w:p>
            <w:pPr>
              <w:spacing w:after="0"/>
              <w:rPr>
                <w:sz w:val="1"/>
                <w:szCs w:val="1"/>
                <w:color w:val="auto"/>
              </w:rPr>
            </w:pPr>
          </w:p>
        </w:tc>
      </w:tr>
      <w:tr>
        <w:trPr>
          <w:trHeight w:val="171"/>
        </w:trPr>
        <w:tc>
          <w:tcPr>
            <w:tcW w:w="1680" w:type="dxa"/>
            <w:vAlign w:val="bottom"/>
          </w:tcPr>
          <w:p>
            <w:pPr>
              <w:ind w:left="300"/>
              <w:spacing w:after="0"/>
              <w:rPr>
                <w:sz w:val="20"/>
                <w:szCs w:val="20"/>
                <w:color w:val="auto"/>
              </w:rPr>
            </w:pPr>
            <w:r>
              <w:rPr>
                <w:rFonts w:ascii="Arial" w:cs="Arial" w:eastAsia="Arial" w:hAnsi="Arial"/>
                <w:sz w:val="13"/>
                <w:szCs w:val="13"/>
                <w:color w:val="auto"/>
              </w:rPr>
              <w:t>expenses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Automotive and other</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80" w:type="dxa"/>
            <w:vAlign w:val="bottom"/>
            <w:shd w:val="clear" w:color="auto" w:fill="CCEEFF"/>
          </w:tcPr>
          <w:p>
            <w:pPr>
              <w:ind w:left="300"/>
              <w:spacing w:after="0" w:line="126" w:lineRule="exact"/>
              <w:rPr>
                <w:sz w:val="20"/>
                <w:szCs w:val="20"/>
                <w:color w:val="auto"/>
              </w:rPr>
            </w:pPr>
            <w:r>
              <w:rPr>
                <w:rFonts w:ascii="Arial" w:cs="Arial" w:eastAsia="Arial" w:hAnsi="Arial"/>
                <w:sz w:val="13"/>
                <w:szCs w:val="13"/>
                <w:color w:val="auto"/>
              </w:rPr>
              <w:t>selling, general and</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279</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4,547</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4,872</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5,105</w:t>
            </w:r>
          </w:p>
        </w:tc>
        <w:tc>
          <w:tcPr>
            <w:tcW w:w="0" w:type="dxa"/>
            <w:vAlign w:val="bottom"/>
          </w:tcPr>
          <w:p>
            <w:pPr>
              <w:spacing w:after="0"/>
              <w:rPr>
                <w:sz w:val="1"/>
                <w:szCs w:val="1"/>
                <w:color w:val="auto"/>
              </w:rPr>
            </w:pPr>
          </w:p>
        </w:tc>
      </w:tr>
      <w:tr>
        <w:trPr>
          <w:trHeight w:val="172"/>
        </w:trPr>
        <w:tc>
          <w:tcPr>
            <w:tcW w:w="16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administrative expense</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costs and expenses</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75,459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1,701</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6,215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83,372</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72,647</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5,381</w:t>
            </w:r>
          </w:p>
        </w:tc>
        <w:tc>
          <w:tcPr>
            <w:tcW w:w="8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79,364</w:t>
            </w:r>
          </w:p>
        </w:tc>
        <w:tc>
          <w:tcPr>
            <w:tcW w:w="0" w:type="dxa"/>
            <w:vAlign w:val="bottom"/>
          </w:tcPr>
          <w:p>
            <w:pPr>
              <w:spacing w:after="0"/>
              <w:rPr>
                <w:sz w:val="1"/>
                <w:szCs w:val="1"/>
                <w:color w:val="auto"/>
              </w:rPr>
            </w:pPr>
          </w:p>
        </w:tc>
      </w:tr>
      <w:tr>
        <w:trPr>
          <w:trHeight w:val="200"/>
        </w:trPr>
        <w:tc>
          <w:tcPr>
            <w:tcW w:w="1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income (loss)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1,514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1,459</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5,367</w:t>
            </w:r>
          </w:p>
        </w:tc>
        <w:tc>
          <w:tcPr>
            <w:tcW w:w="0" w:type="dxa"/>
            <w:vAlign w:val="bottom"/>
          </w:tcPr>
          <w:p>
            <w:pPr>
              <w:spacing w:after="0"/>
              <w:rPr>
                <w:sz w:val="1"/>
                <w:szCs w:val="1"/>
                <w:color w:val="auto"/>
              </w:rPr>
            </w:pPr>
          </w:p>
        </w:tc>
      </w:tr>
      <w:tr>
        <w:trPr>
          <w:trHeight w:val="198"/>
        </w:trPr>
        <w:tc>
          <w:tcPr>
            <w:tcW w:w="1680" w:type="dxa"/>
            <w:vAlign w:val="bottom"/>
          </w:tcPr>
          <w:p>
            <w:pPr>
              <w:ind w:left="20"/>
              <w:spacing w:after="0"/>
              <w:rPr>
                <w:sz w:val="20"/>
                <w:szCs w:val="20"/>
                <w:color w:val="auto"/>
              </w:rPr>
            </w:pPr>
            <w:r>
              <w:rPr>
                <w:rFonts w:ascii="Arial" w:cs="Arial" w:eastAsia="Arial" w:hAnsi="Arial"/>
                <w:sz w:val="13"/>
                <w:szCs w:val="13"/>
                <w:color w:val="auto"/>
                <w:w w:val="99"/>
              </w:rPr>
              <w:t>Automotive interest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128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Interest income and other</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180"/>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non-operating income, net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 income (loss)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78</w:t>
            </w: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15"/>
        </w:trPr>
        <w:tc>
          <w:tcPr>
            <w:tcW w:w="1680" w:type="dxa"/>
            <w:vAlign w:val="bottom"/>
            <w:shd w:val="clear" w:color="auto" w:fill="CCEEFF"/>
          </w:tcPr>
          <w:p>
            <w:pPr>
              <w:ind w:left="20"/>
              <w:spacing w:after="0" w:line="114" w:lineRule="exact"/>
              <w:rPr>
                <w:sz w:val="20"/>
                <w:szCs w:val="20"/>
                <w:color w:val="auto"/>
              </w:rPr>
            </w:pPr>
            <w:r>
              <w:rPr>
                <w:rFonts w:ascii="Arial" w:cs="Arial" w:eastAsia="Arial" w:hAnsi="Arial"/>
                <w:sz w:val="13"/>
                <w:szCs w:val="13"/>
                <w:color w:val="auto"/>
                <w:w w:val="99"/>
              </w:rPr>
              <w:t>Income (loss) before income</w:t>
            </w:r>
          </w:p>
        </w:tc>
        <w:tc>
          <w:tcPr>
            <w:tcW w:w="180" w:type="dxa"/>
            <w:vAlign w:val="bottom"/>
            <w:gridSpan w:val="2"/>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7,561</w:t>
            </w:r>
          </w:p>
        </w:tc>
        <w:tc>
          <w:tcPr>
            <w:tcW w:w="20" w:type="dxa"/>
            <w:vAlign w:val="bottom"/>
            <w:shd w:val="clear" w:color="auto" w:fill="CCEEFF"/>
          </w:tcPr>
          <w:p>
            <w:pPr>
              <w:spacing w:after="0"/>
              <w:rPr>
                <w:sz w:val="9"/>
                <w:szCs w:val="9"/>
                <w:color w:val="auto"/>
              </w:rPr>
            </w:pPr>
          </w:p>
        </w:tc>
        <w:tc>
          <w:tcPr>
            <w:tcW w:w="2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20" w:type="dxa"/>
            <w:vAlign w:val="bottom"/>
            <w:shd w:val="clear" w:color="auto" w:fill="CCEEFF"/>
          </w:tcPr>
          <w:p>
            <w:pPr>
              <w:spacing w:after="0"/>
              <w:rPr>
                <w:sz w:val="9"/>
                <w:szCs w:val="9"/>
                <w:color w:val="auto"/>
              </w:rPr>
            </w:pPr>
          </w:p>
        </w:tc>
        <w:tc>
          <w:tcPr>
            <w:tcW w:w="220" w:type="dxa"/>
            <w:vAlign w:val="bottom"/>
            <w:gridSpan w:val="4"/>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1,559</w:t>
            </w:r>
          </w:p>
        </w:tc>
        <w:tc>
          <w:tcPr>
            <w:tcW w:w="40" w:type="dxa"/>
            <w:vAlign w:val="bottom"/>
            <w:shd w:val="clear" w:color="auto" w:fill="CCEEFF"/>
          </w:tcPr>
          <w:p>
            <w:pPr>
              <w:spacing w:after="0"/>
              <w:rPr>
                <w:sz w:val="9"/>
                <w:szCs w:val="9"/>
                <w:color w:val="auto"/>
              </w:rPr>
            </w:pPr>
          </w:p>
        </w:tc>
        <w:tc>
          <w:tcPr>
            <w:tcW w:w="116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7,359</w:t>
            </w:r>
          </w:p>
        </w:tc>
        <w:tc>
          <w:tcPr>
            <w:tcW w:w="40" w:type="dxa"/>
            <w:vAlign w:val="bottom"/>
            <w:shd w:val="clear" w:color="auto" w:fill="CCEEFF"/>
          </w:tcPr>
          <w:p>
            <w:pPr>
              <w:spacing w:after="0"/>
              <w:rPr>
                <w:sz w:val="9"/>
                <w:szCs w:val="9"/>
                <w:color w:val="auto"/>
              </w:rPr>
            </w:pPr>
          </w:p>
        </w:tc>
        <w:tc>
          <w:tcPr>
            <w:tcW w:w="240" w:type="dxa"/>
            <w:vAlign w:val="bottom"/>
            <w:gridSpan w:val="3"/>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5,506</w:t>
            </w:r>
          </w:p>
        </w:tc>
        <w:tc>
          <w:tcPr>
            <w:tcW w:w="40" w:type="dxa"/>
            <w:vAlign w:val="bottom"/>
            <w:shd w:val="clear" w:color="auto" w:fill="CCEEFF"/>
          </w:tcPr>
          <w:p>
            <w:pPr>
              <w:spacing w:after="0"/>
              <w:rPr>
                <w:sz w:val="9"/>
                <w:szCs w:val="9"/>
                <w:color w:val="auto"/>
              </w:rPr>
            </w:pPr>
          </w:p>
        </w:tc>
        <w:tc>
          <w:tcPr>
            <w:tcW w:w="2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(1,239)</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1,537</w:t>
            </w:r>
          </w:p>
        </w:tc>
        <w:tc>
          <w:tcPr>
            <w:tcW w:w="8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5,803</w:t>
            </w:r>
          </w:p>
        </w:tc>
        <w:tc>
          <w:tcPr>
            <w:tcW w:w="0" w:type="dxa"/>
            <w:vAlign w:val="bottom"/>
          </w:tcPr>
          <w:p>
            <w:pPr>
              <w:spacing w:after="0"/>
              <w:rPr>
                <w:sz w:val="1"/>
                <w:szCs w:val="1"/>
                <w:color w:val="auto"/>
              </w:rPr>
            </w:pPr>
          </w:p>
        </w:tc>
      </w:tr>
      <w:tr>
        <w:trPr>
          <w:trHeight w:val="180"/>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taxes</w:t>
            </w:r>
          </w:p>
        </w:tc>
        <w:tc>
          <w:tcPr>
            <w:tcW w:w="180" w:type="dxa"/>
            <w:vAlign w:val="bottom"/>
            <w:gridSpan w:val="2"/>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3"/>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4"/>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gridSpan w:val="3"/>
            <w:vMerge w:val="continue"/>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gridSpan w:val="3"/>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gridSpan w:val="3"/>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40" w:type="dxa"/>
            <w:vAlign w:val="bottom"/>
            <w:gridSpan w:val="3"/>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7"/>
              </w:rPr>
              <w:t>Income tax expense (benefit)</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1,529</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20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131"/>
        </w:trPr>
        <w:tc>
          <w:tcPr>
            <w:tcW w:w="1680" w:type="dxa"/>
            <w:vAlign w:val="bottom"/>
          </w:tcPr>
          <w:p>
            <w:pPr>
              <w:ind w:left="20"/>
              <w:spacing w:after="0" w:line="131" w:lineRule="exact"/>
              <w:rPr>
                <w:sz w:val="20"/>
                <w:szCs w:val="20"/>
                <w:color w:val="auto"/>
              </w:rPr>
            </w:pPr>
            <w:r>
              <w:rPr>
                <w:rFonts w:ascii="Arial" w:cs="Arial" w:eastAsia="Arial" w:hAnsi="Arial"/>
                <w:sz w:val="13"/>
                <w:szCs w:val="13"/>
                <w:color w:val="auto"/>
                <w:w w:val="96"/>
              </w:rPr>
              <w:t>Net loss (income) attributable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76"/>
        </w:trPr>
        <w:tc>
          <w:tcPr>
            <w:tcW w:w="16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w w:val="99"/>
              </w:rPr>
              <w:t>to noncontrolling interests</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680" w:type="dxa"/>
            <w:vAlign w:val="bottom"/>
            <w:shd w:val="clear" w:color="auto" w:fill="CCEEFF"/>
          </w:tcPr>
          <w:p>
            <w:pPr>
              <w:ind w:left="20"/>
              <w:spacing w:after="0" w:line="114" w:lineRule="exact"/>
              <w:rPr>
                <w:sz w:val="20"/>
                <w:szCs w:val="20"/>
                <w:color w:val="auto"/>
              </w:rPr>
            </w:pPr>
            <w:r>
              <w:rPr>
                <w:rFonts w:ascii="Arial" w:cs="Arial" w:eastAsia="Arial" w:hAnsi="Arial"/>
                <w:sz w:val="13"/>
                <w:szCs w:val="13"/>
                <w:b w:val="1"/>
                <w:bCs w:val="1"/>
                <w:color w:val="auto"/>
              </w:rPr>
              <w:t>Net income (loss)</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8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b w:val="1"/>
                <w:bCs w:val="1"/>
                <w:color w:val="auto"/>
              </w:rPr>
              <w:t>attributable to</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5,913</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4,962</w:t>
            </w:r>
          </w:p>
        </w:tc>
        <w:tc>
          <w:tcPr>
            <w:tcW w:w="0" w:type="dxa"/>
            <w:vAlign w:val="bottom"/>
          </w:tcPr>
          <w:p>
            <w:pPr>
              <w:spacing w:after="0"/>
              <w:rPr>
                <w:sz w:val="1"/>
                <w:szCs w:val="1"/>
                <w:color w:val="auto"/>
              </w:rPr>
            </w:pPr>
          </w:p>
        </w:tc>
      </w:tr>
      <w:tr>
        <w:trPr>
          <w:trHeight w:val="169"/>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gridSpan w:val="3"/>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16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Net income (loss)</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8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b w:val="1"/>
                <w:bCs w:val="1"/>
                <w:color w:val="auto"/>
              </w:rPr>
              <w:t>attributable to common</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5,889</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4,908</w:t>
            </w: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100" w:hanging="92"/>
        <w:spacing w:after="0" w:line="224" w:lineRule="auto"/>
        <w:tabs>
          <w:tab w:leader="none" w:pos="10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Certain columns and rows may not add due to rounding.</w:t>
      </w:r>
    </w:p>
    <w:p>
      <w:pPr>
        <w:sectPr>
          <w:pgSz w:w="11900" w:h="16838" w:orient="portrait"/>
          <w:cols w:equalWidth="0" w:num="1">
            <w:col w:w="11220"/>
          </w:cols>
          <w:pgMar w:left="320" w:top="854" w:right="359" w:bottom="1060" w:gutter="0" w:footer="0" w:header="0"/>
        </w:sectPr>
      </w:pPr>
    </w:p>
    <w:p>
      <w:pPr>
        <w:spacing w:after="0" w:line="200" w:lineRule="exact"/>
        <w:rPr>
          <w:sz w:val="20"/>
          <w:szCs w:val="20"/>
          <w:color w:val="auto"/>
        </w:rPr>
      </w:pPr>
    </w:p>
    <w:p>
      <w:pPr>
        <w:spacing w:after="0" w:line="38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854" w:right="359" w:bottom="1060" w:gutter="0" w:footer="0" w:header="0"/>
          <w:type w:val="continuous"/>
        </w:sectPr>
      </w:pPr>
    </w:p>
    <w:bookmarkStart w:id="8" w:name="page9"/>
    <w:bookmarkEnd w:id="8"/>
    <w:p>
      <w:pPr>
        <w:ind w:left="398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(Unaudited)</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basic and diluted earnings per share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80" w:type="dxa"/>
            <w:vAlign w:val="bottom"/>
            <w:gridSpan w:val="5"/>
          </w:tcPr>
          <w:p>
            <w:pPr>
              <w:ind w:left="70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5"/>
                <w:szCs w:val="15"/>
                <w:color w:val="auto"/>
              </w:rPr>
            </w:pPr>
          </w:p>
        </w:tc>
        <w:tc>
          <w:tcPr>
            <w:tcW w:w="2900" w:type="dxa"/>
            <w:vAlign w:val="bottom"/>
            <w:gridSpan w:val="4"/>
          </w:tcPr>
          <w:p>
            <w:pPr>
              <w:jc w:val="right"/>
              <w:ind w:right="941"/>
              <w:spacing w:after="0"/>
              <w:rPr>
                <w:sz w:val="20"/>
                <w:szCs w:val="20"/>
                <w:color w:val="auto"/>
              </w:rPr>
            </w:pPr>
            <w:r>
              <w:rPr>
                <w:rFonts w:ascii="Arial" w:cs="Arial" w:eastAsia="Arial" w:hAnsi="Arial"/>
                <w:sz w:val="13"/>
                <w:szCs w:val="13"/>
                <w:b w:val="1"/>
                <w:bCs w:val="1"/>
                <w:color w:val="auto"/>
              </w:rPr>
              <w:t>Six Months Ended</w:t>
            </w:r>
          </w:p>
        </w:tc>
      </w:tr>
      <w:tr>
        <w:trPr>
          <w:trHeight w:val="169"/>
        </w:trPr>
        <w:tc>
          <w:tcPr>
            <w:tcW w:w="49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June 30, 2024</w:t>
            </w: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June 30, 2024</w:t>
            </w: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June 30, 2023</w:t>
            </w:r>
          </w:p>
        </w:tc>
      </w:tr>
      <w:tr>
        <w:trPr>
          <w:trHeight w:val="185"/>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7"/>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stockholders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4,962</w:t>
            </w:r>
          </w:p>
        </w:tc>
      </w:tr>
      <w:tr>
        <w:trPr>
          <w:trHeight w:val="215"/>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cumulative dividends on subsidiary preferred stock(a)</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35"/>
        </w:trPr>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common stockholders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5,889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4,908</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1,390</w:t>
            </w:r>
          </w:p>
        </w:tc>
      </w:tr>
      <w:tr>
        <w:trPr>
          <w:trHeight w:val="108"/>
        </w:trPr>
        <w:tc>
          <w:tcPr>
            <w:tcW w:w="4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 earnings per common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3.53</w:t>
            </w:r>
          </w:p>
        </w:tc>
      </w:tr>
      <w:tr>
        <w:trPr>
          <w:trHeight w:val="202"/>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7"/>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common stockholders – diluted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4,908</w:t>
            </w:r>
          </w:p>
        </w:tc>
      </w:tr>
      <w:tr>
        <w:trPr>
          <w:trHeight w:val="108"/>
        </w:trPr>
        <w:tc>
          <w:tcPr>
            <w:tcW w:w="4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common shares outstanding – diluted</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1,396</w:t>
            </w:r>
          </w:p>
        </w:tc>
      </w:tr>
      <w:tr>
        <w:trPr>
          <w:trHeight w:val="108"/>
        </w:trPr>
        <w:tc>
          <w:tcPr>
            <w:tcW w:w="4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 earnings per common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3.52</w:t>
            </w:r>
          </w:p>
        </w:tc>
      </w:tr>
      <w:tr>
        <w:trPr>
          <w:trHeight w:val="215"/>
        </w:trPr>
        <w:tc>
          <w:tcPr>
            <w:tcW w:w="4900" w:type="dxa"/>
            <w:vAlign w:val="bottom"/>
          </w:tcPr>
          <w:p>
            <w:pPr>
              <w:ind w:left="140"/>
              <w:spacing w:after="0"/>
              <w:rPr>
                <w:sz w:val="20"/>
                <w:szCs w:val="20"/>
                <w:color w:val="auto"/>
              </w:rPr>
            </w:pPr>
            <w:r>
              <w:rPr>
                <w:rFonts w:ascii="Arial" w:cs="Arial" w:eastAsia="Arial" w:hAnsi="Arial"/>
                <w:sz w:val="14"/>
                <w:szCs w:val="14"/>
                <w:color w:val="auto"/>
              </w:rPr>
              <w:t>Potentially dilutive securities(b)</w:t>
            </w:r>
          </w:p>
        </w:tc>
        <w:tc>
          <w:tcPr>
            <w:tcW w:w="22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24</w:t>
            </w: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60" w:hanging="312"/>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an insignificant amount in participating securities income from a subsidiary for the three and six months ended June 30, 2024.</w:t>
      </w:r>
    </w:p>
    <w:p>
      <w:pPr>
        <w:spacing w:after="0" w:line="14" w:lineRule="exact"/>
        <w:rPr>
          <w:rFonts w:ascii="Arial" w:cs="Arial" w:eastAsia="Arial" w:hAnsi="Arial"/>
          <w:sz w:val="14"/>
          <w:szCs w:val="14"/>
          <w:color w:val="auto"/>
        </w:rPr>
      </w:pPr>
    </w:p>
    <w:p>
      <w:pPr>
        <w:jc w:val="both"/>
        <w:ind w:left="380" w:hanging="332"/>
        <w:spacing w:after="0" w:line="272" w:lineRule="auto"/>
        <w:tabs>
          <w:tab w:leader="none" w:pos="367" w:val="left"/>
        </w:tabs>
        <w:numPr>
          <w:ilvl w:val="0"/>
          <w:numId w:val="9"/>
        </w:numPr>
        <w:rPr>
          <w:rFonts w:ascii="Arial" w:cs="Arial" w:eastAsia="Arial" w:hAnsi="Arial"/>
          <w:sz w:val="14"/>
          <w:szCs w:val="14"/>
          <w:color w:val="auto"/>
        </w:rPr>
      </w:pPr>
      <w:r>
        <w:rPr>
          <w:rFonts w:ascii="Arial" w:cs="Arial" w:eastAsia="Arial" w:hAnsi="Arial"/>
          <w:sz w:val="14"/>
          <w:szCs w:val="14"/>
          <w:color w:val="auto"/>
        </w:rPr>
        <w:t>Potentially dilutive securities attributable to outstanding stock options and Restricted Stock Units (RSUs) at June 30, 2024 and outstanding stock options, RSUs and Performance Stock Units at June 30, 2023, were excluded from the computation of diluted earnings per share (EPS) because the securities would have had an antidilutive effect.</w:t>
      </w:r>
    </w:p>
    <w:p>
      <w:pPr>
        <w:spacing w:after="0" w:line="200" w:lineRule="exact"/>
        <w:rPr>
          <w:sz w:val="20"/>
          <w:szCs w:val="20"/>
          <w:color w:val="auto"/>
        </w:rPr>
      </w:pPr>
    </w:p>
    <w:p>
      <w:pPr>
        <w:spacing w:after="0" w:line="368"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60"/>
          </w:cols>
          <w:pgMar w:left="280" w:top="854" w:right="359" w:bottom="1440" w:gutter="0" w:footer="0" w:header="0"/>
        </w:sectPr>
      </w:pPr>
    </w:p>
    <w:bookmarkStart w:id="9" w:name="page10"/>
    <w:bookmarkEnd w:id="9"/>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Combining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except per share amounts)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rPr>
              <w:t>June 30, 2024</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December 31, 2023</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20" w:type="dxa"/>
            <w:vAlign w:val="bottom"/>
          </w:tcPr>
          <w:p>
            <w:pPr>
              <w:spacing w:after="0"/>
              <w:rPr>
                <w:sz w:val="9"/>
                <w:szCs w:val="9"/>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80" w:type="dxa"/>
            <w:vAlign w:val="bottom"/>
          </w:tcPr>
          <w:p>
            <w:pPr>
              <w:spacing w:after="0"/>
              <w:rPr>
                <w:sz w:val="9"/>
                <w:szCs w:val="9"/>
                <w:color w:val="auto"/>
              </w:rPr>
            </w:pPr>
          </w:p>
        </w:tc>
        <w:tc>
          <w:tcPr>
            <w:tcW w:w="680" w:type="dxa"/>
            <w:vAlign w:val="bottom"/>
            <w:gridSpan w:val="2"/>
          </w:tcPr>
          <w:p>
            <w:pPr>
              <w:jc w:val="center"/>
              <w:ind w:right="180"/>
              <w:spacing w:after="0" w:line="106"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Combined</w:t>
            </w: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80" w:type="dxa"/>
            <w:vAlign w:val="bottom"/>
          </w:tcPr>
          <w:p>
            <w:pPr>
              <w:spacing w:after="0"/>
              <w:rPr>
                <w:sz w:val="9"/>
                <w:szCs w:val="9"/>
                <w:color w:val="auto"/>
              </w:rPr>
            </w:pPr>
          </w:p>
        </w:tc>
        <w:tc>
          <w:tcPr>
            <w:tcW w:w="66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Financial</w:t>
            </w:r>
          </w:p>
        </w:tc>
        <w:tc>
          <w:tcPr>
            <w:tcW w:w="1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660"/>
              <w:spacing w:after="0"/>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7,448</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12,228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5,282</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18,853</w:t>
            </w: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Arial" w:cs="Arial" w:eastAsia="Arial" w:hAnsi="Arial"/>
                <w:sz w:val="13"/>
                <w:szCs w:val="13"/>
                <w:color w:val="auto"/>
              </w:rPr>
              <w:t>Marketable debt securities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8,313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8,313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7,613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7,613</w:t>
            </w: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Accounts and notes</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 net(a)</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11,814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12,378</w:t>
            </w:r>
          </w:p>
        </w:tc>
        <w:tc>
          <w:tcPr>
            <w:tcW w:w="0" w:type="dxa"/>
            <w:vAlign w:val="bottom"/>
          </w:tcPr>
          <w:p>
            <w:pPr>
              <w:spacing w:after="0"/>
              <w:rPr>
                <w:sz w:val="1"/>
                <w:szCs w:val="1"/>
                <w:color w:val="auto"/>
              </w:rPr>
            </w:pPr>
          </w:p>
        </w:tc>
      </w:tr>
      <w:tr>
        <w:trPr>
          <w:trHeight w:val="122"/>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rPr>
              <w:t>GM Financial receivables,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140"/>
              <w:spacing w:after="0"/>
              <w:rPr>
                <w:sz w:val="20"/>
                <w:szCs w:val="20"/>
                <w:color w:val="auto"/>
              </w:rPr>
            </w:pPr>
            <w:r>
              <w:rPr>
                <w:rFonts w:ascii="Arial" w:cs="Arial" w:eastAsia="Arial" w:hAnsi="Arial"/>
                <w:sz w:val="13"/>
                <w:szCs w:val="13"/>
                <w:color w:val="auto"/>
              </w:rPr>
              <w:t>net</w:t>
            </w: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43,023</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42,783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39,246</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39,076</w:t>
            </w:r>
          </w:p>
        </w:tc>
        <w:tc>
          <w:tcPr>
            <w:tcW w:w="0" w:type="dxa"/>
            <w:vAlign w:val="bottom"/>
          </w:tcPr>
          <w:p>
            <w:pPr>
              <w:spacing w:after="0"/>
              <w:rPr>
                <w:sz w:val="1"/>
                <w:szCs w:val="1"/>
                <w:color w:val="auto"/>
              </w:rPr>
            </w:pPr>
          </w:p>
        </w:tc>
      </w:tr>
      <w:tr>
        <w:trPr>
          <w:trHeight w:val="183"/>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16,461</w:t>
            </w:r>
          </w:p>
        </w:tc>
        <w:tc>
          <w:tcPr>
            <w:tcW w:w="0" w:type="dxa"/>
            <w:vAlign w:val="bottom"/>
          </w:tcPr>
          <w:p>
            <w:pPr>
              <w:spacing w:after="0"/>
              <w:rPr>
                <w:sz w:val="1"/>
                <w:szCs w:val="1"/>
                <w:color w:val="auto"/>
              </w:rPr>
            </w:pPr>
          </w:p>
        </w:tc>
      </w:tr>
      <w:tr>
        <w:trPr>
          <w:trHeight w:val="171"/>
        </w:trPr>
        <w:tc>
          <w:tcPr>
            <w:tcW w:w="18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current assets</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4,899</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7,442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1,994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5,205</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7,238</w:t>
            </w:r>
          </w:p>
        </w:tc>
        <w:tc>
          <w:tcPr>
            <w:tcW w:w="0" w:type="dxa"/>
            <w:vAlign w:val="bottom"/>
          </w:tcPr>
          <w:p>
            <w:pPr>
              <w:spacing w:after="0"/>
              <w:rPr>
                <w:sz w:val="1"/>
                <w:szCs w:val="1"/>
                <w:color w:val="auto"/>
              </w:rPr>
            </w:pPr>
          </w:p>
        </w:tc>
      </w:tr>
      <w:tr>
        <w:trPr>
          <w:trHeight w:val="174"/>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57,456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50,115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51,624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101,618</w:t>
            </w:r>
          </w:p>
        </w:tc>
        <w:tc>
          <w:tcPr>
            <w:tcW w:w="0" w:type="dxa"/>
            <w:vAlign w:val="bottom"/>
          </w:tcPr>
          <w:p>
            <w:pPr>
              <w:spacing w:after="0"/>
              <w:rPr>
                <w:sz w:val="1"/>
                <w:szCs w:val="1"/>
                <w:color w:val="auto"/>
              </w:rPr>
            </w:pPr>
          </w:p>
        </w:tc>
      </w:tr>
      <w:tr>
        <w:trPr>
          <w:trHeight w:val="174"/>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820" w:type="dxa"/>
            <w:vAlign w:val="bottom"/>
            <w:shd w:val="clear" w:color="auto" w:fill="CCEEFF"/>
          </w:tcPr>
          <w:p>
            <w:pPr>
              <w:ind w:left="140"/>
              <w:spacing w:after="0" w:line="123" w:lineRule="exact"/>
              <w:rPr>
                <w:sz w:val="20"/>
                <w:szCs w:val="20"/>
                <w:color w:val="auto"/>
              </w:rPr>
            </w:pPr>
            <w:r>
              <w:rPr>
                <w:rFonts w:ascii="Arial" w:cs="Arial" w:eastAsia="Arial" w:hAnsi="Arial"/>
                <w:sz w:val="13"/>
                <w:szCs w:val="13"/>
                <w:color w:val="auto"/>
              </w:rPr>
              <w:t>GM Financial receivables,</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net(c)</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45,128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45,391</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45,043</w:t>
            </w:r>
          </w:p>
        </w:tc>
        <w:tc>
          <w:tcPr>
            <w:tcW w:w="0" w:type="dxa"/>
            <w:vAlign w:val="bottom"/>
          </w:tcPr>
          <w:p>
            <w:pPr>
              <w:spacing w:after="0"/>
              <w:rPr>
                <w:sz w:val="1"/>
                <w:szCs w:val="1"/>
                <w:color w:val="auto"/>
              </w:rPr>
            </w:pPr>
          </w:p>
        </w:tc>
      </w:tr>
      <w:tr>
        <w:trPr>
          <w:trHeight w:val="121"/>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rPr>
              <w:t>Equity in net assets of</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300"/>
              <w:spacing w:after="0"/>
              <w:rPr>
                <w:sz w:val="20"/>
                <w:szCs w:val="20"/>
                <w:color w:val="auto"/>
              </w:rPr>
            </w:pPr>
            <w:r>
              <w:rPr>
                <w:rFonts w:ascii="Arial" w:cs="Arial" w:eastAsia="Arial" w:hAnsi="Arial"/>
                <w:sz w:val="13"/>
                <w:szCs w:val="13"/>
                <w:color w:val="auto"/>
              </w:rPr>
              <w:t>nonconsolidated affiliates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9,059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1,675</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10,734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8,943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1,670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10,613</w:t>
            </w:r>
          </w:p>
        </w:tc>
        <w:tc>
          <w:tcPr>
            <w:tcW w:w="0" w:type="dxa"/>
            <w:vAlign w:val="bottom"/>
          </w:tcPr>
          <w:p>
            <w:pPr>
              <w:spacing w:after="0"/>
              <w:rPr>
                <w:sz w:val="1"/>
                <w:szCs w:val="1"/>
                <w:color w:val="auto"/>
              </w:rPr>
            </w:pPr>
          </w:p>
        </w:tc>
      </w:tr>
      <w:tr>
        <w:trPr>
          <w:trHeight w:val="183"/>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net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50,104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50,321</w:t>
            </w:r>
          </w:p>
        </w:tc>
        <w:tc>
          <w:tcPr>
            <w:tcW w:w="0" w:type="dxa"/>
            <w:vAlign w:val="bottom"/>
          </w:tcPr>
          <w:p>
            <w:pPr>
              <w:spacing w:after="0"/>
              <w:rPr>
                <w:sz w:val="1"/>
                <w:szCs w:val="1"/>
                <w:color w:val="auto"/>
              </w:rPr>
            </w:pPr>
          </w:p>
        </w:tc>
      </w:tr>
      <w:tr>
        <w:trPr>
          <w:trHeight w:val="122"/>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rPr>
              <w:t>Goodwill and intangible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300"/>
              <w:spacing w:after="0"/>
              <w:rPr>
                <w:sz w:val="20"/>
                <w:szCs w:val="20"/>
                <w:color w:val="auto"/>
              </w:rPr>
            </w:pPr>
            <w:r>
              <w:rPr>
                <w:rFonts w:ascii="Arial" w:cs="Arial" w:eastAsia="Arial" w:hAnsi="Arial"/>
                <w:sz w:val="13"/>
                <w:szCs w:val="13"/>
                <w:color w:val="auto"/>
              </w:rPr>
              <w:t>assets, net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714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1,346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2,793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1,354</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4,862</w:t>
            </w:r>
          </w:p>
        </w:tc>
        <w:tc>
          <w:tcPr>
            <w:tcW w:w="0" w:type="dxa"/>
            <w:vAlign w:val="bottom"/>
          </w:tcPr>
          <w:p>
            <w:pPr>
              <w:spacing w:after="0"/>
              <w:rPr>
                <w:sz w:val="1"/>
                <w:szCs w:val="1"/>
                <w:color w:val="auto"/>
              </w:rPr>
            </w:pPr>
          </w:p>
        </w:tc>
      </w:tr>
      <w:tr>
        <w:trPr>
          <w:trHeight w:val="128"/>
        </w:trPr>
        <w:tc>
          <w:tcPr>
            <w:tcW w:w="18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Equipment on operating</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leases, net</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30,345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30,582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30,582</w:t>
            </w: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20,661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1,760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(1,333)</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21,088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21,722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(1,106)</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22,339</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assets(b)</w:t>
            </w: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8,866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1,172</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(2,182)</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8,054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6,869</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1,140</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7,686</w:t>
            </w:r>
          </w:p>
        </w:tc>
        <w:tc>
          <w:tcPr>
            <w:tcW w:w="0" w:type="dxa"/>
            <w:vAlign w:val="bottom"/>
          </w:tcPr>
          <w:p>
            <w:pPr>
              <w:spacing w:after="0"/>
              <w:rPr>
                <w:sz w:val="1"/>
                <w:szCs w:val="1"/>
                <w:color w:val="auto"/>
              </w:rPr>
            </w:pPr>
          </w:p>
        </w:tc>
      </w:tr>
      <w:tr>
        <w:trPr>
          <w:trHeight w:val="164"/>
        </w:trPr>
        <w:tc>
          <w:tcPr>
            <w:tcW w:w="18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non-current assets</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92,267</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78,446</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170,891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90,430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79,156</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171,446</w:t>
            </w:r>
          </w:p>
        </w:tc>
        <w:tc>
          <w:tcPr>
            <w:tcW w:w="0" w:type="dxa"/>
            <w:vAlign w:val="bottom"/>
          </w:tcPr>
          <w:p>
            <w:pPr>
              <w:spacing w:after="0"/>
              <w:rPr>
                <w:sz w:val="1"/>
                <w:szCs w:val="1"/>
                <w:color w:val="auto"/>
              </w:rPr>
            </w:pPr>
          </w:p>
        </w:tc>
      </w:tr>
      <w:tr>
        <w:trPr>
          <w:trHeight w:val="199"/>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147,144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135,902</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(3,972)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282,956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140,546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130,780</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273,064</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3"/>
                <w:szCs w:val="13"/>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w w:val="98"/>
              </w:rPr>
              <w:t>Accounts payable (principally</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trade)(a)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27,846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1,136</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28,114</w:t>
            </w:r>
          </w:p>
        </w:tc>
        <w:tc>
          <w:tcPr>
            <w:tcW w:w="0" w:type="dxa"/>
            <w:vAlign w:val="bottom"/>
          </w:tcPr>
          <w:p>
            <w:pPr>
              <w:spacing w:after="0"/>
              <w:rPr>
                <w:sz w:val="1"/>
                <w:szCs w:val="1"/>
                <w:color w:val="auto"/>
              </w:rPr>
            </w:pPr>
          </w:p>
        </w:tc>
      </w:tr>
      <w:tr>
        <w:trPr>
          <w:trHeight w:val="121"/>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rPr>
              <w:t>Short-term debt and current</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820" w:type="dxa"/>
            <w:vAlign w:val="bottom"/>
          </w:tcPr>
          <w:p>
            <w:pPr>
              <w:ind w:left="300"/>
              <w:spacing w:after="0"/>
              <w:rPr>
                <w:sz w:val="20"/>
                <w:szCs w:val="20"/>
                <w:color w:val="auto"/>
              </w:rPr>
            </w:pPr>
            <w:r>
              <w:rPr>
                <w:rFonts w:ascii="Arial" w:cs="Arial" w:eastAsia="Arial" w:hAnsi="Arial"/>
                <w:sz w:val="13"/>
                <w:szCs w:val="13"/>
                <w:color w:val="auto"/>
              </w:rPr>
              <w:t>portion of long-term debt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Automotive</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71"/>
        </w:trPr>
        <w:tc>
          <w:tcPr>
            <w:tcW w:w="1820" w:type="dxa"/>
            <w:vAlign w:val="bottom"/>
          </w:tcPr>
          <w:p>
            <w:pPr>
              <w:ind w:left="300"/>
              <w:spacing w:after="0"/>
              <w:rPr>
                <w:sz w:val="20"/>
                <w:szCs w:val="20"/>
                <w:color w:val="auto"/>
              </w:rPr>
            </w:pPr>
            <w:r>
              <w:rPr>
                <w:rFonts w:ascii="Arial" w:cs="Arial" w:eastAsia="Arial" w:hAnsi="Arial"/>
                <w:sz w:val="13"/>
                <w:szCs w:val="13"/>
                <w:color w:val="auto"/>
              </w:rPr>
              <w:t>GM Financial</w:t>
            </w:r>
          </w:p>
        </w:tc>
        <w:tc>
          <w:tcPr>
            <w:tcW w:w="1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37,176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37,176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38,540</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38,540</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Cruise</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Accrued liabilities</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22,234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5,941</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28,503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21,468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5,741</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27,364</w:t>
            </w:r>
          </w:p>
        </w:tc>
        <w:tc>
          <w:tcPr>
            <w:tcW w:w="0" w:type="dxa"/>
            <w:vAlign w:val="bottom"/>
          </w:tcPr>
          <w:p>
            <w:pPr>
              <w:spacing w:after="0"/>
              <w:rPr>
                <w:sz w:val="1"/>
                <w:szCs w:val="1"/>
                <w:color w:val="auto"/>
              </w:rPr>
            </w:pPr>
          </w:p>
        </w:tc>
      </w:tr>
      <w:tr>
        <w:trPr>
          <w:trHeight w:val="174"/>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44,279</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49,906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45,417</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94,445</w:t>
            </w:r>
          </w:p>
        </w:tc>
        <w:tc>
          <w:tcPr>
            <w:tcW w:w="0" w:type="dxa"/>
            <w:vAlign w:val="bottom"/>
          </w:tcPr>
          <w:p>
            <w:pPr>
              <w:spacing w:after="0"/>
              <w:rPr>
                <w:sz w:val="1"/>
                <w:szCs w:val="1"/>
                <w:color w:val="auto"/>
              </w:rPr>
            </w:pPr>
          </w:p>
        </w:tc>
      </w:tr>
      <w:tr>
        <w:trPr>
          <w:trHeight w:val="174"/>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20" w:type="dxa"/>
            <w:vAlign w:val="bottom"/>
          </w:tcPr>
          <w:p>
            <w:pPr>
              <w:ind w:left="300"/>
              <w:spacing w:after="0"/>
              <w:rPr>
                <w:sz w:val="20"/>
                <w:szCs w:val="20"/>
                <w:color w:val="auto"/>
              </w:rPr>
            </w:pPr>
            <w:r>
              <w:rPr>
                <w:rFonts w:ascii="Arial" w:cs="Arial" w:eastAsia="Arial" w:hAnsi="Arial"/>
                <w:sz w:val="13"/>
                <w:szCs w:val="13"/>
                <w:color w:val="auto"/>
              </w:rPr>
              <w:t>Automotive(b)</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15,395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2,195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(2,182)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15,409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15,979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544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15,985</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GM Financial</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72,929</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66,788</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66,788</w:t>
            </w:r>
          </w:p>
        </w:tc>
        <w:tc>
          <w:tcPr>
            <w:tcW w:w="0" w:type="dxa"/>
            <w:vAlign w:val="bottom"/>
          </w:tcPr>
          <w:p>
            <w:pPr>
              <w:spacing w:after="0"/>
              <w:rPr>
                <w:sz w:val="1"/>
                <w:szCs w:val="1"/>
                <w:color w:val="auto"/>
              </w:rPr>
            </w:pPr>
          </w:p>
        </w:tc>
      </w:tr>
      <w:tr>
        <w:trPr>
          <w:trHeight w:val="171"/>
        </w:trPr>
        <w:tc>
          <w:tcPr>
            <w:tcW w:w="1820" w:type="dxa"/>
            <w:vAlign w:val="bottom"/>
          </w:tcPr>
          <w:p>
            <w:pPr>
              <w:ind w:left="300"/>
              <w:spacing w:after="0"/>
              <w:rPr>
                <w:sz w:val="20"/>
                <w:szCs w:val="20"/>
                <w:color w:val="auto"/>
              </w:rPr>
            </w:pPr>
            <w:r>
              <w:rPr>
                <w:rFonts w:ascii="Arial" w:cs="Arial" w:eastAsia="Arial" w:hAnsi="Arial"/>
                <w:sz w:val="13"/>
                <w:szCs w:val="13"/>
                <w:color w:val="auto"/>
              </w:rPr>
              <w:t>Cruise(c)</w:t>
            </w:r>
          </w:p>
        </w:tc>
        <w:tc>
          <w:tcPr>
            <w:tcW w:w="1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w w:val="99"/>
              </w:rPr>
              <w:t>Postretirement benefits other</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than pensions</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4,345</w:t>
            </w: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Arial" w:cs="Arial" w:eastAsia="Arial" w:hAnsi="Arial"/>
                <w:sz w:val="13"/>
                <w:szCs w:val="13"/>
                <w:color w:val="auto"/>
              </w:rPr>
              <w:t>Pensions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6,163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6,171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6,673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6,680</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2,738</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13,447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16,515</w:t>
            </w:r>
          </w:p>
        </w:tc>
        <w:tc>
          <w:tcPr>
            <w:tcW w:w="0" w:type="dxa"/>
            <w:vAlign w:val="bottom"/>
          </w:tcPr>
          <w:p>
            <w:pPr>
              <w:spacing w:after="0"/>
              <w:rPr>
                <w:sz w:val="1"/>
                <w:szCs w:val="1"/>
                <w:color w:val="auto"/>
              </w:rPr>
            </w:pPr>
          </w:p>
        </w:tc>
      </w:tr>
      <w:tr>
        <w:trPr>
          <w:trHeight w:val="164"/>
        </w:trPr>
        <w:tc>
          <w:tcPr>
            <w:tcW w:w="18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non-current liabilities</w:t>
            </w: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39,550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3,030</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75,676</w:t>
            </w:r>
          </w:p>
        </w:tc>
        <w:tc>
          <w:tcPr>
            <w:tcW w:w="10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(2,563)</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115,692</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40,444</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1,345</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69,409</w:t>
            </w:r>
          </w:p>
        </w:tc>
        <w:tc>
          <w:tcPr>
            <w:tcW w:w="8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110,312</w:t>
            </w:r>
          </w:p>
        </w:tc>
        <w:tc>
          <w:tcPr>
            <w:tcW w:w="0" w:type="dxa"/>
            <w:vAlign w:val="bottom"/>
          </w:tcPr>
          <w:p>
            <w:pPr>
              <w:spacing w:after="0"/>
              <w:rPr>
                <w:sz w:val="1"/>
                <w:szCs w:val="1"/>
                <w:color w:val="auto"/>
              </w:rPr>
            </w:pPr>
          </w:p>
        </w:tc>
      </w:tr>
      <w:tr>
        <w:trPr>
          <w:trHeight w:val="174"/>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119,954</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211,055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90,350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114,826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204,757</w:t>
            </w:r>
          </w:p>
        </w:tc>
        <w:tc>
          <w:tcPr>
            <w:tcW w:w="0" w:type="dxa"/>
            <w:vAlign w:val="bottom"/>
          </w:tcPr>
          <w:p>
            <w:pPr>
              <w:spacing w:after="0"/>
              <w:rPr>
                <w:sz w:val="1"/>
                <w:szCs w:val="1"/>
                <w:color w:val="auto"/>
              </w:rPr>
            </w:pPr>
          </w:p>
        </w:tc>
      </w:tr>
      <w:tr>
        <w:trPr>
          <w:trHeight w:val="122"/>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rPr>
              <w:t>Noncontrolling interest -</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20" w:type="dxa"/>
            <w:vAlign w:val="bottom"/>
          </w:tcPr>
          <w:p>
            <w:pPr>
              <w:ind w:left="300"/>
              <w:spacing w:after="0" w:line="122" w:lineRule="exact"/>
              <w:rPr>
                <w:sz w:val="20"/>
                <w:szCs w:val="20"/>
                <w:color w:val="auto"/>
              </w:rPr>
            </w:pPr>
            <w:r>
              <w:rPr>
                <w:rFonts w:ascii="Arial" w:cs="Arial" w:eastAsia="Arial" w:hAnsi="Arial"/>
                <w:sz w:val="13"/>
                <w:szCs w:val="13"/>
                <w:color w:val="auto"/>
              </w:rPr>
              <w:t>Cruise stock incentive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300"/>
              <w:spacing w:after="0"/>
              <w:rPr>
                <w:sz w:val="20"/>
                <w:szCs w:val="20"/>
                <w:color w:val="auto"/>
              </w:rPr>
            </w:pPr>
            <w:r>
              <w:rPr>
                <w:rFonts w:ascii="Arial" w:cs="Arial" w:eastAsia="Arial" w:hAnsi="Arial"/>
                <w:sz w:val="13"/>
                <w:szCs w:val="13"/>
                <w:color w:val="auto"/>
              </w:rPr>
              <w:t>awards</w:t>
            </w: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83"/>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20" w:type="dxa"/>
            <w:vAlign w:val="bottom"/>
          </w:tcPr>
          <w:p>
            <w:pPr>
              <w:ind w:left="100"/>
              <w:spacing w:after="0" w:line="122" w:lineRule="exact"/>
              <w:rPr>
                <w:sz w:val="20"/>
                <w:szCs w:val="20"/>
                <w:color w:val="auto"/>
              </w:rPr>
            </w:pPr>
            <w:r>
              <w:rPr>
                <w:rFonts w:ascii="Arial" w:cs="Arial" w:eastAsia="Arial" w:hAnsi="Arial"/>
                <w:sz w:val="13"/>
                <w:szCs w:val="13"/>
                <w:color w:val="auto"/>
              </w:rPr>
              <w:t>Common stock, $0.01 par</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180"/>
              <w:spacing w:after="0"/>
              <w:rPr>
                <w:sz w:val="20"/>
                <w:szCs w:val="20"/>
                <w:color w:val="auto"/>
              </w:rPr>
            </w:pPr>
            <w:r>
              <w:rPr>
                <w:rFonts w:ascii="Arial" w:cs="Arial" w:eastAsia="Arial" w:hAnsi="Arial"/>
                <w:sz w:val="13"/>
                <w:szCs w:val="13"/>
                <w:color w:val="auto"/>
              </w:rPr>
              <w:t>value</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3"/>
        </w:trPr>
        <w:tc>
          <w:tcPr>
            <w:tcW w:w="1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Additional paid-in capital(d)</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18,866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19,130</w:t>
            </w:r>
          </w:p>
        </w:tc>
        <w:tc>
          <w:tcPr>
            <w:tcW w:w="0" w:type="dxa"/>
            <w:vAlign w:val="bottom"/>
          </w:tcPr>
          <w:p>
            <w:pPr>
              <w:spacing w:after="0"/>
              <w:rPr>
                <w:sz w:val="1"/>
                <w:szCs w:val="1"/>
                <w:color w:val="auto"/>
              </w:rPr>
            </w:pPr>
          </w:p>
        </w:tc>
      </w:tr>
      <w:tr>
        <w:trPr>
          <w:trHeight w:val="171"/>
        </w:trPr>
        <w:tc>
          <w:tcPr>
            <w:tcW w:w="1820" w:type="dxa"/>
            <w:vAlign w:val="bottom"/>
          </w:tcPr>
          <w:p>
            <w:pPr>
              <w:ind w:left="100"/>
              <w:spacing w:after="0"/>
              <w:rPr>
                <w:sz w:val="20"/>
                <w:szCs w:val="20"/>
                <w:color w:val="auto"/>
              </w:rPr>
            </w:pPr>
            <w:r>
              <w:rPr>
                <w:rFonts w:ascii="Arial" w:cs="Arial" w:eastAsia="Arial" w:hAnsi="Arial"/>
                <w:sz w:val="13"/>
                <w:szCs w:val="13"/>
                <w:color w:val="auto"/>
              </w:rPr>
              <w:t>Retained earnings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45,248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16,082</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59,807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39,579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15,823</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55,391</w:t>
            </w: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Accumulated other</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comprehensive loss</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(1,183)</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(10,247)</w:t>
            </w:r>
          </w:p>
        </w:tc>
        <w:tc>
          <w:tcPr>
            <w:tcW w:w="0" w:type="dxa"/>
            <w:vAlign w:val="bottom"/>
          </w:tcPr>
          <w:p>
            <w:pPr>
              <w:spacing w:after="0"/>
              <w:rPr>
                <w:sz w:val="1"/>
                <w:szCs w:val="1"/>
                <w:color w:val="auto"/>
              </w:rPr>
            </w:pPr>
          </w:p>
        </w:tc>
      </w:tr>
      <w:tr>
        <w:trPr>
          <w:trHeight w:val="164"/>
        </w:trPr>
        <w:tc>
          <w:tcPr>
            <w:tcW w:w="1820" w:type="dxa"/>
            <w:vAlign w:val="bottom"/>
          </w:tcPr>
          <w:p>
            <w:pPr>
              <w:ind w:left="100"/>
              <w:spacing w:after="0"/>
              <w:rPr>
                <w:sz w:val="20"/>
                <w:szCs w:val="20"/>
                <w:color w:val="auto"/>
              </w:rPr>
            </w:pPr>
            <w:r>
              <w:rPr>
                <w:rFonts w:ascii="Arial" w:cs="Arial" w:eastAsia="Arial" w:hAnsi="Arial"/>
                <w:sz w:val="13"/>
                <w:szCs w:val="13"/>
                <w:color w:val="auto"/>
              </w:rPr>
              <w:t>Total stockholders’ equity</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54,752</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(838)</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15,948</w:t>
            </w: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68,633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49,391</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15,954</w:t>
            </w: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64,286</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Noncontrolling interests(d)</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3,903</w:t>
            </w:r>
          </w:p>
        </w:tc>
        <w:tc>
          <w:tcPr>
            <w:tcW w:w="0" w:type="dxa"/>
            <w:vAlign w:val="bottom"/>
          </w:tcPr>
          <w:p>
            <w:pPr>
              <w:spacing w:after="0"/>
              <w:rPr>
                <w:sz w:val="1"/>
                <w:szCs w:val="1"/>
                <w:color w:val="auto"/>
              </w:rPr>
            </w:pPr>
          </w:p>
        </w:tc>
      </w:tr>
      <w:tr>
        <w:trPr>
          <w:trHeight w:val="165"/>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Equity</w:t>
            </w: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55,570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15,948</w:t>
            </w:r>
          </w:p>
        </w:tc>
        <w:tc>
          <w:tcPr>
            <w:tcW w:w="10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71,900</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50,196</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2,038</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15,954</w:t>
            </w:r>
          </w:p>
        </w:tc>
        <w:tc>
          <w:tcPr>
            <w:tcW w:w="8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68,189</w:t>
            </w:r>
          </w:p>
        </w:tc>
        <w:tc>
          <w:tcPr>
            <w:tcW w:w="0" w:type="dxa"/>
            <w:vAlign w:val="bottom"/>
          </w:tcPr>
          <w:p>
            <w:pPr>
              <w:spacing w:after="0"/>
              <w:rPr>
                <w:sz w:val="1"/>
                <w:szCs w:val="1"/>
                <w:color w:val="auto"/>
              </w:rPr>
            </w:pPr>
          </w:p>
        </w:tc>
      </w:tr>
      <w:tr>
        <w:trPr>
          <w:trHeight w:val="198"/>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147,144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135,902</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(3,972)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282,956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140,546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130,780</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273,064</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right="20" w:hanging="332"/>
        <w:spacing w:after="0" w:line="246" w:lineRule="auto"/>
        <w:tabs>
          <w:tab w:leader="none" w:pos="337" w:val="left"/>
        </w:tabs>
        <w:numPr>
          <w:ilvl w:val="0"/>
          <w:numId w:val="10"/>
        </w:numPr>
        <w:rPr>
          <w:rFonts w:ascii="Arial" w:cs="Arial" w:eastAsia="Arial" w:hAnsi="Arial"/>
          <w:sz w:val="11"/>
          <w:szCs w:val="11"/>
          <w:color w:val="auto"/>
        </w:rPr>
      </w:pPr>
      <w:r>
        <w:rPr>
          <w:rFonts w:ascii="Arial" w:cs="Arial" w:eastAsia="Arial" w:hAnsi="Arial"/>
          <w:sz w:val="11"/>
          <w:szCs w:val="11"/>
          <w:color w:val="auto"/>
        </w:rPr>
        <w:t>Eliminations primarily include GM Financial accounts and notes receivable of $0.6 billion due from Automotive; and Automotive accounts receivable of $0.6 billion primarily due from GM Financial and Cruise at June 30, 2024; and GM Financial accounts and notes receivable of $0.5 billion due from Automotive and Automotive accounts receivable of $0.8 billion due from GM Financial and Cruise at December 31, 2023.</w:t>
      </w:r>
    </w:p>
    <w:p>
      <w:pPr>
        <w:ind w:left="340" w:hanging="332"/>
        <w:spacing w:after="0" w:line="243" w:lineRule="auto"/>
        <w:tabs>
          <w:tab w:leader="none" w:pos="337" w:val="left"/>
        </w:tabs>
        <w:numPr>
          <w:ilvl w:val="0"/>
          <w:numId w:val="10"/>
        </w:numPr>
        <w:rPr>
          <w:rFonts w:ascii="Arial" w:cs="Arial" w:eastAsia="Arial" w:hAnsi="Arial"/>
          <w:sz w:val="11"/>
          <w:szCs w:val="11"/>
          <w:color w:val="auto"/>
        </w:rPr>
      </w:pPr>
      <w:r>
        <w:rPr>
          <w:rFonts w:ascii="Arial" w:cs="Arial" w:eastAsia="Arial" w:hAnsi="Arial"/>
          <w:sz w:val="11"/>
          <w:szCs w:val="11"/>
          <w:color w:val="auto"/>
        </w:rPr>
        <w:t>Eliminations primarily related to convertible note issued by Cruise to Automotive and deferral agreement between Cruise and Automotive as regards to engineering, capital spending, restructuring and other costs incurred by Automotive on behalf of Cruise resulting in a long-term payable for Cruise offset by a long-term receivable for Automotive.</w:t>
      </w:r>
    </w:p>
    <w:p>
      <w:pPr>
        <w:ind w:left="320" w:hanging="312"/>
        <w:spacing w:after="0"/>
        <w:tabs>
          <w:tab w:leader="none" w:pos="3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Eliminations primarily related to intercompany loans due from Cruise to GM Financial.</w:t>
      </w:r>
    </w:p>
    <w:p>
      <w:pPr>
        <w:spacing w:after="0" w:line="5" w:lineRule="exact"/>
        <w:rPr>
          <w:rFonts w:ascii="Arial" w:cs="Arial" w:eastAsia="Arial" w:hAnsi="Arial"/>
          <w:sz w:val="11"/>
          <w:szCs w:val="11"/>
          <w:color w:val="auto"/>
        </w:rPr>
      </w:pPr>
    </w:p>
    <w:p>
      <w:pPr>
        <w:ind w:left="320" w:hanging="312"/>
        <w:spacing w:after="0"/>
        <w:tabs>
          <w:tab w:leader="none" w:pos="3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Primarily reclassification of GM Financial Cumulative Perpetual Preferred Stock, Series A, B and C. The preferred stock is classified as noncontrolling interests in our consolidated balance sheets.</w:t>
      </w:r>
    </w:p>
    <w:p>
      <w:pPr>
        <w:sectPr>
          <w:pgSz w:w="11900" w:h="16838" w:orient="portrait"/>
          <w:cols w:equalWidth="0" w:num="1">
            <w:col w:w="11240"/>
          </w:cols>
          <w:pgMar w:left="320" w:top="8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54" w:right="339" w:bottom="1440" w:gutter="0" w:footer="0" w:header="0"/>
          <w:type w:val="continuous"/>
        </w:sectPr>
      </w:pPr>
    </w:p>
    <w:bookmarkStart w:id="10" w:name="page11"/>
    <w:bookmarkEnd w:id="10"/>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Combining Cash Flow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ind w:left="400"/>
              <w:spacing w:after="0"/>
              <w:rPr>
                <w:sz w:val="20"/>
                <w:szCs w:val="20"/>
                <w:color w:val="auto"/>
              </w:rPr>
            </w:pPr>
            <w:r>
              <w:rPr>
                <w:rFonts w:ascii="Arial" w:cs="Arial" w:eastAsia="Arial" w:hAnsi="Arial"/>
                <w:sz w:val="13"/>
                <w:szCs w:val="13"/>
                <w:b w:val="1"/>
                <w:bCs w:val="1"/>
                <w:color w:val="auto"/>
                <w:w w:val="97"/>
              </w:rPr>
              <w:t>Six Months Ended June 30, 2024</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ind w:left="400"/>
              <w:spacing w:after="0"/>
              <w:rPr>
                <w:sz w:val="20"/>
                <w:szCs w:val="20"/>
                <w:color w:val="auto"/>
              </w:rPr>
            </w:pPr>
            <w:r>
              <w:rPr>
                <w:rFonts w:ascii="Arial" w:cs="Arial" w:eastAsia="Arial" w:hAnsi="Arial"/>
                <w:sz w:val="13"/>
                <w:szCs w:val="13"/>
                <w:b w:val="1"/>
                <w:bCs w:val="1"/>
                <w:color w:val="auto"/>
                <w:w w:val="98"/>
              </w:rPr>
              <w:t>Six Months Ended June 30, 2023</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960" w:type="dxa"/>
            <w:vAlign w:val="bottom"/>
          </w:tcPr>
          <w:p>
            <w:pPr>
              <w:spacing w:after="0"/>
              <w:rPr>
                <w:sz w:val="9"/>
                <w:szCs w:val="9"/>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0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0"/>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Combined</w:t>
            </w:r>
          </w:p>
        </w:tc>
        <w:tc>
          <w:tcPr>
            <w:tcW w:w="8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90"/>
              </w:rPr>
              <w:t>GM</w:t>
            </w:r>
          </w:p>
        </w:tc>
        <w:tc>
          <w:tcPr>
            <w:tcW w:w="16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Financial</w:t>
            </w:r>
          </w:p>
        </w:tc>
        <w:tc>
          <w:tcPr>
            <w:tcW w:w="168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Financial</w:t>
            </w:r>
          </w:p>
        </w:tc>
        <w:tc>
          <w:tcPr>
            <w:tcW w:w="1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8" w:lineRule="exact"/>
              <w:rPr>
                <w:sz w:val="20"/>
                <w:szCs w:val="20"/>
                <w:color w:val="auto"/>
              </w:rPr>
            </w:pPr>
            <w:r>
              <w:rPr>
                <w:rFonts w:ascii="Arial" w:cs="Arial" w:eastAsia="Arial" w:hAnsi="Arial"/>
                <w:sz w:val="12"/>
                <w:szCs w:val="12"/>
                <w:b w:val="1"/>
                <w:bCs w:val="1"/>
                <w:color w:val="auto"/>
              </w:rPr>
              <w:t>Cash flows from operating</w:t>
            </w: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1,145</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4,853</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w w:val="99"/>
              </w:rPr>
              <w:t>Depreciation and impairment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Equipment on operating</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leases, net</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2,425</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2,476</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2,476</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Depreciation, amortization and</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impairment charges on</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Property, net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3,270</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Foreign currency</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remeasurement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transaction (gains) losses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Undistributed earnings of</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nonconsolidated affiliates,</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Pension contributions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OPEB payments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Pension and OPEB income, net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Provision (benefit) for deferred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taxes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289</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Change in other operating</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assets and liabilities(a)(c)</w:t>
            </w: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12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(1,140)</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101"/>
        </w:trPr>
        <w:tc>
          <w:tcPr>
            <w:tcW w:w="196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Net cash provided by (used in)</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operating activities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11,311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3,214</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(4,107)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9,128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9,346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(940)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3,411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(1,140)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10,677</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Cash flows from investing</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(5,352)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(4,544)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(4,683)</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Available-for-sale marketable</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securities, acquisitions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(2,727)</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Available-for-sale marketable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securities, liquidations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1,535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5,404</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Purchases of finance</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receivables(a)</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(20,016)</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(16,639)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(18,189)</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(17,810)</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Principal collections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recoveries on finance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receivables(a)</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15,577</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15,578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13,921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13,922</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leased vehicles</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(7,489)</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(6,834)</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(6,834)</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Proceeds from termination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leased vehicles</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6,157</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6,157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6,673</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6,673</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investing activities (b)</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w:t>
            </w:r>
          </w:p>
        </w:tc>
        <w:tc>
          <w:tcPr>
            <w:tcW w:w="0" w:type="dxa"/>
            <w:vAlign w:val="bottom"/>
          </w:tcPr>
          <w:p>
            <w:pPr>
              <w:spacing w:after="0"/>
              <w:rPr>
                <w:sz w:val="1"/>
                <w:szCs w:val="1"/>
                <w:color w:val="auto"/>
              </w:rPr>
            </w:pPr>
          </w:p>
        </w:tc>
      </w:tr>
      <w:tr>
        <w:trPr>
          <w:trHeight w:val="102"/>
        </w:trPr>
        <w:tc>
          <w:tcPr>
            <w:tcW w:w="196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Net cash provided by (used in)</w:t>
            </w: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investing activities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(7,656)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(5,781)</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4,452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(8,987)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(4,445)</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(6,824)</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Cash flows from financing</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Net increase (decrease) in</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short-term debt</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296</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w w:val="98"/>
              </w:rPr>
              <w:t>Proceeds from issuance of debt</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(original maturities greater</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than three months) (b)</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29,350</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29,370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26,224</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26,235</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Payments on debt (original</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maturities greater than three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months)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4"/>
              </w:rPr>
              <w:t>(23,815)</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(23,904)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4"/>
              </w:rPr>
              <w:t>(22,237)</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(23,812)</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Payment to purchase common</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stock</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Issuance (redemption)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subsidiary stock(b)</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paid(c)</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Other financing activities</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(112)</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06"/>
        </w:trPr>
        <w:tc>
          <w:tcPr>
            <w:tcW w:w="1960" w:type="dxa"/>
            <w:vAlign w:val="bottom"/>
            <w:tcBorders>
              <w:top w:val="single" w:sz="8" w:color="CCEEFF"/>
            </w:tcBorders>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Net cash provided by (used in)</w:t>
            </w: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financing activities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4,760</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3,010</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Effect of exchange rate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changes on cash, cash</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60" w:type="dxa"/>
            <w:vAlign w:val="bottom"/>
          </w:tcPr>
          <w:p>
            <w:pPr>
              <w:ind w:left="300"/>
              <w:spacing w:after="0" w:line="131" w:lineRule="exact"/>
              <w:rPr>
                <w:sz w:val="20"/>
                <w:szCs w:val="20"/>
                <w:color w:val="auto"/>
              </w:rPr>
            </w:pPr>
            <w:r>
              <w:rPr>
                <w:rFonts w:ascii="Arial" w:cs="Arial" w:eastAsia="Arial" w:hAnsi="Arial"/>
                <w:sz w:val="13"/>
                <w:szCs w:val="13"/>
                <w:color w:val="auto"/>
              </w:rPr>
              <w:t>equivalents and restricted</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300"/>
              <w:spacing w:after="0"/>
              <w:rPr>
                <w:sz w:val="20"/>
                <w:szCs w:val="20"/>
                <w:color w:val="auto"/>
              </w:rPr>
            </w:pPr>
            <w:r>
              <w:rPr>
                <w:rFonts w:ascii="Arial" w:cs="Arial" w:eastAsia="Arial" w:hAnsi="Arial"/>
                <w:sz w:val="13"/>
                <w:szCs w:val="13"/>
                <w:color w:val="auto"/>
              </w:rPr>
              <w:t>cash</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08"/>
        </w:trPr>
        <w:tc>
          <w:tcPr>
            <w:tcW w:w="1960" w:type="dxa"/>
            <w:vAlign w:val="bottom"/>
            <w:tcBorders>
              <w:top w:val="single" w:sz="8" w:color="CCEEFF"/>
            </w:tcBorders>
            <w:shd w:val="clear" w:color="auto" w:fill="CCEEFF"/>
          </w:tcPr>
          <w:p>
            <w:pPr>
              <w:ind w:left="140"/>
              <w:spacing w:after="0" w:line="108" w:lineRule="exact"/>
              <w:rPr>
                <w:sz w:val="20"/>
                <w:szCs w:val="20"/>
                <w:color w:val="auto"/>
              </w:rPr>
            </w:pPr>
            <w:r>
              <w:rPr>
                <w:rFonts w:ascii="Arial" w:cs="Arial" w:eastAsia="Arial" w:hAnsi="Arial"/>
                <w:sz w:val="12"/>
                <w:szCs w:val="12"/>
                <w:color w:val="auto"/>
              </w:rPr>
              <w:t>Net increase (decrease) in</w:t>
            </w: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cash, cash equivalents and</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restricted cash</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2,135</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4,805</w:t>
            </w:r>
          </w:p>
        </w:tc>
        <w:tc>
          <w:tcPr>
            <w:tcW w:w="0" w:type="dxa"/>
            <w:vAlign w:val="bottom"/>
          </w:tcPr>
          <w:p>
            <w:pPr>
              <w:spacing w:after="0"/>
              <w:rPr>
                <w:sz w:val="1"/>
                <w:szCs w:val="1"/>
                <w:color w:val="auto"/>
              </w:rPr>
            </w:pPr>
          </w:p>
        </w:tc>
      </w:tr>
      <w:tr>
        <w:trPr>
          <w:trHeight w:val="121"/>
        </w:trPr>
        <w:tc>
          <w:tcPr>
            <w:tcW w:w="1960" w:type="dxa"/>
            <w:vAlign w:val="bottom"/>
          </w:tcPr>
          <w:p>
            <w:pPr>
              <w:ind w:left="20"/>
              <w:spacing w:after="0" w:line="122" w:lineRule="exact"/>
              <w:rPr>
                <w:sz w:val="20"/>
                <w:szCs w:val="20"/>
                <w:color w:val="auto"/>
              </w:rPr>
            </w:pPr>
            <w:r>
              <w:rPr>
                <w:rFonts w:ascii="Arial" w:cs="Arial" w:eastAsia="Arial" w:hAnsi="Arial"/>
                <w:sz w:val="13"/>
                <w:szCs w:val="13"/>
                <w:color w:val="auto"/>
              </w:rPr>
              <w:t>Cash, cash equivalents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180"/>
              <w:spacing w:after="0" w:line="122" w:lineRule="exact"/>
              <w:rPr>
                <w:sz w:val="20"/>
                <w:szCs w:val="20"/>
                <w:color w:val="auto"/>
              </w:rPr>
            </w:pPr>
            <w:r>
              <w:rPr>
                <w:rFonts w:ascii="Arial" w:cs="Arial" w:eastAsia="Arial" w:hAnsi="Arial"/>
                <w:sz w:val="13"/>
                <w:szCs w:val="13"/>
                <w:color w:val="auto"/>
              </w:rPr>
              <w:t>restricted cash at beginning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960" w:type="dxa"/>
            <w:vAlign w:val="bottom"/>
          </w:tcPr>
          <w:p>
            <w:pPr>
              <w:ind w:left="180"/>
              <w:spacing w:after="0"/>
              <w:rPr>
                <w:sz w:val="20"/>
                <w:szCs w:val="20"/>
                <w:color w:val="auto"/>
              </w:rPr>
            </w:pPr>
            <w:r>
              <w:rPr>
                <w:rFonts w:ascii="Arial" w:cs="Arial" w:eastAsia="Arial" w:hAnsi="Arial"/>
                <w:sz w:val="13"/>
                <w:szCs w:val="13"/>
                <w:color w:val="auto"/>
              </w:rPr>
              <w:t>period</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12,310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8,249</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21,917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13,746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1,526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6,676</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21,948</w:t>
            </w:r>
          </w:p>
        </w:tc>
        <w:tc>
          <w:tcPr>
            <w:tcW w:w="0" w:type="dxa"/>
            <w:vAlign w:val="bottom"/>
          </w:tcPr>
          <w:p>
            <w:pPr>
              <w:spacing w:after="0"/>
              <w:rPr>
                <w:sz w:val="1"/>
                <w:szCs w:val="1"/>
                <w:color w:val="auto"/>
              </w:rPr>
            </w:pPr>
          </w:p>
        </w:tc>
      </w:tr>
      <w:tr>
        <w:trPr>
          <w:trHeight w:val="108"/>
        </w:trPr>
        <w:tc>
          <w:tcPr>
            <w:tcW w:w="196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Cash, cash equivalents and</w:t>
            </w: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6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restricted cash at end of</w:t>
            </w:r>
          </w:p>
        </w:tc>
        <w:tc>
          <w:tcPr>
            <w:tcW w:w="180" w:type="dxa"/>
            <w:vAlign w:val="bottom"/>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14,123</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1,112</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10,384</w:t>
            </w:r>
          </w:p>
        </w:tc>
        <w:tc>
          <w:tcPr>
            <w:tcW w:w="8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25,620</w:t>
            </w:r>
          </w:p>
        </w:tc>
        <w:tc>
          <w:tcPr>
            <w:tcW w:w="1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16,109</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1,930</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8,715</w:t>
            </w:r>
          </w:p>
        </w:tc>
        <w:tc>
          <w:tcPr>
            <w:tcW w:w="12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26,753</w:t>
            </w:r>
          </w:p>
        </w:tc>
        <w:tc>
          <w:tcPr>
            <w:tcW w:w="0" w:type="dxa"/>
            <w:vAlign w:val="bottom"/>
          </w:tcPr>
          <w:p>
            <w:pPr>
              <w:spacing w:after="0"/>
              <w:rPr>
                <w:sz w:val="1"/>
                <w:szCs w:val="1"/>
                <w:color w:val="auto"/>
              </w:rPr>
            </w:pPr>
          </w:p>
        </w:tc>
      </w:tr>
      <w:tr>
        <w:trPr>
          <w:trHeight w:val="182"/>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period</w:t>
            </w:r>
          </w:p>
        </w:tc>
        <w:tc>
          <w:tcPr>
            <w:tcW w:w="18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hanging="332"/>
        <w:spacing w:after="0" w:line="246" w:lineRule="auto"/>
        <w:tabs>
          <w:tab w:leader="none" w:pos="337"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Includes eliminations of $3.3 billion and $0.2 billion in the six months ended June 30, 2024 and 2023 primarily driven by purchases/collections of wholesale finance receivables resulting from vehicles sold by GM to dealers that have arranged their inventory floor plan financing through GM Financial.</w:t>
      </w:r>
    </w:p>
    <w:p>
      <w:pPr>
        <w:ind w:left="340" w:hanging="332"/>
        <w:spacing w:after="0" w:line="243" w:lineRule="auto"/>
        <w:tabs>
          <w:tab w:leader="none" w:pos="337"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Includes eliminations of $0.9 billion convertible note issued by Cruise to Automotive in the six months ended June 30, 2024 and $0.3 billion and $0.2 billion of Automotive investment in Cruise in the six months ended June 30, 2024 and 2023.</w:t>
      </w:r>
    </w:p>
    <w:p>
      <w:pPr>
        <w:ind w:left="320" w:hanging="312"/>
        <w:spacing w:after="0"/>
        <w:tabs>
          <w:tab w:leader="none" w:pos="3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Eliminations include dividends issued by GM Financial to Automotive in the six months ended June 30, 2024 and 2023.</w:t>
      </w:r>
    </w:p>
    <w:p>
      <w:pPr>
        <w:sectPr>
          <w:pgSz w:w="11900" w:h="16838" w:orient="portrait"/>
          <w:cols w:equalWidth="0" w:num="1">
            <w:col w:w="11240"/>
          </w:cols>
          <w:pgMar w:left="320" w:top="8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54" w:right="3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10"/>
                <w:szCs w:val="10"/>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540" w:type="dxa"/>
            <w:vAlign w:val="bottom"/>
          </w:tcPr>
          <w:p>
            <w:pPr>
              <w:ind w:left="20"/>
              <w:spacing w:after="0"/>
              <w:rPr>
                <w:sz w:val="20"/>
                <w:szCs w:val="20"/>
                <w:color w:val="auto"/>
              </w:rPr>
            </w:pPr>
            <w:r>
              <w:rPr>
                <w:rFonts w:ascii="Arial" w:cs="Arial" w:eastAsia="Arial" w:hAnsi="Arial"/>
                <w:sz w:val="11"/>
                <w:szCs w:val="11"/>
                <w:b w:val="1"/>
                <w:bCs w:val="1"/>
                <w:color w:val="auto"/>
              </w:rPr>
              <w:t>Three Months Ended June 30, 2024</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40,725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47,969</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2,461</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2,539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2,569</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2,880</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378"/>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4"/>
                <w:szCs w:val="2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540" w:type="dxa"/>
            <w:vAlign w:val="bottom"/>
          </w:tcPr>
          <w:p>
            <w:pPr>
              <w:ind w:left="20"/>
              <w:spacing w:after="0"/>
              <w:rPr>
                <w:sz w:val="20"/>
                <w:szCs w:val="20"/>
                <w:color w:val="auto"/>
              </w:rPr>
            </w:pPr>
            <w:r>
              <w:rPr>
                <w:rFonts w:ascii="Arial" w:cs="Arial" w:eastAsia="Arial" w:hAnsi="Arial"/>
                <w:sz w:val="11"/>
                <w:szCs w:val="11"/>
                <w:b w:val="1"/>
                <w:bCs w:val="1"/>
                <w:color w:val="auto"/>
              </w:rPr>
              <w:t>Three Months Ended June 30, 2023</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37,220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44,746</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2,136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2,251</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2,936</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365"/>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4"/>
                <w:szCs w:val="2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40" w:type="dxa"/>
            <w:vAlign w:val="bottom"/>
          </w:tcPr>
          <w:p>
            <w:pPr>
              <w:ind w:left="20"/>
              <w:spacing w:after="0"/>
              <w:rPr>
                <w:sz w:val="20"/>
                <w:szCs w:val="20"/>
                <w:color w:val="auto"/>
              </w:rPr>
            </w:pPr>
            <w:r>
              <w:rPr>
                <w:rFonts w:ascii="Arial" w:cs="Arial" w:eastAsia="Arial" w:hAnsi="Arial"/>
                <w:sz w:val="11"/>
                <w:szCs w:val="11"/>
                <w:b w:val="1"/>
                <w:bCs w:val="1"/>
                <w:color w:val="auto"/>
              </w:rPr>
              <w:t>Six Months Ended June 30, 2024</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7,730</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90,983</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5,091</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5,267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5,352</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5,678</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378"/>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4"/>
                <w:szCs w:val="2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40" w:type="dxa"/>
            <w:vAlign w:val="bottom"/>
          </w:tcPr>
          <w:p>
            <w:pPr>
              <w:ind w:left="20"/>
              <w:spacing w:after="0"/>
              <w:rPr>
                <w:sz w:val="20"/>
                <w:szCs w:val="20"/>
                <w:color w:val="auto"/>
              </w:rPr>
            </w:pPr>
            <w:r>
              <w:rPr>
                <w:rFonts w:ascii="Arial" w:cs="Arial" w:eastAsia="Arial" w:hAnsi="Arial"/>
                <w:sz w:val="11"/>
                <w:szCs w:val="11"/>
                <w:b w:val="1"/>
                <w:bCs w:val="1"/>
                <w:color w:val="auto"/>
              </w:rPr>
              <w:t>Six Months Ended June 30, 2023</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70,108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84,732</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4,274</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262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4,544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4,683</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2,496</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5,746</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8" w:lineRule="exact"/>
        <w:rPr>
          <w:sz w:val="20"/>
          <w:szCs w:val="20"/>
          <w:color w:val="auto"/>
        </w:rPr>
      </w:pPr>
    </w:p>
    <w:p>
      <w:pPr>
        <w:ind w:left="340" w:hanging="332"/>
        <w:spacing w:after="0" w:line="238" w:lineRule="auto"/>
        <w:tabs>
          <w:tab w:leader="none" w:pos="332"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Automotive China joint ventures (Automotive China JVs) equity loss of $104 million and $210 million in the three and six months ended June 30, 2024 and Automotive China JVs equity income of $78 million and $161 million in the three and six months ended June 30, 2023.</w:t>
      </w:r>
    </w:p>
    <w:p>
      <w:pPr>
        <w:jc w:val="both"/>
        <w:ind w:left="340" w:hanging="332"/>
        <w:spacing w:after="0" w:line="242" w:lineRule="auto"/>
        <w:tabs>
          <w:tab w:leader="none" w:pos="332" w:val="left"/>
        </w:tabs>
        <w:numPr>
          <w:ilvl w:val="0"/>
          <w:numId w:val="12"/>
        </w:numPr>
        <w:rPr>
          <w:rFonts w:ascii="Arial" w:cs="Arial" w:eastAsia="Arial" w:hAnsi="Arial"/>
          <w:sz w:val="13"/>
          <w:szCs w:val="13"/>
          <w:color w:val="auto"/>
        </w:rPr>
      </w:pPr>
      <w:r>
        <w:rPr>
          <w:rFonts w:ascii="Arial" w:cs="Arial" w:eastAsia="Arial" w:hAnsi="Arial"/>
          <w:sz w:val="13"/>
          <w:szCs w:val="13"/>
          <w:color w:val="auto"/>
        </w:rPr>
        <w:t>Equity earnings related to Ultium Cells Holdings LLC, an equally owned joint venture with LG Energy Solution, are presented in Automotive and other cost of sales as this entity is integral to the operations of our business by providing battery cells for our electric vehicles (EVs). Equity earnings related to Ultium Cells Holdings LLC were $324 million and $479 million in the three and six months ended June 30, 2024 and insignificant in the three and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5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General Motors Company (GM) uses both generally accepted accounting principles (GAAP) and non-GAAP financial measures for operational and financial decision making, and to assess Company and segment business performance. Our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i w:val="1"/>
          <w:iCs w:val="1"/>
          <w:color w:val="auto"/>
        </w:rPr>
        <w:t>(Most comparable GAAP measure: Net income attributable to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EBIT-adjusted is presented net of noncontrolling interests and</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22"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i w:val="1"/>
          <w:iCs w:val="1"/>
          <w:color w:val="auto"/>
        </w:rPr>
        <w:t>(Most comparable GAAP measure: Diluted earnings per common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EPS-diluted-adjusted is used by management and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0"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i w:val="1"/>
          <w:iCs w:val="1"/>
          <w:color w:val="auto"/>
        </w:rPr>
        <w:t>(Most comparable GAAP measure: Effective tax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ETR-adjusted is used by management and can be used by investors to review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99"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i w:val="1"/>
          <w:iCs w:val="1"/>
          <w:color w:val="auto"/>
        </w:rPr>
        <w:t>(Most comparable GAAP measure: Return on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213"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i w:val="1"/>
          <w:iCs w:val="1"/>
          <w:color w:val="auto"/>
        </w:rPr>
        <w:t>(Most comparable GAAP measure: Net automotive cash provided by operating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automotive free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61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income attributable to stockholders under U.S. GAAP to EBIT-adjusted and segment profit (loss)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7"/>
                <w:szCs w:val="17"/>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7"/>
                <w:szCs w:val="17"/>
                <w:color w:val="auto"/>
              </w:rPr>
            </w:pPr>
          </w:p>
        </w:tc>
        <w:tc>
          <w:tcPr>
            <w:tcW w:w="1420" w:type="dxa"/>
            <w:vAlign w:val="bottom"/>
          </w:tcPr>
          <w:p>
            <w:pPr>
              <w:jc w:val="right"/>
              <w:ind w:right="279"/>
              <w:spacing w:after="0"/>
              <w:rPr>
                <w:sz w:val="20"/>
                <w:szCs w:val="20"/>
                <w:color w:val="auto"/>
              </w:rPr>
            </w:pPr>
            <w:r>
              <w:rPr>
                <w:rFonts w:ascii="Arial" w:cs="Arial" w:eastAsia="Arial" w:hAnsi="Arial"/>
                <w:sz w:val="14"/>
                <w:szCs w:val="14"/>
                <w:b w:val="1"/>
                <w:bCs w:val="1"/>
                <w:color w:val="auto"/>
              </w:rPr>
              <w:t>June 30, 2023</w:t>
            </w:r>
          </w:p>
        </w:tc>
      </w:tr>
      <w:tr>
        <w:trPr>
          <w:trHeight w:val="211"/>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stockholders(a)</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w:t>
            </w: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950</w:t>
            </w:r>
          </w:p>
        </w:tc>
      </w:tr>
      <w:tr>
        <w:trPr>
          <w:trHeight w:val="217"/>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Automotive interest expense</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Automotive interest income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217"/>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5"/>
        </w:trPr>
        <w:tc>
          <w:tcPr>
            <w:tcW w:w="4340" w:type="dxa"/>
            <w:vAlign w:val="bottom"/>
          </w:tcPr>
          <w:p>
            <w:pPr>
              <w:ind w:left="140"/>
              <w:spacing w:after="0"/>
              <w:rPr>
                <w:sz w:val="20"/>
                <w:szCs w:val="20"/>
                <w:color w:val="auto"/>
              </w:rPr>
            </w:pPr>
            <w:r>
              <w:rPr>
                <w:rFonts w:ascii="Arial" w:cs="Arial" w:eastAsia="Arial" w:hAnsi="Arial"/>
                <w:sz w:val="16"/>
                <w:szCs w:val="16"/>
                <w:color w:val="auto"/>
              </w:rPr>
              <w:t>Cruise restructuring(b)</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GMI plant wind down(c)</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340" w:type="dxa"/>
            <w:vAlign w:val="bottom"/>
          </w:tcPr>
          <w:p>
            <w:pPr>
              <w:ind w:left="140"/>
              <w:spacing w:after="0"/>
              <w:rPr>
                <w:sz w:val="20"/>
                <w:szCs w:val="20"/>
                <w:color w:val="auto"/>
              </w:rPr>
            </w:pPr>
            <w:r>
              <w:rPr>
                <w:rFonts w:ascii="Arial" w:cs="Arial" w:eastAsia="Arial" w:hAnsi="Arial"/>
                <w:sz w:val="16"/>
                <w:szCs w:val="16"/>
                <w:color w:val="auto"/>
              </w:rPr>
              <w:t>Buick dealer strategy(d)</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17"/>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Voluntary separation program(e)</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r>
      <w:tr>
        <w:trPr>
          <w:trHeight w:val="215"/>
        </w:trPr>
        <w:tc>
          <w:tcPr>
            <w:tcW w:w="4340" w:type="dxa"/>
            <w:vAlign w:val="bottom"/>
          </w:tcPr>
          <w:p>
            <w:pPr>
              <w:ind w:left="140"/>
              <w:spacing w:after="0"/>
              <w:rPr>
                <w:sz w:val="20"/>
                <w:szCs w:val="20"/>
                <w:color w:val="auto"/>
              </w:rPr>
            </w:pPr>
            <w:r>
              <w:rPr>
                <w:rFonts w:ascii="Arial" w:cs="Arial" w:eastAsia="Arial" w:hAnsi="Arial"/>
                <w:sz w:val="16"/>
                <w:szCs w:val="16"/>
                <w:color w:val="auto"/>
              </w:rPr>
              <w:t>GM Korea wage litigation(f)</w:t>
            </w: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0"/>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adjustments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r>
      <w:tr>
        <w:trPr>
          <w:trHeight w:val="20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EBIT-adjusted</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7,037</w:t>
            </w:r>
          </w:p>
        </w:tc>
      </w:tr>
      <w:tr>
        <w:trPr>
          <w:trHeight w:val="197"/>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segments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5"/>
        </w:trPr>
        <w:tc>
          <w:tcPr>
            <w:tcW w:w="4340" w:type="dxa"/>
            <w:vAlign w:val="bottom"/>
          </w:tcPr>
          <w:p>
            <w:pPr>
              <w:ind w:left="140"/>
              <w:spacing w:after="0"/>
              <w:rPr>
                <w:sz w:val="20"/>
                <w:szCs w:val="20"/>
                <w:color w:val="auto"/>
              </w:rPr>
            </w:pPr>
            <w:r>
              <w:rPr>
                <w:rFonts w:ascii="Arial" w:cs="Arial" w:eastAsia="Arial" w:hAnsi="Arial"/>
                <w:sz w:val="16"/>
                <w:szCs w:val="16"/>
                <w:color w:val="auto"/>
              </w:rPr>
              <w:t>GM North America (GMNA)</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8,273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6,769</w:t>
            </w:r>
          </w:p>
        </w:tc>
      </w:tr>
      <w:tr>
        <w:trPr>
          <w:trHeight w:val="217"/>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International (GMI)</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r>
      <w:tr>
        <w:trPr>
          <w:trHeight w:val="215"/>
        </w:trPr>
        <w:tc>
          <w:tcPr>
            <w:tcW w:w="4340" w:type="dxa"/>
            <w:vAlign w:val="bottom"/>
          </w:tcPr>
          <w:p>
            <w:pPr>
              <w:ind w:left="140"/>
              <w:spacing w:after="0"/>
              <w:rPr>
                <w:sz w:val="20"/>
                <w:szCs w:val="20"/>
                <w:color w:val="auto"/>
              </w:rPr>
            </w:pPr>
            <w:r>
              <w:rPr>
                <w:rFonts w:ascii="Arial" w:cs="Arial" w:eastAsia="Arial" w:hAnsi="Arial"/>
                <w:sz w:val="16"/>
                <w:szCs w:val="16"/>
                <w:color w:val="auto"/>
              </w:rPr>
              <w:t>Cruise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(1,172)</w:t>
            </w:r>
          </w:p>
        </w:tc>
      </w:tr>
      <w:tr>
        <w:trPr>
          <w:trHeight w:val="217"/>
        </w:trPr>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Financial(g)</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w:t>
            </w:r>
          </w:p>
        </w:tc>
      </w:tr>
      <w:tr>
        <w:trPr>
          <w:trHeight w:val="209"/>
        </w:trPr>
        <w:tc>
          <w:tcPr>
            <w:tcW w:w="4340" w:type="dxa"/>
            <w:vAlign w:val="bottom"/>
          </w:tcPr>
          <w:p>
            <w:pPr>
              <w:ind w:left="20"/>
              <w:spacing w:after="0"/>
              <w:rPr>
                <w:sz w:val="20"/>
                <w:szCs w:val="20"/>
                <w:color w:val="auto"/>
              </w:rPr>
            </w:pPr>
            <w:r>
              <w:rPr>
                <w:rFonts w:ascii="Arial" w:cs="Arial" w:eastAsia="Arial" w:hAnsi="Arial"/>
                <w:sz w:val="16"/>
                <w:szCs w:val="16"/>
                <w:color w:val="auto"/>
              </w:rPr>
              <w:t>Total operating segments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8,971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7,717</w:t>
            </w: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eliminations(h)</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color w:val="auto"/>
              </w:rPr>
              <w:t>EBIT-adjusted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7,037</w:t>
            </w: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Net of net loss attributable to noncontrolling interests.</w:t>
      </w:r>
    </w:p>
    <w:p>
      <w:pPr>
        <w:spacing w:after="0" w:line="1" w:lineRule="exact"/>
        <w:rPr>
          <w:rFonts w:ascii="Arial" w:cs="Arial" w:eastAsia="Arial" w:hAnsi="Arial"/>
          <w:sz w:val="14"/>
          <w:szCs w:val="14"/>
          <w:color w:val="auto"/>
        </w:rPr>
      </w:pPr>
    </w:p>
    <w:p>
      <w:pPr>
        <w:jc w:val="both"/>
        <w:ind w:left="340" w:hanging="332"/>
        <w:spacing w:after="0" w:line="261"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restructuring costs resulting from Cruise voluntarily pausing its driverless, supervised and manual AV operations in the U.S. and the indefinite delay of the Cruise Origin. The adjustments primarily consist of non-cash restructuring charges, supplier related charges and employee separation charges.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wind down of our manufacturing operations in Colombia and Ecuador.</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strategic activities to transition certain Buick dealers out of our dealer network as part of Buick’s EV strategy.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This adjustment was excluded because it relates to the acceleration of attrition as part of the cost reduction program announced in January 2023, primarily in the U.S.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This adjustment was excluded because it relates to the partial resolution of subcontractor matters in Korea.</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GM Financial amounts represent EBT-adjusted.</w:t>
      </w:r>
    </w:p>
    <w:p>
      <w:pPr>
        <w:spacing w:after="0" w:line="14" w:lineRule="exact"/>
        <w:rPr>
          <w:rFonts w:ascii="Arial" w:cs="Arial" w:eastAsia="Arial" w:hAnsi="Arial"/>
          <w:sz w:val="14"/>
          <w:szCs w:val="14"/>
          <w:color w:val="auto"/>
        </w:rPr>
      </w:pPr>
    </w:p>
    <w:p>
      <w:pPr>
        <w:ind w:left="340" w:right="20" w:hanging="332"/>
        <w:spacing w:after="0" w:line="264"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GM's automotive interest income and interest expense, legacy costs from the Opel/Vauxhall Business (primarily pension costs), corporate expenditures and certain revenues and expenses that are not part of a reportable segment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61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firstLine="162"/>
        <w:spacing w:after="0" w:line="263" w:lineRule="auto"/>
        <w:rPr>
          <w:sz w:val="20"/>
          <w:szCs w:val="20"/>
          <w:color w:val="auto"/>
        </w:rPr>
      </w:pPr>
      <w:r>
        <w:rPr>
          <w:rFonts w:ascii="Arial" w:cs="Arial" w:eastAsia="Arial" w:hAnsi="Arial"/>
          <w:sz w:val="16"/>
          <w:szCs w:val="16"/>
          <w:color w:val="auto"/>
        </w:rPr>
        <w:t>The following table reconciles diluted earnings per common share under U.S. GAAP to EPS-diluted-adjusted (dollars in millions, except per share amounts):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Six Months Ended</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71"/>
        </w:trPr>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ind w:left="320"/>
              <w:spacing w:after="0"/>
              <w:rPr>
                <w:sz w:val="20"/>
                <w:szCs w:val="20"/>
                <w:color w:val="auto"/>
              </w:rPr>
            </w:pPr>
            <w:r>
              <w:rPr>
                <w:rFonts w:ascii="Arial" w:cs="Arial" w:eastAsia="Arial" w:hAnsi="Arial"/>
                <w:sz w:val="13"/>
                <w:szCs w:val="13"/>
                <w:b w:val="1"/>
                <w:bCs w:val="1"/>
                <w:color w:val="auto"/>
              </w:rPr>
              <w:t>June 30, 2024</w:t>
            </w:r>
          </w:p>
        </w:tc>
        <w:tc>
          <w:tcPr>
            <w:tcW w:w="140" w:type="dxa"/>
            <w:vAlign w:val="bottom"/>
          </w:tcPr>
          <w:p>
            <w:pPr>
              <w:spacing w:after="0"/>
              <w:rPr>
                <w:sz w:val="14"/>
                <w:szCs w:val="14"/>
                <w:color w:val="auto"/>
              </w:rPr>
            </w:pPr>
          </w:p>
        </w:tc>
        <w:tc>
          <w:tcPr>
            <w:tcW w:w="1640" w:type="dxa"/>
            <w:vAlign w:val="bottom"/>
            <w:gridSpan w:val="4"/>
          </w:tcPr>
          <w:p>
            <w:pPr>
              <w:ind w:left="340"/>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ind w:left="340"/>
              <w:spacing w:after="0"/>
              <w:rPr>
                <w:sz w:val="20"/>
                <w:szCs w:val="20"/>
                <w:color w:val="auto"/>
              </w:rPr>
            </w:pPr>
            <w:r>
              <w:rPr>
                <w:rFonts w:ascii="Arial" w:cs="Arial" w:eastAsia="Arial" w:hAnsi="Arial"/>
                <w:sz w:val="13"/>
                <w:szCs w:val="13"/>
                <w:b w:val="1"/>
                <w:bCs w:val="1"/>
                <w:color w:val="auto"/>
              </w:rPr>
              <w:t>June 30, 2024</w:t>
            </w:r>
          </w:p>
        </w:tc>
        <w:tc>
          <w:tcPr>
            <w:tcW w:w="140" w:type="dxa"/>
            <w:vAlign w:val="bottom"/>
          </w:tcPr>
          <w:p>
            <w:pPr>
              <w:spacing w:after="0"/>
              <w:rPr>
                <w:sz w:val="14"/>
                <w:szCs w:val="14"/>
                <w:color w:val="auto"/>
              </w:rPr>
            </w:pPr>
          </w:p>
        </w:tc>
        <w:tc>
          <w:tcPr>
            <w:tcW w:w="1640" w:type="dxa"/>
            <w:vAlign w:val="bottom"/>
            <w:gridSpan w:val="4"/>
          </w:tcPr>
          <w:p>
            <w:pPr>
              <w:ind w:left="340"/>
              <w:spacing w:after="0"/>
              <w:rPr>
                <w:sz w:val="20"/>
                <w:szCs w:val="20"/>
                <w:color w:val="auto"/>
              </w:rPr>
            </w:pPr>
            <w:r>
              <w:rPr>
                <w:rFonts w:ascii="Arial" w:cs="Arial" w:eastAsia="Arial" w:hAnsi="Arial"/>
                <w:sz w:val="13"/>
                <w:szCs w:val="13"/>
                <w:b w:val="1"/>
                <w:bCs w:val="1"/>
                <w:color w:val="auto"/>
              </w:rPr>
              <w:t>June 30, 2023</w:t>
            </w:r>
          </w:p>
        </w:tc>
      </w:tr>
      <w:tr>
        <w:trPr>
          <w:trHeight w:val="169"/>
        </w:trPr>
        <w:tc>
          <w:tcPr>
            <w:tcW w:w="37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Per Share</w:t>
            </w:r>
          </w:p>
        </w:tc>
      </w:tr>
      <w:tr>
        <w:trPr>
          <w:trHeight w:val="211"/>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center"/>
              <w:ind w:left="205"/>
              <w:spacing w:after="0"/>
              <w:rPr>
                <w:sz w:val="20"/>
                <w:szCs w:val="20"/>
                <w:color w:val="auto"/>
              </w:rPr>
            </w:pPr>
            <w:r>
              <w:rPr>
                <w:rFonts w:ascii="Arial" w:cs="Arial" w:eastAsia="Arial" w:hAnsi="Arial"/>
                <w:sz w:val="16"/>
                <w:szCs w:val="16"/>
                <w:color w:val="auto"/>
              </w:rPr>
              <w:t>2.55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2,540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center"/>
              <w:ind w:left="183"/>
              <w:spacing w:after="0"/>
              <w:rPr>
                <w:sz w:val="20"/>
                <w:szCs w:val="20"/>
                <w:color w:val="auto"/>
              </w:rPr>
            </w:pPr>
            <w:r>
              <w:rPr>
                <w:rFonts w:ascii="Arial" w:cs="Arial" w:eastAsia="Arial" w:hAnsi="Arial"/>
                <w:sz w:val="16"/>
                <w:szCs w:val="16"/>
                <w:color w:val="auto"/>
                <w:w w:val="96"/>
              </w:rPr>
              <w:t>1.83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5,889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center"/>
              <w:ind w:left="165"/>
              <w:spacing w:after="0"/>
              <w:rPr>
                <w:sz w:val="20"/>
                <w:szCs w:val="20"/>
                <w:color w:val="auto"/>
              </w:rPr>
            </w:pPr>
            <w:r>
              <w:rPr>
                <w:rFonts w:ascii="Arial" w:cs="Arial" w:eastAsia="Arial" w:hAnsi="Arial"/>
                <w:sz w:val="16"/>
                <w:szCs w:val="16"/>
                <w:color w:val="auto"/>
              </w:rPr>
              <w:t>5.10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4,908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center"/>
              <w:ind w:left="203"/>
              <w:spacing w:after="0"/>
              <w:rPr>
                <w:sz w:val="20"/>
                <w:szCs w:val="20"/>
                <w:color w:val="auto"/>
              </w:rPr>
            </w:pPr>
            <w:r>
              <w:rPr>
                <w:rFonts w:ascii="Arial" w:cs="Arial" w:eastAsia="Arial" w:hAnsi="Arial"/>
                <w:sz w:val="16"/>
                <w:szCs w:val="16"/>
                <w:color w:val="auto"/>
              </w:rPr>
              <w:t>3.52</w:t>
            </w: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Adjustments(a)</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205"/>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183"/>
              <w:spacing w:after="0"/>
              <w:rPr>
                <w:sz w:val="20"/>
                <w:szCs w:val="20"/>
                <w:color w:val="auto"/>
              </w:rPr>
            </w:pPr>
            <w:r>
              <w:rPr>
                <w:rFonts w:ascii="Arial" w:cs="Arial" w:eastAsia="Arial" w:hAnsi="Arial"/>
                <w:sz w:val="16"/>
                <w:szCs w:val="16"/>
                <w:color w:val="auto"/>
                <w:w w:val="96"/>
              </w:rPr>
              <w:t>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165"/>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203"/>
              <w:spacing w:after="0"/>
              <w:rPr>
                <w:sz w:val="20"/>
                <w:szCs w:val="20"/>
                <w:color w:val="auto"/>
              </w:rPr>
            </w:pPr>
            <w:r>
              <w:rPr>
                <w:rFonts w:ascii="Arial" w:cs="Arial" w:eastAsia="Arial" w:hAnsi="Arial"/>
                <w:sz w:val="16"/>
                <w:szCs w:val="16"/>
                <w:color w:val="auto"/>
              </w:rPr>
              <w:t>0.82</w:t>
            </w:r>
          </w:p>
        </w:tc>
      </w:tr>
      <w:tr>
        <w:trPr>
          <w:trHeight w:val="217"/>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 on adjustments(b)</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left="185"/>
              <w:spacing w:after="0"/>
              <w:rPr>
                <w:sz w:val="20"/>
                <w:szCs w:val="20"/>
                <w:color w:val="auto"/>
              </w:rPr>
            </w:pPr>
            <w:r>
              <w:rPr>
                <w:rFonts w:ascii="Arial" w:cs="Arial" w:eastAsia="Arial" w:hAnsi="Arial"/>
                <w:sz w:val="16"/>
                <w:szCs w:val="16"/>
                <w:color w:val="auto"/>
              </w:rPr>
              <w:t>(0.15)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left="163"/>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left="145"/>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left="183"/>
              <w:spacing w:after="0"/>
              <w:rPr>
                <w:sz w:val="20"/>
                <w:szCs w:val="20"/>
                <w:color w:val="auto"/>
              </w:rPr>
            </w:pPr>
            <w:r>
              <w:rPr>
                <w:rFonts w:ascii="Arial" w:cs="Arial" w:eastAsia="Arial" w:hAnsi="Arial"/>
                <w:sz w:val="16"/>
                <w:szCs w:val="16"/>
                <w:color w:val="auto"/>
              </w:rPr>
              <w:t>(0.21)</w:t>
            </w: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EPS-diluted-adjusted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center"/>
              <w:ind w:left="205"/>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center"/>
              <w:ind w:left="183"/>
              <w:spacing w:after="0"/>
              <w:rPr>
                <w:sz w:val="20"/>
                <w:szCs w:val="20"/>
                <w:color w:val="auto"/>
              </w:rPr>
            </w:pPr>
            <w:r>
              <w:rPr>
                <w:rFonts w:ascii="Arial" w:cs="Arial" w:eastAsia="Arial" w:hAnsi="Arial"/>
                <w:sz w:val="16"/>
                <w:szCs w:val="16"/>
                <w:color w:val="auto"/>
                <w:w w:val="96"/>
              </w:rPr>
              <w:t>1.91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6,552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center"/>
              <w:ind w:left="165"/>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5,753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center"/>
              <w:ind w:left="203"/>
              <w:spacing w:after="0"/>
              <w:rPr>
                <w:sz w:val="20"/>
                <w:szCs w:val="20"/>
                <w:color w:val="auto"/>
              </w:rPr>
            </w:pPr>
            <w:r>
              <w:rPr>
                <w:rFonts w:ascii="Arial" w:cs="Arial" w:eastAsia="Arial" w:hAnsi="Arial"/>
                <w:sz w:val="16"/>
                <w:szCs w:val="16"/>
                <w:color w:val="auto"/>
              </w:rPr>
              <w:t>4.12</w:t>
            </w:r>
          </w:p>
        </w:tc>
      </w:tr>
      <w:tr>
        <w:trPr>
          <w:trHeight w:val="20"/>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EBIT-adjusted and segment profit (loss) for adjustment details.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3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under U.S. GAAP to ETR-adjusted (dollars in millions):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June 30, 2024</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96"/>
              </w:rPr>
              <w:t>June 30, 2023</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6"/>
              </w:rPr>
              <w:t>June 30, 2024</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6"/>
              </w:rPr>
              <w:t>June 30, 2023</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center"/>
              <w:ind w:right="54"/>
              <w:spacing w:after="0" w:line="104" w:lineRule="exact"/>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9"/>
                <w:szCs w:val="9"/>
                <w:color w:val="auto"/>
              </w:rPr>
            </w:pPr>
          </w:p>
        </w:tc>
        <w:tc>
          <w:tcPr>
            <w:tcW w:w="76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7"/>
              </w:rPr>
              <w:t>Income tax</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center"/>
              <w:ind w:right="34"/>
              <w:spacing w:after="0" w:line="104" w:lineRule="exact"/>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9"/>
                <w:szCs w:val="9"/>
                <w:color w:val="auto"/>
              </w:rPr>
            </w:pPr>
          </w:p>
        </w:tc>
        <w:tc>
          <w:tcPr>
            <w:tcW w:w="78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7"/>
              </w:rPr>
              <w:t>Income tax</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center"/>
              <w:ind w:right="54"/>
              <w:spacing w:after="0" w:line="104" w:lineRule="exact"/>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9"/>
                <w:szCs w:val="9"/>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7"/>
              </w:rPr>
              <w:t>Income tax</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center"/>
              <w:ind w:right="74"/>
              <w:spacing w:after="0" w:line="104" w:lineRule="exact"/>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9"/>
                <w:szCs w:val="9"/>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7"/>
              </w:rPr>
              <w:t>Income tax</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center"/>
              <w:ind w:right="54"/>
              <w:spacing w:after="0" w:line="108" w:lineRule="exact"/>
              <w:rPr>
                <w:sz w:val="20"/>
                <w:szCs w:val="20"/>
                <w:color w:val="auto"/>
              </w:rPr>
            </w:pPr>
            <w:r>
              <w:rPr>
                <w:rFonts w:ascii="Arial" w:cs="Arial" w:eastAsia="Arial" w:hAnsi="Arial"/>
                <w:sz w:val="11"/>
                <w:szCs w:val="11"/>
                <w:b w:val="1"/>
                <w:bCs w:val="1"/>
                <w:color w:val="auto"/>
              </w:rPr>
              <w:t>before</w:t>
            </w:r>
          </w:p>
        </w:tc>
        <w:tc>
          <w:tcPr>
            <w:tcW w:w="12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8"/>
              </w:rPr>
              <w:t>Effective tax</w:t>
            </w:r>
          </w:p>
        </w:tc>
        <w:tc>
          <w:tcPr>
            <w:tcW w:w="120" w:type="dxa"/>
            <w:vAlign w:val="bottom"/>
          </w:tcPr>
          <w:p>
            <w:pPr>
              <w:spacing w:after="0"/>
              <w:rPr>
                <w:sz w:val="9"/>
                <w:szCs w:val="9"/>
                <w:color w:val="auto"/>
              </w:rPr>
            </w:pPr>
          </w:p>
        </w:tc>
        <w:tc>
          <w:tcPr>
            <w:tcW w:w="560" w:type="dxa"/>
            <w:vAlign w:val="bottom"/>
          </w:tcPr>
          <w:p>
            <w:pPr>
              <w:jc w:val="center"/>
              <w:ind w:right="54"/>
              <w:spacing w:after="0" w:line="108" w:lineRule="exact"/>
              <w:rPr>
                <w:sz w:val="20"/>
                <w:szCs w:val="20"/>
                <w:color w:val="auto"/>
              </w:rPr>
            </w:pPr>
            <w:r>
              <w:rPr>
                <w:rFonts w:ascii="Arial" w:cs="Arial" w:eastAsia="Arial" w:hAnsi="Arial"/>
                <w:sz w:val="11"/>
                <w:szCs w:val="11"/>
                <w:b w:val="1"/>
                <w:bCs w:val="1"/>
                <w:color w:val="auto"/>
                <w:w w:val="95"/>
              </w:rPr>
              <w:t>before</w:t>
            </w:r>
          </w:p>
        </w:tc>
        <w:tc>
          <w:tcPr>
            <w:tcW w:w="120" w:type="dxa"/>
            <w:vAlign w:val="bottom"/>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8"/>
              </w:rPr>
              <w:t>Effective tax</w:t>
            </w:r>
          </w:p>
        </w:tc>
        <w:tc>
          <w:tcPr>
            <w:tcW w:w="140" w:type="dxa"/>
            <w:vAlign w:val="bottom"/>
          </w:tcPr>
          <w:p>
            <w:pPr>
              <w:spacing w:after="0"/>
              <w:rPr>
                <w:sz w:val="9"/>
                <w:szCs w:val="9"/>
                <w:color w:val="auto"/>
              </w:rPr>
            </w:pPr>
          </w:p>
        </w:tc>
        <w:tc>
          <w:tcPr>
            <w:tcW w:w="540" w:type="dxa"/>
            <w:vAlign w:val="bottom"/>
          </w:tcPr>
          <w:p>
            <w:pPr>
              <w:jc w:val="center"/>
              <w:ind w:right="74"/>
              <w:spacing w:after="0" w:line="108" w:lineRule="exact"/>
              <w:rPr>
                <w:sz w:val="20"/>
                <w:szCs w:val="20"/>
                <w:color w:val="auto"/>
              </w:rPr>
            </w:pPr>
            <w:r>
              <w:rPr>
                <w:rFonts w:ascii="Arial" w:cs="Arial" w:eastAsia="Arial" w:hAnsi="Arial"/>
                <w:sz w:val="11"/>
                <w:szCs w:val="11"/>
                <w:b w:val="1"/>
                <w:bCs w:val="1"/>
                <w:color w:val="auto"/>
                <w:w w:val="95"/>
              </w:rPr>
              <w:t>before</w:t>
            </w:r>
          </w:p>
        </w:tc>
        <w:tc>
          <w:tcPr>
            <w:tcW w:w="12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Effective tax</w:t>
            </w:r>
          </w:p>
        </w:tc>
        <w:tc>
          <w:tcPr>
            <w:tcW w:w="140" w:type="dxa"/>
            <w:vAlign w:val="bottom"/>
          </w:tcPr>
          <w:p>
            <w:pPr>
              <w:spacing w:after="0"/>
              <w:rPr>
                <w:sz w:val="9"/>
                <w:szCs w:val="9"/>
                <w:color w:val="auto"/>
              </w:rPr>
            </w:pPr>
          </w:p>
        </w:tc>
        <w:tc>
          <w:tcPr>
            <w:tcW w:w="560" w:type="dxa"/>
            <w:vAlign w:val="bottom"/>
          </w:tcPr>
          <w:p>
            <w:pPr>
              <w:jc w:val="center"/>
              <w:ind w:right="74"/>
              <w:spacing w:after="0" w:line="108" w:lineRule="exact"/>
              <w:rPr>
                <w:sz w:val="20"/>
                <w:szCs w:val="20"/>
                <w:color w:val="auto"/>
              </w:rPr>
            </w:pPr>
            <w:r>
              <w:rPr>
                <w:rFonts w:ascii="Arial" w:cs="Arial" w:eastAsia="Arial" w:hAnsi="Arial"/>
                <w:sz w:val="11"/>
                <w:szCs w:val="11"/>
                <w:b w:val="1"/>
                <w:bCs w:val="1"/>
                <w:color w:val="auto"/>
              </w:rPr>
              <w:t>before</w:t>
            </w:r>
          </w:p>
        </w:tc>
        <w:tc>
          <w:tcPr>
            <w:tcW w:w="10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Effective tax</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center"/>
              <w:ind w:right="54"/>
              <w:spacing w:after="0" w:line="108" w:lineRule="exact"/>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9"/>
                <w:szCs w:val="9"/>
                <w:color w:val="auto"/>
              </w:rPr>
            </w:pPr>
          </w:p>
        </w:tc>
        <w:tc>
          <w:tcPr>
            <w:tcW w:w="760" w:type="dxa"/>
            <w:vAlign w:val="bottom"/>
            <w:gridSpan w:val="4"/>
          </w:tcPr>
          <w:p>
            <w:pPr>
              <w:jc w:val="center"/>
              <w:ind w:right="120"/>
              <w:spacing w:after="0" w:line="108" w:lineRule="exact"/>
              <w:rPr>
                <w:sz w:val="20"/>
                <w:szCs w:val="20"/>
                <w:color w:val="auto"/>
              </w:rPr>
            </w:pPr>
            <w:r>
              <w:rPr>
                <w:rFonts w:ascii="Arial" w:cs="Arial" w:eastAsia="Arial" w:hAnsi="Arial"/>
                <w:sz w:val="11"/>
                <w:szCs w:val="11"/>
                <w:b w:val="1"/>
                <w:bCs w:val="1"/>
                <w:color w:val="auto"/>
                <w:w w:val="99"/>
              </w:rPr>
              <w:t>expense</w:t>
            </w: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center"/>
              <w:ind w:right="34"/>
              <w:spacing w:after="0" w:line="108" w:lineRule="exact"/>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3"/>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expense</w:t>
            </w: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center"/>
              <w:ind w:right="54"/>
              <w:spacing w:after="0" w:line="108" w:lineRule="exact"/>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expense</w:t>
            </w: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center"/>
              <w:ind w:right="74"/>
              <w:spacing w:after="0" w:line="108" w:lineRule="exact"/>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9"/>
              </w:rPr>
              <w:t>expense</w:t>
            </w: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center"/>
              <w:ind w:right="74"/>
              <w:spacing w:after="0"/>
              <w:rPr>
                <w:sz w:val="20"/>
                <w:szCs w:val="20"/>
                <w:color w:val="auto"/>
              </w:rPr>
            </w:pPr>
            <w:r>
              <w:rPr>
                <w:rFonts w:ascii="Arial" w:cs="Arial" w:eastAsia="Arial" w:hAnsi="Arial"/>
                <w:sz w:val="11"/>
                <w:szCs w:val="11"/>
                <w:b w:val="1"/>
                <w:bCs w:val="1"/>
                <w:color w:val="auto"/>
                <w:w w:val="99"/>
              </w:rPr>
              <w:t>taxes</w:t>
            </w:r>
          </w:p>
        </w:tc>
        <w:tc>
          <w:tcPr>
            <w:tcW w:w="120" w:type="dxa"/>
            <w:vAlign w:val="bottom"/>
          </w:tcPr>
          <w:p>
            <w:pPr>
              <w:spacing w:after="0"/>
              <w:rPr>
                <w:sz w:val="13"/>
                <w:szCs w:val="13"/>
                <w:color w:val="auto"/>
              </w:rPr>
            </w:pPr>
          </w:p>
        </w:tc>
        <w:tc>
          <w:tcPr>
            <w:tcW w:w="76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6"/>
              </w:rPr>
              <w:t>(benefit)</w:t>
            </w: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rate</w:t>
            </w:r>
          </w:p>
        </w:tc>
        <w:tc>
          <w:tcPr>
            <w:tcW w:w="120" w:type="dxa"/>
            <w:vAlign w:val="bottom"/>
          </w:tcPr>
          <w:p>
            <w:pPr>
              <w:spacing w:after="0"/>
              <w:rPr>
                <w:sz w:val="13"/>
                <w:szCs w:val="13"/>
                <w:color w:val="auto"/>
              </w:rPr>
            </w:pPr>
          </w:p>
        </w:tc>
        <w:tc>
          <w:tcPr>
            <w:tcW w:w="560" w:type="dxa"/>
            <w:vAlign w:val="bottom"/>
          </w:tcPr>
          <w:p>
            <w:pPr>
              <w:jc w:val="center"/>
              <w:ind w:right="54"/>
              <w:spacing w:after="0"/>
              <w:rPr>
                <w:sz w:val="20"/>
                <w:szCs w:val="20"/>
                <w:color w:val="auto"/>
              </w:rPr>
            </w:pPr>
            <w:r>
              <w:rPr>
                <w:rFonts w:ascii="Arial" w:cs="Arial" w:eastAsia="Arial" w:hAnsi="Arial"/>
                <w:sz w:val="11"/>
                <w:szCs w:val="11"/>
                <w:b w:val="1"/>
                <w:bCs w:val="1"/>
                <w:color w:val="auto"/>
                <w:w w:val="99"/>
              </w:rPr>
              <w:t>taxes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rPr>
              <w:t>(benefit)</w:t>
            </w: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rate</w:t>
            </w:r>
          </w:p>
        </w:tc>
        <w:tc>
          <w:tcPr>
            <w:tcW w:w="140" w:type="dxa"/>
            <w:vAlign w:val="bottom"/>
          </w:tcPr>
          <w:p>
            <w:pPr>
              <w:spacing w:after="0"/>
              <w:rPr>
                <w:sz w:val="13"/>
                <w:szCs w:val="13"/>
                <w:color w:val="auto"/>
              </w:rPr>
            </w:pPr>
          </w:p>
        </w:tc>
        <w:tc>
          <w:tcPr>
            <w:tcW w:w="540" w:type="dxa"/>
            <w:vAlign w:val="bottom"/>
          </w:tcPr>
          <w:p>
            <w:pPr>
              <w:jc w:val="center"/>
              <w:ind w:right="74"/>
              <w:spacing w:after="0"/>
              <w:rPr>
                <w:sz w:val="20"/>
                <w:szCs w:val="20"/>
                <w:color w:val="auto"/>
              </w:rPr>
            </w:pPr>
            <w:r>
              <w:rPr>
                <w:rFonts w:ascii="Arial" w:cs="Arial" w:eastAsia="Arial" w:hAnsi="Arial"/>
                <w:sz w:val="11"/>
                <w:szCs w:val="11"/>
                <w:b w:val="1"/>
                <w:bCs w:val="1"/>
                <w:color w:val="auto"/>
                <w:w w:val="99"/>
              </w:rPr>
              <w:t>taxes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(benefit)</w:t>
            </w:r>
          </w:p>
        </w:tc>
        <w:tc>
          <w:tcPr>
            <w:tcW w:w="860" w:type="dxa"/>
            <w:vAlign w:val="bottom"/>
            <w:gridSpan w:val="2"/>
          </w:tcPr>
          <w:p>
            <w:pPr>
              <w:ind w:left="280"/>
              <w:spacing w:after="0"/>
              <w:rPr>
                <w:sz w:val="20"/>
                <w:szCs w:val="20"/>
                <w:color w:val="auto"/>
              </w:rPr>
            </w:pPr>
            <w:r>
              <w:rPr>
                <w:rFonts w:ascii="Arial" w:cs="Arial" w:eastAsia="Arial" w:hAnsi="Arial"/>
                <w:sz w:val="11"/>
                <w:szCs w:val="11"/>
                <w:b w:val="1"/>
                <w:bCs w:val="1"/>
                <w:color w:val="auto"/>
              </w:rPr>
              <w:t>rate</w:t>
            </w:r>
          </w:p>
        </w:tc>
        <w:tc>
          <w:tcPr>
            <w:tcW w:w="14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taxes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(benefit)</w:t>
            </w:r>
          </w:p>
        </w:tc>
        <w:tc>
          <w:tcPr>
            <w:tcW w:w="760" w:type="dxa"/>
            <w:vAlign w:val="bottom"/>
          </w:tcPr>
          <w:p>
            <w:pPr>
              <w:jc w:val="right"/>
              <w:ind w:right="213"/>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522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5,803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0" w:type="dxa"/>
            <w:vAlign w:val="bottom"/>
          </w:tcPr>
          <w:p>
            <w:pPr>
              <w:spacing w:after="0"/>
              <w:rPr>
                <w:sz w:val="1"/>
                <w:szCs w:val="1"/>
                <w:color w:val="auto"/>
              </w:rPr>
            </w:pPr>
          </w:p>
        </w:tc>
      </w:tr>
      <w:tr>
        <w:trPr>
          <w:trHeight w:val="215"/>
        </w:trPr>
        <w:tc>
          <w:tcPr>
            <w:tcW w:w="1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Adjustments(a)</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1,144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ETR-adjusted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6,947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jc w:val="both"/>
        <w:ind w:left="340" w:right="20" w:hanging="332"/>
        <w:spacing w:after="0" w:line="262"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EBIT-adjusted and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304"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6"/>
          <w:szCs w:val="16"/>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ind w:left="900"/>
              <w:spacing w:after="0"/>
              <w:rPr>
                <w:sz w:val="20"/>
                <w:szCs w:val="20"/>
                <w:color w:val="auto"/>
              </w:rPr>
            </w:pPr>
            <w:r>
              <w:rPr>
                <w:rFonts w:ascii="Arial" w:cs="Arial" w:eastAsia="Arial" w:hAnsi="Arial"/>
                <w:sz w:val="13"/>
                <w:szCs w:val="13"/>
                <w:b w:val="1"/>
                <w:bCs w:val="1"/>
                <w:color w:val="auto"/>
              </w:rPr>
              <w:t>Four Quarters Ended</w:t>
            </w:r>
          </w:p>
        </w:tc>
      </w:tr>
      <w:tr>
        <w:trPr>
          <w:trHeight w:val="171"/>
        </w:trPr>
        <w:tc>
          <w:tcPr>
            <w:tcW w:w="7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2024</w:t>
            </w:r>
          </w:p>
        </w:tc>
        <w:tc>
          <w:tcPr>
            <w:tcW w:w="30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Arial" w:cs="Arial" w:eastAsia="Arial" w:hAnsi="Arial"/>
                <w:sz w:val="13"/>
                <w:szCs w:val="13"/>
                <w:b w:val="1"/>
                <w:bCs w:val="1"/>
                <w:color w:val="auto"/>
              </w:rPr>
              <w:t>June 30, 2023</w:t>
            </w:r>
          </w:p>
        </w:tc>
      </w:tr>
      <w:tr>
        <w:trPr>
          <w:trHeight w:val="211"/>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rPr>
              <w:t>11.1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10.3</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Average equity(a)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26"/>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ind w:left="940"/>
              <w:spacing w:after="0"/>
              <w:rPr>
                <w:sz w:val="20"/>
                <w:szCs w:val="20"/>
                <w:color w:val="auto"/>
              </w:rPr>
            </w:pPr>
            <w:r>
              <w:rPr>
                <w:rFonts w:ascii="Arial" w:cs="Arial" w:eastAsia="Arial" w:hAnsi="Arial"/>
                <w:sz w:val="16"/>
                <w:szCs w:val="16"/>
                <w:color w:val="auto"/>
              </w:rPr>
              <w:t>70.5</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ROE</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14.6 %</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Includes equity of noncontrolling interests where the corresponding earnings (loss) are included in Net income attributable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61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Four Quarters Ended</w:t>
            </w:r>
          </w:p>
        </w:tc>
      </w:tr>
      <w:tr>
        <w:trPr>
          <w:trHeight w:val="196"/>
        </w:trPr>
        <w:tc>
          <w:tcPr>
            <w:tcW w:w="7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7"/>
                <w:szCs w:val="17"/>
                <w:color w:val="auto"/>
              </w:rPr>
            </w:pPr>
          </w:p>
        </w:tc>
        <w:tc>
          <w:tcPr>
            <w:tcW w:w="1500" w:type="dxa"/>
            <w:vAlign w:val="bottom"/>
          </w:tcPr>
          <w:p>
            <w:pPr>
              <w:jc w:val="right"/>
              <w:ind w:right="320"/>
              <w:spacing w:after="0"/>
              <w:rPr>
                <w:sz w:val="20"/>
                <w:szCs w:val="20"/>
                <w:color w:val="auto"/>
              </w:rPr>
            </w:pPr>
            <w:r>
              <w:rPr>
                <w:rFonts w:ascii="Arial" w:cs="Arial" w:eastAsia="Arial" w:hAnsi="Arial"/>
                <w:sz w:val="14"/>
                <w:szCs w:val="14"/>
                <w:b w:val="1"/>
                <w:bCs w:val="1"/>
                <w:color w:val="auto"/>
              </w:rPr>
              <w:t>June 30, 2023</w:t>
            </w:r>
          </w:p>
        </w:tc>
      </w:tr>
      <w:tr>
        <w:trPr>
          <w:trHeight w:val="211"/>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EBIT-adjusted(a)</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15.1</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Average equity(b)</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70.5</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Average automotive debt and interest liabilities (excluding finance leases)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17.3</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Add: Average automotive net pension &amp; OPEB liability</w:t>
            </w:r>
          </w:p>
        </w:tc>
        <w:tc>
          <w:tcPr>
            <w:tcW w:w="260" w:type="dxa"/>
            <w:vAlign w:val="bottom"/>
          </w:tcPr>
          <w:p>
            <w:pPr>
              <w:spacing w:after="0"/>
              <w:rPr>
                <w:sz w:val="18"/>
                <w:szCs w:val="18"/>
                <w:color w:val="auto"/>
              </w:rPr>
            </w:pPr>
          </w:p>
        </w:tc>
        <w:tc>
          <w:tcPr>
            <w:tcW w:w="1500" w:type="dxa"/>
            <w:vAlign w:val="bottom"/>
          </w:tcPr>
          <w:p>
            <w:pPr>
              <w:jc w:val="right"/>
              <w:ind w:right="121"/>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8.0</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Average automotive and other net income tax asset</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(20.7)</w:t>
            </w:r>
          </w:p>
        </w:tc>
      </w:tr>
      <w:tr>
        <w:trPr>
          <w:trHeight w:val="210"/>
        </w:trPr>
        <w:tc>
          <w:tcPr>
            <w:tcW w:w="7620" w:type="dxa"/>
            <w:vAlign w:val="bottom"/>
          </w:tcPr>
          <w:p>
            <w:pPr>
              <w:ind w:left="20"/>
              <w:spacing w:after="0"/>
              <w:rPr>
                <w:sz w:val="20"/>
                <w:szCs w:val="20"/>
                <w:color w:val="auto"/>
              </w:rPr>
            </w:pPr>
            <w:r>
              <w:rPr>
                <w:rFonts w:ascii="Arial" w:cs="Arial" w:eastAsia="Arial" w:hAnsi="Arial"/>
                <w:sz w:val="16"/>
                <w:szCs w:val="16"/>
                <w:color w:val="auto"/>
              </w:rPr>
              <w:t>ROIC-adjusted average net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75.0</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ROIC-adjusted</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EBIT-adjusted and segment profit (loss) for adjustment details.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239" w:lineRule="exact"/>
        <w:rPr>
          <w:sz w:val="20"/>
          <w:szCs w:val="20"/>
          <w:color w:val="auto"/>
        </w:rPr>
      </w:pPr>
    </w:p>
    <w:p>
      <w:pPr>
        <w:ind w:right="380" w:firstLine="162"/>
        <w:spacing w:after="0" w:line="286" w:lineRule="auto"/>
        <w:rPr>
          <w:sz w:val="20"/>
          <w:szCs w:val="20"/>
          <w:color w:val="auto"/>
        </w:rPr>
      </w:pPr>
      <w:r>
        <w:rPr>
          <w:rFonts w:ascii="Arial" w:cs="Arial" w:eastAsia="Arial" w:hAnsi="Arial"/>
          <w:sz w:val="16"/>
          <w:szCs w:val="16"/>
          <w:color w:val="auto"/>
        </w:rPr>
        <w:t>The following table reconciles Net automotive cash provided by operating activities under U.S. GAAP to adjusted automotive free cash flow (dollars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7"/>
                <w:szCs w:val="17"/>
                <w:color w:val="auto"/>
              </w:rPr>
            </w:pPr>
          </w:p>
        </w:tc>
        <w:tc>
          <w:tcPr>
            <w:tcW w:w="1260" w:type="dxa"/>
            <w:vAlign w:val="bottom"/>
          </w:tcPr>
          <w:p>
            <w:pPr>
              <w:jc w:val="right"/>
              <w:ind w:right="160"/>
              <w:spacing w:after="0"/>
              <w:rPr>
                <w:sz w:val="20"/>
                <w:szCs w:val="20"/>
                <w:color w:val="auto"/>
              </w:rPr>
            </w:pPr>
            <w:r>
              <w:rPr>
                <w:rFonts w:ascii="Arial" w:cs="Arial" w:eastAsia="Arial" w:hAnsi="Arial"/>
                <w:sz w:val="14"/>
                <w:szCs w:val="14"/>
                <w:b w:val="1"/>
                <w:bCs w:val="1"/>
                <w:color w:val="auto"/>
              </w:rPr>
              <w:t>June 30, 2023</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automotive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7,713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11,311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9,346</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(4,544)</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Buick dealer strategy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Add: Employee separation costs</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GMI plant wind down</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Adjusted automotive free cash flow</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5,297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5,548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6,388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5,415</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61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48"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color w:val="auto"/>
        </w:rPr>
        <w:t>GM presents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six months ended June 30, 2024, 26.6% of GM's wholesale vehicle sales volume was generated outside the U.S. The following table summarizes wholesale vehicle sales by automotive segment (vehicles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296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98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20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2024</w:t>
            </w:r>
          </w:p>
        </w:tc>
        <w:tc>
          <w:tcPr>
            <w:tcW w:w="152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2023</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2024</w:t>
            </w:r>
          </w:p>
        </w:tc>
        <w:tc>
          <w:tcPr>
            <w:tcW w:w="1440" w:type="dxa"/>
            <w:vAlign w:val="bottom"/>
          </w:tcPr>
          <w:p>
            <w:pPr>
              <w:jc w:val="right"/>
              <w:ind w:right="161"/>
              <w:spacing w:after="0"/>
              <w:rPr>
                <w:sz w:val="20"/>
                <w:szCs w:val="20"/>
                <w:color w:val="auto"/>
              </w:rPr>
            </w:pPr>
            <w:r>
              <w:rPr>
                <w:rFonts w:ascii="Arial" w:cs="Arial" w:eastAsia="Arial" w:hAnsi="Arial"/>
                <w:sz w:val="14"/>
                <w:szCs w:val="14"/>
                <w:b w:val="1"/>
                <w:bCs w:val="1"/>
                <w:color w:val="auto"/>
              </w:rPr>
              <w:t>June 30, 2023</w:t>
            </w: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1,695</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1,556</w:t>
            </w: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288</w:t>
            </w: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1,938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1,844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GM's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61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industry and GM total vehicle sales and GM's related competitive position by geographic region (vehicles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1640" w:type="dxa"/>
            <w:vAlign w:val="bottom"/>
            <w:tcBorders>
              <w:bottom w:val="single" w:sz="8" w:color="auto"/>
            </w:tcBorders>
            <w:gridSpan w:val="5"/>
          </w:tcPr>
          <w:p>
            <w:pPr>
              <w:jc w:val="center"/>
              <w:ind w:left="568"/>
              <w:spacing w:after="0"/>
              <w:rPr>
                <w:sz w:val="20"/>
                <w:szCs w:val="20"/>
                <w:color w:val="auto"/>
              </w:rPr>
            </w:pPr>
            <w:r>
              <w:rPr>
                <w:rFonts w:ascii="Arial" w:cs="Arial" w:eastAsia="Arial" w:hAnsi="Arial"/>
                <w:sz w:val="14"/>
                <w:szCs w:val="14"/>
                <w:b w:val="1"/>
                <w:bCs w:val="1"/>
                <w:color w:val="auto"/>
              </w:rPr>
              <w:t>June 30, 2024</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bottom w:val="single" w:sz="8" w:color="auto"/>
            </w:tcBorders>
            <w:gridSpan w:val="5"/>
          </w:tcPr>
          <w:p>
            <w:pPr>
              <w:jc w:val="center"/>
              <w:ind w:left="588"/>
              <w:spacing w:after="0"/>
              <w:rPr>
                <w:sz w:val="20"/>
                <w:szCs w:val="20"/>
                <w:color w:val="auto"/>
              </w:rPr>
            </w:pPr>
            <w:r>
              <w:rPr>
                <w:rFonts w:ascii="Arial" w:cs="Arial" w:eastAsia="Arial" w:hAnsi="Arial"/>
                <w:sz w:val="14"/>
                <w:szCs w:val="14"/>
                <w:b w:val="1"/>
                <w:bCs w:val="1"/>
                <w:color w:val="auto"/>
              </w:rPr>
              <w:t>June 30, 2023</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gridSpan w:val="5"/>
          </w:tcPr>
          <w:p>
            <w:pPr>
              <w:jc w:val="center"/>
              <w:ind w:left="588"/>
              <w:spacing w:after="0"/>
              <w:rPr>
                <w:sz w:val="20"/>
                <w:szCs w:val="20"/>
                <w:color w:val="auto"/>
              </w:rPr>
            </w:pPr>
            <w:r>
              <w:rPr>
                <w:rFonts w:ascii="Arial" w:cs="Arial" w:eastAsia="Arial" w:hAnsi="Arial"/>
                <w:sz w:val="14"/>
                <w:szCs w:val="14"/>
                <w:b w:val="1"/>
                <w:bCs w:val="1"/>
                <w:color w:val="auto"/>
              </w:rPr>
              <w:t>June 30, 2024</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gridSpan w:val="5"/>
          </w:tcPr>
          <w:p>
            <w:pPr>
              <w:jc w:val="center"/>
              <w:ind w:left="588"/>
              <w:spacing w:after="0"/>
              <w:rPr>
                <w:sz w:val="20"/>
                <w:szCs w:val="20"/>
                <w:color w:val="auto"/>
              </w:rPr>
            </w:pPr>
            <w:r>
              <w:rPr>
                <w:rFonts w:ascii="Arial" w:cs="Arial" w:eastAsia="Arial" w:hAnsi="Arial"/>
                <w:sz w:val="14"/>
                <w:szCs w:val="14"/>
                <w:b w:val="1"/>
                <w:bCs w:val="1"/>
                <w:color w:val="auto"/>
              </w:rPr>
              <w:t>June 30, 2023</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Industry</w:t>
            </w:r>
          </w:p>
        </w:tc>
        <w:tc>
          <w:tcPr>
            <w:tcW w:w="7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GM</w:t>
            </w:r>
          </w:p>
        </w:tc>
        <w:tc>
          <w:tcPr>
            <w:tcW w:w="7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Market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Industry</w:t>
            </w:r>
          </w:p>
        </w:tc>
        <w:tc>
          <w:tcPr>
            <w:tcW w:w="7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GM</w:t>
            </w:r>
          </w:p>
        </w:tc>
        <w:tc>
          <w:tcPr>
            <w:tcW w:w="7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Market</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GM</w:t>
            </w:r>
          </w:p>
        </w:tc>
        <w:tc>
          <w:tcPr>
            <w:tcW w:w="7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Market</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7"/>
              </w:rPr>
              <w:t>GM</w:t>
            </w:r>
          </w:p>
        </w:tc>
        <w:tc>
          <w:tcPr>
            <w:tcW w:w="66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5"/>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North America</w:t>
            </w:r>
          </w:p>
        </w:tc>
        <w:tc>
          <w:tcPr>
            <w:tcW w:w="880" w:type="dxa"/>
            <w:vAlign w:val="bottom"/>
            <w:gridSpan w:val="2"/>
            <w:vMerge w:val="continue"/>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900" w:type="dxa"/>
            <w:vAlign w:val="bottom"/>
            <w:gridSpan w:val="2"/>
            <w:vMerge w:val="continue"/>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920" w:type="dxa"/>
            <w:vAlign w:val="bottom"/>
            <w:gridSpan w:val="2"/>
            <w:vMerge w:val="continue"/>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90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1"/>
        </w:trPr>
        <w:tc>
          <w:tcPr>
            <w:tcW w:w="1600" w:type="dxa"/>
            <w:vAlign w:val="bottom"/>
            <w:vMerge w:val="continue"/>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4,195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4,227</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13.0 %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12.3 %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1,898</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13.0 %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12.6 %</w:t>
            </w:r>
          </w:p>
        </w:tc>
        <w:tc>
          <w:tcPr>
            <w:tcW w:w="0" w:type="dxa"/>
            <w:vAlign w:val="bottom"/>
          </w:tcPr>
          <w:p>
            <w:pPr>
              <w:spacing w:after="0"/>
              <w:rPr>
                <w:sz w:val="1"/>
                <w:szCs w:val="1"/>
                <w:color w:val="auto"/>
              </w:rPr>
            </w:pPr>
          </w:p>
        </w:tc>
      </w:tr>
      <w:tr>
        <w:trPr>
          <w:trHeight w:val="200"/>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5,202</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5,148</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9,946</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15.7 %</w:t>
            </w:r>
          </w:p>
        </w:tc>
        <w:tc>
          <w:tcPr>
            <w:tcW w:w="0" w:type="dxa"/>
            <w:vAlign w:val="bottom"/>
          </w:tcPr>
          <w:p>
            <w:pPr>
              <w:spacing w:after="0"/>
              <w:rPr>
                <w:sz w:val="1"/>
                <w:szCs w:val="1"/>
                <w:color w:val="auto"/>
              </w:rPr>
            </w:pPr>
          </w:p>
        </w:tc>
      </w:tr>
      <w:tr>
        <w:trPr>
          <w:trHeight w:val="133"/>
        </w:trPr>
        <w:tc>
          <w:tcPr>
            <w:tcW w:w="160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Asia/Pacific, Middle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600" w:type="dxa"/>
            <w:vAlign w:val="bottom"/>
          </w:tcPr>
          <w:p>
            <w:pPr>
              <w:ind w:left="180"/>
              <w:spacing w:after="0"/>
              <w:rPr>
                <w:sz w:val="20"/>
                <w:szCs w:val="20"/>
                <w:color w:val="auto"/>
              </w:rPr>
            </w:pPr>
            <w:r>
              <w:rPr>
                <w:rFonts w:ascii="Arial" w:cs="Arial" w:eastAsia="Arial" w:hAnsi="Arial"/>
                <w:sz w:val="14"/>
                <w:szCs w:val="14"/>
                <w:b w:val="1"/>
                <w:bCs w:val="1"/>
                <w:color w:val="auto"/>
              </w:rPr>
              <w:t>East and Africa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5,870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11,525</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8.8 %</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5,107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5,236</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2.7 %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10,645</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37"/>
        </w:trPr>
        <w:tc>
          <w:tcPr>
            <w:tcW w:w="16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Total Asia/Pacific,</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rPr>
              <w:t>Middle East and</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10,977</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11,384</w:t>
            </w: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22,170</w:t>
            </w: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22,067</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r>
        <w:trPr>
          <w:trHeight w:val="194"/>
        </w:trPr>
        <w:tc>
          <w:tcPr>
            <w:tcW w:w="1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Africa</w:t>
            </w: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199"/>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8.5 %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8.9 %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8.7 %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9.0 %</w:t>
            </w:r>
          </w:p>
        </w:tc>
        <w:tc>
          <w:tcPr>
            <w:tcW w:w="0" w:type="dxa"/>
            <w:vAlign w:val="bottom"/>
          </w:tcPr>
          <w:p>
            <w:pPr>
              <w:spacing w:after="0"/>
              <w:rPr>
                <w:sz w:val="1"/>
                <w:szCs w:val="1"/>
                <w:color w:val="auto"/>
              </w:rPr>
            </w:pPr>
          </w:p>
        </w:tc>
      </w:tr>
      <w:tr>
        <w:trPr>
          <w:trHeight w:val="200"/>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946</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1,769</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92"/>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17,125</w:t>
            </w:r>
          </w:p>
        </w:tc>
        <w:tc>
          <w:tcPr>
            <w:tcW w:w="10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8.4 %</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17,403</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9.1 %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33,885</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33,414</w:t>
            </w:r>
          </w:p>
        </w:tc>
        <w:tc>
          <w:tcPr>
            <w:tcW w:w="1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2,965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4,353</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4,314</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8,721</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0"/>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Total Worldwide(b)</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21,477</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6.7 %</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21,717</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7.3 %</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42,606</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6.5 %</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41,816</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United States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600" w:type="dxa"/>
            <w:vAlign w:val="bottom"/>
          </w:tcPr>
          <w:p>
            <w:pPr>
              <w:ind w:left="20"/>
              <w:spacing w:after="0"/>
              <w:rPr>
                <w:sz w:val="20"/>
                <w:szCs w:val="20"/>
                <w:color w:val="auto"/>
              </w:rPr>
            </w:pPr>
            <w:r>
              <w:rPr>
                <w:rFonts w:ascii="Arial" w:cs="Arial" w:eastAsia="Arial" w:hAnsi="Arial"/>
                <w:sz w:val="14"/>
                <w:szCs w:val="14"/>
                <w:color w:val="auto"/>
              </w:rPr>
              <w:t>Cars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835</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8.1 %</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1,489</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6.9 %</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1,542</w:t>
            </w:r>
          </w:p>
        </w:tc>
        <w:tc>
          <w:tcPr>
            <w:tcW w:w="1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207"/>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30.0 %</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12.4 %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12.5 %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4,496</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12.0 %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225"/>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4,195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4,227</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8,048</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China</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5,870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6,149</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11,525</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11,251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8.8 %</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sales by the Automotive China JVs: SAIC General Motors Sales Co., Ltd. (SGMS) and SAIC GM Wuling Automobile Co., Ltd. (SGMW).</w:t>
      </w:r>
    </w:p>
    <w:p>
      <w:pPr>
        <w:spacing w:after="0" w:line="1"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Cuba, Iran, North Korea, Sudan and Syria are subject to broad economic sanctions. Accordingly, these countries are excluded from industry sales data and corresponding calculation of market share.</w:t>
      </w:r>
    </w:p>
    <w:p>
      <w:pPr>
        <w:spacing w:after="0" w:line="289" w:lineRule="exact"/>
        <w:rPr>
          <w:sz w:val="20"/>
          <w:szCs w:val="20"/>
          <w:color w:val="auto"/>
        </w:rPr>
      </w:pPr>
    </w:p>
    <w:p>
      <w:pPr>
        <w:jc w:val="both"/>
        <w:ind w:right="20" w:firstLine="162"/>
        <w:spacing w:after="0" w:line="266" w:lineRule="auto"/>
        <w:rPr>
          <w:sz w:val="20"/>
          <w:szCs w:val="20"/>
          <w:color w:val="auto"/>
        </w:rPr>
      </w:pPr>
      <w:r>
        <w:rPr>
          <w:rFonts w:ascii="Arial" w:cs="Arial" w:eastAsia="Arial" w:hAnsi="Arial"/>
          <w:sz w:val="16"/>
          <w:szCs w:val="16"/>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76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3520" w:type="dxa"/>
            <w:vAlign w:val="bottom"/>
            <w:tcBorders>
              <w:bottom w:val="single" w:sz="8" w:color="auto"/>
            </w:tcBorders>
            <w:gridSpan w:val="3"/>
          </w:tcPr>
          <w:p>
            <w:pPr>
              <w:jc w:val="right"/>
              <w:ind w:right="106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520" w:type="dxa"/>
            <w:vAlign w:val="bottom"/>
          </w:tcPr>
          <w:p>
            <w:pPr>
              <w:spacing w:after="0"/>
              <w:rPr>
                <w:sz w:val="17"/>
                <w:szCs w:val="17"/>
                <w:color w:val="auto"/>
              </w:rPr>
            </w:pP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 2024</w:t>
            </w: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 2023</w:t>
            </w:r>
          </w:p>
        </w:tc>
        <w:tc>
          <w:tcPr>
            <w:tcW w:w="182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 2024</w:t>
            </w:r>
          </w:p>
        </w:tc>
        <w:tc>
          <w:tcPr>
            <w:tcW w:w="1700" w:type="dxa"/>
            <w:vAlign w:val="bottom"/>
          </w:tcPr>
          <w:p>
            <w:pPr>
              <w:jc w:val="right"/>
              <w:ind w:right="301"/>
              <w:spacing w:after="0"/>
              <w:rPr>
                <w:sz w:val="20"/>
                <w:szCs w:val="20"/>
                <w:color w:val="auto"/>
              </w:rPr>
            </w:pPr>
            <w:r>
              <w:rPr>
                <w:rFonts w:ascii="Arial" w:cs="Arial" w:eastAsia="Arial" w:hAnsi="Arial"/>
                <w:sz w:val="14"/>
                <w:szCs w:val="14"/>
                <w:b w:val="1"/>
                <w:bCs w:val="1"/>
                <w:color w:val="auto"/>
              </w:rPr>
              <w:t>June 30, 2023</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50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179</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196</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320</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373</w:t>
            </w:r>
          </w:p>
        </w:tc>
      </w:tr>
      <w:tr>
        <w:trPr>
          <w:trHeight w:val="215"/>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15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208</w:t>
            </w:r>
          </w:p>
        </w:tc>
      </w:tr>
      <w:tr>
        <w:trPr>
          <w:trHeight w:val="235"/>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fleet sales</w:t>
            </w:r>
          </w:p>
        </w:tc>
        <w:tc>
          <w:tcPr>
            <w:tcW w:w="15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581</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Fleet sales as a percentage of total vehicle sales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19.6 %</w:t>
            </w:r>
          </w:p>
        </w:tc>
      </w:tr>
      <w:tr>
        <w:trPr>
          <w:trHeight w:val="148"/>
        </w:trPr>
        <w:tc>
          <w:tcPr>
            <w:tcW w:w="4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 capacity two-shift utilization</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40"/>
      </w:cols>
      <w:pgMar w:left="320" w:top="6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2024-07-23T06:17:45Z</dcterms:created>
  <dcterms:modified xsi:type="dcterms:W3CDTF">2024-07-23T06:17:45Z</dcterms:modified>
</cp:coreProperties>
</file>