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A. Jacobson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Motors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Renaissance Center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Detroit, Michigan 48265-3000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General Motors Co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001-34960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Paul A. Jacobson: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11, 2024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December 20,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10-K for the Year Ended December 31, 2022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Liquidity and Capital Resources, page 36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2 and continue to believe that discussion of your 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flows 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level should be provided pursuant to Item 303(b) of Regulation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will revise your disclosures in future filings.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S-K. Please tell us how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to Consolidated Financial Statements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2. Significant Accounting Policies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 Recognition, page 57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from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to comment 4 that none of your vehicle transfers to rental car companies are accounted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as leases, which appears to be a change from the conclusions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reached at the time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2017 Office of the Chief Account preclearance referenced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response.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in further detail how you determined none of your Paul A. Jacobson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Motors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26,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rental car company transfers currently qualify as leases. In doing so, expand on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"administrative changes...to the remarking procedures" made during and since 2017,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material revisions to your remarketing programs, and the reasons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decline in percentage of vehicles transferred back to the company from rental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 companies.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Heather Clark at 202-551-3624 or Andrew Blume at 202-551-3254 if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LastNamePaul A. Jacobson</w:t>
            </w:r>
          </w:p>
        </w:tc>
        <w:tc>
          <w:tcPr>
            <w:tcW w:w="26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NameGeneral Motors Co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26, 2024 Page 2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2024-03-01T23:16:15Z</dcterms:created>
  <dcterms:modified xsi:type="dcterms:W3CDTF">2024-03-01T23:16:15Z</dcterms:modified>
</cp:coreProperties>
</file>