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8"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6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60" w:type="dxa"/>
            <w:vAlign w:val="bottom"/>
            <w:vMerge w:val="restart"/>
          </w:tcPr>
          <w:p>
            <w:pPr>
              <w:jc w:val="center"/>
              <w:ind w:right="173"/>
              <w:spacing w:after="0" w:line="142"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6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65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6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60" w:type="dxa"/>
            <w:vAlign w:val="bottom"/>
            <w:vMerge w:val="restart"/>
          </w:tcPr>
          <w:p>
            <w:pPr>
              <w:jc w:val="center"/>
              <w:ind w:right="1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-651510</wp:posOffset>
            </wp:positionV>
            <wp:extent cx="59690" cy="664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845"/>
                    </a:xfrm>
                    <a:prstGeom prst="rect">
                      <a:avLst/>
                    </a:prstGeom>
                    <a:noFill/>
                  </pic:spPr>
                </pic:pic>
              </a:graphicData>
            </a:graphic>
          </wp:anchor>
        </w:drawing>
        <w:drawing>
          <wp:anchor simplePos="0" relativeHeight="251657728" behindDoc="1" locked="0" layoutInCell="0" allowOverlap="1">
            <wp:simplePos x="0" y="0"/>
            <wp:positionH relativeFrom="column">
              <wp:posOffset>4152265</wp:posOffset>
            </wp:positionH>
            <wp:positionV relativeFrom="paragraph">
              <wp:posOffset>-651510</wp:posOffset>
            </wp:positionV>
            <wp:extent cx="59690" cy="664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84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20955</wp:posOffset>
            </wp:positionV>
            <wp:extent cx="7323455" cy="48596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4859655"/>
                    </a:xfrm>
                    <a:prstGeom prst="rect">
                      <a:avLst/>
                    </a:prstGeom>
                    <a:noFill/>
                  </pic:spPr>
                </pic:pic>
              </a:graphicData>
            </a:graphic>
          </wp:anchor>
        </w:drawing>
      </w:r>
    </w:p>
    <w:p>
      <w:pPr>
        <w:spacing w:after="0" w:line="105"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Millikin Michael P</w:t>
        </w:r>
      </w:hyperlink>
    </w:p>
    <w:p>
      <w:pPr>
        <w:spacing w:after="0" w:line="325"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right="980"/>
        <w:spacing w:after="0" w:line="317" w:lineRule="auto"/>
        <w:rPr>
          <w:sz w:val="20"/>
          <w:szCs w:val="20"/>
          <w:color w:val="auto"/>
        </w:rPr>
      </w:pPr>
      <w:r>
        <w:rPr>
          <w:rFonts w:ascii="Arial" w:cs="Arial" w:eastAsia="Arial" w:hAnsi="Arial"/>
          <w:sz w:val="17"/>
          <w:szCs w:val="17"/>
          <w:color w:val="0000FF"/>
        </w:rPr>
        <w:t>300 RENAISSANCE CENTER M/C: 482-C25-A36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General Motors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GM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06/11/2014</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60" w:hanging="3"/>
        <w:spacing w:after="0" w:line="256" w:lineRule="auto"/>
        <w:tabs>
          <w:tab w:leader="none" w:pos="15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2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8"/>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2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2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543"/>
        <w:spacing w:after="0"/>
        <w:rPr>
          <w:sz w:val="20"/>
          <w:szCs w:val="20"/>
          <w:color w:val="auto"/>
        </w:rPr>
      </w:pPr>
      <w:r>
        <w:rPr>
          <w:rFonts w:ascii="Arial" w:cs="Arial" w:eastAsia="Arial" w:hAnsi="Arial"/>
          <w:sz w:val="17"/>
          <w:szCs w:val="17"/>
          <w:color w:val="0000FF"/>
        </w:rPr>
        <w:t>Executive Vice President &amp; GC</w:t>
      </w:r>
    </w:p>
    <w:p>
      <w:pPr>
        <w:spacing w:after="0" w:line="456" w:lineRule="exact"/>
        <w:rPr>
          <w:sz w:val="24"/>
          <w:szCs w:val="24"/>
          <w:color w:val="auto"/>
        </w:rPr>
      </w:pPr>
    </w:p>
    <w:p>
      <w:pPr>
        <w:sectPr>
          <w:pgSz w:w="11900" w:h="16838" w:orient="portrait"/>
          <w:cols w:equalWidth="0" w:num="3">
            <w:col w:w="3340" w:space="720"/>
            <w:col w:w="3257" w:space="720"/>
            <w:col w:w="3483"/>
          </w:cols>
          <w:pgMar w:left="240" w:top="225" w:right="139" w:bottom="1440" w:gutter="0" w:footer="0" w:header="0"/>
          <w:type w:val="continuous"/>
        </w:sectPr>
      </w:pPr>
    </w:p>
    <w:tbl>
      <w:tblPr>
        <w:tblLayout w:type="fixed"/>
        <w:tblInd w:w="0" w:type="dxa"/>
        <w:tblCellMar>
          <w:top w:w="0" w:type="dxa"/>
          <w:left w:w="0" w:type="dxa"/>
          <w:bottom w:w="0" w:type="dxa"/>
          <w:right w:w="0" w:type="dxa"/>
        </w:tblCellMar>
      </w:tblP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1000" w:type="dxa"/>
            <w:vAlign w:val="bottom"/>
            <w:tcBorders>
              <w:bottom w:val="single" w:sz="8" w:color="9A9A9A"/>
            </w:tcBorders>
          </w:tcPr>
          <w:p>
            <w:pPr>
              <w:spacing w:after="0"/>
              <w:rPr>
                <w:sz w:val="11"/>
                <w:szCs w:val="11"/>
                <w:color w:val="auto"/>
              </w:rPr>
            </w:pPr>
          </w:p>
        </w:tc>
        <w:tc>
          <w:tcPr>
            <w:tcW w:w="1180" w:type="dxa"/>
            <w:vAlign w:val="bottom"/>
            <w:tcBorders>
              <w:bottom w:val="single" w:sz="8" w:color="9A9A9A"/>
            </w:tcBorders>
          </w:tcPr>
          <w:p>
            <w:pPr>
              <w:spacing w:after="0"/>
              <w:rPr>
                <w:sz w:val="11"/>
                <w:szCs w:val="11"/>
                <w:color w:val="auto"/>
              </w:rPr>
            </w:pPr>
          </w:p>
        </w:tc>
        <w:tc>
          <w:tcPr>
            <w:tcW w:w="100" w:type="dxa"/>
            <w:vAlign w:val="bottom"/>
            <w:tcBorders>
              <w:bottom w:val="single" w:sz="8" w:color="9A9A9A"/>
            </w:tcBorders>
          </w:tcPr>
          <w:p>
            <w:pPr>
              <w:spacing w:after="0"/>
              <w:rPr>
                <w:sz w:val="11"/>
                <w:szCs w:val="11"/>
                <w:color w:val="auto"/>
              </w:rPr>
            </w:pPr>
          </w:p>
        </w:tc>
        <w:tc>
          <w:tcPr>
            <w:tcW w:w="3840" w:type="dxa"/>
            <w:vAlign w:val="bottom"/>
            <w:gridSpan w:val="8"/>
          </w:tcPr>
          <w:p>
            <w:pPr>
              <w:jc w:val="center"/>
              <w:ind w:right="58"/>
              <w:spacing w:after="0" w:line="103" w:lineRule="exact"/>
              <w:rPr>
                <w:sz w:val="20"/>
                <w:szCs w:val="20"/>
                <w:color w:val="auto"/>
              </w:rPr>
            </w:pPr>
            <w:r>
              <w:rPr>
                <w:rFonts w:ascii="Arial" w:cs="Arial" w:eastAsia="Arial" w:hAnsi="Arial"/>
                <w:sz w:val="11"/>
                <w:szCs w:val="11"/>
                <w:color w:val="auto"/>
              </w:rPr>
              <w:t>4. If Amendment, Date of Original Filed (Month/Day/Year)</w:t>
            </w:r>
          </w:p>
        </w:tc>
        <w:tc>
          <w:tcPr>
            <w:tcW w:w="3780" w:type="dxa"/>
            <w:vAlign w:val="bottom"/>
            <w:gridSpan w:val="10"/>
          </w:tcPr>
          <w:p>
            <w:pPr>
              <w:ind w:left="300"/>
              <w:spacing w:after="0" w:line="103"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720" w:type="dxa"/>
            <w:vAlign w:val="bottom"/>
          </w:tcPr>
          <w:p>
            <w:pPr>
              <w:spacing w:after="0"/>
              <w:rPr>
                <w:sz w:val="9"/>
                <w:szCs w:val="9"/>
                <w:color w:val="auto"/>
              </w:rPr>
            </w:pPr>
          </w:p>
        </w:tc>
        <w:tc>
          <w:tcPr>
            <w:tcW w:w="3780" w:type="dxa"/>
            <w:vAlign w:val="bottom"/>
            <w:gridSpan w:val="10"/>
            <w:vMerge w:val="restart"/>
          </w:tcPr>
          <w:p>
            <w:pPr>
              <w:ind w:left="50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7"/>
                <w:szCs w:val="17"/>
                <w:color w:val="0000FF"/>
              </w:rPr>
              <w:t>DETROIT</w:t>
            </w:r>
          </w:p>
        </w:tc>
        <w:tc>
          <w:tcPr>
            <w:tcW w:w="220" w:type="dxa"/>
            <w:vAlign w:val="bottom"/>
            <w:vMerge w:val="restart"/>
          </w:tcPr>
          <w:p>
            <w:pPr>
              <w:spacing w:after="0"/>
              <w:rPr>
                <w:sz w:val="20"/>
                <w:szCs w:val="20"/>
                <w:color w:val="auto"/>
              </w:rPr>
            </w:pPr>
            <w:r>
              <w:rPr>
                <w:rFonts w:ascii="Arial" w:cs="Arial" w:eastAsia="Arial" w:hAnsi="Arial"/>
                <w:sz w:val="17"/>
                <w:szCs w:val="17"/>
                <w:color w:val="0000FF"/>
              </w:rPr>
              <w:t>MI</w:t>
            </w:r>
          </w:p>
        </w:tc>
        <w:tc>
          <w:tcPr>
            <w:tcW w:w="1000" w:type="dxa"/>
            <w:vAlign w:val="bottom"/>
          </w:tcPr>
          <w:p>
            <w:pPr>
              <w:spacing w:after="0"/>
              <w:rPr>
                <w:sz w:val="11"/>
                <w:szCs w:val="11"/>
                <w:color w:val="auto"/>
              </w:rPr>
            </w:pPr>
          </w:p>
        </w:tc>
        <w:tc>
          <w:tcPr>
            <w:tcW w:w="1180" w:type="dxa"/>
            <w:vAlign w:val="bottom"/>
            <w:vMerge w:val="restart"/>
          </w:tcPr>
          <w:p>
            <w:pPr>
              <w:ind w:left="40"/>
              <w:spacing w:after="0"/>
              <w:rPr>
                <w:sz w:val="20"/>
                <w:szCs w:val="20"/>
                <w:color w:val="auto"/>
              </w:rPr>
            </w:pPr>
            <w:r>
              <w:rPr>
                <w:rFonts w:ascii="Arial" w:cs="Arial" w:eastAsia="Arial" w:hAnsi="Arial"/>
                <w:sz w:val="17"/>
                <w:szCs w:val="17"/>
                <w:color w:val="0000FF"/>
              </w:rPr>
              <w:t>48265-3000</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78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1000" w:type="dxa"/>
            <w:vAlign w:val="bottom"/>
          </w:tcPr>
          <w:p>
            <w:pPr>
              <w:spacing w:after="0"/>
              <w:rPr>
                <w:sz w:val="9"/>
                <w:szCs w:val="9"/>
                <w:color w:val="auto"/>
              </w:rPr>
            </w:pPr>
          </w:p>
        </w:tc>
        <w:tc>
          <w:tcPr>
            <w:tcW w:w="11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72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8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7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8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1000" w:type="dxa"/>
            <w:vAlign w:val="bottom"/>
            <w:tcBorders>
              <w:bottom w:val="single" w:sz="8" w:color="9A9A9A"/>
            </w:tcBorders>
          </w:tcPr>
          <w:p>
            <w:pPr>
              <w:spacing w:after="0"/>
              <w:rPr>
                <w:sz w:val="5"/>
                <w:szCs w:val="5"/>
                <w:color w:val="auto"/>
              </w:rPr>
            </w:pPr>
          </w:p>
        </w:tc>
        <w:tc>
          <w:tcPr>
            <w:tcW w:w="118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66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tcPr>
          <w:p>
            <w:pPr>
              <w:spacing w:after="0"/>
              <w:rPr>
                <w:sz w:val="5"/>
                <w:szCs w:val="5"/>
                <w:color w:val="auto"/>
              </w:rPr>
            </w:pPr>
          </w:p>
        </w:tc>
        <w:tc>
          <w:tcPr>
            <w:tcW w:w="720" w:type="dxa"/>
            <w:vAlign w:val="bottom"/>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vMerge w:val="restart"/>
          </w:tcPr>
          <w:p>
            <w:pPr>
              <w:spacing w:after="0"/>
              <w:rPr>
                <w:sz w:val="5"/>
                <w:szCs w:val="5"/>
                <w:color w:val="auto"/>
              </w:rPr>
            </w:pPr>
          </w:p>
        </w:tc>
        <w:tc>
          <w:tcPr>
            <w:tcW w:w="64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6"/>
                <w:szCs w:val="6"/>
                <w:color w:val="auto"/>
              </w:rPr>
            </w:pPr>
          </w:p>
        </w:tc>
        <w:tc>
          <w:tcPr>
            <w:tcW w:w="122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8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60" w:type="dxa"/>
            <w:vAlign w:val="bottom"/>
          </w:tcPr>
          <w:p>
            <w:pPr>
              <w:spacing w:after="0"/>
              <w:rPr>
                <w:sz w:val="6"/>
                <w:szCs w:val="6"/>
                <w:color w:val="auto"/>
              </w:rPr>
            </w:pPr>
          </w:p>
        </w:tc>
        <w:tc>
          <w:tcPr>
            <w:tcW w:w="720" w:type="dxa"/>
            <w:vAlign w:val="bottom"/>
          </w:tcPr>
          <w:p>
            <w:pPr>
              <w:spacing w:after="0"/>
              <w:rPr>
                <w:sz w:val="6"/>
                <w:szCs w:val="6"/>
                <w:color w:val="auto"/>
              </w:rPr>
            </w:pPr>
          </w:p>
        </w:tc>
        <w:tc>
          <w:tcPr>
            <w:tcW w:w="56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2280" w:type="dxa"/>
            <w:vAlign w:val="bottom"/>
            <w:tcBorders>
              <w:bottom w:val="single" w:sz="8" w:color="2C2C2C"/>
            </w:tcBorders>
            <w:gridSpan w:val="3"/>
          </w:tcPr>
          <w:p>
            <w:pPr>
              <w:spacing w:after="0"/>
              <w:rPr>
                <w:sz w:val="11"/>
                <w:szCs w:val="11"/>
                <w:color w:val="auto"/>
              </w:rPr>
            </w:pPr>
          </w:p>
        </w:tc>
        <w:tc>
          <w:tcPr>
            <w:tcW w:w="1740" w:type="dxa"/>
            <w:vAlign w:val="bottom"/>
            <w:tcBorders>
              <w:bottom w:val="single" w:sz="8" w:color="2C2C2C"/>
            </w:tcBorders>
            <w:gridSpan w:val="4"/>
          </w:tcPr>
          <w:p>
            <w:pPr>
              <w:spacing w:after="0"/>
              <w:rPr>
                <w:sz w:val="11"/>
                <w:szCs w:val="11"/>
                <w:color w:val="auto"/>
              </w:rPr>
            </w:pPr>
          </w:p>
        </w:tc>
        <w:tc>
          <w:tcPr>
            <w:tcW w:w="2660" w:type="dxa"/>
            <w:vAlign w:val="bottom"/>
            <w:tcBorders>
              <w:bottom w:val="single" w:sz="8" w:color="2C2C2C"/>
            </w:tcBorders>
            <w:gridSpan w:val="5"/>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7460" w:type="dxa"/>
            <w:vAlign w:val="bottom"/>
            <w:tcBorders>
              <w:top w:val="single" w:sz="8" w:color="2C2C2C"/>
            </w:tcBorders>
            <w:gridSpan w:val="15"/>
          </w:tcPr>
          <w:p>
            <w:pPr>
              <w:ind w:left="7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40" w:type="dxa"/>
            <w:vAlign w:val="bottom"/>
            <w:gridSpan w:val="3"/>
          </w:tcPr>
          <w:p>
            <w:pPr>
              <w:ind w:left="82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5"/>
                <w:szCs w:val="15"/>
                <w:color w:val="auto"/>
              </w:rPr>
            </w:pPr>
          </w:p>
        </w:tc>
        <w:tc>
          <w:tcPr>
            <w:tcW w:w="188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5"/>
                <w:szCs w:val="15"/>
                <w:color w:val="auto"/>
              </w:rPr>
            </w:pP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ind w:left="820"/>
              <w:spacing w:after="0" w:line="132"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880" w:type="dxa"/>
            <w:vAlign w:val="bottom"/>
            <w:gridSpan w:val="4"/>
          </w:tcPr>
          <w:p>
            <w:pPr>
              <w:ind w:left="4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00" w:type="dxa"/>
            <w:vAlign w:val="bottom"/>
          </w:tcPr>
          <w:p>
            <w:pPr>
              <w:spacing w:after="0"/>
              <w:rPr>
                <w:sz w:val="11"/>
                <w:szCs w:val="11"/>
                <w:color w:val="auto"/>
              </w:rPr>
            </w:pPr>
          </w:p>
        </w:tc>
        <w:tc>
          <w:tcPr>
            <w:tcW w:w="64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7"/>
              </w:rPr>
              <w:t>Securities</w:t>
            </w:r>
          </w:p>
        </w:tc>
        <w:tc>
          <w:tcPr>
            <w:tcW w:w="620" w:type="dxa"/>
            <w:vAlign w:val="bottom"/>
          </w:tcPr>
          <w:p>
            <w:pPr>
              <w:spacing w:after="0"/>
              <w:rPr>
                <w:sz w:val="11"/>
                <w:szCs w:val="11"/>
                <w:color w:val="auto"/>
              </w:rPr>
            </w:pPr>
          </w:p>
        </w:tc>
        <w:tc>
          <w:tcPr>
            <w:tcW w:w="98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940" w:type="dxa"/>
            <w:vAlign w:val="bottom"/>
            <w:gridSpan w:val="3"/>
          </w:tcPr>
          <w:p>
            <w:pPr>
              <w:ind w:left="820"/>
              <w:spacing w:after="0" w:line="134"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74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60" w:type="dxa"/>
            <w:vAlign w:val="bottom"/>
          </w:tcPr>
          <w:p>
            <w:pPr>
              <w:spacing w:after="0"/>
              <w:rPr>
                <w:sz w:val="3"/>
                <w:szCs w:val="3"/>
                <w:color w:val="auto"/>
              </w:rPr>
            </w:pPr>
          </w:p>
        </w:tc>
        <w:tc>
          <w:tcPr>
            <w:tcW w:w="72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340"/>
              <w:spacing w:after="0" w:line="134"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720" w:type="dxa"/>
            <w:vAlign w:val="bottom"/>
            <w:vMerge w:val="restart"/>
          </w:tcPr>
          <w:p>
            <w:pPr>
              <w:ind w:left="34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3020" w:type="dxa"/>
            <w:vAlign w:val="bottom"/>
            <w:tcBorders>
              <w:bottom w:val="single" w:sz="8" w:color="2C2C2C"/>
            </w:tcBorders>
            <w:gridSpan w:val="6"/>
          </w:tcPr>
          <w:p>
            <w:pPr>
              <w:spacing w:after="0"/>
              <w:rPr>
                <w:sz w:val="7"/>
                <w:szCs w:val="7"/>
                <w:color w:val="auto"/>
              </w:rPr>
            </w:pPr>
          </w:p>
        </w:tc>
        <w:tc>
          <w:tcPr>
            <w:tcW w:w="2660" w:type="dxa"/>
            <w:vAlign w:val="bottom"/>
            <w:tcBorders>
              <w:bottom w:val="single" w:sz="8" w:color="2C2C2C"/>
            </w:tcBorders>
            <w:gridSpan w:val="5"/>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100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4"/>
          </w:tcPr>
          <w:p>
            <w:pPr>
              <w:jc w:val="center"/>
              <w:ind w:right="118"/>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720" w:type="dxa"/>
            <w:vAlign w:val="bottom"/>
            <w:gridSpan w:val="12"/>
          </w:tcPr>
          <w:p>
            <w:pPr>
              <w:jc w:val="center"/>
              <w:ind w:left="512"/>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520" w:type="dxa"/>
            <w:vAlign w:val="bottom"/>
            <w:tcBorders>
              <w:bottom w:val="single" w:sz="8" w:color="2C2C2C"/>
            </w:tcBorders>
            <w:gridSpan w:val="4"/>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4"/>
                <w:szCs w:val="14"/>
                <w:color w:val="auto"/>
              </w:rPr>
            </w:pPr>
          </w:p>
        </w:tc>
        <w:tc>
          <w:tcPr>
            <w:tcW w:w="100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w w:val="96"/>
              </w:rPr>
              <w:t>Transaction</w:t>
            </w: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132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of Securities</w:t>
            </w: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w w:val="98"/>
              </w:rPr>
              <w:t>Code (Instr.</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2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7"/>
              </w:rPr>
              <w:t>Derivative</w:t>
            </w: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2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8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Restricted</w:t>
            </w: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2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560" w:type="dxa"/>
            <w:vAlign w:val="bottom"/>
            <w:vMerge w:val="restart"/>
          </w:tcPr>
          <w:p>
            <w:pPr>
              <w:spacing w:after="0"/>
              <w:rPr>
                <w:sz w:val="20"/>
                <w:szCs w:val="20"/>
                <w:color w:val="auto"/>
              </w:rPr>
            </w:pPr>
            <w:r>
              <w:rPr>
                <w:rFonts w:ascii="Arial" w:cs="Arial" w:eastAsia="Arial" w:hAnsi="Arial"/>
                <w:sz w:val="17"/>
                <w:szCs w:val="17"/>
                <w:color w:val="0000FF"/>
              </w:rPr>
              <w:t>14,708</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720" w:type="dxa"/>
            <w:vAlign w:val="bottom"/>
            <w:gridSpan w:val="2"/>
          </w:tcPr>
          <w:p>
            <w:pPr>
              <w:ind w:left="60"/>
              <w:spacing w:after="0" w:line="145" w:lineRule="exact"/>
              <w:rPr>
                <w:sz w:val="20"/>
                <w:szCs w:val="20"/>
                <w:color w:val="auto"/>
              </w:rPr>
            </w:pPr>
            <w:r>
              <w:rPr>
                <w:rFonts w:ascii="Arial" w:cs="Arial" w:eastAsia="Arial" w:hAnsi="Arial"/>
                <w:sz w:val="13"/>
                <w:szCs w:val="13"/>
                <w:color w:val="0000FF"/>
              </w:rPr>
              <w:t>Stock</w:t>
            </w:r>
          </w:p>
        </w:tc>
        <w:tc>
          <w:tcPr>
            <w:tcW w:w="660" w:type="dxa"/>
            <w:vAlign w:val="bottom"/>
          </w:tcPr>
          <w:p>
            <w:pPr>
              <w:ind w:left="300"/>
              <w:spacing w:after="0" w:line="145"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w:t>
            </w:r>
          </w:p>
        </w:tc>
        <w:tc>
          <w:tcPr>
            <w:tcW w:w="220" w:type="dxa"/>
            <w:vAlign w:val="bottom"/>
          </w:tcPr>
          <w:p>
            <w:pPr>
              <w:spacing w:after="0"/>
              <w:rPr>
                <w:sz w:val="12"/>
                <w:szCs w:val="12"/>
                <w:color w:val="auto"/>
              </w:rPr>
            </w:pPr>
          </w:p>
        </w:tc>
        <w:tc>
          <w:tcPr>
            <w:tcW w:w="1000" w:type="dxa"/>
            <w:vAlign w:val="bottom"/>
          </w:tcPr>
          <w:p>
            <w:pPr>
              <w:ind w:left="200"/>
              <w:spacing w:after="0" w:line="145" w:lineRule="exact"/>
              <w:rPr>
                <w:sz w:val="20"/>
                <w:szCs w:val="20"/>
                <w:color w:val="auto"/>
              </w:rPr>
            </w:pPr>
            <w:r>
              <w:rPr>
                <w:rFonts w:ascii="Arial" w:cs="Arial" w:eastAsia="Arial" w:hAnsi="Arial"/>
                <w:sz w:val="13"/>
                <w:szCs w:val="13"/>
                <w:color w:val="0000FF"/>
              </w:rPr>
              <w:t>06/11/2014</w:t>
            </w: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ind w:left="80"/>
              <w:spacing w:after="0" w:line="145" w:lineRule="exact"/>
              <w:rPr>
                <w:sz w:val="20"/>
                <w:szCs w:val="20"/>
                <w:color w:val="auto"/>
              </w:rPr>
            </w:pPr>
            <w:r>
              <w:rPr>
                <w:rFonts w:ascii="Arial" w:cs="Arial" w:eastAsia="Arial" w:hAnsi="Arial"/>
                <w:sz w:val="13"/>
                <w:szCs w:val="13"/>
                <w:color w:val="0000FF"/>
              </w:rPr>
              <w:t>A</w:t>
            </w:r>
          </w:p>
        </w:tc>
        <w:tc>
          <w:tcPr>
            <w:tcW w:w="600" w:type="dxa"/>
            <w:vAlign w:val="bottom"/>
          </w:tcPr>
          <w:p>
            <w:pPr>
              <w:ind w:left="160"/>
              <w:spacing w:after="0" w:line="145" w:lineRule="exact"/>
              <w:rPr>
                <w:sz w:val="20"/>
                <w:szCs w:val="20"/>
                <w:color w:val="auto"/>
              </w:rPr>
            </w:pPr>
            <w:r>
              <w:rPr>
                <w:rFonts w:ascii="Arial" w:cs="Arial" w:eastAsia="Arial" w:hAnsi="Arial"/>
                <w:sz w:val="13"/>
                <w:szCs w:val="13"/>
                <w:color w:val="0000FF"/>
              </w:rPr>
              <w:t>14,708</w:t>
            </w:r>
          </w:p>
        </w:tc>
        <w:tc>
          <w:tcPr>
            <w:tcW w:w="340" w:type="dxa"/>
            <w:vAlign w:val="bottom"/>
          </w:tcPr>
          <w:p>
            <w:pPr>
              <w:spacing w:after="0"/>
              <w:rPr>
                <w:sz w:val="12"/>
                <w:szCs w:val="12"/>
                <w:color w:val="auto"/>
              </w:rPr>
            </w:pPr>
          </w:p>
        </w:tc>
        <w:tc>
          <w:tcPr>
            <w:tcW w:w="800" w:type="dxa"/>
            <w:vAlign w:val="bottom"/>
            <w:gridSpan w:val="2"/>
          </w:tcPr>
          <w:p>
            <w:pPr>
              <w:ind w:left="320"/>
              <w:spacing w:after="0"/>
              <w:rPr>
                <w:sz w:val="20"/>
                <w:szCs w:val="20"/>
                <w:color w:val="auto"/>
              </w:rPr>
            </w:pPr>
            <w:r>
              <w:rPr>
                <w:rFonts w:ascii="Arial" w:cs="Arial" w:eastAsia="Arial" w:hAnsi="Arial"/>
                <w:sz w:val="11"/>
                <w:szCs w:val="11"/>
                <w:color w:val="008000"/>
              </w:rPr>
              <w:t>(2)</w:t>
            </w:r>
          </w:p>
        </w:tc>
        <w:tc>
          <w:tcPr>
            <w:tcW w:w="160" w:type="dxa"/>
            <w:vAlign w:val="bottom"/>
          </w:tcPr>
          <w:p>
            <w:pPr>
              <w:spacing w:after="0"/>
              <w:rPr>
                <w:sz w:val="12"/>
                <w:szCs w:val="12"/>
                <w:color w:val="auto"/>
              </w:rPr>
            </w:pPr>
          </w:p>
        </w:tc>
        <w:tc>
          <w:tcPr>
            <w:tcW w:w="560" w:type="dxa"/>
            <w:vAlign w:val="bottom"/>
          </w:tcPr>
          <w:p>
            <w:pPr>
              <w:ind w:left="140"/>
              <w:spacing w:after="0"/>
              <w:rPr>
                <w:sz w:val="20"/>
                <w:szCs w:val="20"/>
                <w:color w:val="auto"/>
              </w:rPr>
            </w:pPr>
            <w:r>
              <w:rPr>
                <w:rFonts w:ascii="Arial" w:cs="Arial" w:eastAsia="Arial" w:hAnsi="Arial"/>
                <w:sz w:val="11"/>
                <w:szCs w:val="11"/>
                <w:color w:val="008000"/>
              </w:rPr>
              <w:t>(2)</w:t>
            </w:r>
          </w:p>
        </w:tc>
        <w:tc>
          <w:tcPr>
            <w:tcW w:w="720" w:type="dxa"/>
            <w:vAlign w:val="bottom"/>
            <w:vMerge w:val="continue"/>
          </w:tcPr>
          <w:p>
            <w:pPr>
              <w:spacing w:after="0"/>
              <w:rPr>
                <w:sz w:val="12"/>
                <w:szCs w:val="12"/>
                <w:color w:val="auto"/>
              </w:rPr>
            </w:pPr>
          </w:p>
        </w:tc>
        <w:tc>
          <w:tcPr>
            <w:tcW w:w="5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gridSpan w:val="2"/>
          </w:tcPr>
          <w:p>
            <w:pPr>
              <w:ind w:left="240"/>
              <w:spacing w:after="0" w:line="145"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tcPr>
          <w:p>
            <w:pPr>
              <w:ind w:left="240"/>
              <w:spacing w:after="0" w:line="145" w:lineRule="exact"/>
              <w:rPr>
                <w:sz w:val="20"/>
                <w:szCs w:val="20"/>
                <w:color w:val="auto"/>
              </w:rPr>
            </w:pPr>
            <w:r>
              <w:rPr>
                <w:rFonts w:ascii="Arial" w:cs="Arial" w:eastAsia="Arial" w:hAnsi="Arial"/>
                <w:sz w:val="13"/>
                <w:szCs w:val="13"/>
                <w:color w:val="0000FF"/>
                <w:w w:val="90"/>
              </w:rPr>
              <w:t>14,708</w:t>
            </w:r>
          </w:p>
        </w:tc>
        <w:tc>
          <w:tcPr>
            <w:tcW w:w="280" w:type="dxa"/>
            <w:vAlign w:val="bottom"/>
          </w:tcPr>
          <w:p>
            <w:pPr>
              <w:spacing w:after="0"/>
              <w:rPr>
                <w:sz w:val="12"/>
                <w:szCs w:val="12"/>
                <w:color w:val="auto"/>
              </w:rPr>
            </w:pPr>
          </w:p>
        </w:tc>
        <w:tc>
          <w:tcPr>
            <w:tcW w:w="700" w:type="dxa"/>
            <w:vAlign w:val="bottom"/>
          </w:tcPr>
          <w:p>
            <w:pPr>
              <w:ind w:left="340"/>
              <w:spacing w:after="0" w:line="145"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0000FF"/>
              </w:rPr>
              <w:t>Units</w:t>
            </w:r>
            <w:r>
              <w:rPr>
                <w:rFonts w:ascii="Arial" w:cs="Arial" w:eastAsia="Arial" w:hAnsi="Arial"/>
                <w:sz w:val="22"/>
                <w:szCs w:val="22"/>
                <w:color w:val="008000"/>
                <w:vertAlign w:val="superscript"/>
              </w:rPr>
              <w:t>(1)</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tcPr>
          <w:p>
            <w:pPr>
              <w:ind w:left="180"/>
              <w:spacing w:after="0"/>
              <w:rPr>
                <w:sz w:val="20"/>
                <w:szCs w:val="20"/>
                <w:color w:val="auto"/>
              </w:rPr>
            </w:pPr>
            <w:r>
              <w:rPr>
                <w:rFonts w:ascii="Arial" w:cs="Arial" w:eastAsia="Arial" w:hAnsi="Arial"/>
                <w:sz w:val="13"/>
                <w:szCs w:val="13"/>
                <w:color w:val="0000FF"/>
              </w:rPr>
              <w:t>Stock</w:t>
            </w: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64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Restricted Stock Units ("RSUs") were awarded on June 11, 2014, pursuant to the Company's 2014 Long-Term Incentive Plan (the "GMLTIP"). The RSUs will vest annually in three equal installments beginning on February 13, 2015 pursuant to the terms of the GMLTIP. Upon vesting, each RSU will be settled by delivery of one share of the Company's common stock.</w:t>
      </w:r>
    </w:p>
    <w:p>
      <w:pPr>
        <w:spacing w:after="0" w:line="10"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RSUs do not have a date on which they become exercisable or expire.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300" w:type="dxa"/>
            <w:vAlign w:val="bottom"/>
            <w:gridSpan w:val="3"/>
          </w:tcPr>
          <w:p>
            <w:pPr>
              <w:spacing w:after="0"/>
              <w:rPr>
                <w:sz w:val="20"/>
                <w:szCs w:val="20"/>
                <w:color w:val="auto"/>
              </w:rPr>
            </w:pPr>
            <w:r>
              <w:rPr>
                <w:rFonts w:ascii="Arial" w:cs="Arial" w:eastAsia="Arial" w:hAnsi="Arial"/>
                <w:sz w:val="17"/>
                <w:szCs w:val="17"/>
                <w:color w:val="0000FF"/>
              </w:rPr>
              <w:t>/s/ Anne T. Larin, attorney-in-</w:t>
            </w: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06/13/2014</w:t>
            </w:r>
          </w:p>
        </w:tc>
        <w:tc>
          <w:tcPr>
            <w:tcW w:w="0" w:type="dxa"/>
            <w:vAlign w:val="bottom"/>
          </w:tcPr>
          <w:p>
            <w:pPr>
              <w:spacing w:after="0"/>
              <w:rPr>
                <w:sz w:val="1"/>
                <w:szCs w:val="1"/>
                <w:color w:val="auto"/>
              </w:rPr>
            </w:pPr>
          </w:p>
        </w:tc>
      </w:tr>
      <w:tr>
        <w:trPr>
          <w:trHeight w:val="92"/>
        </w:trPr>
        <w:tc>
          <w:tcPr>
            <w:tcW w:w="2100" w:type="dxa"/>
            <w:vAlign w:val="bottom"/>
            <w:tcBorders>
              <w:top w:val="single" w:sz="8" w:color="auto"/>
              <w:bottom w:val="single" w:sz="8" w:color="auto"/>
            </w:tcBorders>
            <w:gridSpan w:val="2"/>
            <w:vMerge w:val="restart"/>
          </w:tcPr>
          <w:p>
            <w:pPr>
              <w:spacing w:after="0"/>
              <w:rPr>
                <w:sz w:val="20"/>
                <w:szCs w:val="20"/>
                <w:color w:val="auto"/>
              </w:rPr>
            </w:pPr>
            <w:r>
              <w:rPr>
                <w:rFonts w:ascii="Arial" w:cs="Arial" w:eastAsia="Arial" w:hAnsi="Arial"/>
                <w:sz w:val="17"/>
                <w:szCs w:val="17"/>
                <w:color w:val="0000FF"/>
              </w:rPr>
              <w:t>fact for Mr. Millikin</w:t>
            </w:r>
          </w:p>
        </w:tc>
        <w:tc>
          <w:tcPr>
            <w:tcW w:w="200" w:type="dxa"/>
            <w:vAlign w:val="bottom"/>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00" w:type="dxa"/>
            <w:vAlign w:val="bottom"/>
            <w:gridSpan w:val="2"/>
            <w:vMerge w:val="continue"/>
          </w:tcPr>
          <w:p>
            <w:pPr>
              <w:spacing w:after="0"/>
              <w:rPr>
                <w:sz w:val="7"/>
                <w:szCs w:val="7"/>
                <w:color w:val="auto"/>
              </w:rPr>
            </w:pPr>
          </w:p>
        </w:tc>
        <w:tc>
          <w:tcPr>
            <w:tcW w:w="20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420" w:type="dxa"/>
            <w:vAlign w:val="bottom"/>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2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92157"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2019-12-18T16:03:52Z</dcterms:created>
  <dcterms:modified xsi:type="dcterms:W3CDTF">2019-12-18T16:03:52Z</dcterms:modified>
</cp:coreProperties>
</file>