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April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640"/>
              <w:spacing w:after="0"/>
              <w:rPr>
                <w:sz w:val="20"/>
                <w:szCs w:val="20"/>
                <w:color w:val="auto"/>
              </w:rPr>
            </w:pPr>
            <w:r>
              <w:rPr>
                <w:rFonts w:ascii="Arial" w:cs="Arial" w:eastAsia="Arial" w:hAnsi="Arial"/>
                <w:sz w:val="18"/>
                <w:szCs w:val="18"/>
                <w:b w:val="1"/>
                <w:bCs w:val="1"/>
                <w:color w:val="auto"/>
              </w:rPr>
              <w:t>001-34960</w:t>
            </w:r>
          </w:p>
        </w:tc>
        <w:tc>
          <w:tcPr>
            <w:tcW w:w="3000" w:type="dxa"/>
            <w:vAlign w:val="bottom"/>
          </w:tcPr>
          <w:p>
            <w:pPr>
              <w:jc w:val="center"/>
              <w:ind w:left="148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left="14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left="148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300 Renaissance Center</w:t>
            </w:r>
          </w:p>
        </w:tc>
        <w:tc>
          <w:tcPr>
            <w:tcW w:w="2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5"/>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3"/>
              </w:rPr>
              <w:t>Detroit, Michigan</w:t>
            </w:r>
          </w:p>
        </w:tc>
        <w:tc>
          <w:tcPr>
            <w:tcW w:w="2380" w:type="dxa"/>
            <w:vAlign w:val="bottom"/>
          </w:tcPr>
          <w:p>
            <w:pPr>
              <w:spacing w:after="0"/>
              <w:rPr>
                <w:sz w:val="19"/>
                <w:szCs w:val="19"/>
                <w:color w:val="auto"/>
              </w:rPr>
            </w:pPr>
          </w:p>
        </w:tc>
        <w:tc>
          <w:tcPr>
            <w:tcW w:w="3000" w:type="dxa"/>
            <w:vAlign w:val="bottom"/>
          </w:tcPr>
          <w:p>
            <w:pPr>
              <w:jc w:val="right"/>
              <w:ind w:right="1121"/>
              <w:spacing w:after="0"/>
              <w:rPr>
                <w:sz w:val="20"/>
                <w:szCs w:val="20"/>
                <w:color w:val="auto"/>
              </w:rPr>
            </w:pPr>
            <w:r>
              <w:rPr>
                <w:rFonts w:ascii="Arial" w:cs="Arial" w:eastAsia="Arial" w:hAnsi="Arial"/>
                <w:sz w:val="18"/>
                <w:szCs w:val="18"/>
                <w:b w:val="1"/>
                <w:bCs w:val="1"/>
                <w:color w:val="auto"/>
              </w:rPr>
              <w:t>48265-3000</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300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(313) 667-1500</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230.245)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2.03, below.</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April 16, 2019, General Motors Company (“GM”) entered into a $2.0 billion 364-Day Revolving Credit Agreement with JPMorgan Chase Bank, N.A., as administrative agent, Citibank, N.A., as syndication agent and the other lenders named therein (the “Facility”). The Facility is unsecured, provides additional liquidity, and matures on April 14, 2020.</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is available to GM as well as certain of its wholly-owned subsidiaries. However, GM has allocated the Facility for exclusive use by General Motors Financial Company, Inc. The Facility allows for borrowing in U.S. Dollars only.</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GM has guaranteed the obligations of subsidiary borrowers under the Facility. 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terms of the Facility.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rates on obligations under the Facility are based on prevailing annual interest rates for Eurodollar loans or an alternative base rate, both subject to an applicable margin. This applicable margin will be based upon the credit rating assigned to the Facility or to senior, unsecured long-term indebtedness of GM.</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Facility contains representations, warranties and covenants that are typical for this type of facility. These covenants include restrictions on mergers or sales of assets and secured debt borrowings, subject to exceptions and limitations. The Facility also requires that GM maintain at least $4.0 billion in global liquidity and at least $2.0 billion in U.S. liquidity.</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Some of the lenders under the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Facility and is qualified by reference in its entirety to the full text of the Facility filed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69977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81" w:lineRule="exact"/>
        <w:rPr>
          <w:sz w:val="20"/>
          <w:szCs w:val="20"/>
          <w:color w:val="auto"/>
        </w:rPr>
      </w:pPr>
    </w:p>
    <w:p>
      <w:pPr>
        <w:ind w:left="660" w:right="20" w:hanging="661"/>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EE"/>
          </w:rPr>
          <w:t>364-Day Revolving Credit Agreement among General Motors Company, General Motors Financial Company, Inc., GM Global Treasury</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Centre, the subsidiary borrowers from time to time parties thereto, the several lenders from time to time parties thereto, JPMorgan Chase Bank,</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N.A., as administrative agent, and Citibank, N.A., as syndication agent.</w:t>
        </w:r>
      </w:hyperlink>
    </w:p>
    <w:p>
      <w:pPr>
        <w:spacing w:after="0" w:line="87" w:lineRule="exact"/>
        <w:rPr>
          <w:rFonts w:ascii="Arial" w:cs="Arial" w:eastAsia="Arial" w:hAnsi="Arial"/>
          <w:sz w:val="18"/>
          <w:szCs w:val="18"/>
          <w:u w:val="single" w:color="auto"/>
          <w:color w:val="0000EE"/>
        </w:rPr>
      </w:pPr>
    </w:p>
    <w:p>
      <w:pPr>
        <w:ind w:left="440" w:right="40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1000"/>
          </w:cols>
          <w:pgMar w:left="440" w:top="270" w:right="45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spacing w:after="0"/>
        <w:tabs>
          <w:tab w:leader="none" w:pos="5560" w:val="left"/>
          <w:tab w:leader="none" w:pos="6160" w:val="left"/>
        </w:tabs>
        <w:rPr>
          <w:sz w:val="20"/>
          <w:szCs w:val="20"/>
          <w:color w:val="auto"/>
        </w:rPr>
      </w:pPr>
      <w:r>
        <w:rPr>
          <w:rFonts w:ascii="Arial" w:cs="Arial" w:eastAsia="Arial" w:hAnsi="Arial"/>
          <w:sz w:val="18"/>
          <w:szCs w:val="18"/>
          <w:color w:val="auto"/>
        </w:rPr>
        <w:t>Date: April 16,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Rick E. Hansen</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Assistant General Counsel &amp; Corporate Secretary</w:t>
      </w:r>
    </w:p>
    <w:p>
      <w:pPr>
        <w:sectPr>
          <w:pgSz w:w="11900" w:h="16838" w:orient="portrait"/>
          <w:cols w:equalWidth="0" w:num="1">
            <w:col w:w="10280"/>
          </w:cols>
          <w:pgMar w:left="440" w:top="270" w:right="1179" w:bottom="1440" w:gutter="0" w:footer="0" w:header="0"/>
        </w:sectPr>
      </w:pPr>
    </w:p>
    <w:bookmarkStart w:id="3" w:name="page4"/>
    <w:bookmarkEnd w:id="3"/>
    <w:p>
      <w:pPr>
        <w:ind w:left="990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6"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EXECUTION VERSION</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AMENDED AND RESTATED 364-DAY REVOLVING CREDIT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GM GLOBAL TREASURY CENTRE LIMITED,</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SEVERAL LENDERS FROM TIME TO TIME PARTIES HERETO,</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Dated as of April 16, 2019</w:t>
            </w: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53"/>
        </w:trPr>
        <w:tc>
          <w:tcPr>
            <w:tcW w:w="444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JPMORGAN CHASE BANK, N.A.,</w:t>
            </w:r>
          </w:p>
        </w:tc>
        <w:tc>
          <w:tcPr>
            <w:tcW w:w="2400" w:type="dxa"/>
            <w:vAlign w:val="bottom"/>
          </w:tcPr>
          <w:p>
            <w:pPr>
              <w:spacing w:after="0"/>
              <w:rPr>
                <w:sz w:val="24"/>
                <w:szCs w:val="24"/>
                <w:color w:val="auto"/>
              </w:rPr>
            </w:pPr>
          </w:p>
        </w:tc>
        <w:tc>
          <w:tcPr>
            <w:tcW w:w="4180" w:type="dxa"/>
            <w:vAlign w:val="bottom"/>
            <w:gridSpan w:val="2"/>
          </w:tcPr>
          <w:p>
            <w:pPr>
              <w:jc w:val="center"/>
              <w:spacing w:after="0"/>
              <w:rPr>
                <w:sz w:val="20"/>
                <w:szCs w:val="20"/>
                <w:color w:val="auto"/>
              </w:rPr>
            </w:pPr>
            <w:r>
              <w:rPr>
                <w:rFonts w:ascii="Arial" w:cs="Arial" w:eastAsia="Arial" w:hAnsi="Arial"/>
                <w:sz w:val="18"/>
                <w:szCs w:val="18"/>
                <w:color w:val="auto"/>
              </w:rPr>
              <w:t>CITIBANK, N.A.,</w:t>
            </w:r>
          </w:p>
        </w:tc>
      </w:tr>
      <w:tr>
        <w:trPr>
          <w:trHeight w:val="216"/>
        </w:trPr>
        <w:tc>
          <w:tcPr>
            <w:tcW w:w="44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2"/>
              </w:rPr>
              <w:t>as Administrative Agent, Global Coordinator,</w:t>
            </w:r>
          </w:p>
        </w:tc>
        <w:tc>
          <w:tcPr>
            <w:tcW w:w="2400" w:type="dxa"/>
            <w:vAlign w:val="bottom"/>
          </w:tcPr>
          <w:p>
            <w:pPr>
              <w:spacing w:after="0"/>
              <w:rPr>
                <w:sz w:val="18"/>
                <w:szCs w:val="18"/>
                <w:color w:val="auto"/>
              </w:rPr>
            </w:pPr>
          </w:p>
        </w:tc>
        <w:tc>
          <w:tcPr>
            <w:tcW w:w="418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as Syndication Agent</w:t>
            </w:r>
          </w:p>
        </w:tc>
      </w:tr>
      <w:tr>
        <w:trPr>
          <w:trHeight w:val="230"/>
        </w:trPr>
        <w:tc>
          <w:tcPr>
            <w:tcW w:w="4440" w:type="dxa"/>
            <w:vAlign w:val="bottom"/>
            <w:gridSpan w:val="2"/>
          </w:tcPr>
          <w:p>
            <w:pPr>
              <w:jc w:val="center"/>
              <w:ind w:left="90"/>
              <w:spacing w:after="0"/>
              <w:rPr>
                <w:sz w:val="20"/>
                <w:szCs w:val="20"/>
                <w:color w:val="auto"/>
              </w:rPr>
            </w:pPr>
            <w:r>
              <w:rPr>
                <w:rFonts w:ascii="Arial" w:cs="Arial" w:eastAsia="Arial" w:hAnsi="Arial"/>
                <w:sz w:val="18"/>
                <w:szCs w:val="18"/>
                <w:i w:val="1"/>
                <w:iCs w:val="1"/>
                <w:color w:val="auto"/>
                <w:w w:val="92"/>
              </w:rPr>
              <w:t>Joint Lead Arranger and Joint Bookrunner</w:t>
            </w: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23"/>
        </w:trPr>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80" w:type="dxa"/>
            <w:vAlign w:val="bottom"/>
            <w:gridSpan w:val="3"/>
          </w:tcPr>
          <w:p>
            <w:pPr>
              <w:jc w:val="center"/>
              <w:ind w:left="290"/>
              <w:spacing w:after="0"/>
              <w:rPr>
                <w:sz w:val="20"/>
                <w:szCs w:val="20"/>
                <w:color w:val="auto"/>
              </w:rPr>
            </w:pPr>
            <w:r>
              <w:rPr>
                <w:rFonts w:ascii="Arial" w:cs="Arial" w:eastAsia="Arial" w:hAnsi="Arial"/>
                <w:sz w:val="18"/>
                <w:szCs w:val="18"/>
                <w:color w:val="auto"/>
                <w:w w:val="97"/>
              </w:rPr>
              <w:t>CITIGROUP GLOBAL MARKETS INC.,</w:t>
            </w:r>
          </w:p>
        </w:tc>
      </w:tr>
      <w:tr>
        <w:trPr>
          <w:trHeight w:val="216"/>
        </w:trPr>
        <w:tc>
          <w:tcPr>
            <w:tcW w:w="2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80" w:type="dxa"/>
            <w:vAlign w:val="bottom"/>
            <w:gridSpan w:val="3"/>
          </w:tcPr>
          <w:p>
            <w:pPr>
              <w:jc w:val="center"/>
              <w:ind w:left="310"/>
              <w:spacing w:after="0"/>
              <w:rPr>
                <w:sz w:val="20"/>
                <w:szCs w:val="20"/>
                <w:color w:val="auto"/>
              </w:rPr>
            </w:pPr>
            <w:r>
              <w:rPr>
                <w:rFonts w:ascii="Arial" w:cs="Arial" w:eastAsia="Arial" w:hAnsi="Arial"/>
                <w:sz w:val="18"/>
                <w:szCs w:val="18"/>
                <w:i w:val="1"/>
                <w:iCs w:val="1"/>
                <w:color w:val="auto"/>
                <w:w w:val="92"/>
              </w:rPr>
              <w:t>as Global Coordinator, Joint Lead Arranger and</w:t>
            </w:r>
          </w:p>
        </w:tc>
      </w:tr>
      <w:tr>
        <w:trPr>
          <w:trHeight w:val="237"/>
        </w:trPr>
        <w:tc>
          <w:tcPr>
            <w:tcW w:w="2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i w:val="1"/>
                <w:iCs w:val="1"/>
                <w:color w:val="auto"/>
                <w:w w:val="92"/>
              </w:rPr>
              <w:t>Joint Bookrunner</w:t>
            </w:r>
          </w:p>
        </w:tc>
        <w:tc>
          <w:tcPr>
            <w:tcW w:w="2440" w:type="dxa"/>
            <w:vAlign w:val="bottom"/>
            <w:tcBorders>
              <w:bottom w:val="single" w:sz="8" w:color="auto"/>
            </w:tcBorders>
          </w:tcPr>
          <w:p>
            <w:pPr>
              <w:spacing w:after="0"/>
              <w:rPr>
                <w:sz w:val="20"/>
                <w:szCs w:val="20"/>
                <w:color w:val="auto"/>
              </w:rPr>
            </w:pPr>
          </w:p>
        </w:tc>
      </w:tr>
      <w:tr>
        <w:trPr>
          <w:trHeight w:val="296"/>
        </w:trPr>
        <w:tc>
          <w:tcPr>
            <w:tcW w:w="4440" w:type="dxa"/>
            <w:vAlign w:val="bottom"/>
            <w:gridSpan w:val="2"/>
          </w:tcPr>
          <w:p>
            <w:pPr>
              <w:jc w:val="center"/>
              <w:ind w:left="70"/>
              <w:spacing w:after="0"/>
              <w:rPr>
                <w:sz w:val="20"/>
                <w:szCs w:val="20"/>
                <w:color w:val="auto"/>
              </w:rPr>
            </w:pPr>
            <w:r>
              <w:rPr>
                <w:rFonts w:ascii="Arial" w:cs="Arial" w:eastAsia="Arial" w:hAnsi="Arial"/>
                <w:sz w:val="18"/>
                <w:szCs w:val="18"/>
                <w:color w:val="auto"/>
              </w:rPr>
              <w:t>INDUSTRIAL AND</w:t>
            </w:r>
          </w:p>
        </w:tc>
        <w:tc>
          <w:tcPr>
            <w:tcW w:w="414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LLOYDS BANK PLC</w:t>
            </w:r>
            <w:r>
              <w:rPr>
                <w:rFonts w:ascii="Arial" w:cs="Arial" w:eastAsia="Arial" w:hAnsi="Arial"/>
                <w:sz w:val="15"/>
                <w:szCs w:val="15"/>
                <w:color w:val="auto"/>
                <w:w w:val="98"/>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THE TORONTO</w:t>
            </w:r>
          </w:p>
        </w:tc>
      </w:tr>
      <w:tr>
        <w:trPr>
          <w:trHeight w:val="216"/>
        </w:trPr>
        <w:tc>
          <w:tcPr>
            <w:tcW w:w="4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COMMERCIAL BANK OF</w:t>
            </w: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DOMINION BANK, NEW</w:t>
            </w:r>
          </w:p>
        </w:tc>
      </w:tr>
      <w:tr>
        <w:trPr>
          <w:trHeight w:val="230"/>
        </w:trPr>
        <w:tc>
          <w:tcPr>
            <w:tcW w:w="4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CHINA LIMITED NEW YORK BRANCH</w:t>
            </w:r>
            <w:r>
              <w:rPr>
                <w:rFonts w:ascii="Arial" w:cs="Arial" w:eastAsia="Arial" w:hAnsi="Arial"/>
                <w:sz w:val="15"/>
                <w:szCs w:val="15"/>
                <w:color w:val="auto"/>
                <w:w w:val="99"/>
              </w:rPr>
              <w:t>1,2</w:t>
            </w: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YORK BRANCH</w:t>
            </w:r>
            <w:r>
              <w:rPr>
                <w:rFonts w:ascii="Arial" w:cs="Arial" w:eastAsia="Arial" w:hAnsi="Arial"/>
                <w:sz w:val="15"/>
                <w:szCs w:val="15"/>
                <w:color w:val="auto"/>
                <w:w w:val="98"/>
              </w:rPr>
              <w:t>1,2</w:t>
            </w:r>
          </w:p>
        </w:tc>
      </w:tr>
      <w:tr>
        <w:trPr>
          <w:trHeight w:val="323"/>
        </w:trPr>
        <w:tc>
          <w:tcPr>
            <w:tcW w:w="44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2"/>
              </w:rPr>
              <w:t>as Asian Pacific Regional Coordinator</w:t>
            </w:r>
          </w:p>
        </w:tc>
        <w:tc>
          <w:tcPr>
            <w:tcW w:w="4140" w:type="dxa"/>
            <w:vAlign w:val="bottom"/>
            <w:gridSpan w:val="2"/>
          </w:tcPr>
          <w:p>
            <w:pPr>
              <w:jc w:val="center"/>
              <w:ind w:left="230"/>
              <w:spacing w:after="0"/>
              <w:rPr>
                <w:sz w:val="20"/>
                <w:szCs w:val="20"/>
                <w:color w:val="auto"/>
              </w:rPr>
            </w:pPr>
            <w:r>
              <w:rPr>
                <w:rFonts w:ascii="Arial" w:cs="Arial" w:eastAsia="Arial" w:hAnsi="Arial"/>
                <w:sz w:val="18"/>
                <w:szCs w:val="18"/>
                <w:i w:val="1"/>
                <w:iCs w:val="1"/>
                <w:color w:val="auto"/>
                <w:w w:val="91"/>
              </w:rPr>
              <w:t>as European Regional Coordinator</w:t>
            </w:r>
          </w:p>
        </w:tc>
        <w:tc>
          <w:tcPr>
            <w:tcW w:w="2440" w:type="dxa"/>
            <w:vAlign w:val="bottom"/>
          </w:tcPr>
          <w:p>
            <w:pPr>
              <w:jc w:val="center"/>
              <w:spacing w:after="0"/>
              <w:rPr>
                <w:sz w:val="20"/>
                <w:szCs w:val="20"/>
                <w:color w:val="auto"/>
              </w:rPr>
            </w:pPr>
            <w:r>
              <w:rPr>
                <w:rFonts w:ascii="Arial" w:cs="Arial" w:eastAsia="Arial" w:hAnsi="Arial"/>
                <w:sz w:val="18"/>
                <w:szCs w:val="18"/>
                <w:i w:val="1"/>
                <w:iCs w:val="1"/>
                <w:color w:val="auto"/>
                <w:w w:val="91"/>
              </w:rPr>
              <w:t>as North American Regional</w:t>
            </w:r>
          </w:p>
        </w:tc>
      </w:tr>
      <w:tr>
        <w:trPr>
          <w:trHeight w:val="230"/>
        </w:trPr>
        <w:tc>
          <w:tcPr>
            <w:tcW w:w="2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i w:val="1"/>
                <w:iCs w:val="1"/>
                <w:color w:val="auto"/>
                <w:w w:val="95"/>
              </w:rPr>
              <w:t>Coordinator</w:t>
            </w:r>
          </w:p>
        </w:tc>
      </w:tr>
      <w:tr>
        <w:trPr>
          <w:trHeight w:val="310"/>
        </w:trPr>
        <w:tc>
          <w:tcPr>
            <w:tcW w:w="2460" w:type="dxa"/>
            <w:vAlign w:val="bottom"/>
          </w:tcPr>
          <w:p>
            <w:pPr>
              <w:jc w:val="center"/>
              <w:spacing w:after="0"/>
              <w:rPr>
                <w:sz w:val="20"/>
                <w:szCs w:val="20"/>
                <w:color w:val="auto"/>
              </w:rPr>
            </w:pPr>
            <w:r>
              <w:rPr>
                <w:rFonts w:ascii="Arial" w:cs="Arial" w:eastAsia="Arial" w:hAnsi="Arial"/>
                <w:sz w:val="18"/>
                <w:szCs w:val="18"/>
                <w:color w:val="auto"/>
                <w:w w:val="97"/>
              </w:rPr>
              <w:t>BARCLAYS</w:t>
            </w:r>
          </w:p>
        </w:tc>
        <w:tc>
          <w:tcPr>
            <w:tcW w:w="1980" w:type="dxa"/>
            <w:vAlign w:val="bottom"/>
          </w:tcPr>
          <w:p>
            <w:pPr>
              <w:jc w:val="center"/>
              <w:ind w:left="350"/>
              <w:spacing w:after="0"/>
              <w:rPr>
                <w:sz w:val="20"/>
                <w:szCs w:val="20"/>
                <w:color w:val="auto"/>
              </w:rPr>
            </w:pPr>
            <w:r>
              <w:rPr>
                <w:rFonts w:ascii="Arial" w:cs="Arial" w:eastAsia="Arial" w:hAnsi="Arial"/>
                <w:sz w:val="18"/>
                <w:szCs w:val="18"/>
                <w:color w:val="auto"/>
                <w:w w:val="99"/>
              </w:rPr>
              <w:t>BANCO BILBAO</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5"/>
              </w:rPr>
              <w:t>BNP PARIBAS</w:t>
            </w:r>
            <w:r>
              <w:rPr>
                <w:rFonts w:ascii="Arial" w:cs="Arial" w:eastAsia="Arial" w:hAnsi="Arial"/>
                <w:sz w:val="15"/>
                <w:szCs w:val="15"/>
                <w:color w:val="auto"/>
                <w:w w:val="95"/>
              </w:rPr>
              <w:t>1,2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COMMERZBANK</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CREDIT AGRICOLE</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w w:val="98"/>
              </w:rPr>
              <w:t>BANK PLC</w:t>
            </w:r>
            <w:r>
              <w:rPr>
                <w:rFonts w:ascii="Arial" w:cs="Arial" w:eastAsia="Arial" w:hAnsi="Arial"/>
                <w:sz w:val="15"/>
                <w:szCs w:val="15"/>
                <w:color w:val="auto"/>
                <w:w w:val="98"/>
              </w:rPr>
              <w:t>1,2</w:t>
            </w:r>
          </w:p>
        </w:tc>
        <w:tc>
          <w:tcPr>
            <w:tcW w:w="1980" w:type="dxa"/>
            <w:vAlign w:val="bottom"/>
          </w:tcPr>
          <w:p>
            <w:pPr>
              <w:jc w:val="center"/>
              <w:ind w:left="350"/>
              <w:spacing w:after="0"/>
              <w:rPr>
                <w:sz w:val="20"/>
                <w:szCs w:val="20"/>
                <w:color w:val="auto"/>
              </w:rPr>
            </w:pPr>
            <w:r>
              <w:rPr>
                <w:rFonts w:ascii="Arial" w:cs="Arial" w:eastAsia="Arial" w:hAnsi="Arial"/>
                <w:sz w:val="18"/>
                <w:szCs w:val="18"/>
                <w:color w:val="auto"/>
              </w:rPr>
              <w:t>VIZCAYA</w:t>
            </w:r>
          </w:p>
        </w:tc>
        <w:tc>
          <w:tcPr>
            <w:tcW w:w="24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AG, NEW YORK</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CORPORATE AND</w:t>
            </w:r>
          </w:p>
        </w:tc>
      </w:tr>
      <w:tr>
        <w:trPr>
          <w:trHeight w:val="216"/>
        </w:trPr>
        <w:tc>
          <w:tcPr>
            <w:tcW w:w="2460" w:type="dxa"/>
            <w:vAlign w:val="bottom"/>
          </w:tcPr>
          <w:p>
            <w:pPr>
              <w:spacing w:after="0"/>
              <w:rPr>
                <w:sz w:val="18"/>
                <w:szCs w:val="18"/>
                <w:color w:val="auto"/>
              </w:rPr>
            </w:pP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98"/>
              </w:rPr>
              <w:t>ARGENTARIA,</w:t>
            </w:r>
          </w:p>
        </w:tc>
        <w:tc>
          <w:tcPr>
            <w:tcW w:w="24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 xml:space="preserve">INVESTMENT BANK </w:t>
            </w:r>
            <w:r>
              <w:rPr>
                <w:rFonts w:ascii="Arial" w:cs="Arial" w:eastAsia="Arial" w:hAnsi="Arial"/>
                <w:sz w:val="15"/>
                <w:szCs w:val="15"/>
                <w:color w:val="auto"/>
                <w:w w:val="99"/>
              </w:rPr>
              <w:t>1,2</w:t>
            </w:r>
          </w:p>
        </w:tc>
      </w:tr>
      <w:tr>
        <w:trPr>
          <w:trHeight w:val="216"/>
        </w:trPr>
        <w:tc>
          <w:tcPr>
            <w:tcW w:w="2460" w:type="dxa"/>
            <w:vAlign w:val="bottom"/>
          </w:tcPr>
          <w:p>
            <w:pPr>
              <w:spacing w:after="0"/>
              <w:rPr>
                <w:sz w:val="18"/>
                <w:szCs w:val="18"/>
                <w:color w:val="auto"/>
              </w:rPr>
            </w:pP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96"/>
              </w:rPr>
              <w:t>S.A. NEW YORK</w:t>
            </w: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1980" w:type="dxa"/>
            <w:vAlign w:val="bottom"/>
          </w:tcPr>
          <w:p>
            <w:pPr>
              <w:jc w:val="center"/>
              <w:ind w:left="3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23"/>
        </w:trPr>
        <w:tc>
          <w:tcPr>
            <w:tcW w:w="2460" w:type="dxa"/>
            <w:vAlign w:val="bottom"/>
          </w:tcPr>
          <w:p>
            <w:pPr>
              <w:jc w:val="center"/>
              <w:spacing w:after="0"/>
              <w:rPr>
                <w:sz w:val="20"/>
                <w:szCs w:val="20"/>
                <w:color w:val="auto"/>
              </w:rPr>
            </w:pPr>
            <w:r>
              <w:rPr>
                <w:rFonts w:ascii="Arial" w:cs="Arial" w:eastAsia="Arial" w:hAnsi="Arial"/>
                <w:sz w:val="18"/>
                <w:szCs w:val="18"/>
                <w:color w:val="auto"/>
                <w:w w:val="94"/>
              </w:rPr>
              <w:t>DEUTSCHE</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rPr>
              <w:t>GOLDMAN</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9"/>
              </w:rPr>
              <w:t>BANK OF AMERICA,</w:t>
            </w:r>
          </w:p>
        </w:tc>
        <w:tc>
          <w:tcPr>
            <w:tcW w:w="1740" w:type="dxa"/>
            <w:vAlign w:val="bottom"/>
          </w:tcPr>
          <w:p>
            <w:pPr>
              <w:jc w:val="center"/>
              <w:spacing w:after="0"/>
              <w:rPr>
                <w:sz w:val="20"/>
                <w:szCs w:val="20"/>
                <w:color w:val="auto"/>
              </w:rPr>
            </w:pPr>
            <w:r>
              <w:rPr>
                <w:rFonts w:ascii="Arial" w:cs="Arial" w:eastAsia="Arial" w:hAnsi="Arial"/>
                <w:sz w:val="18"/>
                <w:szCs w:val="18"/>
                <w:color w:val="auto"/>
              </w:rPr>
              <w:t>MIZUHO BANK,</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MORGAN STANLEY SENIOR</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rPr>
              <w:t>BANK</w:t>
            </w:r>
          </w:p>
        </w:tc>
        <w:tc>
          <w:tcPr>
            <w:tcW w:w="1980" w:type="dxa"/>
            <w:vAlign w:val="bottom"/>
          </w:tcPr>
          <w:p>
            <w:pPr>
              <w:jc w:val="center"/>
              <w:ind w:left="350"/>
              <w:spacing w:after="0"/>
              <w:rPr>
                <w:sz w:val="20"/>
                <w:szCs w:val="20"/>
                <w:color w:val="auto"/>
              </w:rPr>
            </w:pPr>
            <w:r>
              <w:rPr>
                <w:rFonts w:ascii="Arial" w:cs="Arial" w:eastAsia="Arial" w:hAnsi="Arial"/>
                <w:sz w:val="18"/>
                <w:szCs w:val="18"/>
                <w:color w:val="auto"/>
                <w:w w:val="98"/>
              </w:rPr>
              <w:t>SACHS BANK</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6"/>
              </w:rPr>
              <w:t>N.A.</w:t>
            </w:r>
            <w:r>
              <w:rPr>
                <w:rFonts w:ascii="Arial" w:cs="Arial" w:eastAsia="Arial" w:hAnsi="Arial"/>
                <w:sz w:val="15"/>
                <w:szCs w:val="15"/>
                <w:color w:val="auto"/>
                <w:w w:val="96"/>
              </w:rPr>
              <w:t>1</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LTD.</w:t>
            </w:r>
            <w:r>
              <w:rPr>
                <w:rFonts w:ascii="Arial" w:cs="Arial" w:eastAsia="Arial" w:hAnsi="Arial"/>
                <w:sz w:val="15"/>
                <w:szCs w:val="15"/>
                <w:color w:val="auto"/>
                <w:w w:val="93"/>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FUNDING, INC.</w:t>
            </w:r>
            <w:r>
              <w:rPr>
                <w:rFonts w:ascii="Arial" w:cs="Arial" w:eastAsia="Arial" w:hAnsi="Arial"/>
                <w:sz w:val="15"/>
                <w:szCs w:val="15"/>
                <w:color w:val="auto"/>
                <w:w w:val="96"/>
              </w:rPr>
              <w:t>1,2</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w w:val="94"/>
              </w:rPr>
              <w:t>SECURITIES</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1"/>
              </w:rPr>
              <w:t>as Co-Syndication Agent</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2460" w:type="dxa"/>
            <w:vAlign w:val="bottom"/>
          </w:tcPr>
          <w:p>
            <w:pPr>
              <w:jc w:val="center"/>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1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23"/>
        </w:trPr>
        <w:tc>
          <w:tcPr>
            <w:tcW w:w="2460" w:type="dxa"/>
            <w:vAlign w:val="bottom"/>
          </w:tcPr>
          <w:p>
            <w:pPr>
              <w:jc w:val="center"/>
              <w:spacing w:after="0"/>
              <w:rPr>
                <w:sz w:val="20"/>
                <w:szCs w:val="20"/>
                <w:color w:val="auto"/>
              </w:rPr>
            </w:pPr>
            <w:r>
              <w:rPr>
                <w:rFonts w:ascii="Arial" w:cs="Arial" w:eastAsia="Arial" w:hAnsi="Arial"/>
                <w:sz w:val="18"/>
                <w:szCs w:val="18"/>
                <w:color w:val="auto"/>
                <w:w w:val="96"/>
              </w:rPr>
              <w:t>RBC CAPITAL</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rPr>
              <w:t>NATIONAL</w:t>
            </w:r>
          </w:p>
        </w:tc>
        <w:tc>
          <w:tcPr>
            <w:tcW w:w="2400" w:type="dxa"/>
            <w:vAlign w:val="bottom"/>
          </w:tcPr>
          <w:p>
            <w:pPr>
              <w:jc w:val="center"/>
              <w:ind w:left="270"/>
              <w:spacing w:after="0"/>
              <w:rPr>
                <w:sz w:val="20"/>
                <w:szCs w:val="20"/>
                <w:color w:val="auto"/>
              </w:rPr>
            </w:pPr>
            <w:r>
              <w:rPr>
                <w:rFonts w:ascii="Arial" w:cs="Arial" w:eastAsia="Arial" w:hAnsi="Arial"/>
                <w:sz w:val="18"/>
                <w:szCs w:val="18"/>
                <w:color w:val="auto"/>
                <w:w w:val="99"/>
              </w:rPr>
              <w:t>SUMITOMO MITSUI</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SOCIÉTÉ</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THE BANK OF NOVA</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96"/>
              </w:rPr>
              <w:t>WESTMINSTER</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rPr>
              <w:t>BANKING</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r>
      <w:tr>
        <w:trPr>
          <w:trHeight w:val="216"/>
        </w:trPr>
        <w:tc>
          <w:tcPr>
            <w:tcW w:w="2460" w:type="dxa"/>
            <w:vAlign w:val="bottom"/>
          </w:tcPr>
          <w:p>
            <w:pPr>
              <w:jc w:val="center"/>
              <w:spacing w:after="0"/>
              <w:rPr>
                <w:sz w:val="20"/>
                <w:szCs w:val="20"/>
                <w:color w:val="auto"/>
              </w:rPr>
            </w:pPr>
            <w:r>
              <w:rPr>
                <w:rFonts w:ascii="Arial" w:cs="Arial" w:eastAsia="Arial" w:hAnsi="Arial"/>
                <w:sz w:val="18"/>
                <w:szCs w:val="18"/>
                <w:color w:val="auto"/>
                <w:w w:val="97"/>
              </w:rPr>
              <w:t>ROYAL BANK OF</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97"/>
              </w:rPr>
              <w:t xml:space="preserve">BANK PLC </w:t>
            </w:r>
            <w:r>
              <w:rPr>
                <w:rFonts w:ascii="Arial" w:cs="Arial" w:eastAsia="Arial" w:hAnsi="Arial"/>
                <w:sz w:val="15"/>
                <w:szCs w:val="15"/>
                <w:color w:val="auto"/>
                <w:w w:val="97"/>
              </w:rPr>
              <w:t>1,2</w:t>
            </w:r>
          </w:p>
        </w:tc>
        <w:tc>
          <w:tcPr>
            <w:tcW w:w="2400" w:type="dxa"/>
            <w:vAlign w:val="bottom"/>
          </w:tcPr>
          <w:p>
            <w:pPr>
              <w:jc w:val="center"/>
              <w:ind w:left="250"/>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2460" w:type="dxa"/>
            <w:vAlign w:val="bottom"/>
          </w:tcPr>
          <w:p>
            <w:pPr>
              <w:jc w:val="center"/>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As Joint Bookrunners and Joint Lead Arrangers when noted ( </w:t>
      </w:r>
      <w:r>
        <w:rPr>
          <w:rFonts w:ascii="Arial" w:cs="Arial" w:eastAsia="Arial" w:hAnsi="Arial"/>
          <w:sz w:val="15"/>
          <w:szCs w:val="15"/>
          <w:color w:val="auto"/>
        </w:rPr>
        <w:t>1</w:t>
      </w:r>
      <w:r>
        <w:rPr>
          <w:rFonts w:ascii="Arial" w:cs="Arial" w:eastAsia="Arial" w:hAnsi="Arial"/>
          <w:sz w:val="18"/>
          <w:szCs w:val="18"/>
          <w:color w:val="auto"/>
        </w:rPr>
        <w:t xml:space="preserve"> ) and as Documentation Agents when noted ( </w:t>
      </w:r>
      <w:r>
        <w:rPr>
          <w:rFonts w:ascii="Arial" w:cs="Arial" w:eastAsia="Arial" w:hAnsi="Arial"/>
          <w:sz w:val="15"/>
          <w:szCs w:val="15"/>
          <w:color w:val="auto"/>
        </w:rPr>
        <w:t>2</w:t>
      </w:r>
      <w:r>
        <w:rPr>
          <w:rFonts w:ascii="Arial" w:cs="Arial" w:eastAsia="Arial" w:hAnsi="Arial"/>
          <w:sz w:val="18"/>
          <w:szCs w:val="18"/>
          <w:color w:val="auto"/>
        </w:rPr>
        <w:t xml:space="preserve"> )</w:t>
      </w:r>
    </w:p>
    <w:p>
      <w:pPr>
        <w:sectPr>
          <w:pgSz w:w="11900" w:h="16838" w:orient="portrait"/>
          <w:cols w:equalWidth="0" w:num="1">
            <w:col w:w="11040"/>
          </w:cols>
          <w:pgMar w:left="440" w:top="121"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38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3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1.1</w:t>
            </w:r>
          </w:p>
        </w:tc>
        <w:tc>
          <w:tcPr>
            <w:tcW w:w="738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1.2</w:t>
            </w:r>
          </w:p>
        </w:tc>
        <w:tc>
          <w:tcPr>
            <w:tcW w:w="738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1.3</w:t>
            </w:r>
          </w:p>
        </w:tc>
        <w:tc>
          <w:tcPr>
            <w:tcW w:w="7380" w:type="dxa"/>
            <w:vAlign w:val="bottom"/>
          </w:tcPr>
          <w:p>
            <w:pPr>
              <w:ind w:left="140"/>
              <w:spacing w:after="0"/>
              <w:rPr>
                <w:sz w:val="20"/>
                <w:szCs w:val="20"/>
                <w:color w:val="auto"/>
              </w:rPr>
            </w:pPr>
            <w:r>
              <w:rPr>
                <w:rFonts w:ascii="Arial" w:cs="Arial" w:eastAsia="Arial" w:hAnsi="Arial"/>
                <w:sz w:val="18"/>
                <w:szCs w:val="18"/>
                <w:color w:val="auto"/>
              </w:rPr>
              <w:t>Conversion of Foreign Currencies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1.4</w:t>
            </w:r>
          </w:p>
        </w:tc>
        <w:tc>
          <w:tcPr>
            <w:tcW w:w="7380" w:type="dxa"/>
            <w:vAlign w:val="bottom"/>
          </w:tcPr>
          <w:p>
            <w:pPr>
              <w:ind w:left="140"/>
              <w:spacing w:after="0"/>
              <w:rPr>
                <w:sz w:val="20"/>
                <w:szCs w:val="20"/>
                <w:color w:val="auto"/>
              </w:rPr>
            </w:pPr>
            <w:r>
              <w:rPr>
                <w:rFonts w:ascii="Arial" w:cs="Arial" w:eastAsia="Arial" w:hAnsi="Arial"/>
                <w:sz w:val="18"/>
                <w:szCs w:val="18"/>
                <w:color w:val="auto"/>
              </w:rPr>
              <w:t>Other Interpretive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1.5</w:t>
            </w:r>
          </w:p>
        </w:tc>
        <w:tc>
          <w:tcPr>
            <w:tcW w:w="7380" w:type="dxa"/>
            <w:vAlign w:val="bottom"/>
          </w:tcPr>
          <w:p>
            <w:pPr>
              <w:ind w:left="140"/>
              <w:spacing w:after="0"/>
              <w:rPr>
                <w:sz w:val="20"/>
                <w:szCs w:val="20"/>
                <w:color w:val="auto"/>
              </w:rPr>
            </w:pPr>
            <w:r>
              <w:rPr>
                <w:rFonts w:ascii="Arial" w:cs="Arial" w:eastAsia="Arial" w:hAnsi="Arial"/>
                <w:sz w:val="18"/>
                <w:szCs w:val="18"/>
                <w:color w:val="auto"/>
              </w:rPr>
              <w:t>Divisions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2.1</w:t>
            </w:r>
          </w:p>
        </w:tc>
        <w:tc>
          <w:tcPr>
            <w:tcW w:w="7380" w:type="dxa"/>
            <w:vAlign w:val="bottom"/>
          </w:tcPr>
          <w:p>
            <w:pPr>
              <w:ind w:left="140"/>
              <w:spacing w:after="0"/>
              <w:rPr>
                <w:sz w:val="20"/>
                <w:szCs w:val="20"/>
                <w:color w:val="auto"/>
              </w:rPr>
            </w:pPr>
            <w:r>
              <w:rPr>
                <w:rFonts w:ascii="Arial" w:cs="Arial" w:eastAsia="Arial" w:hAnsi="Arial"/>
                <w:sz w:val="18"/>
                <w:szCs w:val="18"/>
                <w:color w:val="auto"/>
              </w:rPr>
              <w:t>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w:t>
            </w:r>
          </w:p>
        </w:tc>
        <w:tc>
          <w:tcPr>
            <w:tcW w:w="7380" w:type="dxa"/>
            <w:vAlign w:val="bottom"/>
          </w:tcPr>
          <w:p>
            <w:pPr>
              <w:ind w:left="140"/>
              <w:spacing w:after="0"/>
              <w:rPr>
                <w:sz w:val="20"/>
                <w:szCs w:val="20"/>
                <w:color w:val="auto"/>
              </w:rPr>
            </w:pPr>
            <w:r>
              <w:rPr>
                <w:rFonts w:ascii="Arial" w:cs="Arial" w:eastAsia="Arial" w:hAnsi="Arial"/>
                <w:sz w:val="18"/>
                <w:szCs w:val="18"/>
                <w:color w:val="auto"/>
              </w:rPr>
              <w:t>Procedure for Borrowing</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2.3</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2.4</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2.5</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2.6</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2.7</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2.8</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2.9</w:t>
            </w:r>
          </w:p>
        </w:tc>
        <w:tc>
          <w:tcPr>
            <w:tcW w:w="7380" w:type="dxa"/>
            <w:vAlign w:val="bottom"/>
          </w:tcPr>
          <w:p>
            <w:pPr>
              <w:ind w:left="140"/>
              <w:spacing w:after="0"/>
              <w:rPr>
                <w:sz w:val="20"/>
                <w:szCs w:val="20"/>
                <w:color w:val="auto"/>
              </w:rPr>
            </w:pPr>
            <w:r>
              <w:rPr>
                <w:rFonts w:ascii="Arial" w:cs="Arial" w:eastAsia="Arial" w:hAnsi="Arial"/>
                <w:sz w:val="18"/>
                <w:szCs w:val="18"/>
                <w:color w:val="auto"/>
              </w:rPr>
              <w:t>Competitive Bid Procedure</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2.10</w:t>
            </w:r>
          </w:p>
        </w:tc>
        <w:tc>
          <w:tcPr>
            <w:tcW w:w="7380" w:type="dxa"/>
            <w:vAlign w:val="bottom"/>
          </w:tcPr>
          <w:p>
            <w:pPr>
              <w:ind w:left="140"/>
              <w:spacing w:after="0"/>
              <w:rPr>
                <w:sz w:val="20"/>
                <w:szCs w:val="20"/>
                <w:color w:val="auto"/>
              </w:rPr>
            </w:pPr>
            <w:r>
              <w:rPr>
                <w:rFonts w:ascii="Arial" w:cs="Arial" w:eastAsia="Arial" w:hAnsi="Arial"/>
                <w:sz w:val="18"/>
                <w:szCs w:val="18"/>
                <w:color w:val="auto"/>
              </w:rPr>
              <w:t>Facility Fees,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2.11</w:t>
            </w:r>
          </w:p>
        </w:tc>
        <w:tc>
          <w:tcPr>
            <w:tcW w:w="7380" w:type="dxa"/>
            <w:vAlign w:val="bottom"/>
          </w:tcPr>
          <w:p>
            <w:pPr>
              <w:ind w:left="140"/>
              <w:spacing w:after="0"/>
              <w:rPr>
                <w:sz w:val="20"/>
                <w:szCs w:val="20"/>
                <w:color w:val="auto"/>
              </w:rPr>
            </w:pPr>
            <w:r>
              <w:rPr>
                <w:rFonts w:ascii="Arial" w:cs="Arial" w:eastAsia="Arial" w:hAnsi="Arial"/>
                <w:sz w:val="18"/>
                <w:szCs w:val="18"/>
                <w:color w:val="auto"/>
              </w:rPr>
              <w:t>Termination and Reduction of Commitments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2.12</w:t>
            </w:r>
          </w:p>
        </w:tc>
        <w:tc>
          <w:tcPr>
            <w:tcW w:w="7380" w:type="dxa"/>
            <w:vAlign w:val="bottom"/>
          </w:tcPr>
          <w:p>
            <w:pPr>
              <w:ind w:left="140"/>
              <w:spacing w:after="0"/>
              <w:rPr>
                <w:sz w:val="20"/>
                <w:szCs w:val="20"/>
                <w:color w:val="auto"/>
              </w:rPr>
            </w:pPr>
            <w:r>
              <w:rPr>
                <w:rFonts w:ascii="Arial" w:cs="Arial" w:eastAsia="Arial" w:hAnsi="Arial"/>
                <w:sz w:val="18"/>
                <w:szCs w:val="18"/>
                <w:color w:val="auto"/>
              </w:rPr>
              <w:t>Optional Prepayments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2.13</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2.14</w:t>
            </w:r>
          </w:p>
        </w:tc>
        <w:tc>
          <w:tcPr>
            <w:tcW w:w="7380" w:type="dxa"/>
            <w:vAlign w:val="bottom"/>
          </w:tcPr>
          <w:p>
            <w:pPr>
              <w:ind w:left="140"/>
              <w:spacing w:after="0"/>
              <w:rPr>
                <w:sz w:val="20"/>
                <w:szCs w:val="20"/>
                <w:color w:val="auto"/>
              </w:rPr>
            </w:pPr>
            <w:r>
              <w:rPr>
                <w:rFonts w:ascii="Arial" w:cs="Arial" w:eastAsia="Arial" w:hAnsi="Arial"/>
                <w:sz w:val="18"/>
                <w:szCs w:val="18"/>
                <w:color w:val="auto"/>
              </w:rPr>
              <w:t>Conversion and Continuation Options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2.15</w:t>
            </w:r>
          </w:p>
        </w:tc>
        <w:tc>
          <w:tcPr>
            <w:tcW w:w="7380" w:type="dxa"/>
            <w:vAlign w:val="bottom"/>
          </w:tcPr>
          <w:p>
            <w:pPr>
              <w:ind w:left="140"/>
              <w:spacing w:after="0"/>
              <w:rPr>
                <w:sz w:val="20"/>
                <w:szCs w:val="20"/>
                <w:color w:val="auto"/>
              </w:rPr>
            </w:pPr>
            <w:r>
              <w:rPr>
                <w:rFonts w:ascii="Arial" w:cs="Arial" w:eastAsia="Arial" w:hAnsi="Arial"/>
                <w:sz w:val="18"/>
                <w:szCs w:val="18"/>
                <w:color w:val="auto"/>
              </w:rPr>
              <w:t>Limitations on Eurocurrency Tranches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2.16</w:t>
            </w:r>
          </w:p>
        </w:tc>
        <w:tc>
          <w:tcPr>
            <w:tcW w:w="7380" w:type="dxa"/>
            <w:vAlign w:val="bottom"/>
          </w:tcPr>
          <w:p>
            <w:pPr>
              <w:ind w:left="140"/>
              <w:spacing w:after="0"/>
              <w:rPr>
                <w:sz w:val="20"/>
                <w:szCs w:val="20"/>
                <w:color w:val="auto"/>
              </w:rPr>
            </w:pPr>
            <w:r>
              <w:rPr>
                <w:rFonts w:ascii="Arial" w:cs="Arial" w:eastAsia="Arial" w:hAnsi="Arial"/>
                <w:sz w:val="18"/>
                <w:szCs w:val="18"/>
                <w:color w:val="auto"/>
              </w:rPr>
              <w:t>Interest Rates and Payment Dates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2.17</w:t>
            </w:r>
          </w:p>
        </w:tc>
        <w:tc>
          <w:tcPr>
            <w:tcW w:w="7380" w:type="dxa"/>
            <w:vAlign w:val="bottom"/>
          </w:tcPr>
          <w:p>
            <w:pPr>
              <w:ind w:left="140"/>
              <w:spacing w:after="0"/>
              <w:rPr>
                <w:sz w:val="20"/>
                <w:szCs w:val="20"/>
                <w:color w:val="auto"/>
              </w:rPr>
            </w:pPr>
            <w:r>
              <w:rPr>
                <w:rFonts w:ascii="Arial" w:cs="Arial" w:eastAsia="Arial" w:hAnsi="Arial"/>
                <w:sz w:val="18"/>
                <w:szCs w:val="18"/>
                <w:color w:val="auto"/>
              </w:rPr>
              <w:t>Computation of Interest and Fees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2.18</w:t>
            </w:r>
          </w:p>
        </w:tc>
        <w:tc>
          <w:tcPr>
            <w:tcW w:w="7380" w:type="dxa"/>
            <w:vAlign w:val="bottom"/>
          </w:tcPr>
          <w:p>
            <w:pPr>
              <w:ind w:left="140"/>
              <w:spacing w:after="0"/>
              <w:rPr>
                <w:sz w:val="20"/>
                <w:szCs w:val="20"/>
                <w:color w:val="auto"/>
              </w:rPr>
            </w:pPr>
            <w:r>
              <w:rPr>
                <w:rFonts w:ascii="Arial" w:cs="Arial" w:eastAsia="Arial" w:hAnsi="Arial"/>
                <w:sz w:val="18"/>
                <w:szCs w:val="18"/>
                <w:color w:val="auto"/>
              </w:rPr>
              <w:t>Inability to Determine Interest Rate; Illegality</w:t>
            </w:r>
          </w:p>
        </w:tc>
        <w:tc>
          <w:tcPr>
            <w:tcW w:w="2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2.19</w:t>
            </w:r>
          </w:p>
        </w:tc>
        <w:tc>
          <w:tcPr>
            <w:tcW w:w="7380" w:type="dxa"/>
            <w:vAlign w:val="bottom"/>
          </w:tcPr>
          <w:p>
            <w:pPr>
              <w:ind w:left="140"/>
              <w:spacing w:after="0"/>
              <w:rPr>
                <w:sz w:val="20"/>
                <w:szCs w:val="20"/>
                <w:color w:val="auto"/>
              </w:rPr>
            </w:pPr>
            <w:r>
              <w:rPr>
                <w:rFonts w:ascii="Arial" w:cs="Arial" w:eastAsia="Arial" w:hAnsi="Arial"/>
                <w:sz w:val="18"/>
                <w:szCs w:val="18"/>
                <w:color w:val="auto"/>
              </w:rPr>
              <w:t>Pro Rata Treatment and Payments; Evidence of Debt</w:t>
            </w:r>
          </w:p>
        </w:tc>
        <w:tc>
          <w:tcPr>
            <w:tcW w:w="2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2.20</w:t>
            </w:r>
          </w:p>
        </w:tc>
        <w:tc>
          <w:tcPr>
            <w:tcW w:w="7380" w:type="dxa"/>
            <w:vAlign w:val="bottom"/>
          </w:tcPr>
          <w:p>
            <w:pPr>
              <w:ind w:left="140"/>
              <w:spacing w:after="0"/>
              <w:rPr>
                <w:sz w:val="20"/>
                <w:szCs w:val="20"/>
                <w:color w:val="auto"/>
              </w:rPr>
            </w:pPr>
            <w:r>
              <w:rPr>
                <w:rFonts w:ascii="Arial" w:cs="Arial" w:eastAsia="Arial" w:hAnsi="Arial"/>
                <w:sz w:val="18"/>
                <w:szCs w:val="18"/>
                <w:color w:val="auto"/>
              </w:rPr>
              <w:t>Requirements of Law</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2.21</w:t>
            </w:r>
          </w:p>
        </w:tc>
        <w:tc>
          <w:tcPr>
            <w:tcW w:w="7380" w:type="dxa"/>
            <w:vAlign w:val="bottom"/>
          </w:tcPr>
          <w:p>
            <w:pPr>
              <w:ind w:left="140"/>
              <w:spacing w:after="0"/>
              <w:rPr>
                <w:sz w:val="20"/>
                <w:szCs w:val="20"/>
                <w:color w:val="auto"/>
              </w:rPr>
            </w:pPr>
            <w:r>
              <w:rPr>
                <w:rFonts w:ascii="Arial" w:cs="Arial" w:eastAsia="Arial" w:hAnsi="Arial"/>
                <w:sz w:val="18"/>
                <w:szCs w:val="18"/>
                <w:color w:val="auto"/>
              </w:rPr>
              <w:t>Taxes</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2.22</w:t>
            </w:r>
          </w:p>
        </w:tc>
        <w:tc>
          <w:tcPr>
            <w:tcW w:w="738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2.23</w:t>
            </w:r>
          </w:p>
        </w:tc>
        <w:tc>
          <w:tcPr>
            <w:tcW w:w="7380" w:type="dxa"/>
            <w:vAlign w:val="bottom"/>
          </w:tcPr>
          <w:p>
            <w:pPr>
              <w:ind w:left="140"/>
              <w:spacing w:after="0"/>
              <w:rPr>
                <w:sz w:val="20"/>
                <w:szCs w:val="20"/>
                <w:color w:val="auto"/>
              </w:rPr>
            </w:pPr>
            <w:r>
              <w:rPr>
                <w:rFonts w:ascii="Arial" w:cs="Arial" w:eastAsia="Arial" w:hAnsi="Arial"/>
                <w:sz w:val="18"/>
                <w:szCs w:val="18"/>
                <w:color w:val="auto"/>
              </w:rPr>
              <w:t>Change of Applicable Lending Office</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2.24</w:t>
            </w:r>
          </w:p>
        </w:tc>
        <w:tc>
          <w:tcPr>
            <w:tcW w:w="7380" w:type="dxa"/>
            <w:vAlign w:val="bottom"/>
          </w:tcPr>
          <w:p>
            <w:pPr>
              <w:ind w:left="140"/>
              <w:spacing w:after="0"/>
              <w:rPr>
                <w:sz w:val="20"/>
                <w:szCs w:val="20"/>
                <w:color w:val="auto"/>
              </w:rPr>
            </w:pPr>
            <w:r>
              <w:rPr>
                <w:rFonts w:ascii="Arial" w:cs="Arial" w:eastAsia="Arial" w:hAnsi="Arial"/>
                <w:sz w:val="18"/>
                <w:szCs w:val="18"/>
                <w:color w:val="auto"/>
              </w:rPr>
              <w:t>Replacement/Termination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2.25</w:t>
            </w:r>
          </w:p>
        </w:tc>
        <w:tc>
          <w:tcPr>
            <w:tcW w:w="7380" w:type="dxa"/>
            <w:vAlign w:val="bottom"/>
          </w:tcPr>
          <w:p>
            <w:pPr>
              <w:ind w:left="140"/>
              <w:spacing w:after="0"/>
              <w:rPr>
                <w:sz w:val="20"/>
                <w:szCs w:val="20"/>
                <w:color w:val="auto"/>
              </w:rPr>
            </w:pPr>
            <w:r>
              <w:rPr>
                <w:rFonts w:ascii="Arial" w:cs="Arial" w:eastAsia="Arial" w:hAnsi="Arial"/>
                <w:sz w:val="18"/>
                <w:szCs w:val="18"/>
                <w:color w:val="auto"/>
              </w:rPr>
              <w:t>Defaulting Lender</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2.26</w:t>
            </w:r>
          </w:p>
        </w:tc>
        <w:tc>
          <w:tcPr>
            <w:tcW w:w="7380" w:type="dxa"/>
            <w:vAlign w:val="bottom"/>
          </w:tcPr>
          <w:p>
            <w:pPr>
              <w:ind w:left="140"/>
              <w:spacing w:after="0"/>
              <w:rPr>
                <w:sz w:val="20"/>
                <w:szCs w:val="20"/>
                <w:color w:val="auto"/>
              </w:rPr>
            </w:pPr>
            <w:r>
              <w:rPr>
                <w:rFonts w:ascii="Arial" w:cs="Arial" w:eastAsia="Arial" w:hAnsi="Arial"/>
                <w:sz w:val="18"/>
                <w:szCs w:val="18"/>
                <w:color w:val="auto"/>
              </w:rPr>
              <w:t>Reallocation of Payments for the Account of Defaulting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2.27</w:t>
            </w:r>
          </w:p>
        </w:tc>
        <w:tc>
          <w:tcPr>
            <w:tcW w:w="7380" w:type="dxa"/>
            <w:vAlign w:val="bottom"/>
          </w:tcPr>
          <w:p>
            <w:pPr>
              <w:ind w:left="140"/>
              <w:spacing w:after="0"/>
              <w:rPr>
                <w:sz w:val="20"/>
                <w:szCs w:val="20"/>
                <w:color w:val="auto"/>
              </w:rPr>
            </w:pPr>
            <w:r>
              <w:rPr>
                <w:rFonts w:ascii="Arial" w:cs="Arial" w:eastAsia="Arial" w:hAnsi="Arial"/>
                <w:sz w:val="18"/>
                <w:szCs w:val="18"/>
                <w:color w:val="auto"/>
              </w:rPr>
              <w:t>Term Loan Conversion; Repayment of Converted Term Loans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73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ind w:left="360"/>
              <w:spacing w:after="0"/>
              <w:rPr>
                <w:sz w:val="20"/>
                <w:szCs w:val="20"/>
                <w:color w:val="auto"/>
              </w:rPr>
            </w:pPr>
            <w:r>
              <w:rPr>
                <w:rFonts w:ascii="Arial" w:cs="Arial" w:eastAsia="Arial" w:hAnsi="Arial"/>
                <w:sz w:val="18"/>
                <w:szCs w:val="18"/>
                <w:color w:val="auto"/>
              </w:rPr>
              <w:t>4.1</w:t>
            </w:r>
          </w:p>
        </w:tc>
        <w:tc>
          <w:tcPr>
            <w:tcW w:w="7380" w:type="dxa"/>
            <w:vAlign w:val="bottom"/>
          </w:tcPr>
          <w:p>
            <w:pPr>
              <w:ind w:left="140"/>
              <w:spacing w:after="0"/>
              <w:rPr>
                <w:sz w:val="20"/>
                <w:szCs w:val="20"/>
                <w:color w:val="auto"/>
              </w:rPr>
            </w:pPr>
            <w:r>
              <w:rPr>
                <w:rFonts w:ascii="Arial" w:cs="Arial" w:eastAsia="Arial" w:hAnsi="Arial"/>
                <w:sz w:val="18"/>
                <w:szCs w:val="18"/>
                <w:color w:val="auto"/>
              </w:rPr>
              <w:t>Financial Condition</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1060" w:type="dxa"/>
            <w:vAlign w:val="bottom"/>
          </w:tcPr>
          <w:p>
            <w:pPr>
              <w:spacing w:after="0"/>
              <w:rPr>
                <w:sz w:val="24"/>
                <w:szCs w:val="24"/>
                <w:color w:val="auto"/>
              </w:rPr>
            </w:pPr>
          </w:p>
        </w:tc>
        <w:tc>
          <w:tcPr>
            <w:tcW w:w="7380" w:type="dxa"/>
            <w:vAlign w:val="bottom"/>
          </w:tcPr>
          <w:p>
            <w:pPr>
              <w:ind w:left="4420"/>
              <w:spacing w:after="0"/>
              <w:rPr>
                <w:sz w:val="20"/>
                <w:szCs w:val="20"/>
                <w:color w:val="auto"/>
              </w:rPr>
            </w:pPr>
            <w:r>
              <w:rPr>
                <w:rFonts w:ascii="Arial" w:cs="Arial" w:eastAsia="Arial" w:hAnsi="Arial"/>
                <w:sz w:val="18"/>
                <w:szCs w:val="18"/>
                <w:color w:val="auto"/>
              </w:rPr>
              <w:t>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4.2</w:t>
            </w:r>
          </w:p>
        </w:tc>
        <w:tc>
          <w:tcPr>
            <w:tcW w:w="6620" w:type="dxa"/>
            <w:vAlign w:val="bottom"/>
          </w:tcPr>
          <w:p>
            <w:pPr>
              <w:ind w:left="60"/>
              <w:spacing w:after="0"/>
              <w:rPr>
                <w:sz w:val="20"/>
                <w:szCs w:val="20"/>
                <w:color w:val="auto"/>
              </w:rPr>
            </w:pPr>
            <w:r>
              <w:rPr>
                <w:rFonts w:ascii="Arial" w:cs="Arial" w:eastAsia="Arial" w:hAnsi="Arial"/>
                <w:sz w:val="18"/>
                <w:szCs w:val="18"/>
                <w:color w:val="auto"/>
              </w:rPr>
              <w:t>No Change</w:t>
            </w:r>
          </w:p>
        </w:tc>
        <w:tc>
          <w:tcPr>
            <w:tcW w:w="3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4.3</w:t>
            </w:r>
          </w:p>
        </w:tc>
        <w:tc>
          <w:tcPr>
            <w:tcW w:w="6620" w:type="dxa"/>
            <w:vAlign w:val="bottom"/>
          </w:tcPr>
          <w:p>
            <w:pPr>
              <w:ind w:left="60"/>
              <w:spacing w:after="0"/>
              <w:rPr>
                <w:sz w:val="20"/>
                <w:szCs w:val="20"/>
                <w:color w:val="auto"/>
              </w:rPr>
            </w:pPr>
            <w:r>
              <w:rPr>
                <w:rFonts w:ascii="Arial" w:cs="Arial" w:eastAsia="Arial" w:hAnsi="Arial"/>
                <w:sz w:val="18"/>
                <w:szCs w:val="18"/>
                <w:color w:val="auto"/>
              </w:rPr>
              <w:t>Existence</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4.4</w:t>
            </w:r>
          </w:p>
        </w:tc>
        <w:tc>
          <w:tcPr>
            <w:tcW w:w="6620" w:type="dxa"/>
            <w:vAlign w:val="bottom"/>
          </w:tcPr>
          <w:p>
            <w:pPr>
              <w:ind w:left="60"/>
              <w:spacing w:after="0"/>
              <w:rPr>
                <w:sz w:val="20"/>
                <w:szCs w:val="20"/>
                <w:color w:val="auto"/>
              </w:rPr>
            </w:pPr>
            <w:r>
              <w:rPr>
                <w:rFonts w:ascii="Arial" w:cs="Arial" w:eastAsia="Arial" w:hAnsi="Arial"/>
                <w:sz w:val="18"/>
                <w:szCs w:val="18"/>
                <w:color w:val="auto"/>
              </w:rPr>
              <w:t>Power; Authorization; Enforceable Obligations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4.5</w:t>
            </w:r>
          </w:p>
        </w:tc>
        <w:tc>
          <w:tcPr>
            <w:tcW w:w="6620" w:type="dxa"/>
            <w:vAlign w:val="bottom"/>
          </w:tcPr>
          <w:p>
            <w:pPr>
              <w:ind w:left="60"/>
              <w:spacing w:after="0"/>
              <w:rPr>
                <w:sz w:val="20"/>
                <w:szCs w:val="20"/>
                <w:color w:val="auto"/>
              </w:rPr>
            </w:pPr>
            <w:r>
              <w:rPr>
                <w:rFonts w:ascii="Arial" w:cs="Arial" w:eastAsia="Arial" w:hAnsi="Arial"/>
                <w:sz w:val="18"/>
                <w:szCs w:val="18"/>
                <w:color w:val="auto"/>
              </w:rPr>
              <w:t>No Legal Bar</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4.6</w:t>
            </w:r>
          </w:p>
        </w:tc>
        <w:tc>
          <w:tcPr>
            <w:tcW w:w="662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4.7</w:t>
            </w:r>
          </w:p>
        </w:tc>
        <w:tc>
          <w:tcPr>
            <w:tcW w:w="662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4.8</w:t>
            </w:r>
          </w:p>
        </w:tc>
        <w:tc>
          <w:tcPr>
            <w:tcW w:w="6620" w:type="dxa"/>
            <w:vAlign w:val="bottom"/>
          </w:tcPr>
          <w:p>
            <w:pPr>
              <w:ind w:left="60"/>
              <w:spacing w:after="0"/>
              <w:rPr>
                <w:sz w:val="20"/>
                <w:szCs w:val="20"/>
                <w:color w:val="auto"/>
              </w:rPr>
            </w:pPr>
            <w:r>
              <w:rPr>
                <w:rFonts w:ascii="Arial" w:cs="Arial" w:eastAsia="Arial" w:hAnsi="Arial"/>
                <w:sz w:val="18"/>
                <w:szCs w:val="18"/>
                <w:color w:val="auto"/>
              </w:rPr>
              <w:t>Ownership of Property</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4.9</w:t>
            </w:r>
          </w:p>
        </w:tc>
        <w:tc>
          <w:tcPr>
            <w:tcW w:w="662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3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4.10</w:t>
            </w:r>
          </w:p>
        </w:tc>
        <w:tc>
          <w:tcPr>
            <w:tcW w:w="6620" w:type="dxa"/>
            <w:vAlign w:val="bottom"/>
          </w:tcPr>
          <w:p>
            <w:pPr>
              <w:ind w:left="60"/>
              <w:spacing w:after="0"/>
              <w:rPr>
                <w:sz w:val="20"/>
                <w:szCs w:val="20"/>
                <w:color w:val="auto"/>
              </w:rPr>
            </w:pPr>
            <w:r>
              <w:rPr>
                <w:rFonts w:ascii="Arial" w:cs="Arial" w:eastAsia="Arial" w:hAnsi="Arial"/>
                <w:sz w:val="18"/>
                <w:szCs w:val="18"/>
                <w:color w:val="auto"/>
              </w:rPr>
              <w:t>Federal Regulations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4.11</w:t>
            </w:r>
          </w:p>
        </w:tc>
        <w:tc>
          <w:tcPr>
            <w:tcW w:w="6620" w:type="dxa"/>
            <w:vAlign w:val="bottom"/>
          </w:tcPr>
          <w:p>
            <w:pPr>
              <w:ind w:left="60"/>
              <w:spacing w:after="0"/>
              <w:rPr>
                <w:sz w:val="20"/>
                <w:szCs w:val="20"/>
                <w:color w:val="auto"/>
              </w:rPr>
            </w:pPr>
            <w:r>
              <w:rPr>
                <w:rFonts w:ascii="Arial" w:cs="Arial" w:eastAsia="Arial" w:hAnsi="Arial"/>
                <w:sz w:val="18"/>
                <w:szCs w:val="18"/>
                <w:color w:val="auto"/>
              </w:rPr>
              <w:t>ERISA</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4.12</w:t>
            </w:r>
          </w:p>
        </w:tc>
        <w:tc>
          <w:tcPr>
            <w:tcW w:w="662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4.13</w:t>
            </w:r>
          </w:p>
        </w:tc>
        <w:tc>
          <w:tcPr>
            <w:tcW w:w="6620" w:type="dxa"/>
            <w:vAlign w:val="bottom"/>
          </w:tcPr>
          <w:p>
            <w:pPr>
              <w:ind w:left="60"/>
              <w:spacing w:after="0"/>
              <w:rPr>
                <w:sz w:val="20"/>
                <w:szCs w:val="20"/>
                <w:color w:val="auto"/>
              </w:rPr>
            </w:pPr>
            <w:r>
              <w:rPr>
                <w:rFonts w:ascii="Arial" w:cs="Arial" w:eastAsia="Arial" w:hAnsi="Arial"/>
                <w:sz w:val="18"/>
                <w:szCs w:val="18"/>
                <w:color w:val="auto"/>
              </w:rPr>
              <w:t>Ownership of the Subsidiary Borrowers</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4.14</w:t>
            </w:r>
          </w:p>
        </w:tc>
        <w:tc>
          <w:tcPr>
            <w:tcW w:w="662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4.15</w:t>
            </w:r>
          </w:p>
        </w:tc>
        <w:tc>
          <w:tcPr>
            <w:tcW w:w="662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5.</w:t>
            </w:r>
          </w:p>
        </w:tc>
        <w:tc>
          <w:tcPr>
            <w:tcW w:w="6620" w:type="dxa"/>
            <w:vAlign w:val="bottom"/>
          </w:tcPr>
          <w:p>
            <w:pPr>
              <w:ind w:left="60"/>
              <w:spacing w:after="0"/>
              <w:rPr>
                <w:sz w:val="20"/>
                <w:szCs w:val="20"/>
                <w:color w:val="auto"/>
              </w:rPr>
            </w:pPr>
            <w:r>
              <w:rPr>
                <w:rFonts w:ascii="Arial" w:cs="Arial" w:eastAsia="Arial" w:hAnsi="Arial"/>
                <w:sz w:val="18"/>
                <w:szCs w:val="18"/>
                <w:color w:val="auto"/>
              </w:rPr>
              <w:t>CONDITIONS PRECEDENT</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5.1</w:t>
            </w:r>
          </w:p>
        </w:tc>
        <w:tc>
          <w:tcPr>
            <w:tcW w:w="6620" w:type="dxa"/>
            <w:vAlign w:val="bottom"/>
          </w:tcPr>
          <w:p>
            <w:pPr>
              <w:ind w:left="60"/>
              <w:spacing w:after="0"/>
              <w:rPr>
                <w:sz w:val="20"/>
                <w:szCs w:val="20"/>
                <w:color w:val="auto"/>
              </w:rPr>
            </w:pPr>
            <w:r>
              <w:rPr>
                <w:rFonts w:ascii="Arial" w:cs="Arial" w:eastAsia="Arial" w:hAnsi="Arial"/>
                <w:sz w:val="18"/>
                <w:szCs w:val="18"/>
                <w:color w:val="auto"/>
              </w:rPr>
              <w:t>Conditions to Closing Date</w:t>
            </w:r>
          </w:p>
        </w:tc>
        <w:tc>
          <w:tcPr>
            <w:tcW w:w="3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5.2</w:t>
            </w:r>
          </w:p>
        </w:tc>
        <w:tc>
          <w:tcPr>
            <w:tcW w:w="6620" w:type="dxa"/>
            <w:vAlign w:val="bottom"/>
          </w:tcPr>
          <w:p>
            <w:pPr>
              <w:ind w:left="60"/>
              <w:spacing w:after="0"/>
              <w:rPr>
                <w:sz w:val="20"/>
                <w:szCs w:val="20"/>
                <w:color w:val="auto"/>
              </w:rPr>
            </w:pPr>
            <w:r>
              <w:rPr>
                <w:rFonts w:ascii="Arial" w:cs="Arial" w:eastAsia="Arial" w:hAnsi="Arial"/>
                <w:sz w:val="18"/>
                <w:szCs w:val="18"/>
                <w:color w:val="auto"/>
              </w:rPr>
              <w:t>Conditions to Each Extension of Credit</w:t>
            </w:r>
          </w:p>
        </w:tc>
        <w:tc>
          <w:tcPr>
            <w:tcW w:w="3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6.</w:t>
            </w:r>
          </w:p>
        </w:tc>
        <w:tc>
          <w:tcPr>
            <w:tcW w:w="6620" w:type="dxa"/>
            <w:vAlign w:val="bottom"/>
          </w:tcPr>
          <w:p>
            <w:pPr>
              <w:ind w:left="60"/>
              <w:spacing w:after="0"/>
              <w:rPr>
                <w:sz w:val="20"/>
                <w:szCs w:val="20"/>
                <w:color w:val="auto"/>
              </w:rPr>
            </w:pPr>
            <w:r>
              <w:rPr>
                <w:rFonts w:ascii="Arial" w:cs="Arial" w:eastAsia="Arial" w:hAnsi="Arial"/>
                <w:sz w:val="18"/>
                <w:szCs w:val="18"/>
                <w:color w:val="auto"/>
              </w:rPr>
              <w:t>AFFIRMATIVE 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6.1</w:t>
            </w:r>
          </w:p>
        </w:tc>
        <w:tc>
          <w:tcPr>
            <w:tcW w:w="662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3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6.2</w:t>
            </w:r>
          </w:p>
        </w:tc>
        <w:tc>
          <w:tcPr>
            <w:tcW w:w="6620" w:type="dxa"/>
            <w:vAlign w:val="bottom"/>
          </w:tcPr>
          <w:p>
            <w:pPr>
              <w:ind w:left="60"/>
              <w:spacing w:after="0"/>
              <w:rPr>
                <w:sz w:val="20"/>
                <w:szCs w:val="20"/>
                <w:color w:val="auto"/>
              </w:rPr>
            </w:pPr>
            <w:r>
              <w:rPr>
                <w:rFonts w:ascii="Arial" w:cs="Arial" w:eastAsia="Arial" w:hAnsi="Arial"/>
                <w:sz w:val="18"/>
                <w:szCs w:val="18"/>
                <w:color w:val="auto"/>
              </w:rPr>
              <w:t>Compliance Certificates</w:t>
            </w:r>
          </w:p>
        </w:tc>
        <w:tc>
          <w:tcPr>
            <w:tcW w:w="3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6.3</w:t>
            </w:r>
          </w:p>
        </w:tc>
        <w:tc>
          <w:tcPr>
            <w:tcW w:w="6620" w:type="dxa"/>
            <w:vAlign w:val="bottom"/>
          </w:tcPr>
          <w:p>
            <w:pPr>
              <w:ind w:left="60"/>
              <w:spacing w:after="0"/>
              <w:rPr>
                <w:sz w:val="20"/>
                <w:szCs w:val="20"/>
                <w:color w:val="auto"/>
              </w:rPr>
            </w:pPr>
            <w:r>
              <w:rPr>
                <w:rFonts w:ascii="Arial" w:cs="Arial" w:eastAsia="Arial" w:hAnsi="Arial"/>
                <w:sz w:val="18"/>
                <w:szCs w:val="18"/>
                <w:color w:val="auto"/>
              </w:rPr>
              <w:t>Maintenance of Business; Existence</w:t>
            </w:r>
          </w:p>
        </w:tc>
        <w:tc>
          <w:tcPr>
            <w:tcW w:w="3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6.4</w:t>
            </w:r>
          </w:p>
        </w:tc>
        <w:tc>
          <w:tcPr>
            <w:tcW w:w="6620" w:type="dxa"/>
            <w:vAlign w:val="bottom"/>
          </w:tcPr>
          <w:p>
            <w:pPr>
              <w:ind w:left="60"/>
              <w:spacing w:after="0"/>
              <w:rPr>
                <w:sz w:val="20"/>
                <w:szCs w:val="20"/>
                <w:color w:val="auto"/>
              </w:rPr>
            </w:pPr>
            <w:r>
              <w:rPr>
                <w:rFonts w:ascii="Arial" w:cs="Arial" w:eastAsia="Arial" w:hAnsi="Arial"/>
                <w:sz w:val="18"/>
                <w:szCs w:val="18"/>
                <w:color w:val="auto"/>
              </w:rPr>
              <w:t>Maintenance of Insurance</w:t>
            </w:r>
          </w:p>
        </w:tc>
        <w:tc>
          <w:tcPr>
            <w:tcW w:w="3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6.5</w:t>
            </w:r>
          </w:p>
        </w:tc>
        <w:tc>
          <w:tcPr>
            <w:tcW w:w="6620" w:type="dxa"/>
            <w:vAlign w:val="bottom"/>
          </w:tcPr>
          <w:p>
            <w:pPr>
              <w:ind w:left="60"/>
              <w:spacing w:after="0"/>
              <w:rPr>
                <w:sz w:val="20"/>
                <w:szCs w:val="20"/>
                <w:color w:val="auto"/>
              </w:rPr>
            </w:pPr>
            <w:r>
              <w:rPr>
                <w:rFonts w:ascii="Arial" w:cs="Arial" w:eastAsia="Arial" w:hAnsi="Arial"/>
                <w:sz w:val="18"/>
                <w:szCs w:val="18"/>
                <w:color w:val="auto"/>
              </w:rPr>
              <w:t>Notices</w:t>
            </w:r>
          </w:p>
        </w:tc>
        <w:tc>
          <w:tcPr>
            <w:tcW w:w="3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6.6</w:t>
            </w:r>
          </w:p>
        </w:tc>
        <w:tc>
          <w:tcPr>
            <w:tcW w:w="6620" w:type="dxa"/>
            <w:vAlign w:val="bottom"/>
          </w:tcPr>
          <w:p>
            <w:pPr>
              <w:ind w:left="60"/>
              <w:spacing w:after="0"/>
              <w:rPr>
                <w:sz w:val="20"/>
                <w:szCs w:val="20"/>
                <w:color w:val="auto"/>
              </w:rPr>
            </w:pPr>
            <w:r>
              <w:rPr>
                <w:rFonts w:ascii="Arial" w:cs="Arial" w:eastAsia="Arial" w:hAnsi="Arial"/>
                <w:sz w:val="18"/>
                <w:szCs w:val="18"/>
                <w:color w:val="auto"/>
              </w:rPr>
              <w:t>Reinstated Guarantors, etc.</w:t>
            </w:r>
          </w:p>
        </w:tc>
        <w:tc>
          <w:tcPr>
            <w:tcW w:w="3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6.7</w:t>
            </w:r>
          </w:p>
        </w:tc>
        <w:tc>
          <w:tcPr>
            <w:tcW w:w="662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3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6.8</w:t>
            </w:r>
          </w:p>
        </w:tc>
        <w:tc>
          <w:tcPr>
            <w:tcW w:w="6620" w:type="dxa"/>
            <w:vAlign w:val="bottom"/>
          </w:tcPr>
          <w:p>
            <w:pPr>
              <w:ind w:left="60"/>
              <w:spacing w:after="0"/>
              <w:rPr>
                <w:sz w:val="20"/>
                <w:szCs w:val="20"/>
                <w:color w:val="auto"/>
              </w:rPr>
            </w:pPr>
            <w:r>
              <w:rPr>
                <w:rFonts w:ascii="Arial" w:cs="Arial" w:eastAsia="Arial" w:hAnsi="Arial"/>
                <w:sz w:val="18"/>
                <w:szCs w:val="18"/>
                <w:color w:val="auto"/>
              </w:rPr>
              <w:t>Ratings</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7.</w:t>
            </w:r>
          </w:p>
        </w:tc>
        <w:tc>
          <w:tcPr>
            <w:tcW w:w="6620" w:type="dxa"/>
            <w:vAlign w:val="bottom"/>
          </w:tcPr>
          <w:p>
            <w:pPr>
              <w:ind w:left="60"/>
              <w:spacing w:after="0"/>
              <w:rPr>
                <w:sz w:val="20"/>
                <w:szCs w:val="20"/>
                <w:color w:val="auto"/>
              </w:rPr>
            </w:pPr>
            <w:r>
              <w:rPr>
                <w:rFonts w:ascii="Arial" w:cs="Arial" w:eastAsia="Arial" w:hAnsi="Arial"/>
                <w:sz w:val="18"/>
                <w:szCs w:val="18"/>
                <w:color w:val="auto"/>
              </w:rPr>
              <w:t>NEGATIVE 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7.1</w:t>
            </w:r>
          </w:p>
        </w:tc>
        <w:tc>
          <w:tcPr>
            <w:tcW w:w="6620" w:type="dxa"/>
            <w:vAlign w:val="bottom"/>
          </w:tcPr>
          <w:p>
            <w:pPr>
              <w:ind w:left="60"/>
              <w:spacing w:after="0"/>
              <w:rPr>
                <w:sz w:val="20"/>
                <w:szCs w:val="20"/>
                <w:color w:val="auto"/>
              </w:rPr>
            </w:pPr>
            <w:r>
              <w:rPr>
                <w:rFonts w:ascii="Arial" w:cs="Arial" w:eastAsia="Arial" w:hAnsi="Arial"/>
                <w:sz w:val="18"/>
                <w:szCs w:val="18"/>
                <w:color w:val="auto"/>
              </w:rPr>
              <w:t>Minimum Liquidity</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7.2</w:t>
            </w:r>
          </w:p>
        </w:tc>
        <w:tc>
          <w:tcPr>
            <w:tcW w:w="662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7.3</w:t>
            </w:r>
          </w:p>
        </w:tc>
        <w:tc>
          <w:tcPr>
            <w:tcW w:w="6620" w:type="dxa"/>
            <w:vAlign w:val="bottom"/>
          </w:tcPr>
          <w:p>
            <w:pPr>
              <w:ind w:left="60"/>
              <w:spacing w:after="0"/>
              <w:rPr>
                <w:sz w:val="20"/>
                <w:szCs w:val="20"/>
                <w:color w:val="auto"/>
              </w:rPr>
            </w:pPr>
            <w:r>
              <w:rPr>
                <w:rFonts w:ascii="Arial" w:cs="Arial" w:eastAsia="Arial" w:hAnsi="Arial"/>
                <w:sz w:val="18"/>
                <w:szCs w:val="18"/>
                <w:color w:val="auto"/>
              </w:rPr>
              <w:t>Asset Sale Restrictions</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7.4</w:t>
            </w:r>
          </w:p>
        </w:tc>
        <w:tc>
          <w:tcPr>
            <w:tcW w:w="6620" w:type="dxa"/>
            <w:vAlign w:val="bottom"/>
          </w:tcPr>
          <w:p>
            <w:pPr>
              <w:ind w:left="60"/>
              <w:spacing w:after="0"/>
              <w:rPr>
                <w:sz w:val="20"/>
                <w:szCs w:val="20"/>
                <w:color w:val="auto"/>
              </w:rPr>
            </w:pPr>
            <w:r>
              <w:rPr>
                <w:rFonts w:ascii="Arial" w:cs="Arial" w:eastAsia="Arial" w:hAnsi="Arial"/>
                <w:sz w:val="18"/>
                <w:szCs w:val="18"/>
                <w:color w:val="auto"/>
              </w:rPr>
              <w:t>Fundamental Changes</w:t>
            </w:r>
          </w:p>
        </w:tc>
        <w:tc>
          <w:tcPr>
            <w:tcW w:w="3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7.5</w:t>
            </w:r>
          </w:p>
        </w:tc>
        <w:tc>
          <w:tcPr>
            <w:tcW w:w="662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64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9.</w:t>
            </w:r>
          </w:p>
        </w:tc>
        <w:tc>
          <w:tcPr>
            <w:tcW w:w="6620" w:type="dxa"/>
            <w:vAlign w:val="bottom"/>
          </w:tcPr>
          <w:p>
            <w:pPr>
              <w:ind w:left="60"/>
              <w:spacing w:after="0"/>
              <w:rPr>
                <w:sz w:val="20"/>
                <w:szCs w:val="20"/>
                <w:color w:val="auto"/>
              </w:rPr>
            </w:pPr>
            <w:r>
              <w:rPr>
                <w:rFonts w:ascii="Arial" w:cs="Arial" w:eastAsia="Arial" w:hAnsi="Arial"/>
                <w:sz w:val="18"/>
                <w:szCs w:val="18"/>
                <w:color w:val="auto"/>
              </w:rPr>
              <w:t>THE AGENTS</w:t>
            </w:r>
          </w:p>
        </w:tc>
        <w:tc>
          <w:tcPr>
            <w:tcW w:w="3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9.1</w:t>
            </w:r>
          </w:p>
        </w:tc>
        <w:tc>
          <w:tcPr>
            <w:tcW w:w="662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3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9.2</w:t>
            </w:r>
          </w:p>
        </w:tc>
        <w:tc>
          <w:tcPr>
            <w:tcW w:w="662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3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9.3</w:t>
            </w:r>
          </w:p>
        </w:tc>
        <w:tc>
          <w:tcPr>
            <w:tcW w:w="662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3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9.4</w:t>
            </w:r>
          </w:p>
        </w:tc>
        <w:tc>
          <w:tcPr>
            <w:tcW w:w="662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3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9.5</w:t>
            </w:r>
          </w:p>
        </w:tc>
        <w:tc>
          <w:tcPr>
            <w:tcW w:w="6620" w:type="dxa"/>
            <w:vAlign w:val="bottom"/>
          </w:tcPr>
          <w:p>
            <w:pPr>
              <w:ind w:left="60"/>
              <w:spacing w:after="0"/>
              <w:rPr>
                <w:sz w:val="20"/>
                <w:szCs w:val="20"/>
                <w:color w:val="auto"/>
              </w:rPr>
            </w:pPr>
            <w:r>
              <w:rPr>
                <w:rFonts w:ascii="Arial" w:cs="Arial" w:eastAsia="Arial" w:hAnsi="Arial"/>
                <w:sz w:val="18"/>
                <w:szCs w:val="18"/>
                <w:color w:val="auto"/>
              </w:rPr>
              <w:t>Notice of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9.6</w:t>
            </w:r>
          </w:p>
        </w:tc>
        <w:tc>
          <w:tcPr>
            <w:tcW w:w="9560" w:type="dxa"/>
            <w:vAlign w:val="bottom"/>
          </w:tcPr>
          <w:p>
            <w:pPr>
              <w:ind w:left="80"/>
              <w:spacing w:after="0"/>
              <w:rPr>
                <w:sz w:val="20"/>
                <w:szCs w:val="20"/>
                <w:color w:val="auto"/>
              </w:rPr>
            </w:pPr>
            <w:r>
              <w:rPr>
                <w:rFonts w:ascii="Arial" w:cs="Arial" w:eastAsia="Arial" w:hAnsi="Arial"/>
                <w:sz w:val="18"/>
                <w:szCs w:val="18"/>
                <w:color w:val="auto"/>
              </w:rPr>
              <w:t>Non-Reliance on Agents and Other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9.7</w:t>
            </w:r>
          </w:p>
        </w:tc>
        <w:tc>
          <w:tcPr>
            <w:tcW w:w="956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9.8</w:t>
            </w:r>
          </w:p>
        </w:tc>
        <w:tc>
          <w:tcPr>
            <w:tcW w:w="9560" w:type="dxa"/>
            <w:vAlign w:val="bottom"/>
          </w:tcPr>
          <w:p>
            <w:pPr>
              <w:ind w:left="80"/>
              <w:spacing w:after="0"/>
              <w:rPr>
                <w:sz w:val="20"/>
                <w:szCs w:val="20"/>
                <w:color w:val="auto"/>
              </w:rPr>
            </w:pPr>
            <w:r>
              <w:rPr>
                <w:rFonts w:ascii="Arial" w:cs="Arial" w:eastAsia="Arial" w:hAnsi="Arial"/>
                <w:sz w:val="18"/>
                <w:szCs w:val="18"/>
                <w:color w:val="auto"/>
              </w:rPr>
              <w:t>Agent in Its Individual Capacity</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9.9</w:t>
            </w:r>
          </w:p>
        </w:tc>
        <w:tc>
          <w:tcPr>
            <w:tcW w:w="9560" w:type="dxa"/>
            <w:vAlign w:val="bottom"/>
          </w:tcPr>
          <w:p>
            <w:pPr>
              <w:ind w:left="80"/>
              <w:spacing w:after="0"/>
              <w:rPr>
                <w:sz w:val="20"/>
                <w:szCs w:val="20"/>
                <w:color w:val="auto"/>
              </w:rPr>
            </w:pPr>
            <w:r>
              <w:rPr>
                <w:rFonts w:ascii="Arial" w:cs="Arial" w:eastAsia="Arial" w:hAnsi="Arial"/>
                <w:sz w:val="18"/>
                <w:szCs w:val="18"/>
                <w:color w:val="auto"/>
              </w:rPr>
              <w:t>Successor Administrative Agent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9.10</w:t>
            </w:r>
          </w:p>
        </w:tc>
        <w:tc>
          <w:tcPr>
            <w:tcW w:w="9560" w:type="dxa"/>
            <w:vAlign w:val="bottom"/>
          </w:tcPr>
          <w:p>
            <w:pPr>
              <w:ind w:left="80"/>
              <w:spacing w:after="0"/>
              <w:rPr>
                <w:sz w:val="20"/>
                <w:szCs w:val="20"/>
                <w:color w:val="auto"/>
              </w:rPr>
            </w:pPr>
            <w:r>
              <w:rPr>
                <w:rFonts w:ascii="Arial" w:cs="Arial" w:eastAsia="Arial" w:hAnsi="Arial"/>
                <w:sz w:val="18"/>
                <w:szCs w:val="18"/>
                <w:color w:val="auto"/>
              </w:rPr>
              <w:t>[Reserved]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9.11</w:t>
            </w:r>
          </w:p>
        </w:tc>
        <w:tc>
          <w:tcPr>
            <w:tcW w:w="9560" w:type="dxa"/>
            <w:vAlign w:val="bottom"/>
          </w:tcPr>
          <w:p>
            <w:pPr>
              <w:ind w:left="80"/>
              <w:spacing w:after="0"/>
              <w:rPr>
                <w:sz w:val="20"/>
                <w:szCs w:val="20"/>
                <w:color w:val="auto"/>
              </w:rPr>
            </w:pPr>
            <w:r>
              <w:rPr>
                <w:rFonts w:ascii="Arial" w:cs="Arial" w:eastAsia="Arial" w:hAnsi="Arial"/>
                <w:sz w:val="18"/>
                <w:szCs w:val="18"/>
                <w:color w:val="auto"/>
                <w:w w:val="92"/>
              </w:rPr>
              <w:t>Bookrunners, Lead Arrangers, Global and Regional Coordinators, Documentation Agents, Syndication Agent and Co-Syndication</w:t>
            </w:r>
          </w:p>
        </w:tc>
        <w:tc>
          <w:tcPr>
            <w:tcW w:w="3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Agent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20" w:type="dxa"/>
            <w:vAlign w:val="bottom"/>
          </w:tcPr>
          <w:p>
            <w:pPr>
              <w:ind w:left="360"/>
              <w:spacing w:after="0"/>
              <w:rPr>
                <w:sz w:val="20"/>
                <w:szCs w:val="20"/>
                <w:color w:val="auto"/>
              </w:rPr>
            </w:pPr>
            <w:r>
              <w:rPr>
                <w:rFonts w:ascii="Arial" w:cs="Arial" w:eastAsia="Arial" w:hAnsi="Arial"/>
                <w:sz w:val="18"/>
                <w:szCs w:val="18"/>
                <w:color w:val="auto"/>
              </w:rPr>
              <w:t>9.12</w:t>
            </w:r>
          </w:p>
        </w:tc>
        <w:tc>
          <w:tcPr>
            <w:tcW w:w="9560" w:type="dxa"/>
            <w:vAlign w:val="bottom"/>
          </w:tcPr>
          <w:p>
            <w:pPr>
              <w:ind w:left="80"/>
              <w:spacing w:after="0"/>
              <w:rPr>
                <w:sz w:val="20"/>
                <w:szCs w:val="20"/>
                <w:color w:val="auto"/>
              </w:rPr>
            </w:pPr>
            <w:r>
              <w:rPr>
                <w:rFonts w:ascii="Arial" w:cs="Arial" w:eastAsia="Arial" w:hAnsi="Arial"/>
                <w:sz w:val="18"/>
                <w:szCs w:val="18"/>
                <w:color w:val="auto"/>
              </w:rPr>
              <w:t>Certain ERISA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w w:val="99"/>
              </w:rPr>
              <w:t>SECTION 10.</w:t>
            </w:r>
          </w:p>
        </w:tc>
        <w:tc>
          <w:tcPr>
            <w:tcW w:w="956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120" w:type="dxa"/>
            <w:vAlign w:val="bottom"/>
          </w:tcPr>
          <w:p>
            <w:pPr>
              <w:ind w:left="360"/>
              <w:spacing w:after="0"/>
              <w:rPr>
                <w:sz w:val="20"/>
                <w:szCs w:val="20"/>
                <w:color w:val="auto"/>
              </w:rPr>
            </w:pPr>
            <w:r>
              <w:rPr>
                <w:rFonts w:ascii="Arial" w:cs="Arial" w:eastAsia="Arial" w:hAnsi="Arial"/>
                <w:sz w:val="18"/>
                <w:szCs w:val="18"/>
                <w:color w:val="auto"/>
              </w:rPr>
              <w:t>10.1</w:t>
            </w:r>
          </w:p>
        </w:tc>
        <w:tc>
          <w:tcPr>
            <w:tcW w:w="9560" w:type="dxa"/>
            <w:vAlign w:val="bottom"/>
          </w:tcPr>
          <w:p>
            <w:pPr>
              <w:ind w:left="80"/>
              <w:spacing w:after="0"/>
              <w:rPr>
                <w:sz w:val="20"/>
                <w:szCs w:val="20"/>
                <w:color w:val="auto"/>
              </w:rPr>
            </w:pPr>
            <w:r>
              <w:rPr>
                <w:rFonts w:ascii="Arial" w:cs="Arial" w:eastAsia="Arial" w:hAnsi="Arial"/>
                <w:sz w:val="18"/>
                <w:szCs w:val="18"/>
                <w:color w:val="auto"/>
              </w:rPr>
              <w:t>Amendments and Waivers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10.2</w:t>
            </w:r>
          </w:p>
        </w:tc>
        <w:tc>
          <w:tcPr>
            <w:tcW w:w="9560" w:type="dxa"/>
            <w:vAlign w:val="bottom"/>
          </w:tcPr>
          <w:p>
            <w:pPr>
              <w:ind w:left="8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10.3</w:t>
            </w:r>
          </w:p>
        </w:tc>
        <w:tc>
          <w:tcPr>
            <w:tcW w:w="9560" w:type="dxa"/>
            <w:vAlign w:val="bottom"/>
          </w:tcPr>
          <w:p>
            <w:pPr>
              <w:ind w:left="80"/>
              <w:spacing w:after="0"/>
              <w:rPr>
                <w:sz w:val="20"/>
                <w:szCs w:val="20"/>
                <w:color w:val="auto"/>
              </w:rPr>
            </w:pPr>
            <w:r>
              <w:rPr>
                <w:rFonts w:ascii="Arial" w:cs="Arial" w:eastAsia="Arial" w:hAnsi="Arial"/>
                <w:sz w:val="18"/>
                <w:szCs w:val="18"/>
                <w:color w:val="auto"/>
              </w:rPr>
              <w:t>No Waiver; Cumulative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10.4</w:t>
            </w:r>
          </w:p>
        </w:tc>
        <w:tc>
          <w:tcPr>
            <w:tcW w:w="9560" w:type="dxa"/>
            <w:vAlign w:val="bottom"/>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10.5</w:t>
            </w:r>
          </w:p>
        </w:tc>
        <w:tc>
          <w:tcPr>
            <w:tcW w:w="9560" w:type="dxa"/>
            <w:vAlign w:val="bottom"/>
          </w:tcPr>
          <w:p>
            <w:pPr>
              <w:ind w:left="80"/>
              <w:spacing w:after="0"/>
              <w:rPr>
                <w:sz w:val="20"/>
                <w:szCs w:val="20"/>
                <w:color w:val="auto"/>
              </w:rPr>
            </w:pPr>
            <w:r>
              <w:rPr>
                <w:rFonts w:ascii="Arial" w:cs="Arial" w:eastAsia="Arial" w:hAnsi="Arial"/>
                <w:sz w:val="18"/>
                <w:szCs w:val="18"/>
                <w:color w:val="auto"/>
              </w:rPr>
              <w:t>Payment of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10.6</w:t>
            </w:r>
          </w:p>
        </w:tc>
        <w:tc>
          <w:tcPr>
            <w:tcW w:w="9560" w:type="dxa"/>
            <w:vAlign w:val="bottom"/>
          </w:tcPr>
          <w:p>
            <w:pPr>
              <w:ind w:left="80"/>
              <w:spacing w:after="0"/>
              <w:rPr>
                <w:sz w:val="20"/>
                <w:szCs w:val="20"/>
                <w:color w:val="auto"/>
              </w:rPr>
            </w:pPr>
            <w:r>
              <w:rPr>
                <w:rFonts w:ascii="Arial" w:cs="Arial" w:eastAsia="Arial" w:hAnsi="Arial"/>
                <w:sz w:val="18"/>
                <w:szCs w:val="18"/>
                <w:color w:val="auto"/>
              </w:rPr>
              <w:t>Successors and Assigns; Participations and Assignments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10.7</w:t>
            </w:r>
          </w:p>
        </w:tc>
        <w:tc>
          <w:tcPr>
            <w:tcW w:w="9560" w:type="dxa"/>
            <w:vAlign w:val="bottom"/>
          </w:tcPr>
          <w:p>
            <w:pPr>
              <w:ind w:left="80"/>
              <w:spacing w:after="0"/>
              <w:rPr>
                <w:sz w:val="20"/>
                <w:szCs w:val="20"/>
                <w:color w:val="auto"/>
              </w:rPr>
            </w:pPr>
            <w:r>
              <w:rPr>
                <w:rFonts w:ascii="Arial" w:cs="Arial" w:eastAsia="Arial" w:hAnsi="Arial"/>
                <w:sz w:val="18"/>
                <w:szCs w:val="18"/>
                <w:color w:val="auto"/>
              </w:rPr>
              <w:t>Adjustments</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10.8</w:t>
            </w:r>
          </w:p>
        </w:tc>
        <w:tc>
          <w:tcPr>
            <w:tcW w:w="95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10.9</w:t>
            </w:r>
          </w:p>
        </w:tc>
        <w:tc>
          <w:tcPr>
            <w:tcW w:w="95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10.10</w:t>
            </w:r>
          </w:p>
        </w:tc>
        <w:tc>
          <w:tcPr>
            <w:tcW w:w="956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10.11</w:t>
            </w:r>
          </w:p>
        </w:tc>
        <w:tc>
          <w:tcPr>
            <w:tcW w:w="956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10.12</w:t>
            </w:r>
          </w:p>
        </w:tc>
        <w:tc>
          <w:tcPr>
            <w:tcW w:w="9560" w:type="dxa"/>
            <w:vAlign w:val="bottom"/>
          </w:tcPr>
          <w:p>
            <w:pPr>
              <w:ind w:left="8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10.13</w:t>
            </w:r>
          </w:p>
        </w:tc>
        <w:tc>
          <w:tcPr>
            <w:tcW w:w="9560" w:type="dxa"/>
            <w:vAlign w:val="bottom"/>
          </w:tcPr>
          <w:p>
            <w:pPr>
              <w:ind w:left="80"/>
              <w:spacing w:after="0"/>
              <w:rPr>
                <w:sz w:val="20"/>
                <w:szCs w:val="20"/>
                <w:color w:val="auto"/>
              </w:rPr>
            </w:pPr>
            <w:r>
              <w:rPr>
                <w:rFonts w:ascii="Arial" w:cs="Arial" w:eastAsia="Arial" w:hAnsi="Arial"/>
                <w:sz w:val="18"/>
                <w:szCs w:val="18"/>
                <w:color w:val="auto"/>
              </w:rPr>
              <w:t>Judgment</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10.14</w:t>
            </w:r>
          </w:p>
        </w:tc>
        <w:tc>
          <w:tcPr>
            <w:tcW w:w="9560" w:type="dxa"/>
            <w:vAlign w:val="bottom"/>
          </w:tcPr>
          <w:p>
            <w:pPr>
              <w:ind w:left="80"/>
              <w:spacing w:after="0"/>
              <w:rPr>
                <w:sz w:val="20"/>
                <w:szCs w:val="20"/>
                <w:color w:val="auto"/>
              </w:rPr>
            </w:pPr>
            <w:r>
              <w:rPr>
                <w:rFonts w:ascii="Arial" w:cs="Arial" w:eastAsia="Arial" w:hAnsi="Arial"/>
                <w:sz w:val="18"/>
                <w:szCs w:val="18"/>
                <w:color w:val="auto"/>
              </w:rPr>
              <w:t>Acknowledgments</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10.15</w:t>
            </w:r>
          </w:p>
        </w:tc>
        <w:tc>
          <w:tcPr>
            <w:tcW w:w="9560" w:type="dxa"/>
            <w:vAlign w:val="bottom"/>
          </w:tcPr>
          <w:p>
            <w:pPr>
              <w:ind w:left="80"/>
              <w:spacing w:after="0"/>
              <w:rPr>
                <w:sz w:val="20"/>
                <w:szCs w:val="20"/>
                <w:color w:val="auto"/>
              </w:rPr>
            </w:pPr>
            <w:r>
              <w:rPr>
                <w:rFonts w:ascii="Arial" w:cs="Arial" w:eastAsia="Arial" w:hAnsi="Arial"/>
                <w:sz w:val="18"/>
                <w:szCs w:val="18"/>
                <w:color w:val="auto"/>
              </w:rPr>
              <w:t>Releases of Guarantees</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10.16</w:t>
            </w:r>
          </w:p>
        </w:tc>
        <w:tc>
          <w:tcPr>
            <w:tcW w:w="956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10.17</w:t>
            </w:r>
          </w:p>
        </w:tc>
        <w:tc>
          <w:tcPr>
            <w:tcW w:w="9560" w:type="dxa"/>
            <w:vAlign w:val="bottom"/>
          </w:tcPr>
          <w:p>
            <w:pPr>
              <w:ind w:left="80"/>
              <w:spacing w:after="0"/>
              <w:rPr>
                <w:sz w:val="20"/>
                <w:szCs w:val="20"/>
                <w:color w:val="auto"/>
              </w:rPr>
            </w:pPr>
            <w:r>
              <w:rPr>
                <w:rFonts w:ascii="Arial" w:cs="Arial" w:eastAsia="Arial" w:hAnsi="Arial"/>
                <w:sz w:val="18"/>
                <w:szCs w:val="18"/>
                <w:color w:val="auto"/>
              </w:rPr>
              <w:t>WAIVERS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10.18</w:t>
            </w:r>
          </w:p>
        </w:tc>
        <w:tc>
          <w:tcPr>
            <w:tcW w:w="956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20" w:type="dxa"/>
            <w:vAlign w:val="bottom"/>
          </w:tcPr>
          <w:p>
            <w:pPr>
              <w:ind w:left="360"/>
              <w:spacing w:after="0"/>
              <w:rPr>
                <w:sz w:val="20"/>
                <w:szCs w:val="20"/>
                <w:color w:val="auto"/>
              </w:rPr>
            </w:pPr>
            <w:r>
              <w:rPr>
                <w:rFonts w:ascii="Arial" w:cs="Arial" w:eastAsia="Arial" w:hAnsi="Arial"/>
                <w:sz w:val="18"/>
                <w:szCs w:val="18"/>
                <w:color w:val="auto"/>
              </w:rPr>
              <w:t>10.19</w:t>
            </w:r>
          </w:p>
        </w:tc>
        <w:tc>
          <w:tcPr>
            <w:tcW w:w="9560" w:type="dxa"/>
            <w:vAlign w:val="bottom"/>
          </w:tcPr>
          <w:p>
            <w:pPr>
              <w:ind w:left="80"/>
              <w:spacing w:after="0"/>
              <w:rPr>
                <w:sz w:val="20"/>
                <w:szCs w:val="20"/>
                <w:color w:val="auto"/>
              </w:rPr>
            </w:pPr>
            <w:r>
              <w:rPr>
                <w:rFonts w:ascii="Arial" w:cs="Arial" w:eastAsia="Arial" w:hAnsi="Arial"/>
                <w:sz w:val="18"/>
                <w:szCs w:val="18"/>
                <w:color w:val="auto"/>
              </w:rPr>
              <w:t>No Novation</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20" w:type="dxa"/>
            <w:vAlign w:val="bottom"/>
          </w:tcPr>
          <w:p>
            <w:pPr>
              <w:ind w:left="360"/>
              <w:spacing w:after="0"/>
              <w:rPr>
                <w:sz w:val="20"/>
                <w:szCs w:val="20"/>
                <w:color w:val="auto"/>
              </w:rPr>
            </w:pPr>
            <w:r>
              <w:rPr>
                <w:rFonts w:ascii="Arial" w:cs="Arial" w:eastAsia="Arial" w:hAnsi="Arial"/>
                <w:sz w:val="18"/>
                <w:szCs w:val="18"/>
                <w:color w:val="auto"/>
              </w:rPr>
              <w:t>10.20</w:t>
            </w:r>
          </w:p>
        </w:tc>
        <w:tc>
          <w:tcPr>
            <w:tcW w:w="9560" w:type="dxa"/>
            <w:vAlign w:val="bottom"/>
          </w:tcPr>
          <w:p>
            <w:pPr>
              <w:ind w:left="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SCHEDULES: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-407035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Initial Excluded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Pricing 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Subsidiary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Borrower Joinder Agreement</w:t>
      </w:r>
    </w:p>
    <w:p>
      <w:pPr>
        <w:spacing w:after="0" w:line="9" w:lineRule="exact"/>
        <w:rPr>
          <w:sz w:val="20"/>
          <w:szCs w:val="20"/>
          <w:color w:val="auto"/>
        </w:rPr>
      </w:pPr>
    </w:p>
    <w:p>
      <w:pPr>
        <w:ind w:right="3639"/>
        <w:spacing w:after="0" w:line="281" w:lineRule="auto"/>
        <w:rPr>
          <w:sz w:val="20"/>
          <w:szCs w:val="20"/>
          <w:color w:val="auto"/>
        </w:rPr>
      </w:pPr>
      <w:r>
        <w:rPr>
          <w:rFonts w:ascii="Arial" w:cs="Arial" w:eastAsia="Arial" w:hAnsi="Arial"/>
          <w:sz w:val="16"/>
          <w:szCs w:val="16"/>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 of Exemption Certificate for Non-Partnership Non-U.S.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Exemption Certificate for Partnership Non-U.S.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Consent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1100" w:space="200"/>
            <w:col w:w="8719"/>
          </w:cols>
          <w:pgMar w:left="440" w:top="274" w:right="1440" w:bottom="1440" w:gutter="0" w:footer="0" w:header="0"/>
        </w:sectPr>
      </w:pPr>
    </w:p>
    <w:bookmarkStart w:id="8" w:name="page9"/>
    <w:bookmarkEnd w:id="8"/>
    <w:p>
      <w:pPr>
        <w:ind w:right="40" w:firstLine="88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364-DAY REVOLVING CREDIT AGREEMENT, dated as of April 16, 2019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private limited company incorporated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(and any of its branches and affiliates acting on its behalf in such capacity),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w:t>
      </w:r>
    </w:p>
    <w:p>
      <w:pPr>
        <w:spacing w:after="0" w:line="167" w:lineRule="exact"/>
        <w:rPr>
          <w:sz w:val="20"/>
          <w:szCs w:val="20"/>
          <w:color w:val="auto"/>
        </w:rPr>
      </w:pPr>
    </w:p>
    <w:p>
      <w:pPr>
        <w:ind w:right="360" w:firstLine="881"/>
        <w:spacing w:after="0" w:line="312" w:lineRule="auto"/>
        <w:rPr>
          <w:sz w:val="20"/>
          <w:szCs w:val="20"/>
          <w:color w:val="auto"/>
        </w:rPr>
      </w:pPr>
      <w:r>
        <w:rPr>
          <w:rFonts w:ascii="Arial" w:cs="Arial" w:eastAsia="Arial" w:hAnsi="Arial"/>
          <w:sz w:val="16"/>
          <w:szCs w:val="16"/>
          <w:color w:val="auto"/>
        </w:rPr>
        <w:t>WHEREAS, the Company entered into that certain 364-Day Revolving Credit Agreement, dated as of April 18, 2018 (the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with GMF, GMGTC, the other Subsidiary Borrowers (as defined therein) from time to time party thereto, the several lenders from time to time party thereto, JPMorgan Chase Bank, N.A., as administrative agent and the other agents party thereto; and</w:t>
      </w:r>
    </w:p>
    <w:p>
      <w:pPr>
        <w:spacing w:after="0" w:line="147"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70"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terms listed in this Section 1.1 shall have the respective meanings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3-Year Revolving Credit Agreement</w:t>
      </w:r>
      <w:r>
        <w:rPr>
          <w:rFonts w:ascii="Arial" w:cs="Arial" w:eastAsia="Arial" w:hAnsi="Arial"/>
          <w:sz w:val="17"/>
          <w:szCs w:val="17"/>
          <w:color w:val="auto"/>
        </w:rPr>
        <w:t>” means (i) that certain Three Year Revolving Credit Agreement, dated as of January 14, 2019, among the Company, the lenders from time to time party thereto, JPMorgan Chase Bank, N.A. as administrative agent and Citibank N.A. as syndication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2019 3-Year Revolving Credit Agreement referred to in clause (i) above or any other agreement or instrument referred to in this clause (ii) unless the Company notifies the Administrative Agent that it is not intended to be a “2019 3-Year Revolving Credit Agreement” hereunder. All references to the “2019 3-Year Revolving Credit Agreement” in this Agreement shall refer to any 2019 3-Year Revolving Credit Agreement then extant.</w:t>
      </w:r>
    </w:p>
    <w:p>
      <w:pPr>
        <w:spacing w:after="0" w:line="178"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2019 3-Year Total Available Commitments</w:t>
      </w:r>
      <w:r>
        <w:rPr>
          <w:rFonts w:ascii="Arial" w:cs="Arial" w:eastAsia="Arial" w:hAnsi="Arial"/>
          <w:sz w:val="18"/>
          <w:szCs w:val="18"/>
          <w:color w:val="auto"/>
        </w:rPr>
        <w:t>” means the “Total Available Commitments” (or equivalent term) under, and as defined in, the 2019 3-Year Revolving Credit Agreement.</w:t>
      </w:r>
    </w:p>
    <w:p>
      <w:pPr>
        <w:sectPr>
          <w:pgSz w:w="11900" w:h="16838" w:orient="portrait"/>
          <w:cols w:equalWidth="0" w:num="1">
            <w:col w:w="10960"/>
          </w:cols>
          <w:pgMar w:left="440" w:top="274" w:right="499" w:bottom="1440" w:gutter="0" w:footer="0" w:header="0"/>
        </w:sectPr>
      </w:pPr>
    </w:p>
    <w:bookmarkStart w:id="9" w:name="page10"/>
    <w:bookmarkEnd w:id="9"/>
    <w:p>
      <w:pPr>
        <w:ind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3-Year Revolving Credit Agreement</w:t>
      </w:r>
      <w:r>
        <w:rPr>
          <w:rFonts w:ascii="Arial" w:cs="Arial" w:eastAsia="Arial" w:hAnsi="Arial"/>
          <w:sz w:val="16"/>
          <w:szCs w:val="16"/>
          <w:color w:val="auto"/>
        </w:rPr>
        <w:t>” means (i) that certain Third Amended and Restated Three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6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right="40" w:firstLine="88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47"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Extensions of Credit</w:t>
      </w:r>
      <w:r>
        <w:rPr>
          <w:rFonts w:ascii="Arial" w:cs="Arial" w:eastAsia="Arial" w:hAnsi="Arial"/>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7" w:lineRule="exact"/>
        <w:rPr>
          <w:sz w:val="20"/>
          <w:szCs w:val="20"/>
          <w:color w:val="auto"/>
        </w:rPr>
      </w:pPr>
    </w:p>
    <w:p>
      <w:pPr>
        <w:ind w:right="4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Revolving Credit Agreement</w:t>
      </w:r>
      <w:r>
        <w:rPr>
          <w:rFonts w:ascii="Arial" w:cs="Arial" w:eastAsia="Arial" w:hAnsi="Arial"/>
          <w:sz w:val="16"/>
          <w:szCs w:val="16"/>
          <w:color w:val="auto"/>
        </w:rPr>
        <w:t>” means (i) that certain Third Amended and Restated Five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6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0" w:name="page11"/>
    <w:bookmarkEnd w:id="10"/>
    <w:p>
      <w:pPr>
        <w:ind w:right="60" w:firstLine="88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47"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firstLine="881"/>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Eurocurrency Rate, calculated as of such date in respect of a proposed Eurocurrency Loan with a one-month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then the ABR shall be the greater of clause (a) and (b) above and shall be determined without reference to clause (c) above.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jc w:val="both"/>
        <w:ind w:right="2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7" w:lineRule="exact"/>
        <w:rPr>
          <w:sz w:val="20"/>
          <w:szCs w:val="20"/>
          <w:color w:val="auto"/>
        </w:rPr>
      </w:pPr>
    </w:p>
    <w:p>
      <w:pPr>
        <w:ind w:right="16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ind w:right="28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means, on any date of determination with respect to any Lender, (a) such Lender’s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Extensions of Credit on such date.</w:t>
      </w:r>
    </w:p>
    <w:p>
      <w:pPr>
        <w:spacing w:after="0" w:line="170"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the rules and regulation set forth in 31 C.F.R. §1010.230.</w:t>
      </w:r>
    </w:p>
    <w:p>
      <w:pPr>
        <w:spacing w:after="0" w:line="225"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2" w:name="page13"/>
    <w:bookmarkEnd w:id="12"/>
    <w:p>
      <w:pPr>
        <w:ind w:right="120"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GMGTC, GMF or any other Subsidiary Borrower designated from time to time by the Company until (in the case of any Subsidiary Borrower) such time as such Subsidiary Borrower is removed as a party hereto pursuant to Section 10.1(d).</w:t>
      </w:r>
    </w:p>
    <w:p>
      <w:pPr>
        <w:spacing w:after="0" w:line="147"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DTTP Filing</w:t>
      </w:r>
      <w:r>
        <w:rPr>
          <w:rFonts w:ascii="Arial" w:cs="Arial" w:eastAsia="Arial" w:hAnsi="Arial"/>
          <w:sz w:val="16"/>
          <w:szCs w:val="16"/>
          <w:color w:val="auto"/>
        </w:rPr>
        <w:t xml:space="preserve">” means an HMRC Form DTTP2, duly completed and filed by the relevant Borrower, which contains the scheme reference number and jurisdiction of tax residence provided by a UK Treaty Lender to the relevant UK Borrower and the Administrative Agent in accordance with Section 2.21(e) and which (a) where it relates to a UK Treaty Lender that is a Lender on the date of this Agreement, contains the scheme reference number and jurisdiction of tax residence stated opposite that Lender’s name in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Lender that is not a Lender on the date of this Agreement, contains the scheme reference number and jurisdiction of tax residence stated in respect of that Lender in 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jc w:val="both"/>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Loan in substantially the form of Exhibit 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5"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81"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Eurocurrency Loan, the term “Business Day” shall also exclude any day on which banks are not open for dealings in Dollar deposits in the London interbank market.</w:t>
      </w:r>
    </w:p>
    <w:p>
      <w:pPr>
        <w:spacing w:after="0" w:line="181"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1"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 w:name="page14"/>
    <w:bookmarkEnd w:id="13"/>
    <w:p>
      <w:pPr>
        <w:ind w:firstLine="88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140" w:firstLine="88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w:t>
      </w:r>
    </w:p>
    <w:p>
      <w:pPr>
        <w:spacing w:after="0" w:line="166"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81"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 w:name="page15"/>
    <w:bookmarkEnd w:id="1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Bid Accept/Reject Letter</w:t>
      </w:r>
      <w:r>
        <w:rPr>
          <w:rFonts w:ascii="Arial" w:cs="Arial" w:eastAsia="Arial" w:hAnsi="Arial"/>
          <w:sz w:val="17"/>
          <w:szCs w:val="17"/>
          <w:color w:val="auto"/>
        </w:rPr>
        <w:t>” means a notification made by the Company pursuant to Section 2.9, substantially in the form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21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right="40" w:firstLine="88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Domestic Liquidity</w:t>
      </w:r>
      <w:r>
        <w:rPr>
          <w:rFonts w:ascii="Arial" w:cs="Arial" w:eastAsia="Arial" w:hAnsi="Arial"/>
          <w:sz w:val="18"/>
          <w:szCs w:val="18"/>
          <w:color w:val="auto"/>
        </w:rPr>
        <w:t xml:space="preserve">” means, as of any date of determination, the sum of (a) the 3-Year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2019 3-Year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the total available commitments (after giving effect to any applicable borrowing base limitations) under other then-effective committed credit facilities of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3-Year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2019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total available commitments (after giving effect to any applicable borrowing base limitations) under other then-effective committed credit facilities of the Company or any of its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65" w:lineRule="exact"/>
        <w:rPr>
          <w:sz w:val="20"/>
          <w:szCs w:val="20"/>
          <w:color w:val="auto"/>
        </w:rPr>
      </w:pPr>
    </w:p>
    <w:p>
      <w:pPr>
        <w:jc w:val="both"/>
        <w:ind w:right="40" w:firstLine="88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right="16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81"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 Maturity Date</w:t>
      </w:r>
      <w:r>
        <w:rPr>
          <w:rFonts w:ascii="Arial" w:cs="Arial" w:eastAsia="Arial" w:hAnsi="Arial"/>
          <w:sz w:val="18"/>
          <w:szCs w:val="18"/>
          <w:color w:val="auto"/>
        </w:rPr>
        <w:t>” means April 14, 2021, which date is the first anniversary of the Termination Date.</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6" w:name="page17"/>
    <w:bookmarkEnd w:id="16"/>
    <w:p>
      <w:pPr>
        <w:ind w:right="6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40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3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 w:name="page18"/>
    <w:bookmarkEnd w:id="17"/>
    <w:p>
      <w:pPr>
        <w:ind w:firstLine="88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6" w:lineRule="exact"/>
        <w:rPr>
          <w:sz w:val="20"/>
          <w:szCs w:val="20"/>
          <w:color w:val="auto"/>
        </w:rPr>
      </w:pPr>
    </w:p>
    <w:p>
      <w:pPr>
        <w:ind w:right="300" w:firstLine="4"/>
        <w:spacing w:after="0" w:line="255"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90"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firstLine="88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means, with respect to each day during each Interest Period pertaining to a Eurocurrency Loan, the London interbank offered rate as administered by the ICE Benchmark Administration (or any other Person that takes over the administration of such rate) for Dollars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as of 11:00 A.M., London time, on the Quotation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Screen Rate shall not be available at such time for such Interest Period (an “</w:t>
      </w:r>
      <w:r>
        <w:rPr>
          <w:rFonts w:ascii="Arial" w:cs="Arial" w:eastAsia="Arial" w:hAnsi="Arial"/>
          <w:sz w:val="17"/>
          <w:szCs w:val="17"/>
          <w:u w:val="single" w:color="auto"/>
          <w:color w:val="auto"/>
        </w:rPr>
        <w:t>Impacted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with respect to Dollars,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Dollars) that is shorter than the Impacted Interest Period and (b) the Screen Rate for the shortest period (for which that Screen Rate is available for Dollars)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Interpolated Rate shall be less than zero, such rate shall be deemed to be zero for purposes of this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Competitive Loans</w:t>
      </w:r>
      <w:r>
        <w:rPr>
          <w:rFonts w:ascii="Arial" w:cs="Arial" w:eastAsia="Arial" w:hAnsi="Arial"/>
          <w:sz w:val="16"/>
          <w:szCs w:val="16"/>
          <w:color w:val="auto"/>
        </w:rPr>
        <w:t>” means Competitive Loans bearing interest at a rate determined by reference to the Eurocurrency Rate.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8" w:name="page19"/>
    <w:bookmarkEnd w:id="18"/>
    <w:p>
      <w:pPr>
        <w:ind w:right="44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7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-10160</wp:posOffset>
            </wp:positionV>
            <wp:extent cx="2253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53615" cy="889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-19050</wp:posOffset>
            </wp:positionV>
            <wp:extent cx="2205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5990" cy="8890"/>
                    </a:xfrm>
                    <a:prstGeom prst="rect">
                      <a:avLst/>
                    </a:prstGeom>
                    <a:noFill/>
                  </pic:spPr>
                </pic:pic>
              </a:graphicData>
            </a:graphic>
          </wp:anchor>
        </w:drawing>
      </w:r>
    </w:p>
    <w:p>
      <w:pPr>
        <w:spacing w:after="0" w:line="191"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66" w:lineRule="exact"/>
        <w:rPr>
          <w:sz w:val="20"/>
          <w:szCs w:val="20"/>
          <w:color w:val="auto"/>
        </w:rPr>
      </w:pPr>
    </w:p>
    <w:p>
      <w:pPr>
        <w:ind w:right="20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1"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Thomson Reuters currency page with respect to such currency and (ii) Brazilian Reais, the exchange rate (</w:t>
      </w:r>
      <w:r>
        <w:rPr>
          <w:rFonts w:ascii="Arial" w:cs="Arial" w:eastAsia="Arial" w:hAnsi="Arial"/>
          <w:sz w:val="16"/>
          <w:szCs w:val="16"/>
          <w:i w:val="1"/>
          <w:iCs w:val="1"/>
          <w:color w:val="auto"/>
        </w:rPr>
        <w:t>taxa de</w:t>
      </w:r>
      <w:r>
        <w:rPr>
          <w:rFonts w:ascii="Arial" w:cs="Arial" w:eastAsia="Arial" w:hAnsi="Arial"/>
          <w:sz w:val="16"/>
          <w:szCs w:val="16"/>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Thomson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São Paulo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9" w:name="page20"/>
    <w:bookmarkEnd w:id="19"/>
    <w:p>
      <w:pPr>
        <w:ind w:firstLine="88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“Existing 364-Day Credit Agreement”</w:t>
      </w:r>
      <w:r>
        <w:rPr>
          <w:rFonts w:ascii="Arial" w:cs="Arial" w:eastAsia="Arial" w:hAnsi="Arial"/>
          <w:sz w:val="18"/>
          <w:szCs w:val="18"/>
          <w:color w:val="auto"/>
        </w:rPr>
        <w:t xml:space="preserve"> has the meaning assigned to such term in the recitals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364-Day Credit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364-Day Credit Agreement.</w:t>
      </w:r>
    </w:p>
    <w:p>
      <w:pPr>
        <w:spacing w:after="0" w:line="225" w:lineRule="exact"/>
        <w:rPr>
          <w:sz w:val="20"/>
          <w:szCs w:val="20"/>
          <w:color w:val="auto"/>
        </w:rPr>
      </w:pPr>
    </w:p>
    <w:p>
      <w:pPr>
        <w:jc w:val="both"/>
        <w:ind w:right="1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Commitments and the extensions of credit made thereunder.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jc w:val="both"/>
        <w:ind w:right="16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 w:name="page21"/>
    <w:bookmarkEnd w:id="20"/>
    <w:p>
      <w:pPr>
        <w:ind w:right="24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jc w:val="both"/>
        <w:ind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jc w:val="both"/>
        <w:ind w:right="16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1" w:name="page22"/>
    <w:bookmarkEnd w:id="2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means General Motors do Brasil Ltda, a Brazilian limited liability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GMGTC</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0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47"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Amended and Restated Guarantee Agreement to be executed and delivered by the Company, substantially in the form of Exhibit 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2"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Reinstatement Date</w:t>
      </w:r>
      <w:r>
        <w:rPr>
          <w:rFonts w:ascii="Arial" w:cs="Arial" w:eastAsia="Arial" w:hAnsi="Arial"/>
          <w:sz w:val="18"/>
          <w:szCs w:val="18"/>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 w:name="page23"/>
    <w:bookmarkEnd w:id="22"/>
    <w:p>
      <w:pPr>
        <w:ind w:right="40" w:firstLine="88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73" w:lineRule="exact"/>
        <w:rPr>
          <w:sz w:val="20"/>
          <w:szCs w:val="20"/>
          <w:color w:val="auto"/>
        </w:rPr>
      </w:pPr>
    </w:p>
    <w:p>
      <w:pPr>
        <w:ind w:right="24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Her Majesty’s Revenue and Customs.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HMRC Double Taxation Treaty Passport scheme.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right="3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3" w:name="page24"/>
    <w:bookmarkEnd w:id="23"/>
    <w:p>
      <w:pPr>
        <w:ind w:firstLine="885"/>
        <w:spacing w:after="0" w:line="285" w:lineRule="auto"/>
        <w:tabs>
          <w:tab w:leader="none" w:pos="1126" w:val="left"/>
        </w:tabs>
        <w:numPr>
          <w:ilvl w:val="1"/>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w:t>
      </w:r>
    </w:p>
    <w:p>
      <w:pPr>
        <w:spacing w:after="0" w:line="2" w:lineRule="exact"/>
        <w:rPr>
          <w:rFonts w:ascii="Arial" w:cs="Arial" w:eastAsia="Arial" w:hAnsi="Arial"/>
          <w:sz w:val="16"/>
          <w:szCs w:val="16"/>
          <w:color w:val="auto"/>
        </w:rPr>
      </w:pPr>
    </w:p>
    <w:p>
      <w:pPr>
        <w:jc w:val="both"/>
        <w:ind w:firstLine="4"/>
        <w:spacing w:after="0" w:line="254"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78"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Participant</w:t>
      </w:r>
      <w:r>
        <w:rPr>
          <w:rFonts w:ascii="Arial" w:cs="Arial" w:eastAsia="Arial" w:hAnsi="Arial"/>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4" w:name="page25"/>
    <w:bookmarkEnd w:id="24"/>
    <w:p>
      <w:pPr>
        <w:ind w:firstLine="88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73"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 as to any Eurocurrency Loan (i) initially, the period commencing on the borrowing or conversion date, as the case may be, with respect to such Loan and ending one week or one, two, three or six (or, if agreed to by all Lenders under the Facility, twelve) months (or additionally, in the case of any Eurocurrency Competitive Loan,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week or one, two, three or six (or, if agreed to by all Lenders under the Facility, twelve) months (or additionally, in the case of any Eurocurrency Competitive Loan,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all of the foregoing provisions relating to Interest Periods are subject to the following:</w:t>
      </w:r>
    </w:p>
    <w:p>
      <w:pPr>
        <w:spacing w:after="0" w:line="75" w:lineRule="exact"/>
        <w:rPr>
          <w:sz w:val="20"/>
          <w:szCs w:val="20"/>
          <w:color w:val="auto"/>
        </w:rPr>
      </w:pPr>
    </w:p>
    <w:p>
      <w:pPr>
        <w:ind w:left="880" w:right="60" w:firstLine="411"/>
        <w:spacing w:after="0" w:line="312" w:lineRule="auto"/>
        <w:tabs>
          <w:tab w:leader="none" w:pos="1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any Interest Period is one week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8" w:lineRule="exact"/>
        <w:rPr>
          <w:rFonts w:ascii="Arial" w:cs="Arial" w:eastAsia="Arial" w:hAnsi="Arial"/>
          <w:sz w:val="16"/>
          <w:szCs w:val="16"/>
          <w:color w:val="auto"/>
        </w:rPr>
      </w:pPr>
    </w:p>
    <w:p>
      <w:pPr>
        <w:ind w:left="880" w:right="140" w:firstLine="411"/>
        <w:spacing w:after="0" w:line="259" w:lineRule="auto"/>
        <w:tabs>
          <w:tab w:leader="none" w:pos="1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the Facility that would extend beyond the earliest Termination Date then in effect for the Facility unless Loans are converted into Converted Term Loans pursuant to Section 2.27, in which case the applicable Borrower may not select an Interest Period that would extend beyond the Converted Term Loan Maturity Date; and</w:t>
      </w:r>
    </w:p>
    <w:p>
      <w:pPr>
        <w:spacing w:after="0" w:line="78" w:lineRule="exact"/>
        <w:rPr>
          <w:rFonts w:ascii="Arial" w:cs="Arial" w:eastAsia="Arial" w:hAnsi="Arial"/>
          <w:sz w:val="18"/>
          <w:szCs w:val="18"/>
          <w:color w:val="auto"/>
        </w:rPr>
      </w:pPr>
    </w:p>
    <w:p>
      <w:pPr>
        <w:ind w:left="880" w:right="100" w:firstLine="411"/>
        <w:spacing w:after="0" w:line="264" w:lineRule="auto"/>
        <w:tabs>
          <w:tab w:leader="none" w:pos="1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Interest Period that is one week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5" w:name="page26"/>
    <w:bookmarkEnd w:id="25"/>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jc w:val="both"/>
        <w:ind w:right="1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225" w:lineRule="exact"/>
        <w:rPr>
          <w:sz w:val="20"/>
          <w:szCs w:val="20"/>
          <w:color w:val="auto"/>
        </w:rPr>
      </w:pPr>
    </w:p>
    <w:p>
      <w:pPr>
        <w:ind w:right="76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w:t>
      </w:r>
      <w:r>
        <w:rPr>
          <w:rFonts w:ascii="Arial" w:cs="Arial" w:eastAsia="Arial" w:hAnsi="Arial"/>
          <w:sz w:val="17"/>
          <w:szCs w:val="17"/>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47"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78"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2018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6" w:name="page27"/>
    <w:bookmarkEnd w:id="26"/>
    <w:p>
      <w:pPr>
        <w:ind w:right="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right="40" w:firstLine="8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indebtedness for borrowed money, the aggregate outstanding principal amount thereof,</w:t>
      </w:r>
    </w:p>
    <w:p>
      <w:pPr>
        <w:spacing w:after="0" w:line="46" w:lineRule="exact"/>
        <w:rPr>
          <w:sz w:val="20"/>
          <w:szCs w:val="20"/>
          <w:color w:val="auto"/>
        </w:rPr>
      </w:pPr>
    </w:p>
    <w:p>
      <w:pPr>
        <w:ind w:right="340" w:firstLine="4"/>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7" w:name="page28"/>
    <w:bookmarkEnd w:id="27"/>
    <w:p>
      <w:pPr>
        <w:ind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880" w:firstLine="411"/>
        <w:spacing w:after="0" w:line="302" w:lineRule="auto"/>
        <w:tabs>
          <w:tab w:leader="none" w:pos="153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46" w:lineRule="exact"/>
        <w:rPr>
          <w:rFonts w:ascii="Arial" w:cs="Arial" w:eastAsia="Arial" w:hAnsi="Arial"/>
          <w:sz w:val="16"/>
          <w:szCs w:val="16"/>
          <w:color w:val="auto"/>
        </w:rPr>
      </w:pPr>
    </w:p>
    <w:p>
      <w:pPr>
        <w:ind w:left="880" w:right="100" w:firstLine="411"/>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57" w:lineRule="exact"/>
        <w:rPr>
          <w:rFonts w:ascii="Arial" w:cs="Arial" w:eastAsia="Arial" w:hAnsi="Arial"/>
          <w:sz w:val="17"/>
          <w:szCs w:val="17"/>
          <w:color w:val="auto"/>
        </w:rPr>
      </w:pPr>
    </w:p>
    <w:p>
      <w:pPr>
        <w:ind w:left="1540" w:hanging="24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880" w:right="140" w:firstLine="411"/>
        <w:spacing w:after="0" w:line="26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28" w:name="page29"/>
    <w:bookmarkEnd w:id="28"/>
    <w:p>
      <w:pPr>
        <w:ind w:left="-120" w:right="60" w:firstLine="411"/>
        <w:spacing w:after="0" w:line="276" w:lineRule="auto"/>
        <w:tabs>
          <w:tab w:leader="none" w:pos="53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64" w:lineRule="exact"/>
        <w:rPr>
          <w:rFonts w:ascii="Arial" w:cs="Arial" w:eastAsia="Arial" w:hAnsi="Arial"/>
          <w:sz w:val="17"/>
          <w:szCs w:val="17"/>
          <w:color w:val="auto"/>
        </w:rPr>
      </w:pPr>
    </w:p>
    <w:p>
      <w:pPr>
        <w:ind w:left="-120" w:right="40" w:firstLine="411"/>
        <w:spacing w:after="0" w:line="308" w:lineRule="auto"/>
        <w:tabs>
          <w:tab w:leader="none" w:pos="51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38" w:lineRule="exact"/>
        <w:rPr>
          <w:rFonts w:ascii="Arial" w:cs="Arial" w:eastAsia="Arial" w:hAnsi="Arial"/>
          <w:sz w:val="17"/>
          <w:szCs w:val="17"/>
          <w:color w:val="auto"/>
        </w:rPr>
      </w:pPr>
    </w:p>
    <w:p>
      <w:pPr>
        <w:ind w:left="-120" w:firstLine="411"/>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5" w:lineRule="exact"/>
        <w:rPr>
          <w:rFonts w:ascii="Arial" w:cs="Arial" w:eastAsia="Arial" w:hAnsi="Arial"/>
          <w:sz w:val="18"/>
          <w:szCs w:val="18"/>
          <w:color w:val="auto"/>
        </w:rPr>
      </w:pPr>
    </w:p>
    <w:p>
      <w:pPr>
        <w:ind w:left="-120" w:right="120" w:firstLine="411"/>
        <w:spacing w:after="0" w:line="26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120" w:right="80" w:firstLine="411"/>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1" w:lineRule="exact"/>
        <w:rPr>
          <w:rFonts w:ascii="Arial" w:cs="Arial" w:eastAsia="Arial" w:hAnsi="Arial"/>
          <w:sz w:val="18"/>
          <w:szCs w:val="18"/>
          <w:color w:val="auto"/>
        </w:rPr>
      </w:pPr>
    </w:p>
    <w:p>
      <w:pPr>
        <w:ind w:left="-120" w:right="260" w:firstLine="411"/>
        <w:spacing w:after="0" w:line="286"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57" w:lineRule="exact"/>
        <w:rPr>
          <w:rFonts w:ascii="Arial" w:cs="Arial" w:eastAsia="Arial" w:hAnsi="Arial"/>
          <w:sz w:val="17"/>
          <w:szCs w:val="17"/>
          <w:color w:val="auto"/>
        </w:rPr>
      </w:pPr>
    </w:p>
    <w:p>
      <w:pPr>
        <w:jc w:val="both"/>
        <w:ind w:left="-120" w:right="120" w:firstLine="411"/>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Liens on property or Capital Stock of a Person at the time such Person becomes a Loan Party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Lien may not extend to any other property owned by the Company or any Principal Domestic Subsidiary;</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00"/>
          </w:cols>
          <w:pgMar w:left="1440" w:top="274" w:right="459" w:bottom="1440" w:gutter="0" w:footer="0" w:header="0"/>
        </w:sectPr>
      </w:pPr>
    </w:p>
    <w:bookmarkStart w:id="29" w:name="page30"/>
    <w:bookmarkEnd w:id="29"/>
    <w:p>
      <w:pPr>
        <w:ind w:left="-5" w:right="20" w:firstLine="411"/>
        <w:spacing w:after="0" w:line="279" w:lineRule="auto"/>
        <w:tabs>
          <w:tab w:leader="none" w:pos="615" w:val="left"/>
        </w:tabs>
        <w:numPr>
          <w:ilvl w:val="1"/>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ind w:left="-5" w:right="100" w:firstLine="411"/>
        <w:spacing w:after="0" w:line="264" w:lineRule="auto"/>
        <w:tabs>
          <w:tab w:leader="none" w:pos="7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73" w:lineRule="exact"/>
        <w:rPr>
          <w:rFonts w:ascii="Arial" w:cs="Arial" w:eastAsia="Arial" w:hAnsi="Arial"/>
          <w:sz w:val="18"/>
          <w:szCs w:val="18"/>
          <w:color w:val="auto"/>
        </w:rPr>
      </w:pPr>
    </w:p>
    <w:p>
      <w:pPr>
        <w:ind w:left="-5" w:right="240" w:firstLine="411"/>
        <w:spacing w:after="0" w:line="277" w:lineRule="auto"/>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55" w:hanging="249"/>
        <w:spacing w:after="0"/>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55" w:hanging="249"/>
        <w:spacing w:after="0"/>
        <w:tabs>
          <w:tab w:leader="none" w:pos="6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5" w:right="40" w:firstLine="411"/>
        <w:spacing w:after="0" w:line="285" w:lineRule="auto"/>
        <w:tabs>
          <w:tab w:leader="none" w:pos="655" w:val="left"/>
        </w:tabs>
        <w:numPr>
          <w:ilvl w:val="1"/>
          <w:numId w:val="10"/>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w:t>
      </w:r>
    </w:p>
    <w:p>
      <w:pPr>
        <w:spacing w:after="0" w:line="2" w:lineRule="exact"/>
        <w:rPr>
          <w:rFonts w:ascii="Arial" w:cs="Arial" w:eastAsia="Arial" w:hAnsi="Arial"/>
          <w:sz w:val="16"/>
          <w:szCs w:val="16"/>
          <w:color w:val="auto"/>
        </w:rPr>
      </w:pPr>
    </w:p>
    <w:p>
      <w:pPr>
        <w:ind w:left="315" w:hanging="315"/>
        <w:spacing w:after="0"/>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coverage of long term counterparty risk in respect of insurance companies, (vi) purchasing and supply agreements, (viii) rental deposits,</w:t>
      </w:r>
    </w:p>
    <w:p>
      <w:pPr>
        <w:spacing w:after="0" w:line="32" w:lineRule="exact"/>
        <w:rPr>
          <w:rFonts w:ascii="Arial" w:cs="Arial" w:eastAsia="Arial" w:hAnsi="Arial"/>
          <w:sz w:val="16"/>
          <w:szCs w:val="16"/>
          <w:color w:val="auto"/>
        </w:rPr>
      </w:pPr>
    </w:p>
    <w:p>
      <w:pPr>
        <w:ind w:left="315" w:hanging="315"/>
        <w:spacing w:after="0"/>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judicial appeals and (x) service contracts;</w:t>
      </w:r>
    </w:p>
    <w:p>
      <w:pPr>
        <w:spacing w:after="0" w:line="102" w:lineRule="exact"/>
        <w:rPr>
          <w:rFonts w:ascii="Arial" w:cs="Arial" w:eastAsia="Arial" w:hAnsi="Arial"/>
          <w:sz w:val="18"/>
          <w:szCs w:val="18"/>
          <w:color w:val="auto"/>
        </w:rPr>
      </w:pPr>
    </w:p>
    <w:p>
      <w:pPr>
        <w:ind w:left="635" w:hanging="229"/>
        <w:spacing w:after="0"/>
        <w:tabs>
          <w:tab w:leader="none" w:pos="635" w:val="left"/>
        </w:tabs>
        <w:numPr>
          <w:ilvl w:val="1"/>
          <w:numId w:val="12"/>
        </w:numPr>
        <w:rPr>
          <w:rFonts w:ascii="Arial" w:cs="Arial" w:eastAsia="Arial" w:hAnsi="Arial"/>
          <w:sz w:val="17"/>
          <w:szCs w:val="17"/>
          <w:color w:val="auto"/>
        </w:rPr>
      </w:pPr>
      <w:r>
        <w:rPr>
          <w:rFonts w:ascii="Arial" w:cs="Arial" w:eastAsia="Arial" w:hAnsi="Arial"/>
          <w:sz w:val="17"/>
          <w:szCs w:val="17"/>
          <w:color w:val="auto"/>
        </w:rPr>
        <w:t>Liens securing Indebtedness or other obligations of a Subsidiary owing to the Company or any Principal Domestic Subsidiary;</w:t>
      </w:r>
    </w:p>
    <w:p>
      <w:pPr>
        <w:spacing w:after="0" w:line="128" w:lineRule="exact"/>
        <w:rPr>
          <w:rFonts w:ascii="Arial" w:cs="Arial" w:eastAsia="Arial" w:hAnsi="Arial"/>
          <w:sz w:val="17"/>
          <w:szCs w:val="17"/>
          <w:color w:val="auto"/>
        </w:rPr>
      </w:pPr>
    </w:p>
    <w:p>
      <w:pPr>
        <w:ind w:left="-5" w:right="120" w:firstLine="411"/>
        <w:spacing w:after="0" w:line="264" w:lineRule="auto"/>
        <w:tabs>
          <w:tab w:leader="none" w:pos="6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5" w:right="300" w:firstLine="411"/>
        <w:spacing w:after="0" w:line="302" w:lineRule="auto"/>
        <w:tabs>
          <w:tab w:leader="none" w:pos="615"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46" w:lineRule="exact"/>
        <w:rPr>
          <w:rFonts w:ascii="Arial" w:cs="Arial" w:eastAsia="Arial" w:hAnsi="Arial"/>
          <w:sz w:val="16"/>
          <w:szCs w:val="16"/>
          <w:color w:val="auto"/>
        </w:rPr>
      </w:pPr>
    </w:p>
    <w:p>
      <w:pPr>
        <w:ind w:left="655" w:hanging="249"/>
        <w:spacing w:after="0"/>
        <w:tabs>
          <w:tab w:leader="none" w:pos="6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58" w:lineRule="exact"/>
        <w:rPr>
          <w:sz w:val="20"/>
          <w:szCs w:val="20"/>
          <w:color w:val="auto"/>
        </w:rPr>
      </w:pPr>
    </w:p>
    <w:p>
      <w:pPr>
        <w:ind w:left="4535"/>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15"/>
          </w:cols>
          <w:pgMar w:left="1325" w:top="274" w:right="459" w:bottom="1440" w:gutter="0" w:footer="0" w:header="0"/>
        </w:sectPr>
      </w:pPr>
    </w:p>
    <w:bookmarkStart w:id="30" w:name="page31"/>
    <w:bookmarkEnd w:id="30"/>
    <w:p>
      <w:pPr>
        <w:ind w:left="880" w:right="60" w:firstLine="411"/>
        <w:spacing w:after="0" w:line="264"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880" w:right="100" w:firstLine="411"/>
        <w:spacing w:after="0" w:line="308" w:lineRule="auto"/>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38" w:lineRule="exact"/>
        <w:rPr>
          <w:rFonts w:ascii="Arial" w:cs="Arial" w:eastAsia="Arial" w:hAnsi="Arial"/>
          <w:sz w:val="17"/>
          <w:szCs w:val="17"/>
          <w:color w:val="auto"/>
        </w:rPr>
      </w:pPr>
    </w:p>
    <w:p>
      <w:pPr>
        <w:ind w:left="880" w:right="200" w:firstLine="41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880" w:right="560" w:firstLine="41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880" w:right="80" w:firstLine="411"/>
        <w:spacing w:after="0" w:line="259" w:lineRule="auto"/>
        <w:tabs>
          <w:tab w:leader="none" w:pos="15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7" w:lineRule="exact"/>
        <w:rPr>
          <w:sz w:val="20"/>
          <w:szCs w:val="20"/>
          <w:color w:val="auto"/>
        </w:rPr>
      </w:pPr>
    </w:p>
    <w:p>
      <w:pPr>
        <w:ind w:right="6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at a particular time, an employee pension benefit plan covered by Title IV of ERISA or Section 412 of the Code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ERISA, but excluding any Multiemployer Plan, (a) which is sponsored, established, contributed to or maintained by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 (b) for which the Company or any ERISA Affiliate could have any liability, whether actual or contingent (whether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4062 or Section 4069 of ERISA be deemed to be) an “employer” as defined in Section 3(5) of ERISA.</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48" w:lineRule="exact"/>
        <w:rPr>
          <w:sz w:val="20"/>
          <w:szCs w:val="20"/>
          <w:color w:val="auto"/>
        </w:rPr>
      </w:pPr>
    </w:p>
    <w:p>
      <w:pPr>
        <w:ind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1" w:name="page32"/>
    <w:bookmarkEnd w:id="31"/>
    <w:p>
      <w:pPr>
        <w:ind w:right="120" w:firstLine="88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Previously Pledged Assets</w:t>
      </w:r>
      <w:r>
        <w:rPr>
          <w:rFonts w:ascii="Arial" w:cs="Arial" w:eastAsia="Arial" w:hAnsi="Arial"/>
          <w:sz w:val="18"/>
          <w:szCs w:val="18"/>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thereto, determined as if such agreement were still outstanding, and with each reference to Section 7.2(b) therein being deemed to be a reference to Section 7.2 hereof.</w:t>
      </w:r>
    </w:p>
    <w:p>
      <w:pPr>
        <w:spacing w:after="0" w:line="184"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2018 10-K), (B) at least 80% or more of the Capital Stock or Voting Stock of such Domestic Subsidiary is owned, directly or indirectly, by the Company and (C) none of the Capital Stock of such Domestic Subsidiary is publicly held.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for deposits in Dollars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2" w:name="page33"/>
    <w:bookmarkEnd w:id="32"/>
    <w:p>
      <w:pPr>
        <w:ind w:right="200"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47"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4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and its successors.</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right="12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GMGTC, GMF and any other Subsidiary that becomes a party hereto pursuant to Section 10.1(d) until such time as such Subsidiary Borrower is removed as a party hereto pursuant to Section 10.1(d).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3" w:name="page34"/>
    <w:bookmarkEnd w:id="33"/>
    <w:p>
      <w:pPr>
        <w:ind w:firstLine="88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the Guarantee after such Guarantee Reinstatement Date pursuant to</w:t>
      </w:r>
    </w:p>
    <w:p>
      <w:pPr>
        <w:spacing w:after="0" w:line="302" w:lineRule="auto"/>
        <w:rPr>
          <w:sz w:val="20"/>
          <w:szCs w:val="20"/>
          <w:color w:val="auto"/>
        </w:rPr>
      </w:pPr>
      <w:r>
        <w:rPr>
          <w:rFonts w:ascii="Arial" w:cs="Arial" w:eastAsia="Arial" w:hAnsi="Arial"/>
          <w:sz w:val="16"/>
          <w:szCs w:val="16"/>
          <w:color w:val="auto"/>
        </w:rPr>
        <w:t xml:space="preserve">Section 6.6(a) or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April 14, 2020 which is the date which is 364 calendar days following the Closing Date.</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$2.0 billion.</w:t>
      </w:r>
    </w:p>
    <w:p>
      <w:pPr>
        <w:spacing w:after="0" w:line="170"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or a Eurocurrency Loan and (b) as to any Competitive Loan, its nature as a Eurocurrency Competitive Loan or a Fixed Rate Loan.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incorporated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CTA</w:t>
      </w:r>
      <w:r>
        <w:rPr>
          <w:rFonts w:ascii="Arial" w:cs="Arial" w:eastAsia="Arial" w:hAnsi="Arial"/>
          <w:sz w:val="18"/>
          <w:szCs w:val="18"/>
          <w:color w:val="auto"/>
        </w:rPr>
        <w:t>” means the United Kingdom Corporation Tax Act 2009, as amended or re-enacted.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ITA</w:t>
      </w:r>
      <w:r>
        <w:rPr>
          <w:rFonts w:ascii="Arial" w:cs="Arial" w:eastAsia="Arial" w:hAnsi="Arial"/>
          <w:sz w:val="18"/>
          <w:szCs w:val="18"/>
          <w:color w:val="auto"/>
        </w:rPr>
        <w:t>” means the United Kingdom Income Tax Act 2007, as amended or re-enacted.</w:t>
      </w:r>
    </w:p>
    <w:p>
      <w:pPr>
        <w:spacing w:after="0" w:line="225" w:lineRule="exact"/>
        <w:rPr>
          <w:sz w:val="20"/>
          <w:szCs w:val="20"/>
          <w:color w:val="auto"/>
        </w:rPr>
      </w:pPr>
    </w:p>
    <w:p>
      <w:pPr>
        <w:ind w:right="40" w:firstLine="88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Qualifying Lender</w:t>
      </w:r>
      <w:r>
        <w:rPr>
          <w:rFonts w:ascii="Arial" w:cs="Arial" w:eastAsia="Arial" w:hAnsi="Arial"/>
          <w:sz w:val="16"/>
          <w:szCs w:val="16"/>
          <w:color w:val="auto"/>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57" w:lineRule="exact"/>
        <w:rPr>
          <w:sz w:val="20"/>
          <w:szCs w:val="20"/>
          <w:color w:val="auto"/>
        </w:rPr>
      </w:pPr>
    </w:p>
    <w:p>
      <w:pPr>
        <w:ind w:right="20" w:firstLine="88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w:t>
      </w:r>
    </w:p>
    <w:p>
      <w:pPr>
        <w:spacing w:after="0" w:line="2" w:lineRule="exact"/>
        <w:rPr>
          <w:sz w:val="20"/>
          <w:szCs w:val="20"/>
          <w:color w:val="auto"/>
        </w:rPr>
      </w:pPr>
    </w:p>
    <w:p>
      <w:pPr>
        <w:ind w:left="240" w:hanging="236"/>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company not so resident in the United Kingdom which carries on a trade in the United Kingdom through a permanent establishment and which</w:t>
      </w:r>
    </w:p>
    <w:p>
      <w:pPr>
        <w:spacing w:after="0" w:line="32"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brings into account interest payable in respect of that advance in computing the chargeable profits (within the meaning of section 19 of the UK CTA) of that company.</w:t>
      </w:r>
    </w:p>
    <w:p>
      <w:pPr>
        <w:spacing w:after="0" w:line="184"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Deduction</w:t>
      </w:r>
      <w:r>
        <w:rPr>
          <w:rFonts w:ascii="Arial" w:cs="Arial" w:eastAsia="Arial" w:hAnsi="Arial"/>
          <w:sz w:val="18"/>
          <w:szCs w:val="18"/>
          <w:color w:val="auto"/>
        </w:rPr>
        <w:t>” means a deduction or withholding for or on account of Taxes from a payment under a Loan Document, other than a deduction or withholding required by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Treaty Lender</w:t>
      </w:r>
      <w:r>
        <w:rPr>
          <w:rFonts w:ascii="Arial" w:cs="Arial" w:eastAsia="Arial" w:hAnsi="Arial"/>
          <w:sz w:val="16"/>
          <w:szCs w:val="16"/>
          <w:color w:val="auto"/>
        </w:rPr>
        <w:t>” means a Lender which: (a) is treated as a resident of a UK Treaty State for the purposes of the relevant UK Treaty;</w:t>
      </w:r>
    </w:p>
    <w:p>
      <w:pPr>
        <w:spacing w:after="0" w:line="46" w:lineRule="exact"/>
        <w:rPr>
          <w:sz w:val="20"/>
          <w:szCs w:val="20"/>
          <w:color w:val="auto"/>
        </w:rPr>
      </w:pPr>
    </w:p>
    <w:p>
      <w:pPr>
        <w:ind w:right="220" w:firstLine="4"/>
        <w:spacing w:after="0" w:line="302"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w:t>
      </w:r>
      <w:r>
        <w:rPr>
          <w:rFonts w:ascii="Arial" w:cs="Arial" w:eastAsia="Arial" w:hAnsi="Arial"/>
          <w:sz w:val="18"/>
          <w:szCs w:val="18"/>
          <w:color w:val="auto"/>
        </w:rPr>
        <w:t>” has the meaning given to that term in the definition of UK Treaty State.</w:t>
      </w:r>
    </w:p>
    <w:p>
      <w:pPr>
        <w:spacing w:after="0" w:line="225"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UK Treaty</w:t>
      </w:r>
      <w:r>
        <w:rPr>
          <w:rFonts w:ascii="Arial" w:cs="Arial" w:eastAsia="Arial" w:hAnsi="Arial"/>
          <w:sz w:val="18"/>
          <w:szCs w:val="18"/>
          <w:color w:val="auto"/>
        </w:rPr>
        <w:t>”) which makes provision for full exemption from tax imposed by the United Kingdom on interest.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Kingdom</w:t>
      </w:r>
      <w:r>
        <w:rPr>
          <w:rFonts w:ascii="Arial" w:cs="Arial" w:eastAsia="Arial" w:hAnsi="Arial"/>
          <w:sz w:val="18"/>
          <w:szCs w:val="18"/>
          <w:color w:val="auto"/>
        </w:rPr>
        <w:t>” means the United Kingdom of Great Britain and Northern Ireland.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 w:name="page36"/>
    <w:bookmarkEnd w:id="35"/>
    <w:p>
      <w:pPr>
        <w:ind w:right="26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73" w:lineRule="exact"/>
        <w:rPr>
          <w:sz w:val="20"/>
          <w:szCs w:val="20"/>
          <w:color w:val="auto"/>
        </w:rPr>
      </w:pPr>
    </w:p>
    <w:p>
      <w:pPr>
        <w:ind w:right="600" w:firstLine="881"/>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 w:lineRule="exact"/>
        <w:rPr>
          <w:sz w:val="20"/>
          <w:szCs w:val="20"/>
          <w:color w:val="auto"/>
        </w:rPr>
      </w:pPr>
    </w:p>
    <w:p>
      <w:pPr>
        <w:ind w:left="1140" w:hanging="255"/>
        <w:spacing w:after="0"/>
        <w:tabs>
          <w:tab w:leader="none" w:pos="11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w:t>
      </w:r>
    </w:p>
    <w:p>
      <w:pPr>
        <w:spacing w:after="0" w:line="46" w:lineRule="exact"/>
        <w:rPr>
          <w:rFonts w:ascii="Arial" w:cs="Arial" w:eastAsia="Arial" w:hAnsi="Arial"/>
          <w:sz w:val="16"/>
          <w:szCs w:val="16"/>
          <w:color w:val="auto"/>
        </w:rPr>
      </w:pPr>
    </w:p>
    <w:p>
      <w:pPr>
        <w:ind w:right="20" w:firstLine="4"/>
        <w:spacing w:after="0" w:line="267" w:lineRule="auto"/>
        <w:tabs>
          <w:tab w:leader="none" w:pos="2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78" w:lineRule="exact"/>
        <w:rPr>
          <w:rFonts w:ascii="Arial" w:cs="Arial" w:eastAsia="Arial" w:hAnsi="Arial"/>
          <w:sz w:val="17"/>
          <w:szCs w:val="17"/>
          <w:color w:val="auto"/>
        </w:rPr>
      </w:pPr>
    </w:p>
    <w:p>
      <w:pPr>
        <w:ind w:right="60" w:firstLine="885"/>
        <w:spacing w:after="0" w:line="264" w:lineRule="auto"/>
        <w:tabs>
          <w:tab w:leader="none" w:pos="112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9" w:lineRule="auto"/>
        <w:tabs>
          <w:tab w:leader="none" w:pos="1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78" w:lineRule="exact"/>
        <w:rPr>
          <w:rFonts w:ascii="Arial" w:cs="Arial" w:eastAsia="Arial" w:hAnsi="Arial"/>
          <w:sz w:val="18"/>
          <w:szCs w:val="18"/>
          <w:color w:val="auto"/>
        </w:rPr>
      </w:pPr>
    </w:p>
    <w:p>
      <w:pPr>
        <w:ind w:right="120" w:firstLine="885"/>
        <w:spacing w:after="0" w:line="264" w:lineRule="auto"/>
        <w:tabs>
          <w:tab w:leader="none" w:pos="11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73" w:lineRule="exact"/>
        <w:rPr>
          <w:rFonts w:ascii="Arial" w:cs="Arial" w:eastAsia="Arial" w:hAnsi="Arial"/>
          <w:sz w:val="18"/>
          <w:szCs w:val="18"/>
          <w:color w:val="auto"/>
        </w:rPr>
      </w:pPr>
    </w:p>
    <w:p>
      <w:pPr>
        <w:jc w:val="both"/>
        <w:ind w:right="200" w:firstLine="885"/>
        <w:spacing w:after="0" w:line="264" w:lineRule="auto"/>
        <w:tabs>
          <w:tab w:leader="none" w:pos="1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36" w:name="page37"/>
    <w:bookmarkEnd w:id="36"/>
    <w:p>
      <w:pPr>
        <w:ind w:right="14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73"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AMOUNT AND TERMS OF COMMITMENTS</w:t>
      </w:r>
    </w:p>
    <w:p>
      <w:pPr>
        <w:spacing w:after="0" w:line="117"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Commitments</w:t>
      </w:r>
      <w:r>
        <w:rPr>
          <w:rFonts w:ascii="Arial" w:cs="Arial" w:eastAsia="Arial" w:hAnsi="Arial"/>
          <w:sz w:val="17"/>
          <w:szCs w:val="17"/>
          <w:color w:val="auto"/>
        </w:rPr>
        <w:t>. (a) Subject to the terms and conditions hereof, each Lender severally agrees to make (or cause its Applicable Lending Office to make) revolving loans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in Dollars to the Company or any Subsidiary Borrower from time to time during the Commitment Period of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Eurocurrency Loans, ABR Loans or any combination of the foregoing, as determined by the Company or the relevant Subsidiary Borrower and notified to the Administrative Agent in accordance with Section 2.2 and 2.14.</w:t>
      </w:r>
    </w:p>
    <w:p>
      <w:pPr>
        <w:spacing w:after="0" w:line="71" w:lineRule="exact"/>
        <w:rPr>
          <w:sz w:val="20"/>
          <w:szCs w:val="20"/>
          <w:color w:val="auto"/>
        </w:rPr>
      </w:pPr>
    </w:p>
    <w:p>
      <w:pPr>
        <w:ind w:right="60" w:firstLine="885"/>
        <w:spacing w:after="0" w:line="259" w:lineRule="auto"/>
        <w:tabs>
          <w:tab w:leader="none" w:pos="11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2.27, in which case the Company and, to the extent of its borrowings, any relevant Subsidiary Borrower shall repay all outstanding Converted Term Loans of a Lender on the Converted Term Loan Maturity Date.</w:t>
      </w:r>
    </w:p>
    <w:p>
      <w:pPr>
        <w:spacing w:after="0" w:line="7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Borrowing</w:t>
      </w:r>
      <w:r>
        <w:rPr>
          <w:rFonts w:ascii="Arial" w:cs="Arial" w:eastAsia="Arial" w:hAnsi="Arial"/>
          <w:sz w:val="17"/>
          <w:szCs w:val="17"/>
          <w:color w:val="auto"/>
        </w:rPr>
        <w:t xml:space="preserve">. The Company and any Subsidiary Borrower may borrow under the Commitments during the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or the relevant Subsidiary Borrower shall give the Administrative Agent a written Borrowing Request (or telephonic notice promptly confirmed with a written Borrowing Request) prior to (a) in the case of Eurocurrency Loans (i) in the case of requests made by the Company or any Subsidiary Borrower other than GMGTC, 1:00 P.M., New York City time, three Business Days prior to the requested Borrowing Date or (ii) in the case of requests made by GMGTC, 1:00 P.M., London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Borrowing Request submitted by a Subsidiary Borrower shall include the written consent of the Company. If no election as to the Type of a Loan is specified in any such notice, then the requested borrowing shall be an ABR Loan. If no Interest Period with respect to a Eurocurrency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7" w:name="page38"/>
    <w:bookmarkEnd w:id="3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Subject to the terms and conditions set forth herein, from time to time during the Commitment Period, the Company or any Subsidiary Borrower may request Competitive Bids under the Facility and may (but shall not have any obligation to) accept Competitive Bids and borrow Competitive Loans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borrowing and the use of proceeds thereof, the Total Extensions of Credit shall not exceed the Total Commitments then in effect. To request Competitive Bids under the Facility, the Company or the relevant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Facility, (2) the amount (which shall be a minimum of $50 million) and Type of the requested Competitive Loans, (3) the requested Borrowing Date and (4) the requested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or the relevant Subsidiary Borrower may request offers to make Competitive Loans under the Facility for more than one Interest Period or for multiple Types of Competitive Loans under the Facility in a single Competitive Bid Request.</w:t>
      </w:r>
    </w:p>
    <w:p>
      <w:pPr>
        <w:spacing w:after="0" w:line="75" w:lineRule="exact"/>
        <w:rPr>
          <w:sz w:val="20"/>
          <w:szCs w:val="20"/>
          <w:color w:val="auto"/>
        </w:rPr>
      </w:pPr>
    </w:p>
    <w:p>
      <w:pPr>
        <w:ind w:right="40" w:firstLine="885"/>
        <w:spacing w:after="0" w:line="264" w:lineRule="auto"/>
        <w:tabs>
          <w:tab w:leader="none" w:pos="11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73" w:lineRule="exact"/>
        <w:rPr>
          <w:rFonts w:ascii="Arial" w:cs="Arial" w:eastAsia="Arial" w:hAnsi="Arial"/>
          <w:sz w:val="18"/>
          <w:szCs w:val="18"/>
          <w:color w:val="auto"/>
        </w:rPr>
      </w:pPr>
    </w:p>
    <w:p>
      <w:pPr>
        <w:ind w:right="120" w:firstLine="885"/>
        <w:spacing w:after="0" w:line="264" w:lineRule="auto"/>
        <w:tabs>
          <w:tab w:leader="none" w:pos="11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and must be received by the Administrative Agent at its office specified in Section 10.2 not later than 9:30 A.M., New York City time, three Business Days before the proposed Borrowing Date, in the case of Eurocurrency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and which may equal the entire principal amount of the Competitive Loans requested by the Company or the relevant Subsidiary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70" w:lineRule="exact"/>
        <w:rPr>
          <w:sz w:val="20"/>
          <w:szCs w:val="20"/>
          <w:color w:val="auto"/>
        </w:rPr>
      </w:pPr>
    </w:p>
    <w:p>
      <w:pPr>
        <w:ind w:right="200" w:firstLine="885"/>
        <w:spacing w:after="0" w:line="257" w:lineRule="auto"/>
        <w:tabs>
          <w:tab w:leader="none" w:pos="11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no later than 10:00 A.M., New York City time (i) three Business Days before the proposed Borrowing Date, in the case of Eurocurrency Competitive Loans, and (ii) on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80" w:lineRule="exact"/>
        <w:rPr>
          <w:rFonts w:ascii="Arial" w:cs="Arial" w:eastAsia="Arial" w:hAnsi="Arial"/>
          <w:sz w:val="18"/>
          <w:szCs w:val="18"/>
          <w:color w:val="auto"/>
        </w:rPr>
      </w:pPr>
    </w:p>
    <w:p>
      <w:pPr>
        <w:ind w:right="40" w:firstLine="885"/>
        <w:spacing w:after="0" w:line="283" w:lineRule="auto"/>
        <w:tabs>
          <w:tab w:leader="none" w:pos="1126"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Eurocurrency Competitive Loans, and (ii) on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w:t>
      </w:r>
    </w:p>
    <w:p>
      <w:pPr>
        <w:spacing w:after="0" w:line="5" w:lineRule="exact"/>
        <w:rPr>
          <w:rFonts w:ascii="Arial" w:cs="Arial" w:eastAsia="Arial" w:hAnsi="Arial"/>
          <w:sz w:val="16"/>
          <w:szCs w:val="16"/>
          <w:color w:val="auto"/>
        </w:rPr>
      </w:pPr>
    </w:p>
    <w:p>
      <w:pPr>
        <w:ind w:right="60" w:firstLine="4"/>
        <w:spacing w:after="0" w:line="252" w:lineRule="auto"/>
        <w:tabs>
          <w:tab w:leader="none" w:pos="2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amount of each such Competitive Bid with such amounts rounded (as nearly as possible) to integral multiples of $1 million, in a manner determined by the Company or the relevant Subsidiary Borrower, and (E) except pursuant to clause (D) above, no Competitive Bid shall be accepted for a Competitive Loan made by a Lender unless such Competitive Loan is in a minimum principal amount of $5 million. A notice given by the Company or the relevant Subsidiary Borrower pursuant to this paragraph shall be irrevocable.</w:t>
      </w:r>
    </w:p>
    <w:p>
      <w:pPr>
        <w:spacing w:after="0" w:line="86" w:lineRule="exact"/>
        <w:rPr>
          <w:rFonts w:ascii="Arial" w:cs="Arial" w:eastAsia="Arial" w:hAnsi="Arial"/>
          <w:sz w:val="18"/>
          <w:szCs w:val="18"/>
          <w:color w:val="auto"/>
        </w:rPr>
      </w:pPr>
    </w:p>
    <w:p>
      <w:pPr>
        <w:ind w:right="200" w:firstLine="885"/>
        <w:spacing w:after="0" w:line="257" w:lineRule="auto"/>
        <w:tabs>
          <w:tab w:leader="none" w:pos="11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11:00 A.M., New York City time (i) three Business Days before the proposed Borrowing Date, in the case of Eurocurrency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9" w:name="page40"/>
    <w:bookmarkEnd w:id="39"/>
    <w:p>
      <w:pPr>
        <w:ind w:right="80" w:firstLine="885"/>
        <w:spacing w:after="0" w:line="264"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73" w:lineRule="exact"/>
        <w:rPr>
          <w:rFonts w:ascii="Arial" w:cs="Arial" w:eastAsia="Arial" w:hAnsi="Arial"/>
          <w:sz w:val="18"/>
          <w:szCs w:val="18"/>
          <w:color w:val="auto"/>
        </w:rPr>
      </w:pPr>
    </w:p>
    <w:p>
      <w:pPr>
        <w:ind w:right="220" w:firstLine="885"/>
        <w:spacing w:after="0" w:line="277"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62"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and Competitive Loans of such Lender under the Facility during the related Fee Payment Period for which payment is made, payable in arrears on each Fee Payment Date, commencing on the first such date to occur after the Closing Date.</w:t>
      </w:r>
    </w:p>
    <w:p>
      <w:pPr>
        <w:spacing w:after="0" w:line="81" w:lineRule="exact"/>
        <w:rPr>
          <w:sz w:val="20"/>
          <w:szCs w:val="20"/>
          <w:color w:val="auto"/>
        </w:rPr>
      </w:pPr>
    </w:p>
    <w:p>
      <w:pPr>
        <w:ind w:right="80" w:firstLine="885"/>
        <w:spacing w:after="0" w:line="277" w:lineRule="auto"/>
        <w:tabs>
          <w:tab w:leader="none" w:pos="11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Arranger Fee Letter, dated as of February 21, 2019, between the Company and the Administrative Agent.</w:t>
      </w:r>
    </w:p>
    <w:p>
      <w:pPr>
        <w:spacing w:after="0" w:line="62"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61" w:lineRule="exact"/>
        <w:rPr>
          <w:sz w:val="20"/>
          <w:szCs w:val="20"/>
          <w:color w:val="auto"/>
        </w:rPr>
      </w:pPr>
    </w:p>
    <w:p>
      <w:pPr>
        <w:ind w:right="120" w:firstLine="881"/>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Company and any relevant Subsidiary Borrower may at any time and from time to time prepay the Loans, in whole or in 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(a) if a Eurocurrency Loan is prepaid on any day other than the last day of the Interest Period applicable thereto, the Company or the relevant Subsidiary Borrower shall also pay any amounts owing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0" w:name="page41"/>
    <w:bookmarkEnd w:id="4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75" w:lineRule="exact"/>
        <w:rPr>
          <w:sz w:val="20"/>
          <w:szCs w:val="20"/>
          <w:color w:val="auto"/>
        </w:rPr>
      </w:pPr>
    </w:p>
    <w:p>
      <w:pPr>
        <w:ind w:right="40" w:firstLine="885"/>
        <w:spacing w:after="0" w:line="269" w:lineRule="auto"/>
        <w:tabs>
          <w:tab w:leader="none" w:pos="1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1" w:name="page42"/>
    <w:bookmarkEnd w:id="41"/>
    <w:p>
      <w:pPr>
        <w:jc w:val="both"/>
        <w:ind w:right="2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ten (10) Eurocurrency Tranches shall be outstanding at any one time.</w:t>
      </w:r>
    </w:p>
    <w:p>
      <w:pPr>
        <w:spacing w:after="0" w:line="73"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 xml:space="preserve">. (a) Each Eurocurrency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38" w:lineRule="exact"/>
        <w:rPr>
          <w:sz w:val="20"/>
          <w:szCs w:val="20"/>
          <w:color w:val="auto"/>
        </w:rPr>
      </w:pPr>
    </w:p>
    <w:p>
      <w:pPr>
        <w:ind w:right="20" w:firstLine="885"/>
        <w:spacing w:after="0" w:line="277" w:lineRule="auto"/>
        <w:tabs>
          <w:tab w:leader="none" w:pos="11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117" w:lineRule="exact"/>
        <w:rPr>
          <w:rFonts w:ascii="Arial" w:cs="Arial" w:eastAsia="Arial" w:hAnsi="Arial"/>
          <w:sz w:val="18"/>
          <w:szCs w:val="18"/>
          <w:color w:val="auto"/>
        </w:rPr>
      </w:pPr>
    </w:p>
    <w:p>
      <w:pPr>
        <w:ind w:right="80" w:firstLine="885"/>
        <w:spacing w:after="0" w:line="273" w:lineRule="auto"/>
        <w:tabs>
          <w:tab w:leader="none" w:pos="11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70" w:lineRule="exact"/>
        <w:rPr>
          <w:rFonts w:ascii="Arial" w:cs="Arial" w:eastAsia="Arial" w:hAnsi="Arial"/>
          <w:sz w:val="17"/>
          <w:szCs w:val="17"/>
          <w:color w:val="auto"/>
        </w:rPr>
      </w:pPr>
    </w:p>
    <w:p>
      <w:pPr>
        <w:ind w:right="280" w:firstLine="885"/>
        <w:spacing w:after="0" w:line="277" w:lineRule="auto"/>
        <w:tabs>
          <w:tab w:leader="none" w:pos="11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2.16(e) shall be payable from time to time on demand.</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interest hereunder shall be paid in Dollars.</w:t>
      </w:r>
    </w:p>
    <w:p>
      <w:pPr>
        <w:spacing w:after="0" w:line="117"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59" w:lineRule="exact"/>
        <w:rPr>
          <w:sz w:val="20"/>
          <w:szCs w:val="20"/>
          <w:color w:val="auto"/>
        </w:rPr>
      </w:pPr>
    </w:p>
    <w:p>
      <w:pPr>
        <w:ind w:firstLine="885"/>
        <w:spacing w:after="0" w:line="279" w:lineRule="auto"/>
        <w:tabs>
          <w:tab w:leader="none" w:pos="1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pursuant to any provision of this Agreement or any other Loan Document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2.17(a).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2" w:name="page43"/>
    <w:bookmarkEnd w:id="4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117" w:lineRule="exact"/>
        <w:rPr>
          <w:sz w:val="20"/>
          <w:szCs w:val="20"/>
          <w:color w:val="auto"/>
        </w:rPr>
      </w:pPr>
    </w:p>
    <w:p>
      <w:pPr>
        <w:jc w:val="both"/>
        <w:ind w:right="300" w:firstLine="885"/>
        <w:spacing w:after="0" w:line="264" w:lineRule="auto"/>
        <w:tabs>
          <w:tab w:leader="none" w:pos="10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 or</w:t>
      </w:r>
    </w:p>
    <w:p>
      <w:pPr>
        <w:spacing w:after="0" w:line="73" w:lineRule="exact"/>
        <w:rPr>
          <w:rFonts w:ascii="Arial" w:cs="Arial" w:eastAsia="Arial" w:hAnsi="Arial"/>
          <w:sz w:val="18"/>
          <w:szCs w:val="18"/>
          <w:color w:val="auto"/>
        </w:rPr>
      </w:pPr>
    </w:p>
    <w:p>
      <w:pPr>
        <w:ind w:right="100" w:firstLine="885"/>
        <w:spacing w:after="0" w:line="264" w:lineRule="auto"/>
        <w:tabs>
          <w:tab w:leader="none" w:pos="11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Eurocurrency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Administrative Agent shall give notice thereof to the Company and any relevant Subsidiary Borrower and the relevant Lenders as soon as practicable thereafter. If any such notice is given pursuant to clause (i) or (ii) of this Section 2.18(a) in respect of Eurocurrency Loans,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under the Facility requested to be made on the first day of such Interest Period shall be made as ABR Loans, (2) any ABR Loans that were to have been converted on the first day of such Interest Period to Eurocurrency Loans shall be continued as ABR Loans and (3) any outstanding Eurocurrency Loans shall be converted, on the last day of the then-current Interest Period, to ABR Loans.</w:t>
      </w:r>
    </w:p>
    <w:p>
      <w:pPr>
        <w:spacing w:after="0" w:line="70" w:lineRule="exact"/>
        <w:rPr>
          <w:sz w:val="20"/>
          <w:szCs w:val="20"/>
          <w:color w:val="auto"/>
        </w:rPr>
      </w:pPr>
    </w:p>
    <w:p>
      <w:pPr>
        <w:ind w:firstLine="885"/>
        <w:spacing w:after="0" w:line="288" w:lineRule="auto"/>
        <w:tabs>
          <w:tab w:leader="none" w:pos="11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continue such Eurocurrency Loans as such and convert ABR Loans to Eurocurrency Loans shall forthwith be cancelled and (ii) such Lender’s outstanding Eurocurrency Loans shall be converted automatically on the last day of the then current Interest Periods with respect to such Loans (or within such earlier period as shall be required by law) to ABR Loans.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61" w:lineRule="exact"/>
        <w:rPr>
          <w:rFonts w:ascii="Arial" w:cs="Arial" w:eastAsia="Arial" w:hAnsi="Arial"/>
          <w:sz w:val="16"/>
          <w:szCs w:val="16"/>
          <w:color w:val="auto"/>
        </w:rPr>
      </w:pPr>
    </w:p>
    <w:p>
      <w:pPr>
        <w:ind w:right="80" w:firstLine="885"/>
        <w:spacing w:after="0" w:line="270" w:lineRule="auto"/>
        <w:tabs>
          <w:tab w:leader="none" w:pos="112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at any time the Administrative Agent determines (which determination shall be conclusive and binding upon the Company or relevant Subsidiary Borrower) that (i) the circumstances set forth in clause (a)(i) have arisen and such circumstances are unlikely to be temporary or (ii) the circumstances set forth in clause (a)(i)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3" w:name="page44"/>
    <w:bookmarkEnd w:id="43"/>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 (C) any request by the Borrower for a Eurocurrency Competitive Loan shall be ineffective.</w:t>
      </w:r>
    </w:p>
    <w:p>
      <w:pPr>
        <w:spacing w:after="0" w:line="71"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the Facility, of the relevant Lenders in the Facility except to the extent required or permitted pursuant to Sections 2.9, 2.11, 2.24 and 2.25.</w:t>
      </w:r>
    </w:p>
    <w:p>
      <w:pPr>
        <w:spacing w:after="0" w:line="63" w:lineRule="exact"/>
        <w:rPr>
          <w:sz w:val="20"/>
          <w:szCs w:val="20"/>
          <w:color w:val="auto"/>
        </w:rPr>
      </w:pPr>
    </w:p>
    <w:p>
      <w:pPr>
        <w:ind w:right="80" w:firstLine="885"/>
        <w:spacing w:after="0" w:line="259" w:lineRule="auto"/>
        <w:tabs>
          <w:tab w:leader="none" w:pos="11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Company or any Subsidiary Borrower on account of principal of and interest on the Loans under the Facility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2.9, 2.11, 2.24 and 2.25. Each such payment shall be paid in Dollars.</w:t>
      </w:r>
    </w:p>
    <w:p>
      <w:pPr>
        <w:spacing w:after="0" w:line="78" w:lineRule="exact"/>
        <w:rPr>
          <w:rFonts w:ascii="Arial" w:cs="Arial" w:eastAsia="Arial" w:hAnsi="Arial"/>
          <w:sz w:val="18"/>
          <w:szCs w:val="18"/>
          <w:color w:val="auto"/>
        </w:rPr>
      </w:pPr>
    </w:p>
    <w:p>
      <w:pPr>
        <w:ind w:firstLine="885"/>
        <w:spacing w:after="0" w:line="288" w:lineRule="auto"/>
        <w:tabs>
          <w:tab w:leader="none" w:pos="11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61" w:lineRule="exact"/>
        <w:rPr>
          <w:rFonts w:ascii="Arial" w:cs="Arial" w:eastAsia="Arial" w:hAnsi="Arial"/>
          <w:sz w:val="16"/>
          <w:szCs w:val="16"/>
          <w:color w:val="auto"/>
        </w:rPr>
      </w:pPr>
    </w:p>
    <w:p>
      <w:pPr>
        <w:ind w:right="40" w:firstLine="885"/>
        <w:spacing w:after="0" w:line="291" w:lineRule="auto"/>
        <w:tabs>
          <w:tab w:leader="none" w:pos="11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4" w:name="page45"/>
    <w:bookmarkEnd w:id="44"/>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46" w:lineRule="exact"/>
        <w:rPr>
          <w:sz w:val="20"/>
          <w:szCs w:val="20"/>
          <w:color w:val="auto"/>
        </w:rPr>
      </w:pPr>
    </w:p>
    <w:p>
      <w:pPr>
        <w:ind w:firstLine="885"/>
        <w:spacing w:after="0" w:line="270" w:lineRule="auto"/>
        <w:tabs>
          <w:tab w:leader="none" w:pos="112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73" w:lineRule="exact"/>
        <w:rPr>
          <w:rFonts w:ascii="Arial" w:cs="Arial" w:eastAsia="Arial" w:hAnsi="Arial"/>
          <w:sz w:val="17"/>
          <w:szCs w:val="17"/>
          <w:color w:val="auto"/>
        </w:rPr>
      </w:pPr>
    </w:p>
    <w:p>
      <w:pPr>
        <w:ind w:right="120" w:firstLine="885"/>
        <w:spacing w:after="0" w:line="286" w:lineRule="auto"/>
        <w:tabs>
          <w:tab w:leader="none" w:pos="11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57" w:lineRule="exact"/>
        <w:rPr>
          <w:rFonts w:ascii="Arial" w:cs="Arial" w:eastAsia="Arial" w:hAnsi="Arial"/>
          <w:sz w:val="17"/>
          <w:szCs w:val="17"/>
          <w:color w:val="auto"/>
        </w:rPr>
      </w:pPr>
    </w:p>
    <w:p>
      <w:pPr>
        <w:ind w:right="100" w:firstLine="885"/>
        <w:spacing w:after="0" w:line="259" w:lineRule="auto"/>
        <w:tabs>
          <w:tab w:leader="none" w:pos="11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8"/>
          <w:szCs w:val="18"/>
          <w:u w:val="single" w:color="auto"/>
          <w:color w:val="auto"/>
        </w:rPr>
        <w:t>Note</w:t>
      </w:r>
      <w:r>
        <w:rPr>
          <w:rFonts w:ascii="Arial" w:cs="Arial" w:eastAsia="Arial" w:hAnsi="Arial"/>
          <w:sz w:val="18"/>
          <w:szCs w:val="18"/>
          <w:color w:val="auto"/>
        </w:rPr>
        <w:t>”), with appropriate insertions as to date and principal amount.</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If any Change in Law shall:</w:t>
      </w:r>
    </w:p>
    <w:p>
      <w:pPr>
        <w:spacing w:after="0" w:line="117" w:lineRule="exact"/>
        <w:rPr>
          <w:sz w:val="20"/>
          <w:szCs w:val="20"/>
          <w:color w:val="auto"/>
        </w:rPr>
      </w:pPr>
    </w:p>
    <w:p>
      <w:pPr>
        <w:ind w:firstLine="885"/>
        <w:spacing w:after="0" w:line="264" w:lineRule="auto"/>
        <w:tabs>
          <w:tab w:leader="none" w:pos="10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73" w:lineRule="exact"/>
        <w:rPr>
          <w:rFonts w:ascii="Arial" w:cs="Arial" w:eastAsia="Arial" w:hAnsi="Arial"/>
          <w:sz w:val="18"/>
          <w:szCs w:val="18"/>
          <w:color w:val="auto"/>
        </w:rPr>
      </w:pPr>
    </w:p>
    <w:p>
      <w:pPr>
        <w:ind w:left="1160" w:hanging="275"/>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5" w:name="page46"/>
    <w:bookmarkEnd w:id="45"/>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80" w:lineRule="exact"/>
        <w:rPr>
          <w:sz w:val="20"/>
          <w:szCs w:val="20"/>
          <w:color w:val="auto"/>
        </w:rPr>
      </w:pPr>
    </w:p>
    <w:p>
      <w:pPr>
        <w:ind w:firstLine="885"/>
        <w:spacing w:after="0" w:line="290" w:lineRule="auto"/>
        <w:tabs>
          <w:tab w:leader="none" w:pos="1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58" w:lineRule="exact"/>
        <w:rPr>
          <w:rFonts w:ascii="Arial" w:cs="Arial" w:eastAsia="Arial" w:hAnsi="Arial"/>
          <w:sz w:val="16"/>
          <w:szCs w:val="16"/>
          <w:color w:val="auto"/>
        </w:rPr>
      </w:pPr>
    </w:p>
    <w:p>
      <w:pPr>
        <w:ind w:firstLine="885"/>
        <w:spacing w:after="0" w:line="287" w:lineRule="auto"/>
        <w:tabs>
          <w:tab w:leader="none" w:pos="11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277"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Taxes</w:t>
      </w:r>
      <w:r>
        <w:rPr>
          <w:rFonts w:ascii="Arial" w:cs="Arial" w:eastAsia="Arial" w:hAnsi="Arial"/>
          <w:sz w:val="17"/>
          <w:szCs w:val="17"/>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6" w:name="page47"/>
    <w:bookmarkEnd w:id="4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in a jurisdiction described in clause (i) above and (iii) any Taxes imposed by reason of FATCA (any such non-excluded Taxes, “</w:t>
      </w:r>
      <w:r>
        <w:rPr>
          <w:rFonts w:ascii="Arial" w:cs="Arial" w:eastAsia="Arial" w:hAnsi="Arial"/>
          <w:sz w:val="16"/>
          <w:szCs w:val="16"/>
          <w:u w:val="single" w:color="auto"/>
          <w:color w:val="auto"/>
        </w:rPr>
        <w:t>Non-Excluded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If any Taxes are required to be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and shall pay the full amount deducted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70" w:lineRule="exact"/>
        <w:rPr>
          <w:sz w:val="20"/>
          <w:szCs w:val="20"/>
          <w:color w:val="auto"/>
        </w:rPr>
      </w:pPr>
    </w:p>
    <w:p>
      <w:pPr>
        <w:ind w:left="1140" w:hanging="255"/>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addition, each Loan Party shall pay any Other Taxes over to the relevant Governmental Authority in accordance with applicable law.</w:t>
      </w:r>
    </w:p>
    <w:p>
      <w:pPr>
        <w:spacing w:after="0" w:line="140" w:lineRule="exact"/>
        <w:rPr>
          <w:rFonts w:ascii="Arial" w:cs="Arial" w:eastAsia="Arial" w:hAnsi="Arial"/>
          <w:sz w:val="16"/>
          <w:szCs w:val="16"/>
          <w:color w:val="auto"/>
        </w:rPr>
      </w:pPr>
    </w:p>
    <w:p>
      <w:pPr>
        <w:ind w:firstLine="885"/>
        <w:spacing w:after="0" w:line="287" w:lineRule="auto"/>
        <w:tabs>
          <w:tab w:leader="none" w:pos="11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 The UK Borrower shall not be required to indemnify the Administrative Agent or the Lenders for any amount which would have been compensated for by an increased payment pursuant to Section 2.21(a) but was not so compensated solely because one of the exclusions in Section 2.21(e)(ii) applied.</w:t>
      </w:r>
    </w:p>
    <w:p>
      <w:pPr>
        <w:spacing w:after="0" w:line="60" w:lineRule="exact"/>
        <w:rPr>
          <w:rFonts w:ascii="Arial" w:cs="Arial" w:eastAsia="Arial" w:hAnsi="Arial"/>
          <w:sz w:val="16"/>
          <w:szCs w:val="16"/>
          <w:color w:val="auto"/>
        </w:rPr>
      </w:pPr>
    </w:p>
    <w:p>
      <w:pPr>
        <w:ind w:right="20" w:firstLine="885"/>
        <w:spacing w:after="0" w:line="257" w:lineRule="auto"/>
        <w:tabs>
          <w:tab w:leader="none" w:pos="11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Lender (or Transferee) (i) that is not a “United States person” as defined in Section 7701(a)(30) of the Code (a “</w:t>
      </w:r>
      <w:r>
        <w:rPr>
          <w:rFonts w:ascii="Arial" w:cs="Arial" w:eastAsia="Arial" w:hAnsi="Arial"/>
          <w:sz w:val="18"/>
          <w:szCs w:val="18"/>
          <w:u w:val="single" w:color="auto"/>
          <w:color w:val="auto"/>
        </w:rPr>
        <w:t>Non-U.S. Lender</w:t>
      </w:r>
      <w:r>
        <w:rPr>
          <w:rFonts w:ascii="Arial" w:cs="Arial" w:eastAsia="Arial" w:hAnsi="Arial"/>
          <w:sz w:val="18"/>
          <w:szCs w:val="18"/>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282" w:lineRule="exact"/>
        <w:rPr>
          <w:sz w:val="20"/>
          <w:szCs w:val="20"/>
          <w:color w:val="auto"/>
        </w:rPr>
      </w:pPr>
    </w:p>
    <w:p>
      <w:pPr>
        <w:ind w:left="1120" w:hanging="23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59" w:lineRule="auto"/>
        <w:tabs>
          <w:tab w:leader="none" w:pos="10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UK Borrower shall promptly upon becoming aware that it must make a UK Tax Deduction (or that there is any change in the rate or the basis of a UK Tax Deduction) notify the Administrative Agent accordingly. Similarly, a Lender shall promptly notify the Administrative Agent on becoming so aware in respect of a payment payable by any UK Borrower to that Lender. If the Administrative Agent receives such notification from a Lender it shall notify the relevant UK Borrower.</w:t>
      </w:r>
    </w:p>
    <w:p>
      <w:pPr>
        <w:spacing w:after="0" w:line="78" w:lineRule="exact"/>
        <w:rPr>
          <w:rFonts w:ascii="Arial" w:cs="Arial" w:eastAsia="Arial" w:hAnsi="Arial"/>
          <w:sz w:val="18"/>
          <w:szCs w:val="18"/>
          <w:color w:val="auto"/>
        </w:rPr>
      </w:pPr>
    </w:p>
    <w:p>
      <w:pPr>
        <w:jc w:val="both"/>
        <w:ind w:right="20" w:firstLine="885"/>
        <w:spacing w:after="0" w:line="286" w:lineRule="auto"/>
        <w:tabs>
          <w:tab w:leader="none" w:pos="11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Without prejudice to the generality of Section 2.21(a), a payment from a UK Borrower shall not be increased pursuant to Section 2.21(a) by reason of a UK Tax Deduction on account of Taxes imposed by the United Kingdom, if on the date on which the payment falls due: (A) the payment could have been made to the relevant Lender without a UK Tax Deduction if the Lender had been a UK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7"/>
          <w:szCs w:val="17"/>
          <w:u w:val="single" w:color="auto"/>
          <w:color w:val="auto"/>
        </w:rPr>
        <w:t>Direction</w:t>
      </w:r>
      <w:r>
        <w:rPr>
          <w:rFonts w:ascii="Arial" w:cs="Arial" w:eastAsia="Arial" w:hAnsi="Arial"/>
          <w:sz w:val="17"/>
          <w:szCs w:val="17"/>
          <w:color w:val="auto"/>
        </w:rPr>
        <w:t>”) under section 931 of the UK ITA which relates to the 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2.21(e)(iii) or Section 2.21(e)(iv) (as applicable) below.</w:t>
      </w:r>
    </w:p>
    <w:p>
      <w:pPr>
        <w:spacing w:after="0" w:line="8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(iii) 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73" w:lineRule="exact"/>
        <w:rPr>
          <w:sz w:val="20"/>
          <w:szCs w:val="20"/>
          <w:color w:val="auto"/>
        </w:rPr>
      </w:pPr>
    </w:p>
    <w:p>
      <w:pPr>
        <w:ind w:right="20" w:firstLine="885"/>
        <w:spacing w:after="0" w:line="264" w:lineRule="auto"/>
        <w:tabs>
          <w:tab w:leader="none" w:pos="11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A Lender on the day on which this Agreement is entered into that (x) holds a passport under the HMRC DT Treaty Passport scheme and (y) wishes such scheme to apply to this Agreement, shall confirm its scheme reference number and its jurisdiction of tax residence to each UK Borrower and the Administrative Agent; and</w:t>
      </w:r>
    </w:p>
    <w:p>
      <w:pPr>
        <w:spacing w:after="0" w:line="73" w:lineRule="exact"/>
        <w:rPr>
          <w:rFonts w:ascii="Arial" w:cs="Arial" w:eastAsia="Arial" w:hAnsi="Arial"/>
          <w:sz w:val="18"/>
          <w:szCs w:val="18"/>
          <w:color w:val="auto"/>
        </w:rPr>
      </w:pPr>
    </w:p>
    <w:p>
      <w:pPr>
        <w:ind w:left="880" w:right="40" w:firstLine="411"/>
        <w:spacing w:after="0" w:line="279" w:lineRule="auto"/>
        <w:tabs>
          <w:tab w:leader="none" w:pos="157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in the documentation which it executes upon becoming a party to this Agreement, and</w:t>
      </w:r>
    </w:p>
    <w:p>
      <w:pPr>
        <w:spacing w:after="0" w:line="63" w:lineRule="exact"/>
        <w:rPr>
          <w:rFonts w:ascii="Arial" w:cs="Arial" w:eastAsia="Arial" w:hAnsi="Arial"/>
          <w:sz w:val="17"/>
          <w:szCs w:val="17"/>
          <w:color w:val="auto"/>
        </w:rPr>
      </w:pPr>
    </w:p>
    <w:p>
      <w:pPr>
        <w:ind w:left="1580" w:hanging="289"/>
        <w:spacing w:after="0"/>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Upon satisfying either clause (A) or (B) above, such Lender shall have satisfied its obligation under clause (e)(iii) above.</w:t>
      </w:r>
    </w:p>
    <w:p>
      <w:pPr>
        <w:spacing w:after="0" w:line="128" w:lineRule="exact"/>
        <w:rPr>
          <w:rFonts w:ascii="Arial" w:cs="Arial" w:eastAsia="Arial" w:hAnsi="Arial"/>
          <w:sz w:val="17"/>
          <w:szCs w:val="17"/>
          <w:color w:val="auto"/>
        </w:rPr>
      </w:pPr>
    </w:p>
    <w:p>
      <w:pPr>
        <w:ind w:right="140" w:firstLine="885"/>
        <w:spacing w:after="0" w:line="277" w:lineRule="auto"/>
        <w:tabs>
          <w:tab w:leader="none" w:pos="11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made a Borrower DTTP Filing in respect of such Lender but:</w:t>
      </w:r>
    </w:p>
    <w:p>
      <w:pPr>
        <w:spacing w:after="0" w:line="130" w:lineRule="exact"/>
        <w:rPr>
          <w:rFonts w:ascii="Arial" w:cs="Arial" w:eastAsia="Arial" w:hAnsi="Arial"/>
          <w:sz w:val="18"/>
          <w:szCs w:val="18"/>
          <w:color w:val="auto"/>
        </w:rPr>
      </w:pPr>
    </w:p>
    <w:p>
      <w:pPr>
        <w:ind w:left="2300" w:hanging="540"/>
        <w:spacing w:after="0"/>
        <w:tabs>
          <w:tab w:leader="none" w:pos="2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such Borrower DTTP Filing has been rejected by HMRC;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9" w:name="page50"/>
    <w:bookmarkEnd w:id="49"/>
    <w:p>
      <w:pPr>
        <w:ind w:left="2280" w:right="460" w:hanging="540"/>
        <w:spacing w:after="0" w:line="277" w:lineRule="auto"/>
        <w:tabs>
          <w:tab w:leader="none" w:pos="2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HMRC has not given such UK Borrower authority to make payments to such Lender without a UK Tax Deduction within 60 days of the date of such Borrower DTTP Filing;</w:t>
      </w:r>
    </w:p>
    <w:p>
      <w:pPr>
        <w:spacing w:after="0" w:line="62" w:lineRule="exact"/>
        <w:rPr>
          <w:sz w:val="20"/>
          <w:szCs w:val="20"/>
          <w:color w:val="auto"/>
        </w:rPr>
      </w:pPr>
    </w:p>
    <w:p>
      <w:pPr>
        <w:ind w:left="1860" w:right="20"/>
        <w:spacing w:after="0" w:line="264" w:lineRule="auto"/>
        <w:rPr>
          <w:sz w:val="20"/>
          <w:szCs w:val="20"/>
          <w:color w:val="auto"/>
        </w:rPr>
      </w:pPr>
      <w:r>
        <w:rPr>
          <w:rFonts w:ascii="Arial" w:cs="Arial" w:eastAsia="Arial" w:hAnsi="Arial"/>
          <w:sz w:val="18"/>
          <w:szCs w:val="18"/>
          <w:color w:val="auto"/>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73" w:lineRule="exact"/>
        <w:rPr>
          <w:sz w:val="20"/>
          <w:szCs w:val="20"/>
          <w:color w:val="auto"/>
        </w:rPr>
      </w:pPr>
    </w:p>
    <w:p>
      <w:pPr>
        <w:ind w:left="-20" w:right="60" w:firstLine="885"/>
        <w:spacing w:after="0" w:line="264" w:lineRule="auto"/>
        <w:tabs>
          <w:tab w:leader="none" w:pos="11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73" w:lineRule="exact"/>
        <w:rPr>
          <w:rFonts w:ascii="Arial" w:cs="Arial" w:eastAsia="Arial" w:hAnsi="Arial"/>
          <w:sz w:val="18"/>
          <w:szCs w:val="18"/>
          <w:color w:val="auto"/>
        </w:rPr>
      </w:pPr>
    </w:p>
    <w:p>
      <w:pPr>
        <w:ind w:left="-20" w:right="760" w:firstLine="885"/>
        <w:spacing w:after="0" w:line="277" w:lineRule="auto"/>
        <w:tabs>
          <w:tab w:leader="none" w:pos="12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UK Borrower shall, promptly on making a Borrower DTTP Filing, deliver a copy of such Borrower DTTP Filing to the Administrative Agent for delivery to the relevant Lender.</w:t>
      </w:r>
    </w:p>
    <w:p>
      <w:pPr>
        <w:spacing w:after="0" w:line="62" w:lineRule="exact"/>
        <w:rPr>
          <w:rFonts w:ascii="Arial" w:cs="Arial" w:eastAsia="Arial" w:hAnsi="Arial"/>
          <w:sz w:val="18"/>
          <w:szCs w:val="18"/>
          <w:color w:val="auto"/>
        </w:rPr>
      </w:pPr>
    </w:p>
    <w:p>
      <w:pPr>
        <w:ind w:left="-20" w:firstLine="885"/>
        <w:spacing w:after="0" w:line="259" w:lineRule="auto"/>
        <w:tabs>
          <w:tab w:leader="none" w:pos="12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Lender shall notify HMRC, each UK Borrower and the Administrative Agent if it determines in its sole discretion that it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78" w:lineRule="exact"/>
        <w:rPr>
          <w:rFonts w:ascii="Arial" w:cs="Arial" w:eastAsia="Arial" w:hAnsi="Arial"/>
          <w:sz w:val="18"/>
          <w:szCs w:val="18"/>
          <w:color w:val="auto"/>
        </w:rPr>
      </w:pPr>
    </w:p>
    <w:p>
      <w:pPr>
        <w:ind w:left="-20" w:right="40" w:firstLine="885"/>
        <w:spacing w:after="0" w:line="271" w:lineRule="auto"/>
        <w:tabs>
          <w:tab w:leader="none" w:pos="11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with respect to any UK Borrower to which it will make advances under any Loan Document: (A) not a UK Qualifying Lender; (B) a UK Qualifying Lender (other than a UK Treaty Lender); or (C) a UK Treaty Lender. If such a Lender fails to indicate its status in accordance with this Section 2.21(e)(ix)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For the avoidance of doubt, the documentation which a Lender executes on becoming a party to this Agreement shall not be invalidated by any failure of a Lender to comply with this Section 2.21(e)(ix).</w:t>
      </w:r>
    </w:p>
    <w:p>
      <w:pPr>
        <w:spacing w:after="0" w:line="71" w:lineRule="exact"/>
        <w:rPr>
          <w:sz w:val="20"/>
          <w:szCs w:val="20"/>
          <w:color w:val="auto"/>
        </w:rPr>
      </w:pPr>
    </w:p>
    <w:p>
      <w:pPr>
        <w:ind w:left="-20" w:firstLine="885"/>
        <w:spacing w:after="0" w:line="269" w:lineRule="auto"/>
        <w:tabs>
          <w:tab w:leader="none" w:pos="10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2.21(f) and Section 2.21(e), the provisions of Section 2.21(e) shall prevail.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50" w:name="page51"/>
    <w:bookmarkEnd w:id="50"/>
    <w:p>
      <w:pPr>
        <w:ind w:firstLine="885"/>
        <w:spacing w:after="0" w:line="286" w:lineRule="auto"/>
        <w:tabs>
          <w:tab w:leader="none" w:pos="1136"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63" w:lineRule="exact"/>
        <w:rPr>
          <w:rFonts w:ascii="Arial" w:cs="Arial" w:eastAsia="Arial" w:hAnsi="Arial"/>
          <w:sz w:val="16"/>
          <w:szCs w:val="16"/>
          <w:color w:val="auto"/>
        </w:rPr>
      </w:pPr>
    </w:p>
    <w:p>
      <w:pPr>
        <w:ind w:right="100" w:firstLine="885"/>
        <w:spacing w:after="0" w:line="273" w:lineRule="auto"/>
        <w:tabs>
          <w:tab w:leader="none" w:pos="11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70" w:lineRule="exact"/>
        <w:rPr>
          <w:rFonts w:ascii="Arial" w:cs="Arial" w:eastAsia="Arial" w:hAnsi="Arial"/>
          <w:sz w:val="17"/>
          <w:szCs w:val="17"/>
          <w:color w:val="auto"/>
        </w:rPr>
      </w:pPr>
    </w:p>
    <w:p>
      <w:pPr>
        <w:ind w:left="1100" w:hanging="215"/>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117" w:lineRule="exact"/>
        <w:rPr>
          <w:rFonts w:ascii="Arial" w:cs="Arial" w:eastAsia="Arial" w:hAnsi="Arial"/>
          <w:sz w:val="18"/>
          <w:szCs w:val="18"/>
          <w:color w:val="auto"/>
        </w:rPr>
      </w:pPr>
    </w:p>
    <w:p>
      <w:pPr>
        <w:ind w:right="120" w:firstLine="885"/>
        <w:spacing w:after="0" w:line="277" w:lineRule="auto"/>
        <w:tabs>
          <w:tab w:leader="none" w:pos="10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62"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Indemnity</w:t>
      </w:r>
      <w:r>
        <w:rPr>
          <w:rFonts w:ascii="Arial" w:cs="Arial" w:eastAsia="Arial" w:hAnsi="Arial"/>
          <w:sz w:val="17"/>
          <w:szCs w:val="17"/>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7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81" w:lineRule="exact"/>
        <w:rPr>
          <w:sz w:val="20"/>
          <w:szCs w:val="20"/>
          <w:color w:val="auto"/>
        </w:rPr>
      </w:pPr>
    </w:p>
    <w:p>
      <w:pPr>
        <w:ind w:firstLine="881"/>
        <w:spacing w:after="0" w:line="28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2" w:name="page53"/>
    <w:bookmarkEnd w:id="5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11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140" w:hanging="255"/>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128" w:lineRule="exact"/>
        <w:rPr>
          <w:rFonts w:ascii="Arial" w:cs="Arial" w:eastAsia="Arial" w:hAnsi="Arial"/>
          <w:sz w:val="17"/>
          <w:szCs w:val="17"/>
          <w:color w:val="auto"/>
        </w:rPr>
      </w:pPr>
    </w:p>
    <w:p>
      <w:pPr>
        <w:ind w:right="80" w:firstLine="885"/>
        <w:spacing w:after="0" w:line="253" w:lineRule="auto"/>
        <w:tabs>
          <w:tab w:leader="none" w:pos="11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89" w:lineRule="exact"/>
        <w:rPr>
          <w:sz w:val="20"/>
          <w:szCs w:val="20"/>
          <w:color w:val="auto"/>
        </w:rPr>
      </w:pPr>
    </w:p>
    <w:p>
      <w:pPr>
        <w:ind w:firstLine="881"/>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3" w:name="page54"/>
    <w:bookmarkEnd w:id="5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2.27 </w:t>
      </w:r>
      <w:r>
        <w:rPr>
          <w:rFonts w:ascii="Arial" w:cs="Arial" w:eastAsia="Arial" w:hAnsi="Arial"/>
          <w:sz w:val="18"/>
          <w:szCs w:val="18"/>
          <w:u w:val="single" w:color="auto"/>
          <w:color w:val="auto"/>
        </w:rPr>
        <w:t>Term Loan Conversion; Repayment of Converted Term Loans</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69" w:lineRule="auto"/>
        <w:tabs>
          <w:tab w:leader="none" w:pos="112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that there are any Loans outstanding on the Termination Date, at the option of the applicable Borrower or the Company, all or a portion of such Loans may be converted to term loans (each, a “</w:t>
      </w:r>
      <w:r>
        <w:rPr>
          <w:rFonts w:ascii="Arial" w:cs="Arial" w:eastAsia="Arial" w:hAnsi="Arial"/>
          <w:sz w:val="17"/>
          <w:szCs w:val="17"/>
          <w:u w:val="single" w:color="auto"/>
          <w:color w:val="auto"/>
        </w:rPr>
        <w:t>Converted Term Loan</w:t>
      </w:r>
      <w:r>
        <w:rPr>
          <w:rFonts w:ascii="Arial" w:cs="Arial" w:eastAsia="Arial" w:hAnsi="Arial"/>
          <w:sz w:val="17"/>
          <w:szCs w:val="17"/>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71" w:lineRule="exact"/>
        <w:rPr>
          <w:rFonts w:ascii="Arial" w:cs="Arial" w:eastAsia="Arial" w:hAnsi="Arial"/>
          <w:sz w:val="17"/>
          <w:szCs w:val="17"/>
          <w:color w:val="auto"/>
        </w:rPr>
      </w:pPr>
    </w:p>
    <w:p>
      <w:pPr>
        <w:ind w:right="20" w:firstLine="885"/>
        <w:spacing w:after="0" w:line="255" w:lineRule="auto"/>
        <w:tabs>
          <w:tab w:leader="none" w:pos="11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Eurodollar Loan at the time of conversion, the same Interest Period applicable to such Loan at the time of conversion) each reference herein to “Loans” shall be deemed to be a reference to “Converted Term Loans” as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[RESERVED]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 induce the Lenders to enter into this Agreement and to make the Loans the Company hereby represents and warrants to each Lender that:</w:t>
      </w:r>
    </w:p>
    <w:p>
      <w:pPr>
        <w:spacing w:after="0" w:line="14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2018 (the “</w:t>
      </w:r>
      <w:r>
        <w:rPr>
          <w:rFonts w:ascii="Arial" w:cs="Arial" w:eastAsia="Arial" w:hAnsi="Arial"/>
          <w:sz w:val="18"/>
          <w:szCs w:val="18"/>
          <w:u w:val="single" w:color="auto"/>
          <w:color w:val="auto"/>
        </w:rPr>
        <w:t>2018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2018;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81" w:lineRule="exact"/>
        <w:rPr>
          <w:sz w:val="20"/>
          <w:szCs w:val="20"/>
          <w:color w:val="auto"/>
        </w:rPr>
      </w:pPr>
    </w:p>
    <w:p>
      <w:pPr>
        <w:ind w:right="920" w:firstLine="88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2018 10-K and the Closing Date, there has been no development or event which has had a Material Adverse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4" w:name="page55"/>
    <w:bookmarkEnd w:id="5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16"/>
          <w:szCs w:val="16"/>
          <w:u w:val="single" w:color="auto"/>
          <w:color w:val="auto"/>
        </w:rPr>
        <w:t>Existence</w:t>
      </w:r>
      <w:r>
        <w:rPr>
          <w:rFonts w:ascii="Arial" w:cs="Arial" w:eastAsia="Arial" w:hAnsi="Arial"/>
          <w:sz w:val="16"/>
          <w:szCs w:val="16"/>
          <w:color w:val="auto"/>
        </w:rPr>
        <w:t>. Each Loan Party (a) is duly organized, validly existing and in good standing under the laws of its jurisdiction of organization,</w:t>
      </w:r>
    </w:p>
    <w:p>
      <w:pPr>
        <w:spacing w:after="0" w:line="46" w:lineRule="exact"/>
        <w:rPr>
          <w:sz w:val="20"/>
          <w:szCs w:val="20"/>
          <w:color w:val="auto"/>
        </w:rPr>
      </w:pPr>
    </w:p>
    <w:p>
      <w:pPr>
        <w:ind w:right="80" w:firstLine="4"/>
        <w:spacing w:after="0" w:line="281"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would not, in the aggregate, reasonably be expected to have a Material Adverse Effect.</w:t>
      </w:r>
    </w:p>
    <w:p>
      <w:pPr>
        <w:spacing w:after="0" w:line="103" w:lineRule="exact"/>
        <w:rPr>
          <w:sz w:val="20"/>
          <w:szCs w:val="20"/>
          <w:color w:val="auto"/>
        </w:rPr>
      </w:pPr>
    </w:p>
    <w:p>
      <w:pPr>
        <w:ind w:right="100" w:firstLine="881"/>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ind w:right="160" w:firstLine="4"/>
        <w:spacing w:after="0" w:line="302"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47" w:lineRule="exact"/>
        <w:rPr>
          <w:sz w:val="20"/>
          <w:szCs w:val="20"/>
          <w:color w:val="auto"/>
        </w:rPr>
      </w:pPr>
    </w:p>
    <w:p>
      <w:pPr>
        <w:ind w:right="300" w:firstLine="881"/>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46"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4.6 and except as set forth in the 2018 10-K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117"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71" w:lineRule="exact"/>
        <w:rPr>
          <w:sz w:val="20"/>
          <w:szCs w:val="20"/>
          <w:color w:val="auto"/>
        </w:rPr>
      </w:pPr>
    </w:p>
    <w:p>
      <w:pPr>
        <w:ind w:right="280" w:firstLine="881"/>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5" w:name="page56"/>
    <w:bookmarkEnd w:id="55"/>
    <w:p>
      <w:pPr>
        <w:ind w:right="20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117"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62"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62"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73"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 (a) Cuba, Iran, North Korea, Syria or Crimea or (b) in any other Sanctioned Country in violation of U.S. law.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17"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80" w:lineRule="exact"/>
        <w:rPr>
          <w:sz w:val="20"/>
          <w:szCs w:val="20"/>
          <w:color w:val="auto"/>
        </w:rPr>
      </w:pPr>
    </w:p>
    <w:p>
      <w:pPr>
        <w:ind w:left="5420" w:right="4440" w:hanging="4535"/>
        <w:spacing w:after="0" w:line="490" w:lineRule="auto"/>
        <w:tabs>
          <w:tab w:leader="none" w:pos="112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Guarantee</w:t>
      </w:r>
      <w:r>
        <w:rPr>
          <w:rFonts w:ascii="Arial" w:cs="Arial" w:eastAsia="Arial" w:hAnsi="Arial"/>
          <w:sz w:val="17"/>
          <w:szCs w:val="17"/>
          <w:color w:val="auto"/>
        </w:rPr>
        <w:t>. The Company shall have executed and delivered the Guarantee. 48</w:t>
      </w:r>
    </w:p>
    <w:p>
      <w:pPr>
        <w:sectPr>
          <w:pgSz w:w="11900" w:h="16838" w:orient="portrait"/>
          <w:cols w:equalWidth="0" w:num="1">
            <w:col w:w="11000"/>
          </w:cols>
          <w:pgMar w:left="440" w:top="274" w:right="459" w:bottom="1440" w:gutter="0" w:footer="0" w:header="0"/>
        </w:sectPr>
      </w:pPr>
    </w:p>
    <w:bookmarkStart w:id="56" w:name="page57"/>
    <w:bookmarkEnd w:id="56"/>
    <w:p>
      <w:pPr>
        <w:ind w:right="240" w:firstLine="885"/>
        <w:spacing w:after="0" w:line="277" w:lineRule="auto"/>
        <w:tabs>
          <w:tab w:leader="none" w:pos="113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w:t>
      </w:r>
    </w:p>
    <w:p>
      <w:pPr>
        <w:spacing w:after="0" w:line="34" w:lineRule="exact"/>
        <w:rPr>
          <w:rFonts w:ascii="Arial" w:cs="Arial" w:eastAsia="Arial" w:hAnsi="Arial"/>
          <w:sz w:val="17"/>
          <w:szCs w:val="17"/>
          <w:color w:val="auto"/>
        </w:rPr>
      </w:pPr>
    </w:p>
    <w:p>
      <w:pPr>
        <w:ind w:right="80" w:firstLine="4"/>
        <w:spacing w:after="0" w:line="287"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certificate of each Loan Party other than GMGTC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(iii) a certificate of the Company, dated the Closing Date, to the effect that the conditions set forth in Section 5.2 have been satisfied or waived and (iv) a certificate from GMGTC (signed by an authorised signatory), with appropriate insertions and attachments, including its constitutional documents, certifying that: (A) 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p>
    <w:p>
      <w:pPr>
        <w:spacing w:after="0" w:line="58" w:lineRule="exact"/>
        <w:rPr>
          <w:rFonts w:ascii="Arial" w:cs="Arial" w:eastAsia="Arial" w:hAnsi="Arial"/>
          <w:sz w:val="16"/>
          <w:szCs w:val="16"/>
          <w:color w:val="auto"/>
        </w:rPr>
      </w:pPr>
    </w:p>
    <w:p>
      <w:pPr>
        <w:ind w:left="1140" w:hanging="255"/>
        <w:spacing w:after="0"/>
        <w:tabs>
          <w:tab w:leader="none" w:pos="114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shall have received the executed legal opinion of (i) in house counsel to the Loan Parties,</w:t>
      </w:r>
    </w:p>
    <w:p>
      <w:pPr>
        <w:spacing w:after="0" w:line="46" w:lineRule="exact"/>
        <w:rPr>
          <w:rFonts w:ascii="Arial" w:cs="Arial" w:eastAsia="Arial" w:hAnsi="Arial"/>
          <w:sz w:val="16"/>
          <w:szCs w:val="16"/>
          <w:color w:val="auto"/>
        </w:rPr>
      </w:pPr>
    </w:p>
    <w:p>
      <w:pPr>
        <w:ind w:right="700" w:firstLine="4"/>
        <w:spacing w:after="0" w:line="261"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Mayer Brown International LLP, special UK counsel to GMGTC and (iii) Mayer Brown LLP, counsel to the Loan Parties, each in form and substance reasonably acceptable to the Administrative Agent.</w:t>
      </w:r>
    </w:p>
    <w:p>
      <w:pPr>
        <w:spacing w:after="0" w:line="75" w:lineRule="exact"/>
        <w:rPr>
          <w:rFonts w:ascii="Arial" w:cs="Arial" w:eastAsia="Arial" w:hAnsi="Arial"/>
          <w:sz w:val="18"/>
          <w:szCs w:val="18"/>
          <w:color w:val="auto"/>
        </w:rPr>
      </w:pPr>
    </w:p>
    <w:p>
      <w:pPr>
        <w:jc w:val="both"/>
        <w:ind w:right="40" w:firstLine="885"/>
        <w:spacing w:after="0" w:line="302" w:lineRule="auto"/>
        <w:tabs>
          <w:tab w:leader="none" w:pos="1126"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Existing 364-Day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w:t>
      </w:r>
    </w:p>
    <w:p>
      <w:pPr>
        <w:spacing w:after="0" w:line="46" w:lineRule="exact"/>
        <w:rPr>
          <w:rFonts w:ascii="Arial" w:cs="Arial" w:eastAsia="Arial" w:hAnsi="Arial"/>
          <w:sz w:val="16"/>
          <w:szCs w:val="16"/>
          <w:color w:val="auto"/>
        </w:rPr>
      </w:pPr>
    </w:p>
    <w:p>
      <w:pPr>
        <w:ind w:firstLine="885"/>
        <w:spacing w:after="0" w:line="286" w:lineRule="auto"/>
        <w:tabs>
          <w:tab w:leader="none" w:pos="110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57"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9" w:lineRule="exact"/>
        <w:rPr>
          <w:sz w:val="20"/>
          <w:szCs w:val="20"/>
          <w:color w:val="auto"/>
        </w:rPr>
      </w:pPr>
    </w:p>
    <w:p>
      <w:pPr>
        <w:ind w:right="20" w:firstLine="885"/>
        <w:spacing w:after="0" w:line="279" w:lineRule="auto"/>
        <w:tabs>
          <w:tab w:leader="none" w:pos="112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7" w:name="page58"/>
    <w:bookmarkEnd w:id="57"/>
    <w:p>
      <w:pPr>
        <w:ind w:firstLine="885"/>
        <w:spacing w:after="0" w:line="277" w:lineRule="auto"/>
        <w:tabs>
          <w:tab w:leader="none" w:pos="11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62" w:lineRule="exact"/>
        <w:rPr>
          <w:rFonts w:ascii="Arial" w:cs="Arial" w:eastAsia="Arial" w:hAnsi="Arial"/>
          <w:sz w:val="18"/>
          <w:szCs w:val="18"/>
          <w:color w:val="auto"/>
        </w:rPr>
      </w:pPr>
    </w:p>
    <w:p>
      <w:pPr>
        <w:ind w:firstLine="885"/>
        <w:spacing w:after="0" w:line="290" w:lineRule="auto"/>
        <w:tabs>
          <w:tab w:leader="none" w:pos="112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58" w:lineRule="exact"/>
        <w:rPr>
          <w:sz w:val="20"/>
          <w:szCs w:val="20"/>
          <w:color w:val="auto"/>
        </w:rPr>
      </w:pPr>
    </w:p>
    <w:p>
      <w:pPr>
        <w:ind w:right="280" w:firstLine="881"/>
        <w:spacing w:after="0" w:line="342" w:lineRule="auto"/>
        <w:rPr>
          <w:sz w:val="20"/>
          <w:szCs w:val="20"/>
          <w:color w:val="auto"/>
        </w:rPr>
      </w:pPr>
      <w:r>
        <w:rPr>
          <w:rFonts w:ascii="Arial" w:cs="Arial" w:eastAsia="Arial" w:hAnsi="Arial"/>
          <w:sz w:val="16"/>
          <w:szCs w:val="16"/>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restatement of previously delivered (or deemed delivered) financial statements shall not constitute a breach or violation of this Section 6.1.</w:t>
      </w:r>
    </w:p>
    <w:p>
      <w:pPr>
        <w:spacing w:after="0" w:line="74"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8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58" w:name="page59"/>
    <w:bookmarkEnd w:id="58"/>
    <w:p>
      <w:pPr>
        <w:ind w:right="6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79"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xml:space="preserve">.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79" w:lineRule="exact"/>
        <w:rPr>
          <w:sz w:val="20"/>
          <w:szCs w:val="20"/>
          <w:color w:val="auto"/>
        </w:rPr>
      </w:pPr>
    </w:p>
    <w:p>
      <w:pPr>
        <w:ind w:left="1140" w:hanging="255"/>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within 90 days after the end of any fiscal quarter of the Company, during which</w:t>
      </w:r>
    </w:p>
    <w:p>
      <w:pPr>
        <w:spacing w:after="0" w:line="46" w:lineRule="exact"/>
        <w:rPr>
          <w:rFonts w:ascii="Arial" w:cs="Arial" w:eastAsia="Arial" w:hAnsi="Arial"/>
          <w:sz w:val="16"/>
          <w:szCs w:val="16"/>
          <w:color w:val="auto"/>
        </w:rPr>
      </w:pPr>
    </w:p>
    <w:p>
      <w:pPr>
        <w:ind w:right="40" w:firstLine="4"/>
        <w:spacing w:after="0" w:line="268" w:lineRule="auto"/>
        <w:tabs>
          <w:tab w:leader="none" w:pos="2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71" w:lineRule="exact"/>
        <w:rPr>
          <w:rFonts w:ascii="Arial" w:cs="Arial" w:eastAsia="Arial" w:hAnsi="Arial"/>
          <w:sz w:val="17"/>
          <w:szCs w:val="17"/>
          <w:color w:val="auto"/>
        </w:rPr>
      </w:pPr>
    </w:p>
    <w:p>
      <w:pPr>
        <w:ind w:right="80" w:firstLine="885"/>
        <w:spacing w:after="0" w:line="277" w:lineRule="auto"/>
        <w:tabs>
          <w:tab w:leader="none" w:pos="1126"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62" w:lineRule="exact"/>
        <w:rPr>
          <w:sz w:val="20"/>
          <w:szCs w:val="20"/>
          <w:color w:val="auto"/>
        </w:rPr>
      </w:pPr>
    </w:p>
    <w:p>
      <w:pPr>
        <w:jc w:val="both"/>
        <w:ind w:right="300" w:firstLine="881"/>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59" w:name="page60"/>
    <w:bookmarkEnd w:id="59"/>
    <w:p>
      <w:pPr>
        <w:ind w:right="4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Loan, interest or fee payable hereunder or under any other Loan Document is owing to any Lender:</w:t>
      </w:r>
    </w:p>
    <w:p>
      <w:pPr>
        <w:spacing w:after="0" w:line="62"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62"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72" w:lineRule="auto"/>
        <w:tabs>
          <w:tab w:leader="none" w:pos="112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Company or any of its Principal Domestic Subsidiaries may Dispose of all or any portion of an Excluded Subsidiary Business to one or more Excluded Subsidiaries.</w:t>
      </w:r>
    </w:p>
    <w:p>
      <w:pPr>
        <w:spacing w:after="0" w:line="69" w:lineRule="exact"/>
        <w:rPr>
          <w:rFonts w:ascii="Arial" w:cs="Arial" w:eastAsia="Arial" w:hAnsi="Arial"/>
          <w:sz w:val="17"/>
          <w:szCs w:val="17"/>
          <w:color w:val="auto"/>
        </w:rPr>
      </w:pPr>
    </w:p>
    <w:p>
      <w:pPr>
        <w:ind w:right="20" w:firstLine="885"/>
        <w:spacing w:after="0" w:line="255" w:lineRule="auto"/>
        <w:tabs>
          <w:tab w:leader="none" w:pos="11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3" w:lineRule="auto"/>
        <w:tabs>
          <w:tab w:leader="none" w:pos="1126"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0" w:name="page61"/>
    <w:bookmarkEnd w:id="6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70" w:lineRule="exact"/>
        <w:rPr>
          <w:sz w:val="20"/>
          <w:szCs w:val="20"/>
          <w:color w:val="auto"/>
        </w:rPr>
      </w:pPr>
    </w:p>
    <w:p>
      <w:pPr>
        <w:ind w:firstLine="885"/>
        <w:spacing w:after="0" w:line="289" w:lineRule="auto"/>
        <w:tabs>
          <w:tab w:leader="none" w:pos="11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59"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8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7" w:lineRule="exact"/>
        <w:rPr>
          <w:sz w:val="20"/>
          <w:szCs w:val="20"/>
          <w:color w:val="auto"/>
        </w:rPr>
      </w:pPr>
    </w:p>
    <w:p>
      <w:pPr>
        <w:ind w:right="200" w:firstLine="885"/>
        <w:spacing w:after="0" w:line="302" w:lineRule="auto"/>
        <w:tabs>
          <w:tab w:leader="none" w:pos="11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46" w:lineRule="exact"/>
        <w:rPr>
          <w:rFonts w:ascii="Arial" w:cs="Arial" w:eastAsia="Arial" w:hAnsi="Arial"/>
          <w:sz w:val="16"/>
          <w:szCs w:val="16"/>
          <w:color w:val="auto"/>
        </w:rPr>
      </w:pPr>
    </w:p>
    <w:p>
      <w:pPr>
        <w:ind w:right="40" w:firstLine="885"/>
        <w:spacing w:after="0" w:line="342" w:lineRule="auto"/>
        <w:tabs>
          <w:tab w:leader="none" w:pos="11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1" w:name="page62"/>
    <w:bookmarkEnd w:id="61"/>
    <w:p>
      <w:pPr>
        <w:ind w:right="100" w:firstLine="885"/>
        <w:spacing w:after="0" w:line="279" w:lineRule="auto"/>
        <w:tabs>
          <w:tab w:leader="none" w:pos="1126"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63" w:lineRule="exact"/>
        <w:rPr>
          <w:rFonts w:ascii="Arial" w:cs="Arial" w:eastAsia="Arial" w:hAnsi="Arial"/>
          <w:sz w:val="17"/>
          <w:szCs w:val="17"/>
          <w:color w:val="auto"/>
        </w:rPr>
      </w:pPr>
    </w:p>
    <w:p>
      <w:pPr>
        <w:ind w:right="100" w:firstLine="885"/>
        <w:spacing w:after="0" w:line="272" w:lineRule="auto"/>
        <w:tabs>
          <w:tab w:leader="none" w:pos="11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69" w:lineRule="exact"/>
        <w:rPr>
          <w:rFonts w:ascii="Arial" w:cs="Arial" w:eastAsia="Arial" w:hAnsi="Arial"/>
          <w:sz w:val="17"/>
          <w:szCs w:val="17"/>
          <w:color w:val="auto"/>
        </w:rPr>
      </w:pPr>
    </w:p>
    <w:p>
      <w:pPr>
        <w:ind w:firstLine="885"/>
        <w:spacing w:after="0" w:line="291" w:lineRule="auto"/>
        <w:tabs>
          <w:tab w:leader="none" w:pos="11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59" w:lineRule="exact"/>
        <w:rPr>
          <w:rFonts w:ascii="Arial" w:cs="Arial" w:eastAsia="Arial" w:hAnsi="Arial"/>
          <w:sz w:val="16"/>
          <w:szCs w:val="16"/>
          <w:color w:val="auto"/>
        </w:rPr>
      </w:pPr>
    </w:p>
    <w:p>
      <w:pPr>
        <w:ind w:left="1120" w:hanging="235"/>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117" w:lineRule="exact"/>
        <w:rPr>
          <w:rFonts w:ascii="Arial" w:cs="Arial" w:eastAsia="Arial" w:hAnsi="Arial"/>
          <w:sz w:val="18"/>
          <w:szCs w:val="18"/>
          <w:color w:val="auto"/>
        </w:rPr>
      </w:pPr>
    </w:p>
    <w:p>
      <w:pPr>
        <w:ind w:firstLine="885"/>
        <w:spacing w:after="0" w:line="259" w:lineRule="auto"/>
        <w:tabs>
          <w:tab w:leader="none" w:pos="11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78" w:lineRule="exact"/>
        <w:rPr>
          <w:rFonts w:ascii="Arial" w:cs="Arial" w:eastAsia="Arial" w:hAnsi="Arial"/>
          <w:sz w:val="18"/>
          <w:szCs w:val="18"/>
          <w:color w:val="auto"/>
        </w:rPr>
      </w:pPr>
    </w:p>
    <w:p>
      <w:pPr>
        <w:ind w:right="140" w:firstLine="885"/>
        <w:spacing w:after="0" w:line="277" w:lineRule="auto"/>
        <w:tabs>
          <w:tab w:leader="none" w:pos="11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2" w:name="page63"/>
    <w:bookmarkEnd w:id="6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117" w:lineRule="exact"/>
        <w:rPr>
          <w:sz w:val="20"/>
          <w:szCs w:val="20"/>
          <w:color w:val="auto"/>
        </w:rPr>
      </w:pPr>
    </w:p>
    <w:p>
      <w:pPr>
        <w:ind w:right="80" w:firstLine="881"/>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71" w:lineRule="exact"/>
        <w:rPr>
          <w:sz w:val="20"/>
          <w:szCs w:val="20"/>
          <w:color w:val="auto"/>
        </w:rPr>
      </w:pPr>
    </w:p>
    <w:p>
      <w:pPr>
        <w:ind w:right="140" w:firstLine="881"/>
        <w:spacing w:after="0" w:line="31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39" w:lineRule="exact"/>
        <w:rPr>
          <w:sz w:val="20"/>
          <w:szCs w:val="20"/>
          <w:color w:val="auto"/>
        </w:rPr>
      </w:pPr>
    </w:p>
    <w:p>
      <w:pPr>
        <w:ind w:right="180" w:firstLine="881"/>
        <w:spacing w:after="0" w:line="28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ind w:firstLine="4"/>
        <w:spacing w:after="0" w:line="269" w:lineRule="auto"/>
        <w:tabs>
          <w:tab w:leader="none" w:pos="2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73"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3" w:name="page64"/>
    <w:bookmarkEnd w:id="6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81"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71" w:lineRule="exact"/>
        <w:rPr>
          <w:sz w:val="20"/>
          <w:szCs w:val="20"/>
          <w:color w:val="auto"/>
        </w:rPr>
      </w:pPr>
    </w:p>
    <w:p>
      <w:pPr>
        <w:ind w:right="20" w:firstLine="881"/>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61"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the Administrative Agent in its capacity as such (to the extent not reimbursed by or on behalf of the Company if it is required to do so under Section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4" w:name="page65"/>
    <w:bookmarkEnd w:id="6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59" w:lineRule="exact"/>
        <w:rPr>
          <w:sz w:val="20"/>
          <w:szCs w:val="20"/>
          <w:color w:val="auto"/>
        </w:rPr>
      </w:pPr>
    </w:p>
    <w:p>
      <w:pPr>
        <w:ind w:right="100" w:firstLine="881"/>
        <w:spacing w:after="0" w:line="27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64" w:lineRule="exact"/>
        <w:rPr>
          <w:sz w:val="20"/>
          <w:szCs w:val="20"/>
          <w:color w:val="auto"/>
        </w:rPr>
      </w:pPr>
    </w:p>
    <w:p>
      <w:pPr>
        <w:ind w:right="20" w:firstLine="881"/>
        <w:spacing w:after="0" w:line="267"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[Reserved].</w:t>
      </w:r>
    </w:p>
    <w:p>
      <w:pPr>
        <w:spacing w:after="0" w:line="117" w:lineRule="exact"/>
        <w:rPr>
          <w:sz w:val="20"/>
          <w:szCs w:val="20"/>
          <w:color w:val="auto"/>
        </w:rPr>
      </w:pPr>
    </w:p>
    <w:p>
      <w:pPr>
        <w:jc w:val="both"/>
        <w:ind w:right="380" w:firstLine="881"/>
        <w:spacing w:after="0" w:line="286"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Bookrunners, Lead Arrangers, Global and Regional Coordinators, Documentation Agents, Syndication Agent and Co-Syndication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None of the Syndication Agent, Co-Syndication Agent nor any of the bookrunners, lead arrangers, documentation agents, global or regional coordinator, or other agents identified on the cover page to this Agreement or in any commitment letter relating hereto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5" w:name="page66"/>
    <w:bookmarkEnd w:id="65"/>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 Lender party hereto, to, and</w:t>
      </w:r>
    </w:p>
    <w:p>
      <w:pPr>
        <w:spacing w:after="0" w:line="46" w:lineRule="exact"/>
        <w:rPr>
          <w:sz w:val="20"/>
          <w:szCs w:val="20"/>
          <w:color w:val="auto"/>
        </w:rPr>
      </w:pPr>
    </w:p>
    <w:p>
      <w:pPr>
        <w:ind w:right="40" w:firstLine="4"/>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82" w:lineRule="exact"/>
        <w:rPr>
          <w:rFonts w:ascii="Arial" w:cs="Arial" w:eastAsia="Arial" w:hAnsi="Arial"/>
          <w:sz w:val="18"/>
          <w:szCs w:val="18"/>
          <w:color w:val="auto"/>
        </w:rPr>
      </w:pPr>
    </w:p>
    <w:p>
      <w:pPr>
        <w:ind w:left="880" w:right="740" w:firstLine="411"/>
        <w:spacing w:after="0" w:line="277" w:lineRule="auto"/>
        <w:tabs>
          <w:tab w:leader="none" w:pos="15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62" w:lineRule="exact"/>
        <w:rPr>
          <w:rFonts w:ascii="Arial" w:cs="Arial" w:eastAsia="Arial" w:hAnsi="Arial"/>
          <w:sz w:val="18"/>
          <w:szCs w:val="18"/>
          <w:color w:val="auto"/>
        </w:rPr>
      </w:pPr>
    </w:p>
    <w:p>
      <w:pPr>
        <w:ind w:left="880" w:right="60" w:firstLine="411"/>
        <w:spacing w:after="0" w:line="273" w:lineRule="auto"/>
        <w:tabs>
          <w:tab w:leader="none" w:pos="155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0" w:lineRule="exact"/>
        <w:rPr>
          <w:rFonts w:ascii="Arial" w:cs="Arial" w:eastAsia="Arial" w:hAnsi="Arial"/>
          <w:sz w:val="17"/>
          <w:szCs w:val="17"/>
          <w:color w:val="auto"/>
        </w:rPr>
      </w:pPr>
    </w:p>
    <w:p>
      <w:pPr>
        <w:ind w:left="880" w:firstLine="411"/>
        <w:spacing w:after="0" w:line="293" w:lineRule="auto"/>
        <w:tabs>
          <w:tab w:leader="none" w:pos="1600" w:val="left"/>
        </w:tabs>
        <w:numPr>
          <w:ilvl w:val="2"/>
          <w:numId w:val="61"/>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56" w:lineRule="exact"/>
        <w:rPr>
          <w:rFonts w:ascii="Arial" w:cs="Arial" w:eastAsia="Arial" w:hAnsi="Arial"/>
          <w:sz w:val="16"/>
          <w:szCs w:val="16"/>
          <w:color w:val="auto"/>
        </w:rPr>
      </w:pPr>
    </w:p>
    <w:p>
      <w:pPr>
        <w:ind w:left="880" w:right="540" w:firstLine="411"/>
        <w:spacing w:after="0" w:line="277" w:lineRule="auto"/>
        <w:tabs>
          <w:tab w:leader="none" w:pos="1590" w:val="left"/>
        </w:tabs>
        <w:numPr>
          <w:ilvl w:val="2"/>
          <w:numId w:val="6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firstLine="885"/>
        <w:spacing w:after="0" w:line="276" w:lineRule="auto"/>
        <w:tabs>
          <w:tab w:leader="none" w:pos="1136" w:val="left"/>
        </w:tabs>
        <w:numPr>
          <w:ilvl w:val="1"/>
          <w:numId w:val="61"/>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p>
    <w:p>
      <w:pPr>
        <w:spacing w:after="0" w:line="64" w:lineRule="exact"/>
        <w:rPr>
          <w:rFonts w:ascii="Arial" w:cs="Arial" w:eastAsia="Arial" w:hAnsi="Arial"/>
          <w:sz w:val="17"/>
          <w:szCs w:val="17"/>
          <w:color w:val="auto"/>
        </w:rPr>
      </w:pPr>
    </w:p>
    <w:p>
      <w:pPr>
        <w:jc w:val="both"/>
        <w:ind w:left="880" w:right="400" w:firstLine="411"/>
        <w:spacing w:after="0" w:line="264" w:lineRule="auto"/>
        <w:tabs>
          <w:tab w:leader="none" w:pos="15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66" w:name="page67"/>
    <w:bookmarkEnd w:id="66"/>
    <w:p>
      <w:pPr>
        <w:ind w:left="880" w:right="320" w:firstLine="411"/>
        <w:spacing w:after="0" w:line="257" w:lineRule="auto"/>
        <w:tabs>
          <w:tab w:leader="none" w:pos="1550"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80" w:lineRule="exact"/>
        <w:rPr>
          <w:rFonts w:ascii="Arial" w:cs="Arial" w:eastAsia="Arial" w:hAnsi="Arial"/>
          <w:sz w:val="18"/>
          <w:szCs w:val="18"/>
          <w:color w:val="auto"/>
        </w:rPr>
      </w:pPr>
    </w:p>
    <w:p>
      <w:pPr>
        <w:jc w:val="both"/>
        <w:ind w:left="880" w:right="160" w:firstLine="411"/>
        <w:spacing w:after="0" w:line="312" w:lineRule="auto"/>
        <w:tabs>
          <w:tab w:leader="none" w:pos="16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38" w:lineRule="exact"/>
        <w:rPr>
          <w:rFonts w:ascii="Arial" w:cs="Arial" w:eastAsia="Arial" w:hAnsi="Arial"/>
          <w:sz w:val="16"/>
          <w:szCs w:val="16"/>
          <w:color w:val="auto"/>
        </w:rPr>
      </w:pPr>
    </w:p>
    <w:p>
      <w:pPr>
        <w:ind w:left="880" w:right="220" w:firstLine="411"/>
        <w:spacing w:after="0" w:line="259" w:lineRule="auto"/>
        <w:tabs>
          <w:tab w:leader="none" w:pos="15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880" w:right="120" w:firstLine="411"/>
        <w:spacing w:after="0" w:line="277" w:lineRule="auto"/>
        <w:tabs>
          <w:tab w:leader="none" w:pos="1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Agents, or any Arranger or any their respective Affiliates for investment advice (as opposed to other services) in connection with the Loans, the Commitments or this Agreement.</w:t>
      </w:r>
    </w:p>
    <w:p>
      <w:pPr>
        <w:spacing w:after="0" w:line="62" w:lineRule="exact"/>
        <w:rPr>
          <w:rFonts w:ascii="Arial" w:cs="Arial" w:eastAsia="Arial" w:hAnsi="Arial"/>
          <w:sz w:val="18"/>
          <w:szCs w:val="18"/>
          <w:color w:val="auto"/>
        </w:rPr>
      </w:pPr>
    </w:p>
    <w:p>
      <w:pPr>
        <w:ind w:firstLine="885"/>
        <w:spacing w:after="0" w:line="270" w:lineRule="auto"/>
        <w:tabs>
          <w:tab w:leader="none" w:pos="112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117" w:lineRule="exact"/>
        <w:rPr>
          <w:sz w:val="20"/>
          <w:szCs w:val="20"/>
          <w:color w:val="auto"/>
        </w:rPr>
      </w:pPr>
    </w:p>
    <w:p>
      <w:pPr>
        <w:ind w:right="160" w:firstLine="881"/>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Subject to Section 2.18,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7" w:name="page68"/>
    <w:bookmarkEnd w:id="6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w:t>
      </w:r>
    </w:p>
    <w:p>
      <w:pPr>
        <w:spacing w:after="0" w:line="85" w:lineRule="exact"/>
        <w:rPr>
          <w:sz w:val="20"/>
          <w:szCs w:val="20"/>
          <w:color w:val="auto"/>
        </w:rPr>
      </w:pPr>
    </w:p>
    <w:p>
      <w:pPr>
        <w:ind w:left="880" w:right="40" w:firstLine="411"/>
        <w:spacing w:after="0" w:line="297" w:lineRule="auto"/>
        <w:tabs>
          <w:tab w:leader="none" w:pos="1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0" w:lineRule="exact"/>
        <w:rPr>
          <w:rFonts w:ascii="Arial" w:cs="Arial" w:eastAsia="Arial" w:hAnsi="Arial"/>
          <w:sz w:val="16"/>
          <w:szCs w:val="16"/>
          <w:color w:val="auto"/>
        </w:rPr>
      </w:pPr>
    </w:p>
    <w:p>
      <w:pPr>
        <w:ind w:left="1580" w:hanging="289"/>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ind w:left="880" w:right="120" w:firstLine="411"/>
        <w:spacing w:after="0" w:line="257" w:lineRule="auto"/>
        <w:tabs>
          <w:tab w:leader="none" w:pos="15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80" w:lineRule="exact"/>
        <w:rPr>
          <w:rFonts w:ascii="Arial" w:cs="Arial" w:eastAsia="Arial" w:hAnsi="Arial"/>
          <w:sz w:val="18"/>
          <w:szCs w:val="18"/>
          <w:color w:val="auto"/>
        </w:rPr>
      </w:pPr>
    </w:p>
    <w:p>
      <w:pPr>
        <w:ind w:left="1580" w:hanging="289"/>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880" w:firstLine="411"/>
        <w:spacing w:after="0" w:line="277" w:lineRule="auto"/>
        <w:tabs>
          <w:tab w:leader="none" w:pos="15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amend, modify or waive any provision of Section 2.19(a) or (b) without the written consent of each Lender adversely affected</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thereby;</w:t>
      </w:r>
    </w:p>
    <w:p>
      <w:pPr>
        <w:spacing w:after="0" w:line="102" w:lineRule="exact"/>
        <w:rPr>
          <w:rFonts w:ascii="Arial" w:cs="Arial" w:eastAsia="Arial" w:hAnsi="Arial"/>
          <w:sz w:val="17"/>
          <w:szCs w:val="17"/>
          <w:color w:val="auto"/>
        </w:rPr>
      </w:pPr>
    </w:p>
    <w:p>
      <w:pPr>
        <w:ind w:left="1520" w:hanging="229"/>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1520" w:hanging="229"/>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68" w:name="page69"/>
    <w:bookmarkEnd w:id="68"/>
    <w:p>
      <w:pPr>
        <w:ind w:right="40" w:firstLine="885"/>
        <w:spacing w:after="0" w:line="288" w:lineRule="auto"/>
        <w:tabs>
          <w:tab w:leader="none" w:pos="1136"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of any such amendment, modification, supplement or waiver consummated in accordance with this clause (ii) promptly after consummation thereof.</w:t>
      </w:r>
    </w:p>
    <w:p>
      <w:pPr>
        <w:spacing w:after="0" w:line="61" w:lineRule="exact"/>
        <w:rPr>
          <w:rFonts w:ascii="Arial" w:cs="Arial" w:eastAsia="Arial" w:hAnsi="Arial"/>
          <w:sz w:val="16"/>
          <w:szCs w:val="16"/>
          <w:color w:val="auto"/>
        </w:rPr>
      </w:pPr>
    </w:p>
    <w:p>
      <w:pPr>
        <w:ind w:firstLine="885"/>
        <w:spacing w:after="0" w:line="255" w:lineRule="auto"/>
        <w:tabs>
          <w:tab w:leader="none" w:pos="1126"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85" w:lineRule="exact"/>
        <w:rPr>
          <w:rFonts w:ascii="Arial" w:cs="Arial" w:eastAsia="Arial" w:hAnsi="Arial"/>
          <w:sz w:val="18"/>
          <w:szCs w:val="18"/>
          <w:color w:val="auto"/>
        </w:rPr>
      </w:pPr>
    </w:p>
    <w:p>
      <w:pPr>
        <w:ind w:right="220" w:firstLine="885"/>
        <w:spacing w:after="0" w:line="277" w:lineRule="auto"/>
        <w:tabs>
          <w:tab w:leader="none" w:pos="11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2" w:lineRule="exact"/>
        <w:rPr>
          <w:sz w:val="20"/>
          <w:szCs w:val="20"/>
          <w:color w:val="auto"/>
        </w:rPr>
      </w:pPr>
    </w:p>
    <w:p>
      <w:pPr>
        <w:ind w:right="20" w:firstLine="885"/>
        <w:spacing w:after="0" w:line="286" w:lineRule="auto"/>
        <w:tabs>
          <w:tab w:leader="none" w:pos="109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designate any Subsidiary of the Company (other than GMB and any Subsidiary of GMF or GMB which is a Brazilian Subsidiary) as a Subsidiary Borrower (subject to, in the case of any Foreign Subsidiary incorporated under the laws of any jurisdiction other than England and Wales, the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Lender may withhold such consent unless it is unable to make extensions of credit or provide Commitments to such Foreign Subsidiary pursuant to any Requirement of Law) and the Administrative Agent (not to be unreasonably withheld)) upon</w:t>
      </w:r>
    </w:p>
    <w:p>
      <w:pPr>
        <w:spacing w:after="0" w:line="1" w:lineRule="exact"/>
        <w:rPr>
          <w:rFonts w:ascii="Arial" w:cs="Arial" w:eastAsia="Arial" w:hAnsi="Arial"/>
          <w:sz w:val="16"/>
          <w:szCs w:val="16"/>
          <w:color w:val="auto"/>
        </w:rPr>
      </w:pPr>
    </w:p>
    <w:p>
      <w:pPr>
        <w:ind w:right="120" w:firstLine="4"/>
        <w:spacing w:after="0" w:line="287" w:lineRule="auto"/>
        <w:tabs>
          <w:tab w:leader="none" w:pos="2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ten Business Days’ prior notice to the Administrative Agent (such notice to contain the name, primary business address and taxpayer identification number of such Subsidiary), (B) the execution and delivery by the Company, such Subsidiary and the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69" w:name="page70"/>
    <w:bookmarkEnd w:id="69"/>
    <w:p>
      <w:pPr>
        <w:ind w:right="120" w:firstLine="885"/>
        <w:spacing w:after="0" w:line="297" w:lineRule="auto"/>
        <w:tabs>
          <w:tab w:leader="none" w:pos="1146"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5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4"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139" w:lineRule="exact"/>
        <w:rPr>
          <w:sz w:val="20"/>
          <w:szCs w:val="20"/>
          <w:color w:val="auto"/>
        </w:rPr>
      </w:pPr>
    </w:p>
    <w:p>
      <w:pPr>
        <w:sectPr>
          <w:pgSz w:w="11900" w:h="16838" w:orient="portrait"/>
          <w:cols w:equalWidth="0" w:num="2">
            <w:col w:w="2980" w:space="220"/>
            <w:col w:w="7800"/>
          </w:cols>
          <w:pgMar w:left="440" w:top="274" w:right="459" w:bottom="1440" w:gutter="0" w:footer="0" w:header="0"/>
          <w:type w:val="continuous"/>
        </w:sectPr>
      </w:pPr>
    </w:p>
    <w:p>
      <w:pPr>
        <w:spacing w:after="0"/>
        <w:tabs>
          <w:tab w:leader="none" w:pos="3180" w:val="left"/>
        </w:tabs>
        <w:rPr>
          <w:sz w:val="20"/>
          <w:szCs w:val="20"/>
          <w:color w:val="auto"/>
        </w:rPr>
      </w:pPr>
      <w:r>
        <w:rPr>
          <w:rFonts w:ascii="Arial" w:cs="Arial" w:eastAsia="Arial" w:hAnsi="Arial"/>
          <w:sz w:val="18"/>
          <w:szCs w:val="18"/>
          <w:color w:val="auto"/>
        </w:rPr>
        <w:t>with a further copy to (which shall not</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constitute notice):</w:t>
      </w:r>
      <w:r>
        <w:rPr>
          <w:sz w:val="20"/>
          <w:szCs w:val="20"/>
          <w:color w:val="auto"/>
        </w:rPr>
        <w:tab/>
      </w:r>
      <w:r>
        <w:rPr>
          <w:rFonts w:ascii="Arial" w:cs="Arial" w:eastAsia="Arial" w:hAnsi="Arial"/>
          <w:sz w:val="16"/>
          <w:szCs w:val="16"/>
          <w:color w:val="auto"/>
        </w:rPr>
        <w:t>Detroit Treasury Office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Director, Capital Markets</w:t>
      </w:r>
    </w:p>
    <w:p>
      <w:pPr>
        <w:spacing w:after="0" w:line="116"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with a further copy to (which shall not</w:t>
      </w:r>
      <w:r>
        <w:rPr>
          <w:sz w:val="20"/>
          <w:szCs w:val="20"/>
          <w:color w:val="auto"/>
        </w:rPr>
        <w:tab/>
      </w:r>
      <w:r>
        <w:rPr>
          <w:rFonts w:ascii="Arial" w:cs="Arial" w:eastAsia="Arial" w:hAnsi="Arial"/>
          <w:sz w:val="16"/>
          <w:szCs w:val="16"/>
          <w:color w:val="auto"/>
        </w:rPr>
        <w:t>General Motors Company</w:t>
      </w:r>
    </w:p>
    <w:p>
      <w:pPr>
        <w:spacing w:after="0" w:line="23"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constitute notice):</w:t>
      </w:r>
      <w:r>
        <w:rPr>
          <w:sz w:val="20"/>
          <w:szCs w:val="20"/>
          <w:color w:val="auto"/>
        </w:rPr>
        <w:tab/>
      </w:r>
      <w:r>
        <w:rPr>
          <w:rFonts w:ascii="Arial" w:cs="Arial" w:eastAsia="Arial" w:hAnsi="Arial"/>
          <w:sz w:val="16"/>
          <w:szCs w:val="16"/>
          <w:color w:val="auto"/>
        </w:rPr>
        <w:t>Detroit Treasury Office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Attention: Director, Treasury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-269875</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16" w:lineRule="exact"/>
        <w:rPr>
          <w:sz w:val="20"/>
          <w:szCs w:val="20"/>
          <w:color w:val="auto"/>
        </w:rPr>
      </w:pPr>
    </w:p>
    <w:p>
      <w:pPr>
        <w:sectPr>
          <w:pgSz w:w="11900" w:h="16838" w:orient="portrait"/>
          <w:cols w:equalWidth="0" w:num="2">
            <w:col w:w="2480" w:space="720"/>
            <w:col w:w="7700"/>
          </w:cols>
          <w:pgMar w:left="440" w:top="382" w:right="559" w:bottom="1440" w:gutter="0" w:footer="0" w:header="0"/>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39" w:lineRule="exact"/>
        <w:rPr>
          <w:sz w:val="20"/>
          <w:szCs w:val="20"/>
          <w:color w:val="auto"/>
        </w:rPr>
      </w:pPr>
    </w:p>
    <w:p>
      <w:pPr>
        <w:sectPr>
          <w:pgSz w:w="11900" w:h="16838" w:orient="portrait"/>
          <w:cols w:equalWidth="0" w:num="2">
            <w:col w:w="2760" w:space="440"/>
            <w:col w:w="7700"/>
          </w:cols>
          <w:pgMar w:left="440" w:top="382" w:right="5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482-C24-A68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General Counsel &amp;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rick.hansen@gm.com</w:t>
      </w:r>
    </w:p>
    <w:p>
      <w:pPr>
        <w:spacing w:after="0" w:line="116" w:lineRule="exact"/>
        <w:rPr>
          <w:sz w:val="20"/>
          <w:szCs w:val="20"/>
          <w:color w:val="auto"/>
        </w:rPr>
      </w:pPr>
    </w:p>
    <w:p>
      <w:pPr>
        <w:sectPr>
          <w:pgSz w:w="11900" w:h="16838" w:orient="portrait"/>
          <w:cols w:equalWidth="0" w:num="2">
            <w:col w:w="2760" w:space="440"/>
            <w:col w:w="7700"/>
          </w:cols>
          <w:pgMar w:left="440" w:top="382" w:right="559" w:bottom="1440" w:gutter="0" w:footer="0" w:header="0"/>
          <w:type w:val="continuous"/>
        </w:sectPr>
      </w:pPr>
    </w:p>
    <w:p>
      <w:pPr>
        <w:spacing w:after="0"/>
        <w:rPr>
          <w:sz w:val="20"/>
          <w:szCs w:val="20"/>
          <w:color w:val="auto"/>
        </w:rPr>
      </w:pPr>
      <w:r>
        <w:rPr>
          <w:rFonts w:ascii="Arial" w:cs="Arial" w:eastAsia="Arial" w:hAnsi="Arial"/>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16" w:lineRule="exact"/>
        <w:rPr>
          <w:sz w:val="20"/>
          <w:szCs w:val="20"/>
          <w:color w:val="auto"/>
        </w:rPr>
      </w:pPr>
    </w:p>
    <w:p>
      <w:pPr>
        <w:sectPr>
          <w:pgSz w:w="11900" w:h="16838" w:orient="portrait"/>
          <w:cols w:equalWidth="0" w:num="2">
            <w:col w:w="2660" w:space="540"/>
            <w:col w:w="7700"/>
          </w:cols>
          <w:pgMar w:left="440" w:top="382" w:right="55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RICHARD.DUKER@jpmorgan.com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212-270-3057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W. Duker</w:t>
      </w:r>
    </w:p>
    <w:p>
      <w:pPr>
        <w:spacing w:after="0" w:line="200" w:lineRule="exact"/>
        <w:rPr>
          <w:sz w:val="20"/>
          <w:szCs w:val="20"/>
          <w:color w:val="auto"/>
        </w:rPr>
      </w:pPr>
    </w:p>
    <w:p>
      <w:pPr>
        <w:sectPr>
          <w:pgSz w:w="11900" w:h="16838" w:orient="portrait"/>
          <w:cols w:equalWidth="0" w:num="2">
            <w:col w:w="2480" w:space="720"/>
            <w:col w:w="7700"/>
          </w:cols>
          <w:pgMar w:left="440" w:top="382" w:right="559" w:bottom="1440" w:gutter="0" w:footer="0" w:header="0"/>
          <w:type w:val="continuous"/>
        </w:sectPr>
      </w:pPr>
    </w:p>
    <w:p>
      <w:pPr>
        <w:spacing w:after="0" w:line="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2.9, 2.11, 2.12, 2.14 or 2.30 shall not be effective until received.</w:t>
      </w:r>
    </w:p>
    <w:p>
      <w:pPr>
        <w:spacing w:after="0" w:line="62" w:lineRule="exact"/>
        <w:rPr>
          <w:sz w:val="20"/>
          <w:szCs w:val="20"/>
          <w:color w:val="auto"/>
        </w:rPr>
      </w:pPr>
    </w:p>
    <w:p>
      <w:pPr>
        <w:ind w:firstLine="885"/>
        <w:spacing w:after="0" w:line="264" w:lineRule="auto"/>
        <w:tabs>
          <w:tab w:leader="none" w:pos="1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00"/>
          </w:cols>
          <w:pgMar w:left="440" w:top="382" w:right="559" w:bottom="1440" w:gutter="0" w:footer="0" w:header="0"/>
          <w:type w:val="continuous"/>
        </w:sectPr>
      </w:pPr>
    </w:p>
    <w:bookmarkStart w:id="71" w:name="page72"/>
    <w:bookmarkEnd w:id="71"/>
    <w:p>
      <w:pPr>
        <w:ind w:right="40" w:firstLine="885"/>
        <w:spacing w:after="0" w:line="271" w:lineRule="auto"/>
        <w:tabs>
          <w:tab w:leader="none" w:pos="1126"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70" w:lineRule="exact"/>
        <w:rPr>
          <w:rFonts w:ascii="Arial" w:cs="Arial" w:eastAsia="Arial" w:hAnsi="Arial"/>
          <w:sz w:val="17"/>
          <w:szCs w:val="17"/>
          <w:color w:val="auto"/>
        </w:rPr>
      </w:pPr>
    </w:p>
    <w:p>
      <w:pPr>
        <w:ind w:right="80" w:firstLine="885"/>
        <w:spacing w:after="0" w:line="254" w:lineRule="auto"/>
        <w:tabs>
          <w:tab w:leader="none" w:pos="11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84" w:lineRule="exact"/>
        <w:rPr>
          <w:rFonts w:ascii="Arial" w:cs="Arial" w:eastAsia="Arial" w:hAnsi="Arial"/>
          <w:sz w:val="18"/>
          <w:szCs w:val="18"/>
          <w:color w:val="auto"/>
        </w:rPr>
      </w:pPr>
    </w:p>
    <w:p>
      <w:pPr>
        <w:ind w:right="420" w:firstLine="885"/>
        <w:spacing w:after="0" w:line="264" w:lineRule="auto"/>
        <w:tabs>
          <w:tab w:leader="none" w:pos="11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73"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80" w:lineRule="exact"/>
        <w:rPr>
          <w:sz w:val="20"/>
          <w:szCs w:val="20"/>
          <w:color w:val="auto"/>
        </w:rPr>
      </w:pPr>
    </w:p>
    <w:p>
      <w:pPr>
        <w:jc w:val="both"/>
        <w:ind w:right="180" w:firstLine="881"/>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73"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2" w:name="page73"/>
    <w:bookmarkEnd w:id="7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in the event of a conflict, one separate counsel (and one local counsel in each relevant jurisdiction) for all persons similarly situated as required to address such conflict,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w:t>
      </w:r>
    </w:p>
    <w:p>
      <w:pPr>
        <w:spacing w:after="0" w:line="13" w:lineRule="exact"/>
        <w:rPr>
          <w:sz w:val="20"/>
          <w:szCs w:val="20"/>
          <w:color w:val="auto"/>
        </w:rPr>
      </w:pPr>
    </w:p>
    <w:p>
      <w:pPr>
        <w:ind w:right="20" w:firstLine="4"/>
        <w:spacing w:after="0" w:line="284"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3" w:name="page74"/>
    <w:bookmarkEnd w:id="73"/>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64" w:lineRule="exact"/>
        <w:rPr>
          <w:sz w:val="20"/>
          <w:szCs w:val="20"/>
          <w:color w:val="auto"/>
        </w:rPr>
      </w:pPr>
    </w:p>
    <w:p>
      <w:pPr>
        <w:jc w:val="both"/>
        <w:ind w:right="160" w:firstLine="881"/>
        <w:spacing w:after="0" w:line="286"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2" w:lineRule="exact"/>
        <w:rPr>
          <w:sz w:val="20"/>
          <w:szCs w:val="20"/>
          <w:color w:val="auto"/>
        </w:rPr>
      </w:pPr>
    </w:p>
    <w:p>
      <w:pPr>
        <w:ind w:left="260" w:hanging="256"/>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Lender may assign or otherwise transfer its rights or obligations hereunder except in accordance with this Section 10.6.</w:t>
      </w:r>
    </w:p>
    <w:p>
      <w:pPr>
        <w:spacing w:after="0" w:line="102" w:lineRule="exact"/>
        <w:rPr>
          <w:rFonts w:ascii="Arial" w:cs="Arial" w:eastAsia="Arial" w:hAnsi="Arial"/>
          <w:sz w:val="18"/>
          <w:szCs w:val="18"/>
          <w:color w:val="auto"/>
        </w:rPr>
      </w:pPr>
    </w:p>
    <w:p>
      <w:pPr>
        <w:jc w:val="both"/>
        <w:ind w:firstLine="885"/>
        <w:spacing w:after="0" w:line="259" w:lineRule="auto"/>
        <w:tabs>
          <w:tab w:leader="none" w:pos="11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8" w:lineRule="exact"/>
        <w:rPr>
          <w:rFonts w:ascii="Arial" w:cs="Arial" w:eastAsia="Arial" w:hAnsi="Arial"/>
          <w:sz w:val="18"/>
          <w:szCs w:val="18"/>
          <w:color w:val="auto"/>
        </w:rPr>
      </w:pPr>
    </w:p>
    <w:p>
      <w:pPr>
        <w:jc w:val="both"/>
        <w:ind w:left="880" w:right="240" w:firstLine="411"/>
        <w:spacing w:after="0" w:line="264" w:lineRule="auto"/>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73" w:lineRule="exact"/>
        <w:rPr>
          <w:rFonts w:ascii="Arial" w:cs="Arial" w:eastAsia="Arial" w:hAnsi="Arial"/>
          <w:sz w:val="18"/>
          <w:szCs w:val="18"/>
          <w:color w:val="auto"/>
        </w:rPr>
      </w:pPr>
    </w:p>
    <w:p>
      <w:pPr>
        <w:ind w:left="1540" w:hanging="249"/>
        <w:spacing w:after="0"/>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w:t>
      </w:r>
    </w:p>
    <w:p>
      <w:pPr>
        <w:spacing w:after="0" w:line="46" w:lineRule="exact"/>
        <w:rPr>
          <w:sz w:val="20"/>
          <w:szCs w:val="20"/>
          <w:color w:val="auto"/>
        </w:rPr>
      </w:pPr>
    </w:p>
    <w:p>
      <w:pPr>
        <w:ind w:left="880" w:right="580" w:firstLine="5"/>
        <w:spacing w:after="0" w:line="261" w:lineRule="auto"/>
        <w:tabs>
          <w:tab w:leader="none" w:pos="11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consent of the Company provided for in clause (1) above shall be required if an Event of Default under Section 8(a) or (e) has occurred and is continuing.</w:t>
      </w:r>
    </w:p>
    <w:p>
      <w:pPr>
        <w:spacing w:after="0" w:line="76"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140" w:hanging="272"/>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880" w:right="120" w:firstLine="411"/>
        <w:spacing w:after="0" w:line="293" w:lineRule="auto"/>
        <w:tabs>
          <w:tab w:leader="none" w:pos="1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4" w:name="page75"/>
    <w:bookmarkEnd w:id="74"/>
    <w:p>
      <w:pPr>
        <w:ind w:left="440" w:right="60" w:firstLine="411"/>
        <w:spacing w:after="0" w:line="257" w:lineRule="auto"/>
        <w:tabs>
          <w:tab w:leader="none" w:pos="1130"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0" w:lineRule="exact"/>
        <w:rPr>
          <w:rFonts w:ascii="Arial" w:cs="Arial" w:eastAsia="Arial" w:hAnsi="Arial"/>
          <w:sz w:val="18"/>
          <w:szCs w:val="18"/>
          <w:color w:val="auto"/>
        </w:rPr>
      </w:pPr>
    </w:p>
    <w:p>
      <w:pPr>
        <w:ind w:left="440" w:right="1000" w:firstLine="411"/>
        <w:spacing w:after="0" w:line="277" w:lineRule="auto"/>
        <w:tabs>
          <w:tab w:leader="none" w:pos="11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and the Company an administrative questionnaire.</w:t>
      </w:r>
    </w:p>
    <w:p>
      <w:pPr>
        <w:spacing w:after="0" w:line="62" w:lineRule="exact"/>
        <w:rPr>
          <w:rFonts w:ascii="Arial" w:cs="Arial" w:eastAsia="Arial" w:hAnsi="Arial"/>
          <w:sz w:val="18"/>
          <w:szCs w:val="18"/>
          <w:color w:val="auto"/>
        </w:rPr>
      </w:pPr>
    </w:p>
    <w:p>
      <w:pPr>
        <w:ind w:right="120" w:firstLine="428"/>
        <w:spacing w:after="0" w:line="270" w:lineRule="auto"/>
        <w:tabs>
          <w:tab w:leader="none" w:pos="738"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73" w:lineRule="exact"/>
        <w:rPr>
          <w:rFonts w:ascii="Arial" w:cs="Arial" w:eastAsia="Arial" w:hAnsi="Arial"/>
          <w:sz w:val="17"/>
          <w:szCs w:val="17"/>
          <w:color w:val="auto"/>
        </w:rPr>
      </w:pPr>
    </w:p>
    <w:p>
      <w:pPr>
        <w:ind w:right="40" w:firstLine="428"/>
        <w:spacing w:after="0" w:line="271" w:lineRule="auto"/>
        <w:tabs>
          <w:tab w:leader="none" w:pos="72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70" w:lineRule="exact"/>
        <w:rPr>
          <w:rFonts w:ascii="Arial" w:cs="Arial" w:eastAsia="Arial" w:hAnsi="Arial"/>
          <w:sz w:val="17"/>
          <w:szCs w:val="17"/>
          <w:color w:val="auto"/>
        </w:rPr>
      </w:pPr>
    </w:p>
    <w:p>
      <w:pPr>
        <w:ind w:firstLine="428"/>
        <w:spacing w:after="0" w:line="293" w:lineRule="auto"/>
        <w:tabs>
          <w:tab w:leader="none" w:pos="678"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80"/>
          </w:cols>
          <w:pgMar w:left="880" w:top="274" w:right="439" w:bottom="1440" w:gutter="0" w:footer="0" w:header="0"/>
        </w:sectPr>
      </w:pPr>
    </w:p>
    <w:bookmarkStart w:id="75" w:name="page76"/>
    <w:bookmarkEnd w:id="75"/>
    <w:p>
      <w:pPr>
        <w:ind w:left="-40" w:firstLine="885"/>
        <w:spacing w:after="0" w:line="284" w:lineRule="auto"/>
        <w:tabs>
          <w:tab w:leader="none" w:pos="1086"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Lender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72" w:lineRule="exact"/>
        <w:rPr>
          <w:sz w:val="20"/>
          <w:szCs w:val="20"/>
          <w:color w:val="auto"/>
        </w:rPr>
      </w:pPr>
    </w:p>
    <w:p>
      <w:pPr>
        <w:ind w:left="400" w:right="20" w:firstLine="428"/>
        <w:spacing w:after="0" w:line="255" w:lineRule="auto"/>
        <w:tabs>
          <w:tab w:leader="none" w:pos="10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85" w:lineRule="exact"/>
        <w:rPr>
          <w:rFonts w:ascii="Arial" w:cs="Arial" w:eastAsia="Arial" w:hAnsi="Arial"/>
          <w:sz w:val="18"/>
          <w:szCs w:val="18"/>
          <w:color w:val="auto"/>
        </w:rPr>
      </w:pPr>
    </w:p>
    <w:p>
      <w:pPr>
        <w:ind w:left="-40" w:right="40" w:firstLine="885"/>
        <w:spacing w:after="0" w:line="276" w:lineRule="auto"/>
        <w:tabs>
          <w:tab w:leader="none" w:pos="1096"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80" w:top="274" w:right="459" w:bottom="1440" w:gutter="0" w:footer="0" w:header="0"/>
        </w:sectPr>
      </w:pPr>
    </w:p>
    <w:bookmarkStart w:id="76" w:name="page77"/>
    <w:bookmarkEnd w:id="76"/>
    <w:p>
      <w:pPr>
        <w:ind w:firstLine="885"/>
        <w:spacing w:after="0" w:line="255" w:lineRule="auto"/>
        <w:tabs>
          <w:tab w:leader="none" w:pos="112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8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Adjustments</w:t>
      </w:r>
      <w:r>
        <w:rPr>
          <w:rFonts w:ascii="Arial" w:cs="Arial" w:eastAsia="Arial" w:hAnsi="Arial"/>
          <w:sz w:val="16"/>
          <w:szCs w:val="16"/>
          <w:color w:val="auto"/>
        </w:rPr>
        <w:t>.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payments in respect of Obligations owing by any Foreign Subsidiary Borrower shall be utilized to satisfy any Obligations owing by the Company or any Domestic Subsidiary Borrower.</w:t>
      </w:r>
    </w:p>
    <w:p>
      <w:pPr>
        <w:spacing w:after="0" w:line="65" w:lineRule="exact"/>
        <w:rPr>
          <w:sz w:val="20"/>
          <w:szCs w:val="20"/>
          <w:color w:val="auto"/>
        </w:rPr>
      </w:pPr>
    </w:p>
    <w:p>
      <w:pPr>
        <w:ind w:right="220" w:firstLine="881"/>
        <w:spacing w:after="0" w:line="27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63" w:lineRule="exact"/>
        <w:rPr>
          <w:sz w:val="20"/>
          <w:szCs w:val="20"/>
          <w:color w:val="auto"/>
        </w:rPr>
      </w:pPr>
    </w:p>
    <w:p>
      <w:pPr>
        <w:ind w:right="220" w:firstLine="881"/>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57"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39"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7" w:name="page78"/>
    <w:bookmarkEnd w:id="77"/>
    <w:p>
      <w:pPr>
        <w:ind w:right="4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(a) Each of the Administrative Agent, the Lenders, the Company, each Subsidiary Borrower and each other Loan Party hereby irrevocably and unconditionally:</w:t>
      </w:r>
    </w:p>
    <w:p>
      <w:pPr>
        <w:spacing w:after="0" w:line="62" w:lineRule="exact"/>
        <w:rPr>
          <w:sz w:val="20"/>
          <w:szCs w:val="20"/>
          <w:color w:val="auto"/>
        </w:rPr>
      </w:pPr>
    </w:p>
    <w:p>
      <w:pPr>
        <w:jc w:val="both"/>
        <w:ind w:left="440" w:right="80" w:firstLine="428"/>
        <w:spacing w:after="0" w:line="259" w:lineRule="auto"/>
        <w:tabs>
          <w:tab w:leader="none" w:pos="10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78" w:lineRule="exact"/>
        <w:rPr>
          <w:rFonts w:ascii="Arial" w:cs="Arial" w:eastAsia="Arial" w:hAnsi="Arial"/>
          <w:sz w:val="18"/>
          <w:szCs w:val="18"/>
          <w:color w:val="auto"/>
        </w:rPr>
      </w:pPr>
    </w:p>
    <w:p>
      <w:pPr>
        <w:ind w:left="440" w:firstLine="428"/>
        <w:spacing w:after="0" w:line="264" w:lineRule="auto"/>
        <w:tabs>
          <w:tab w:leader="none" w:pos="11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40" w:right="520" w:firstLine="428"/>
        <w:spacing w:after="0" w:line="277" w:lineRule="auto"/>
        <w:tabs>
          <w:tab w:leader="none" w:pos="11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62" w:lineRule="exact"/>
        <w:rPr>
          <w:rFonts w:ascii="Arial" w:cs="Arial" w:eastAsia="Arial" w:hAnsi="Arial"/>
          <w:sz w:val="18"/>
          <w:szCs w:val="18"/>
          <w:color w:val="auto"/>
        </w:rPr>
      </w:pPr>
    </w:p>
    <w:p>
      <w:pPr>
        <w:ind w:right="100" w:firstLine="885"/>
        <w:spacing w:after="0" w:line="288" w:lineRule="auto"/>
        <w:tabs>
          <w:tab w:leader="none" w:pos="1136" w:val="left"/>
        </w:tabs>
        <w:numPr>
          <w:ilvl w:val="1"/>
          <w:numId w:val="81"/>
        </w:numPr>
        <w:rPr>
          <w:rFonts w:ascii="Arial" w:cs="Arial" w:eastAsia="Arial" w:hAnsi="Arial"/>
          <w:sz w:val="16"/>
          <w:szCs w:val="16"/>
          <w:color w:val="auto"/>
        </w:rPr>
      </w:pPr>
      <w:r>
        <w:rPr>
          <w:rFonts w:ascii="Arial" w:cs="Arial" w:eastAsia="Arial" w:hAnsi="Arial"/>
          <w:sz w:val="16"/>
          <w:szCs w:val="16"/>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61" w:lineRule="exact"/>
        <w:rPr>
          <w:rFonts w:ascii="Arial" w:cs="Arial" w:eastAsia="Arial" w:hAnsi="Arial"/>
          <w:sz w:val="16"/>
          <w:szCs w:val="16"/>
          <w:color w:val="auto"/>
        </w:rPr>
      </w:pPr>
    </w:p>
    <w:p>
      <w:pPr>
        <w:ind w:right="140" w:firstLine="885"/>
        <w:spacing w:after="0" w:line="257" w:lineRule="auto"/>
        <w:tabs>
          <w:tab w:leader="none" w:pos="11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80" w:lineRule="exact"/>
        <w:rPr>
          <w:sz w:val="20"/>
          <w:szCs w:val="20"/>
          <w:color w:val="auto"/>
        </w:rPr>
      </w:pPr>
    </w:p>
    <w:p>
      <w:pPr>
        <w:ind w:right="120" w:firstLine="881"/>
        <w:spacing w:after="0" w:line="297"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Judgment</w:t>
      </w:r>
      <w:r>
        <w:rPr>
          <w:rFonts w:ascii="Arial" w:cs="Arial" w:eastAsia="Arial" w:hAnsi="Arial"/>
          <w:sz w:val="16"/>
          <w:szCs w:val="16"/>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the sum originally due to such party is denominated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78" w:name="page79"/>
    <w:bookmarkEnd w:id="7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117" w:lineRule="exact"/>
        <w:rPr>
          <w:sz w:val="20"/>
          <w:szCs w:val="20"/>
          <w:color w:val="auto"/>
        </w:rPr>
      </w:pPr>
    </w:p>
    <w:p>
      <w:pPr>
        <w:ind w:left="1140" w:hanging="255"/>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17" w:lineRule="exact"/>
        <w:rPr>
          <w:rFonts w:ascii="Arial" w:cs="Arial" w:eastAsia="Arial" w:hAnsi="Arial"/>
          <w:sz w:val="18"/>
          <w:szCs w:val="18"/>
          <w:color w:val="auto"/>
        </w:rPr>
      </w:pPr>
    </w:p>
    <w:p>
      <w:pPr>
        <w:jc w:val="both"/>
        <w:ind w:right="180" w:firstLine="885"/>
        <w:spacing w:after="0" w:line="312" w:lineRule="auto"/>
        <w:tabs>
          <w:tab w:leader="none" w:pos="11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38" w:lineRule="exact"/>
        <w:rPr>
          <w:rFonts w:ascii="Arial" w:cs="Arial" w:eastAsia="Arial" w:hAnsi="Arial"/>
          <w:sz w:val="16"/>
          <w:szCs w:val="16"/>
          <w:color w:val="auto"/>
        </w:rPr>
      </w:pPr>
    </w:p>
    <w:p>
      <w:pPr>
        <w:ind w:right="80" w:firstLine="885"/>
        <w:spacing w:after="0" w:line="277" w:lineRule="auto"/>
        <w:tabs>
          <w:tab w:leader="none" w:pos="11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 xml:space="preserve"> .</w:t>
      </w:r>
    </w:p>
    <w:p>
      <w:pPr>
        <w:spacing w:after="0" w:line="117" w:lineRule="exact"/>
        <w:rPr>
          <w:sz w:val="20"/>
          <w:szCs w:val="20"/>
          <w:color w:val="auto"/>
        </w:rPr>
      </w:pPr>
    </w:p>
    <w:p>
      <w:pPr>
        <w:ind w:right="60" w:firstLine="885"/>
        <w:spacing w:after="0" w:line="297" w:lineRule="auto"/>
        <w:tabs>
          <w:tab w:leader="none" w:pos="1126"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50" w:lineRule="exact"/>
        <w:rPr>
          <w:rFonts w:ascii="Arial" w:cs="Arial" w:eastAsia="Arial" w:hAnsi="Arial"/>
          <w:sz w:val="16"/>
          <w:szCs w:val="16"/>
          <w:color w:val="auto"/>
        </w:rPr>
      </w:pPr>
    </w:p>
    <w:p>
      <w:pPr>
        <w:ind w:right="240" w:firstLine="885"/>
        <w:spacing w:after="0" w:line="264" w:lineRule="auto"/>
        <w:tabs>
          <w:tab w:leader="none" w:pos="11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73" w:lineRule="exact"/>
        <w:rPr>
          <w:rFonts w:ascii="Arial" w:cs="Arial" w:eastAsia="Arial" w:hAnsi="Arial"/>
          <w:sz w:val="18"/>
          <w:szCs w:val="18"/>
          <w:color w:val="auto"/>
        </w:rPr>
      </w:pPr>
    </w:p>
    <w:p>
      <w:pPr>
        <w:ind w:firstLine="885"/>
        <w:spacing w:after="0" w:line="255" w:lineRule="auto"/>
        <w:tabs>
          <w:tab w:leader="none" w:pos="11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85" w:lineRule="exact"/>
        <w:rPr>
          <w:rFonts w:ascii="Arial" w:cs="Arial" w:eastAsia="Arial" w:hAnsi="Arial"/>
          <w:sz w:val="18"/>
          <w:szCs w:val="18"/>
          <w:color w:val="auto"/>
        </w:rPr>
      </w:pPr>
    </w:p>
    <w:p>
      <w:pPr>
        <w:ind w:right="460" w:firstLine="885"/>
        <w:spacing w:after="0" w:line="264" w:lineRule="auto"/>
        <w:tabs>
          <w:tab w:leader="none" w:pos="11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79" w:name="page80"/>
    <w:bookmarkEnd w:id="79"/>
    <w:p>
      <w:pPr>
        <w:ind w:firstLine="88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Borrower.</w:t>
      </w:r>
    </w:p>
    <w:p>
      <w:pPr>
        <w:spacing w:after="0" w:line="67"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73"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 and the Beneficial Ownership Regulation</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50"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No Novation</w:t>
      </w:r>
      <w:r>
        <w:rPr>
          <w:rFonts w:ascii="Arial" w:cs="Arial" w:eastAsia="Arial" w:hAnsi="Arial"/>
          <w:sz w:val="17"/>
          <w:szCs w:val="17"/>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0" w:name="page81"/>
    <w:bookmarkEnd w:id="80"/>
    <w:p>
      <w:pPr>
        <w:ind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right="200" w:firstLine="885"/>
        <w:spacing w:after="0" w:line="277" w:lineRule="auto"/>
        <w:tabs>
          <w:tab w:leader="none" w:pos="112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20" w:firstLine="428"/>
        <w:spacing w:after="0" w:line="312" w:lineRule="auto"/>
        <w:tabs>
          <w:tab w:leader="none" w:pos="11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440" w:right="500" w:firstLine="428"/>
        <w:spacing w:after="0" w:line="277" w:lineRule="auto"/>
        <w:tabs>
          <w:tab w:leader="none" w:pos="11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80"/>
          </w:cols>
          <w:pgMar w:left="440" w:top="274" w:right="579" w:bottom="1440" w:gutter="0" w:footer="0" w:header="0"/>
        </w:sectPr>
      </w:pPr>
    </w:p>
    <w:bookmarkStart w:id="81" w:name="page82"/>
    <w:bookmarkEnd w:id="81"/>
    <w:p>
      <w:pPr>
        <w:ind w:right="16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Rakesh K. Gupta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FINANCIAL COMPANY,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A. Gokenbach,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A. Gokenbach, Jr.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GM GLOBAL TREASURY CENTRE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Vikas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Vikas Khare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10620"/>
          </w:cols>
          <w:pgMar w:left="440" w:top="274" w:right="839" w:bottom="1440" w:gutter="0" w:footer="0" w:header="0"/>
        </w:sectPr>
      </w:pPr>
    </w:p>
    <w:bookmarkStart w:id="82" w:name="page83"/>
    <w:bookmarkEnd w:id="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 and as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Gene R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Gene R Riego De Dios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580"/>
          </w:cols>
          <w:pgMar w:left="1440" w:top="274" w:right="879" w:bottom="1440" w:gutter="0" w:footer="0" w:header="0"/>
        </w:sectPr>
      </w:pPr>
    </w:p>
    <w:bookmarkStart w:id="83" w:name="page84"/>
    <w:bookmarkEnd w:id="8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84" w:name="page85"/>
    <w:bookmarkEnd w:id="8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YORK BRANCH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Crowley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Miriam Trautmann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540"/>
          </w:cols>
          <w:pgMar w:left="1440" w:top="270" w:right="919" w:bottom="1440" w:gutter="0" w:footer="0" w:header="0"/>
        </w:sectPr>
      </w:pPr>
    </w:p>
    <w:bookmarkStart w:id="85" w:name="page86"/>
    <w:bookmarkEnd w:id="8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Lukehart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86" w:name="page87"/>
    <w:bookmarkEnd w:id="8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87" w:name="page88"/>
    <w:bookmarkEnd w:id="8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Page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Melissa Dyld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Melissa Dyld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88" w:name="page89"/>
    <w:bookmarkEnd w:id="8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Commerzbank AG, New York Branch,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Ravelo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Bianca Perez Notari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Bianca Perez Notari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300"/>
          </w:cols>
          <w:pgMar w:left="1440" w:top="274" w:right="1159" w:bottom="1440" w:gutter="0" w:footer="0" w:header="0"/>
        </w:sectPr>
      </w:pPr>
    </w:p>
    <w:bookmarkStart w:id="89" w:name="page90"/>
    <w:bookmarkEnd w:id="8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 BANK,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Herzog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Herzog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90" w:name="page91"/>
    <w:bookmarkEnd w:id="9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Virginia Cosenza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600"/>
          </w:cols>
          <w:pgMar w:left="1440" w:top="274" w:right="859" w:bottom="1440" w:gutter="0" w:footer="0" w:header="0"/>
        </w:sectPr>
      </w:pPr>
    </w:p>
    <w:bookmarkStart w:id="91" w:name="page92"/>
    <w:bookmarkEnd w:id="9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40"/>
          </w:cols>
          <w:pgMar w:left="1440" w:top="274" w:right="1419" w:bottom="1440" w:gutter="0" w:footer="0" w:header="0"/>
        </w:sectPr>
      </w:pPr>
    </w:p>
    <w:bookmarkStart w:id="92" w:name="page93"/>
    <w:bookmarkEnd w:id="9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 China Limited, New</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York Branch,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Kan Chen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Gang Duan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700"/>
          </w:cols>
          <w:pgMar w:left="1440" w:top="274" w:right="759" w:bottom="1440" w:gutter="0" w:footer="0" w:header="0"/>
        </w:sectPr>
      </w:pPr>
    </w:p>
    <w:bookmarkStart w:id="93" w:name="page94"/>
    <w:bookmarkEnd w:id="9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Corporate Markets plc,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Tina Wong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Assistant Manager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Transaction Execution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Category A</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W011</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Kamala Basdeo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Assistant Manager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Transaction Execution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Category A</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B002</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Signature Page to Amended and Restated 364-Day Revolving Credit Agreement</w:t>
      </w:r>
    </w:p>
    <w:p>
      <w:pPr>
        <w:sectPr>
          <w:pgSz w:w="11900" w:h="16838" w:orient="portrait"/>
          <w:cols w:equalWidth="0" w:num="1">
            <w:col w:w="9140"/>
          </w:cols>
          <w:pgMar w:left="1440" w:top="274" w:right="1319" w:bottom="1440" w:gutter="0" w:footer="0" w:header="0"/>
        </w:sectPr>
      </w:pPr>
    </w:p>
    <w:bookmarkStart w:id="94" w:name="page95"/>
    <w:bookmarkEnd w:id="9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95" w:name="page96"/>
    <w:bookmarkEnd w:id="9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220"/>
          </w:cols>
          <w:pgMar w:left="1440" w:top="274" w:right="1239" w:bottom="1440" w:gutter="0" w:footer="0" w:header="0"/>
        </w:sectPr>
      </w:pPr>
    </w:p>
    <w:bookmarkStart w:id="96" w:name="page97"/>
    <w:bookmarkEnd w:id="9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Westminster Bank Plc,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Aziz Bengali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Aziz Bengali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97" w:name="page98"/>
    <w:bookmarkEnd w:id="9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Nikhil Madhok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Nikhil Madhok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98" w:name="page99"/>
    <w:bookmarkEnd w:id="98"/>
    <w:p>
      <w:pPr>
        <w:ind w:left="5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Societe Generale, as a Lender</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Hogan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99" w:name="page100"/>
    <w:bookmarkEnd w:id="9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Katsuyuki Kubo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Katsuyuki Kubo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380"/>
          </w:cols>
          <w:pgMar w:left="1440" w:top="274" w:right="1079" w:bottom="1440" w:gutter="0" w:footer="0" w:header="0"/>
        </w:sectPr>
      </w:pPr>
    </w:p>
    <w:bookmarkStart w:id="100" w:name="page101"/>
    <w:bookmarkEnd w:id="10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Bradley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Bradley Walker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01" w:name="page102"/>
    <w:bookmarkEnd w:id="10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TORONTO-DOMINION BANK,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BANCH, 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Borowiecki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460"/>
          </w:cols>
          <w:pgMar w:left="1440" w:top="274" w:right="999" w:bottom="1440" w:gutter="0" w:footer="0" w:header="0"/>
        </w:sectPr>
      </w:pPr>
    </w:p>
    <w:bookmarkStart w:id="102" w:name="page103"/>
    <w:bookmarkEnd w:id="10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 York Branch 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Dominic Sorresso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Robin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10000"/>
          </w:cols>
          <w:pgMar w:left="1440" w:top="274" w:right="459" w:bottom="1440" w:gutter="0" w:footer="0" w:header="0"/>
        </w:sectPr>
      </w:pPr>
    </w:p>
    <w:bookmarkStart w:id="103" w:name="page104"/>
    <w:bookmarkEnd w:id="10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 Chicago Branch,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Benjamin Mlot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Benjamin Mlot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80"/>
          </w:cols>
          <w:pgMar w:left="1440" w:top="274" w:right="1379" w:bottom="1440" w:gutter="0" w:footer="0" w:header="0"/>
        </w:sectPr>
      </w:pPr>
    </w:p>
    <w:bookmarkStart w:id="104" w:name="page105"/>
    <w:bookmarkEnd w:id="10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DBS BANK LTD.,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Yeo How Ngee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Managing Director</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05" w:name="page106"/>
    <w:bookmarkEnd w:id="10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MUFG Bank, Ltd.,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John Margetanski</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06" w:name="page107"/>
    <w:bookmarkEnd w:id="10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Santander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Andres Barbosa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Kostman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Daniel Kostman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07" w:name="page108"/>
    <w:bookmarkEnd w:id="10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Lisa Garling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08" w:name="page109"/>
    <w:bookmarkEnd w:id="10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UNICREDIT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Ken Hamilton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Tommaso Maiocchi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Tommaso Maiocchi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Associate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620"/>
          </w:cols>
          <w:pgMar w:left="1440" w:top="274" w:right="839" w:bottom="1440" w:gutter="0" w:footer="0" w:header="0"/>
        </w:sectPr>
      </w:pPr>
    </w:p>
    <w:bookmarkStart w:id="109" w:name="page110"/>
    <w:bookmarkEnd w:id="10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Jeffrey S. Johnson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600"/>
          </w:cols>
          <w:pgMar w:left="1440" w:top="274" w:right="85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Bank N.V., Dublin Branch,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Shaun Hawley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Shaun Hawley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11" w:name="page112"/>
    <w:bookmarkEnd w:id="1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T. Smathers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Signature Page to Amended and Restated 364-Day Revolving Credit Agreement</w:t>
      </w:r>
    </w:p>
    <w:p>
      <w:pPr>
        <w:sectPr>
          <w:pgSz w:w="11900" w:h="16838" w:orient="portrait"/>
          <w:cols w:equalWidth="0" w:num="1">
            <w:col w:w="9520"/>
          </w:cols>
          <w:pgMar w:left="1440" w:top="274" w:right="939" w:bottom="1440" w:gutter="0" w:footer="0" w:header="0"/>
        </w:sectPr>
      </w:pPr>
    </w:p>
    <w:bookmarkStart w:id="112" w:name="page113"/>
    <w:bookmarkEnd w:id="11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 Perrizo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 Perrizo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Signature Page to Amended and Restated 364-Day Revolving Credit Agreement</w:t>
      </w:r>
    </w:p>
    <w:p>
      <w:pPr>
        <w:sectPr>
          <w:pgSz w:w="11900" w:h="16838" w:orient="portrait"/>
          <w:cols w:equalWidth="0" w:num="1">
            <w:col w:w="9019"/>
          </w:cols>
          <w:pgMar w:left="1440" w:top="274" w:right="1440" w:bottom="1440" w:gutter="0" w:footer="0" w:header="0"/>
        </w:sectPr>
      </w:pPr>
    </w:p>
    <w:bookmarkStart w:id="113" w:name="page114"/>
    <w:bookmarkEnd w:id="113"/>
    <w:p>
      <w:pPr>
        <w:ind w:left="96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35"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OMMITMENTS</w:t>
      </w:r>
      <w:r>
        <w:rPr>
          <w:rFonts w:ascii="Arial" w:cs="Arial" w:eastAsia="Arial" w:hAnsi="Arial"/>
          <w:sz w:val="18"/>
          <w:szCs w:val="18"/>
          <w:b w:val="1"/>
          <w:bCs w:val="1"/>
          <w:u w:val="single" w:color="auto"/>
          <w:color w:val="auto"/>
        </w:rPr>
        <w:t>/DTTP I</w:t>
      </w:r>
      <w:r>
        <w:rPr>
          <w:rFonts w:ascii="Arial" w:cs="Arial" w:eastAsia="Arial" w:hAnsi="Arial"/>
          <w:sz w:val="15"/>
          <w:szCs w:val="15"/>
          <w:b w:val="1"/>
          <w:bCs w:val="1"/>
          <w:u w:val="single" w:color="auto"/>
          <w:color w:val="auto"/>
        </w:rPr>
        <w:t>NFORMATION</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Scheme Reference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Commitment</w:t>
            </w:r>
          </w:p>
        </w:tc>
        <w:tc>
          <w:tcPr>
            <w:tcW w:w="2060" w:type="dxa"/>
            <w:vAlign w:val="bottom"/>
            <w:vMerge w:val="continue"/>
          </w:tcPr>
          <w:p>
            <w:pPr>
              <w:spacing w:after="0"/>
              <w:rPr>
                <w:sz w:val="12"/>
                <w:szCs w:val="12"/>
                <w:color w:val="auto"/>
              </w:rPr>
            </w:pP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of Tax</w:t>
            </w:r>
          </w:p>
        </w:tc>
        <w:tc>
          <w:tcPr>
            <w:tcW w:w="0" w:type="dxa"/>
            <w:vAlign w:val="bottom"/>
          </w:tcPr>
          <w:p>
            <w:pPr>
              <w:spacing w:after="0"/>
              <w:rPr>
                <w:sz w:val="1"/>
                <w:szCs w:val="1"/>
                <w:color w:val="auto"/>
              </w:rPr>
            </w:pPr>
          </w:p>
        </w:tc>
      </w:tr>
      <w:tr>
        <w:trPr>
          <w:trHeight w:val="171"/>
        </w:trPr>
        <w:tc>
          <w:tcPr>
            <w:tcW w:w="47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60" w:type="dxa"/>
            <w:vAlign w:val="bottom"/>
          </w:tcPr>
          <w:p>
            <w:pPr>
              <w:jc w:val="right"/>
              <w:ind w:right="712"/>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jc w:val="right"/>
              <w:ind w:right="33"/>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13/M/0268710/DTTP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Citibank, N.A.</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13/C/62301/DTTP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9/B/75354/DTTP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 xml:space="preserve">Bank of America, N.A. </w:t>
            </w:r>
            <w:r>
              <w:rPr>
                <w:rFonts w:ascii="Arial" w:cs="Arial" w:eastAsia="Arial" w:hAnsi="Arial"/>
                <w:sz w:val="15"/>
                <w:szCs w:val="15"/>
                <w:color w:val="auto"/>
              </w:rPr>
              <w:t>1</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13/B/7418/DTTP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BNP Paribas</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5/B/255139/DTTP</w:t>
            </w:r>
          </w:p>
        </w:tc>
        <w:tc>
          <w:tcPr>
            <w:tcW w:w="104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Commerzbank AG New York Branch</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7/C/25382/DTTP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Credit Agricole Corporate and Investment Bank</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5/C/0222082/DTTP</w:t>
            </w:r>
          </w:p>
        </w:tc>
        <w:tc>
          <w:tcPr>
            <w:tcW w:w="104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07/D/70006/DTTP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Goldman Sachs Bank USA</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13/G/0351779/DTTP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Industrial and Commercial Bank of China Limited, New York</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23/I/358686/DTTP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Lloyds Bank Corporate Markets plc</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43/M/274822/DTTP</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Morgan Stanley Senior Funding, Inc.</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13/M/227953/DTTP</w:t>
            </w:r>
          </w:p>
        </w:tc>
        <w:tc>
          <w:tcPr>
            <w:tcW w:w="10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National Westminster Bank Plc</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right="160" w:hanging="436"/>
        <w:spacing w:after="0" w:line="271" w:lineRule="auto"/>
        <w:tabs>
          <w:tab w:leader="none" w:pos="440" w:val="left"/>
        </w:tabs>
        <w:numPr>
          <w:ilvl w:val="0"/>
          <w:numId w:val="86"/>
        </w:numPr>
        <w:rPr>
          <w:rFonts w:ascii="Arial" w:cs="Arial" w:eastAsia="Arial" w:hAnsi="Arial"/>
          <w:sz w:val="14"/>
          <w:szCs w:val="14"/>
          <w:color w:val="auto"/>
        </w:rPr>
      </w:pPr>
      <w:r>
        <w:rPr>
          <w:rFonts w:ascii="Arial" w:cs="Arial" w:eastAsia="Arial" w:hAnsi="Arial"/>
          <w:sz w:val="17"/>
          <w:szCs w:val="17"/>
          <w:color w:val="auto"/>
        </w:rPr>
        <w:t>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ectPr>
          <w:pgSz w:w="11900" w:h="16838" w:orient="portrait"/>
          <w:cols w:equalWidth="0" w:num="1">
            <w:col w:w="11020"/>
          </w:cols>
          <w:pgMar w:left="440" w:top="274" w:right="439" w:bottom="1440" w:gutter="0" w:footer="0" w:header="0"/>
        </w:sectPr>
      </w:pPr>
    </w:p>
    <w:bookmarkStart w:id="114" w:name="page115"/>
    <w:bookmarkEnd w:id="114"/>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Scheme Reference</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Jurisdiction</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Commitment</w:t>
            </w:r>
          </w:p>
        </w:tc>
        <w:tc>
          <w:tcPr>
            <w:tcW w:w="2060" w:type="dxa"/>
            <w:vAlign w:val="bottom"/>
            <w:gridSpan w:val="2"/>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 Tax</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Residence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3/R/70780/DTTP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Societe Generale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5/S/70085/DTTP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43/S/274647/DTTP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003/T/0366714/DTTP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The Toronto-Dominion Bank, New York Branch</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3/T/80000/DTTP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Canadian Imperial Bank of Commerce, New York Branch</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3/C/80001/DTTP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Bank of Montreal, Chicago Branch</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3/M/270436/DTTP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DBS Bank Ltd.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67/D/363894/DTTP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43/B/322072/DTTP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Santander Bank, N.A.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013/S/357603/DTTP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13S/67712/DTTP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7/U/237605/DTTP</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13/U/62184/DTTP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ING Bank N.V., Dublin Branch</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12-I-371270-DTTP</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(with respect to 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Ireland DAC as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applicable lending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office)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13/B/357401/DTTP</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Wells Fargo Bank, N.A.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13/W/61173/DTTP</w:t>
            </w:r>
          </w:p>
        </w:tc>
        <w:tc>
          <w:tcPr>
            <w:tcW w:w="3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ectPr>
          <w:pgSz w:w="11900" w:h="16838" w:orient="portrait"/>
          <w:cols w:equalWidth="0" w:num="1">
            <w:col w:w="10140"/>
          </w:cols>
          <w:pgMar w:left="440" w:top="253" w:right="1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w w:val="94"/>
              </w:rPr>
              <w:t>SCHEDULE 1.1B</w:t>
            </w:r>
          </w:p>
        </w:tc>
      </w:tr>
      <w:tr>
        <w:trPr>
          <w:trHeight w:val="216"/>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1000"/>
              <w:spacing w:after="0"/>
              <w:rPr>
                <w:sz w:val="20"/>
                <w:szCs w:val="20"/>
                <w:color w:val="auto"/>
              </w:rPr>
            </w:pPr>
            <w:r>
              <w:rPr>
                <w:rFonts w:ascii="Arial" w:cs="Arial" w:eastAsia="Arial" w:hAnsi="Arial"/>
                <w:sz w:val="18"/>
                <w:szCs w:val="18"/>
                <w:color w:val="auto"/>
              </w:rPr>
              <w:t>to</w:t>
            </w:r>
          </w:p>
        </w:tc>
      </w:tr>
      <w:tr>
        <w:trPr>
          <w:trHeight w:val="230"/>
        </w:trPr>
        <w:tc>
          <w:tcPr>
            <w:tcW w:w="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80" w:type="dxa"/>
            <w:vAlign w:val="bottom"/>
          </w:tcPr>
          <w:p>
            <w:pPr>
              <w:ind w:left="560"/>
              <w:spacing w:after="0"/>
              <w:rPr>
                <w:sz w:val="20"/>
                <w:szCs w:val="20"/>
                <w:color w:val="auto"/>
              </w:rPr>
            </w:pPr>
            <w:r>
              <w:rPr>
                <w:rFonts w:ascii="Arial" w:cs="Arial" w:eastAsia="Arial" w:hAnsi="Arial"/>
                <w:sz w:val="18"/>
                <w:szCs w:val="18"/>
                <w:color w:val="auto"/>
                <w:w w:val="92"/>
              </w:rPr>
              <w:t>Credit Agreement</w:t>
            </w:r>
          </w:p>
        </w:tc>
      </w:tr>
      <w:tr>
        <w:trPr>
          <w:trHeight w:val="608"/>
        </w:trPr>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r>
      <w:tr>
        <w:trPr>
          <w:trHeight w:val="432"/>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Name of Entity</w:t>
            </w:r>
          </w:p>
        </w:tc>
        <w:tc>
          <w:tcPr>
            <w:tcW w:w="32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Jurisdiction of Organization</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GM Cruise LLC</w:t>
            </w:r>
          </w:p>
        </w:tc>
        <w:tc>
          <w:tcPr>
            <w:tcW w:w="2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80" w:type="dxa"/>
            <w:vAlign w:val="bottom"/>
          </w:tcPr>
          <w:p>
            <w:pPr>
              <w:ind w:left="580"/>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2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2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365"/>
        </w:trPr>
        <w:tc>
          <w:tcPr>
            <w:tcW w:w="4200" w:type="dxa"/>
            <w:vAlign w:val="bottom"/>
            <w:gridSpan w:val="2"/>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6" w:name="page117"/>
    <w:bookmarkEnd w:id="116"/>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SCHEDULE 1.1C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90"/>
              </w:rPr>
              <w:t>Credit Agreement</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Applicable Margin</w:t>
            </w:r>
          </w:p>
        </w:tc>
        <w:tc>
          <w:tcPr>
            <w:tcW w:w="68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Applicable</w:t>
            </w:r>
          </w:p>
        </w:tc>
        <w:tc>
          <w:tcPr>
            <w:tcW w:w="68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All-in Spread</w:t>
            </w:r>
          </w:p>
        </w:tc>
        <w:tc>
          <w:tcPr>
            <w:tcW w:w="0" w:type="dxa"/>
            <w:vAlign w:val="bottom"/>
          </w:tcPr>
          <w:p>
            <w:pPr>
              <w:spacing w:after="0"/>
              <w:rPr>
                <w:sz w:val="1"/>
                <w:szCs w:val="1"/>
                <w:color w:val="auto"/>
              </w:rPr>
            </w:pPr>
          </w:p>
        </w:tc>
      </w:tr>
      <w:tr>
        <w:trPr>
          <w:trHeight w:val="142"/>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2740" w:type="dxa"/>
            <w:vAlign w:val="bottom"/>
            <w:gridSpan w:val="5"/>
            <w:vMerge w:val="restart"/>
          </w:tcPr>
          <w:p>
            <w:pPr>
              <w:jc w:val="center"/>
              <w:ind w:left="693"/>
              <w:spacing w:after="0"/>
              <w:rPr>
                <w:sz w:val="20"/>
                <w:szCs w:val="20"/>
                <w:color w:val="auto"/>
              </w:rPr>
            </w:pPr>
            <w:r>
              <w:rPr>
                <w:rFonts w:ascii="Arial" w:cs="Arial" w:eastAsia="Arial" w:hAnsi="Arial"/>
                <w:sz w:val="14"/>
                <w:szCs w:val="14"/>
                <w:b w:val="1"/>
                <w:bCs w:val="1"/>
                <w:color w:val="auto"/>
                <w:w w:val="94"/>
              </w:rPr>
              <w:t>Facility Fee</w:t>
            </w:r>
          </w:p>
        </w:tc>
        <w:tc>
          <w:tcPr>
            <w:tcW w:w="12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for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80" w:type="dxa"/>
            <w:vAlign w:val="bottom"/>
            <w:gridSpan w:val="3"/>
            <w:vMerge w:val="continue"/>
          </w:tcPr>
          <w:p>
            <w:pPr>
              <w:spacing w:after="0"/>
              <w:rPr>
                <w:sz w:val="10"/>
                <w:szCs w:val="10"/>
                <w:color w:val="auto"/>
              </w:rPr>
            </w:pPr>
          </w:p>
        </w:tc>
        <w:tc>
          <w:tcPr>
            <w:tcW w:w="27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 Eurocurrency</w:t>
            </w:r>
          </w:p>
        </w:tc>
        <w:tc>
          <w:tcPr>
            <w:tcW w:w="6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Margin</w:t>
            </w:r>
          </w:p>
        </w:tc>
        <w:tc>
          <w:tcPr>
            <w:tcW w:w="6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Eurocurrency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Company’s Rating</w:t>
            </w: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98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w w:val="92"/>
              </w:rPr>
              <w:t>Rate</w:t>
            </w:r>
          </w:p>
        </w:tc>
        <w:tc>
          <w:tcPr>
            <w:tcW w:w="5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Loans</w:t>
            </w:r>
          </w:p>
        </w:tc>
        <w:tc>
          <w:tcPr>
            <w:tcW w:w="680" w:type="dxa"/>
            <w:vAlign w:val="bottom"/>
            <w:vMerge w:val="continue"/>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for ABR Loans</w:t>
            </w:r>
          </w:p>
        </w:tc>
        <w:tc>
          <w:tcPr>
            <w:tcW w:w="680" w:type="dxa"/>
            <w:vAlign w:val="bottom"/>
          </w:tcPr>
          <w:p>
            <w:pPr>
              <w:spacing w:after="0"/>
              <w:rPr>
                <w:sz w:val="12"/>
                <w:szCs w:val="12"/>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Loans</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³ A/A2/A</w:t>
            </w:r>
          </w:p>
        </w:tc>
        <w:tc>
          <w:tcPr>
            <w:tcW w:w="1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A-/A3/A-</w:t>
            </w:r>
          </w:p>
        </w:tc>
        <w:tc>
          <w:tcPr>
            <w:tcW w:w="2120" w:type="dxa"/>
            <w:vAlign w:val="bottom"/>
            <w:gridSpan w:val="3"/>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2120" w:type="dxa"/>
            <w:vAlign w:val="bottom"/>
            <w:gridSpan w:val="3"/>
            <w:shd w:val="clear" w:color="auto" w:fill="CCEEFF"/>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BBB / Baa2 / BBB</w:t>
            </w:r>
          </w:p>
        </w:tc>
        <w:tc>
          <w:tcPr>
            <w:tcW w:w="2120" w:type="dxa"/>
            <w:vAlign w:val="bottom"/>
            <w:gridSpan w:val="3"/>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2120" w:type="dxa"/>
            <w:vAlign w:val="bottom"/>
            <w:gridSpan w:val="3"/>
            <w:shd w:val="clear" w:color="auto" w:fill="CCEEFF"/>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2120" w:type="dxa"/>
            <w:vAlign w:val="bottom"/>
            <w:gridSpan w:val="3"/>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BB / Ba2 / BB</w:t>
            </w:r>
          </w:p>
        </w:tc>
        <w:tc>
          <w:tcPr>
            <w:tcW w:w="2120" w:type="dxa"/>
            <w:vAlign w:val="bottom"/>
            <w:gridSpan w:val="3"/>
            <w:shd w:val="clear" w:color="auto" w:fill="CCEEFF"/>
          </w:tcPr>
          <w:p>
            <w:pPr>
              <w:jc w:val="center"/>
              <w:ind w:left="13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firstLine="441"/>
        <w:spacing w:after="0" w:line="254" w:lineRule="auto"/>
        <w:rPr>
          <w:sz w:val="20"/>
          <w:szCs w:val="20"/>
          <w:color w:val="auto"/>
        </w:rPr>
      </w:pPr>
      <w:r>
        <w:rPr>
          <w:rFonts w:ascii="Arial" w:cs="Arial" w:eastAsia="Arial" w:hAnsi="Arial"/>
          <w:sz w:val="18"/>
          <w:szCs w:val="18"/>
          <w:color w:val="auto"/>
        </w:rPr>
        <w:t>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ectPr>
          <w:pgSz w:w="11900" w:h="16838" w:orient="portrait"/>
          <w:cols w:equalWidth="0" w:num="1">
            <w:col w:w="11020"/>
          </w:cols>
          <w:pgMar w:left="440" w:top="274" w:right="439" w:bottom="1440" w:gutter="0" w:footer="0" w:header="0"/>
        </w:sectPr>
      </w:pPr>
    </w:p>
    <w:bookmarkStart w:id="117" w:name="page118"/>
    <w:bookmarkEnd w:id="117"/>
    <w:p>
      <w:pPr>
        <w:ind w:left="9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D</w:t>
      </w:r>
    </w:p>
    <w:p>
      <w:pPr>
        <w:spacing w:after="0" w:line="35"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ind w:right="1620"/>
        <w:spacing w:after="0" w:line="449" w:lineRule="auto"/>
        <w:rPr>
          <w:sz w:val="20"/>
          <w:szCs w:val="20"/>
          <w:color w:val="auto"/>
        </w:rPr>
      </w:pPr>
      <w:r>
        <w:rPr>
          <w:rFonts w:ascii="Arial" w:cs="Arial" w:eastAsia="Arial" w:hAnsi="Arial"/>
          <w:sz w:val="18"/>
          <w:szCs w:val="18"/>
          <w:color w:val="auto"/>
        </w:rPr>
        <w:t>Liens reflected in the lien search results, dated as of April 8, 2019 delivered to the Administrative Agent prior to the Closing Date. Credit Agreement Schedule 1.1D</w:t>
      </w:r>
    </w:p>
    <w:p>
      <w:pPr>
        <w:sectPr>
          <w:pgSz w:w="11900" w:h="16838" w:orient="portrait"/>
          <w:cols w:equalWidth="0" w:num="1">
            <w:col w:w="11020"/>
          </w:cols>
          <w:pgMar w:left="440" w:top="274" w:right="439" w:bottom="1440" w:gutter="0" w:footer="0" w:header="0"/>
        </w:sectPr>
      </w:pPr>
    </w:p>
    <w:bookmarkStart w:id="118" w:name="page119"/>
    <w:bookmarkEnd w:id="118"/>
    <w:p>
      <w:pPr>
        <w:ind w:left="9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E</w:t>
      </w:r>
    </w:p>
    <w:p>
      <w:pPr>
        <w:spacing w:after="0" w:line="46"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ectPr>
          <w:pgSz w:w="11900" w:h="16838" w:orient="portrait"/>
          <w:cols w:equalWidth="0" w:num="1">
            <w:col w:w="11020"/>
          </w:cols>
          <w:pgMar w:left="440" w:top="274" w:right="439" w:bottom="1440" w:gutter="0" w:footer="0" w:header="0"/>
        </w:sectPr>
      </w:pPr>
    </w:p>
    <w:bookmarkStart w:id="119" w:name="page120"/>
    <w:bookmarkEnd w:id="119"/>
    <w:p>
      <w:pPr>
        <w:ind w:left="9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4.6</w:t>
      </w:r>
    </w:p>
    <w:p>
      <w:pPr>
        <w:spacing w:after="0" w:line="46"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020"/>
          </w:cols>
          <w:pgMar w:left="440" w:top="274" w:right="439" w:bottom="1440" w:gutter="0" w:footer="0" w:header="0"/>
        </w:sectPr>
      </w:pPr>
    </w:p>
    <w:bookmarkStart w:id="120" w:name="page121"/>
    <w:bookmarkEnd w:id="120"/>
    <w:p>
      <w:pPr>
        <w:ind w:left="9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AMENDED AND RESTATED GUARANTEE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 xml:space="preserve">AND CERTAIN OTHER PERSONS FROM TIME TO TIME PARTIES HERETO, </w:t>
      </w:r>
      <w:r>
        <w:rPr>
          <w:rFonts w:ascii="Arial" w:cs="Arial" w:eastAsia="Arial" w:hAnsi="Arial"/>
          <w:sz w:val="17"/>
          <w:szCs w:val="17"/>
          <w:i w:val="1"/>
          <w:iCs w:val="1"/>
          <w:color w:val="auto"/>
        </w:rPr>
        <w:t>as the</w:t>
      </w:r>
    </w:p>
    <w:p>
      <w:pPr>
        <w:spacing w:after="0" w:line="237"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Guarantors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720" w:type="dxa"/>
            <w:vAlign w:val="bottom"/>
          </w:tcPr>
          <w:p>
            <w:pPr>
              <w:ind w:left="3800"/>
              <w:spacing w:after="0"/>
              <w:rPr>
                <w:sz w:val="20"/>
                <w:szCs w:val="20"/>
                <w:color w:val="auto"/>
              </w:rPr>
            </w:pPr>
            <w:r>
              <w:rPr>
                <w:rFonts w:ascii="Arial" w:cs="Arial" w:eastAsia="Arial" w:hAnsi="Arial"/>
                <w:sz w:val="18"/>
                <w:szCs w:val="18"/>
                <w:color w:val="auto"/>
              </w:rPr>
              <w:t>TABLE OF CONTENTS</w:t>
            </w: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62"/>
        </w:trPr>
        <w:tc>
          <w:tcPr>
            <w:tcW w:w="8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w w:val="97"/>
              </w:rPr>
              <w:t>Section 1.</w:t>
            </w:r>
          </w:p>
        </w:tc>
        <w:tc>
          <w:tcPr>
            <w:tcW w:w="772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00" w:type="dxa"/>
            <w:vAlign w:val="bottom"/>
          </w:tcPr>
          <w:p>
            <w:pPr>
              <w:ind w:left="360"/>
              <w:spacing w:after="0"/>
              <w:rPr>
                <w:sz w:val="20"/>
                <w:szCs w:val="20"/>
                <w:color w:val="auto"/>
              </w:rPr>
            </w:pPr>
            <w:r>
              <w:rPr>
                <w:rFonts w:ascii="Arial" w:cs="Arial" w:eastAsia="Arial" w:hAnsi="Arial"/>
                <w:sz w:val="18"/>
                <w:szCs w:val="18"/>
                <w:color w:val="auto"/>
              </w:rPr>
              <w:t>1.1</w:t>
            </w:r>
          </w:p>
        </w:tc>
        <w:tc>
          <w:tcPr>
            <w:tcW w:w="77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0" w:type="dxa"/>
            <w:vAlign w:val="bottom"/>
          </w:tcPr>
          <w:p>
            <w:pPr>
              <w:ind w:left="360"/>
              <w:spacing w:after="0"/>
              <w:rPr>
                <w:sz w:val="20"/>
                <w:szCs w:val="20"/>
                <w:color w:val="auto"/>
              </w:rPr>
            </w:pPr>
            <w:r>
              <w:rPr>
                <w:rFonts w:ascii="Arial" w:cs="Arial" w:eastAsia="Arial" w:hAnsi="Arial"/>
                <w:sz w:val="18"/>
                <w:szCs w:val="18"/>
                <w:color w:val="auto"/>
              </w:rPr>
              <w:t>1.2</w:t>
            </w:r>
          </w:p>
        </w:tc>
        <w:tc>
          <w:tcPr>
            <w:tcW w:w="7720" w:type="dxa"/>
            <w:vAlign w:val="bottom"/>
          </w:tcPr>
          <w:p>
            <w:pPr>
              <w:ind w:left="60"/>
              <w:spacing w:after="0"/>
              <w:rPr>
                <w:sz w:val="20"/>
                <w:szCs w:val="20"/>
                <w:color w:val="auto"/>
              </w:rPr>
            </w:pPr>
            <w:r>
              <w:rPr>
                <w:rFonts w:ascii="Arial" w:cs="Arial" w:eastAsia="Arial" w:hAnsi="Arial"/>
                <w:sz w:val="18"/>
                <w:szCs w:val="18"/>
                <w:color w:val="auto"/>
              </w:rPr>
              <w:t>Other Definitional Provisions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w w:val="97"/>
              </w:rPr>
              <w:t>Section 2.</w:t>
            </w:r>
          </w:p>
        </w:tc>
        <w:tc>
          <w:tcPr>
            <w:tcW w:w="7720" w:type="dxa"/>
            <w:vAlign w:val="bottom"/>
          </w:tcPr>
          <w:p>
            <w:pPr>
              <w:ind w:left="60"/>
              <w:spacing w:after="0"/>
              <w:rPr>
                <w:sz w:val="20"/>
                <w:szCs w:val="20"/>
                <w:color w:val="auto"/>
              </w:rPr>
            </w:pPr>
            <w:r>
              <w:rPr>
                <w:rFonts w:ascii="Arial" w:cs="Arial" w:eastAsia="Arial" w:hAnsi="Arial"/>
                <w:sz w:val="18"/>
                <w:szCs w:val="18"/>
                <w:color w:val="auto"/>
              </w:rPr>
              <w:t>Guarantee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00" w:type="dxa"/>
            <w:vAlign w:val="bottom"/>
          </w:tcPr>
          <w:p>
            <w:pPr>
              <w:ind w:left="360"/>
              <w:spacing w:after="0"/>
              <w:rPr>
                <w:sz w:val="20"/>
                <w:szCs w:val="20"/>
                <w:color w:val="auto"/>
              </w:rPr>
            </w:pPr>
            <w:r>
              <w:rPr>
                <w:rFonts w:ascii="Arial" w:cs="Arial" w:eastAsia="Arial" w:hAnsi="Arial"/>
                <w:sz w:val="18"/>
                <w:szCs w:val="18"/>
                <w:color w:val="auto"/>
              </w:rPr>
              <w:t>2.1</w:t>
            </w:r>
          </w:p>
        </w:tc>
        <w:tc>
          <w:tcPr>
            <w:tcW w:w="7720" w:type="dxa"/>
            <w:vAlign w:val="bottom"/>
          </w:tcPr>
          <w:p>
            <w:pPr>
              <w:ind w:left="60"/>
              <w:spacing w:after="0"/>
              <w:rPr>
                <w:sz w:val="20"/>
                <w:szCs w:val="20"/>
                <w:color w:val="auto"/>
              </w:rPr>
            </w:pPr>
            <w:r>
              <w:rPr>
                <w:rFonts w:ascii="Arial" w:cs="Arial" w:eastAsia="Arial" w:hAnsi="Arial"/>
                <w:sz w:val="18"/>
                <w:szCs w:val="18"/>
                <w:color w:val="auto"/>
              </w:rPr>
              <w:t>Guarantee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2.2</w:t>
            </w:r>
          </w:p>
        </w:tc>
        <w:tc>
          <w:tcPr>
            <w:tcW w:w="7720" w:type="dxa"/>
            <w:vAlign w:val="bottom"/>
          </w:tcPr>
          <w:p>
            <w:pPr>
              <w:ind w:left="60"/>
              <w:spacing w:after="0"/>
              <w:rPr>
                <w:sz w:val="20"/>
                <w:szCs w:val="20"/>
                <w:color w:val="auto"/>
              </w:rPr>
            </w:pPr>
            <w:r>
              <w:rPr>
                <w:rFonts w:ascii="Arial" w:cs="Arial" w:eastAsia="Arial" w:hAnsi="Arial"/>
                <w:sz w:val="18"/>
                <w:szCs w:val="18"/>
                <w:color w:val="auto"/>
              </w:rPr>
              <w:t>Right of Contribution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2.3</w:t>
            </w:r>
          </w:p>
        </w:tc>
        <w:tc>
          <w:tcPr>
            <w:tcW w:w="7720" w:type="dxa"/>
            <w:vAlign w:val="bottom"/>
          </w:tcPr>
          <w:p>
            <w:pPr>
              <w:ind w:left="60"/>
              <w:spacing w:after="0"/>
              <w:rPr>
                <w:sz w:val="20"/>
                <w:szCs w:val="20"/>
                <w:color w:val="auto"/>
              </w:rPr>
            </w:pPr>
            <w:r>
              <w:rPr>
                <w:rFonts w:ascii="Arial" w:cs="Arial" w:eastAsia="Arial" w:hAnsi="Arial"/>
                <w:sz w:val="18"/>
                <w:szCs w:val="18"/>
                <w:color w:val="auto"/>
              </w:rPr>
              <w:t>No Subrogation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2.4</w:t>
            </w:r>
          </w:p>
        </w:tc>
        <w:tc>
          <w:tcPr>
            <w:tcW w:w="7720" w:type="dxa"/>
            <w:vAlign w:val="bottom"/>
          </w:tcPr>
          <w:p>
            <w:pPr>
              <w:ind w:left="60"/>
              <w:spacing w:after="0"/>
              <w:rPr>
                <w:sz w:val="20"/>
                <w:szCs w:val="20"/>
                <w:color w:val="auto"/>
              </w:rPr>
            </w:pPr>
            <w:r>
              <w:rPr>
                <w:rFonts w:ascii="Arial" w:cs="Arial" w:eastAsia="Arial" w:hAnsi="Arial"/>
                <w:sz w:val="18"/>
                <w:szCs w:val="18"/>
                <w:color w:val="auto"/>
              </w:rPr>
              <w:t>Amendments, etc. with respect to the Guaranteed Obligations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2.5</w:t>
            </w:r>
          </w:p>
        </w:tc>
        <w:tc>
          <w:tcPr>
            <w:tcW w:w="7720" w:type="dxa"/>
            <w:vAlign w:val="bottom"/>
          </w:tcPr>
          <w:p>
            <w:pPr>
              <w:ind w:left="60"/>
              <w:spacing w:after="0"/>
              <w:rPr>
                <w:sz w:val="20"/>
                <w:szCs w:val="20"/>
                <w:color w:val="auto"/>
              </w:rPr>
            </w:pPr>
            <w:r>
              <w:rPr>
                <w:rFonts w:ascii="Arial" w:cs="Arial" w:eastAsia="Arial" w:hAnsi="Arial"/>
                <w:sz w:val="18"/>
                <w:szCs w:val="18"/>
                <w:color w:val="auto"/>
              </w:rPr>
              <w:t>Guarantee Absolute and Unconditional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2.6</w:t>
            </w:r>
          </w:p>
        </w:tc>
        <w:tc>
          <w:tcPr>
            <w:tcW w:w="772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0" w:type="dxa"/>
            <w:vAlign w:val="bottom"/>
          </w:tcPr>
          <w:p>
            <w:pPr>
              <w:ind w:left="360"/>
              <w:spacing w:after="0"/>
              <w:rPr>
                <w:sz w:val="20"/>
                <w:szCs w:val="20"/>
                <w:color w:val="auto"/>
              </w:rPr>
            </w:pPr>
            <w:r>
              <w:rPr>
                <w:rFonts w:ascii="Arial" w:cs="Arial" w:eastAsia="Arial" w:hAnsi="Arial"/>
                <w:sz w:val="18"/>
                <w:szCs w:val="18"/>
                <w:color w:val="auto"/>
              </w:rPr>
              <w:t>2.7</w:t>
            </w:r>
          </w:p>
        </w:tc>
        <w:tc>
          <w:tcPr>
            <w:tcW w:w="7720" w:type="dxa"/>
            <w:vAlign w:val="bottom"/>
          </w:tcPr>
          <w:p>
            <w:pPr>
              <w:ind w:left="60"/>
              <w:spacing w:after="0"/>
              <w:rPr>
                <w:sz w:val="20"/>
                <w:szCs w:val="20"/>
                <w:color w:val="auto"/>
              </w:rPr>
            </w:pPr>
            <w:r>
              <w:rPr>
                <w:rFonts w:ascii="Arial" w:cs="Arial" w:eastAsia="Arial" w:hAnsi="Arial"/>
                <w:sz w:val="18"/>
                <w:szCs w:val="18"/>
                <w:color w:val="auto"/>
              </w:rPr>
              <w:t>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w w:val="97"/>
              </w:rPr>
              <w:t>Section 3.</w:t>
            </w:r>
          </w:p>
        </w:tc>
        <w:tc>
          <w:tcPr>
            <w:tcW w:w="772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800" w:type="dxa"/>
            <w:vAlign w:val="bottom"/>
          </w:tcPr>
          <w:p>
            <w:pPr>
              <w:ind w:left="360"/>
              <w:spacing w:after="0"/>
              <w:rPr>
                <w:sz w:val="20"/>
                <w:szCs w:val="20"/>
                <w:color w:val="auto"/>
              </w:rPr>
            </w:pPr>
            <w:r>
              <w:rPr>
                <w:rFonts w:ascii="Arial" w:cs="Arial" w:eastAsia="Arial" w:hAnsi="Arial"/>
                <w:sz w:val="18"/>
                <w:szCs w:val="18"/>
                <w:color w:val="auto"/>
              </w:rPr>
              <w:t>3.1</w:t>
            </w:r>
          </w:p>
        </w:tc>
        <w:tc>
          <w:tcPr>
            <w:tcW w:w="7720" w:type="dxa"/>
            <w:vAlign w:val="bottom"/>
          </w:tcPr>
          <w:p>
            <w:pPr>
              <w:ind w:left="60"/>
              <w:spacing w:after="0"/>
              <w:rPr>
                <w:sz w:val="20"/>
                <w:szCs w:val="20"/>
                <w:color w:val="auto"/>
              </w:rPr>
            </w:pPr>
            <w:r>
              <w:rPr>
                <w:rFonts w:ascii="Arial" w:cs="Arial" w:eastAsia="Arial" w:hAnsi="Arial"/>
                <w:sz w:val="18"/>
                <w:szCs w:val="18"/>
                <w:color w:val="auto"/>
              </w:rPr>
              <w:t>Authority of Administrative Agent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3.2</w:t>
            </w:r>
          </w:p>
        </w:tc>
        <w:tc>
          <w:tcPr>
            <w:tcW w:w="7720" w:type="dxa"/>
            <w:vAlign w:val="bottom"/>
          </w:tcPr>
          <w:p>
            <w:pPr>
              <w:ind w:left="60"/>
              <w:spacing w:after="0"/>
              <w:rPr>
                <w:sz w:val="20"/>
                <w:szCs w:val="20"/>
                <w:color w:val="auto"/>
              </w:rPr>
            </w:pPr>
            <w:r>
              <w:rPr>
                <w:rFonts w:ascii="Arial" w:cs="Arial" w:eastAsia="Arial" w:hAnsi="Arial"/>
                <w:sz w:val="18"/>
                <w:szCs w:val="18"/>
                <w:color w:val="auto"/>
              </w:rPr>
              <w:t>Amendments in Writing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3.3</w:t>
            </w:r>
          </w:p>
        </w:tc>
        <w:tc>
          <w:tcPr>
            <w:tcW w:w="7720" w:type="dxa"/>
            <w:vAlign w:val="bottom"/>
          </w:tcPr>
          <w:p>
            <w:pPr>
              <w:ind w:left="60"/>
              <w:spacing w:after="0"/>
              <w:rPr>
                <w:sz w:val="20"/>
                <w:szCs w:val="20"/>
                <w:color w:val="auto"/>
              </w:rPr>
            </w:pPr>
            <w:r>
              <w:rPr>
                <w:rFonts w:ascii="Arial" w:cs="Arial" w:eastAsia="Arial" w:hAnsi="Arial"/>
                <w:sz w:val="18"/>
                <w:szCs w:val="18"/>
                <w:color w:val="auto"/>
              </w:rPr>
              <w:t>Notices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3.4</w:t>
            </w:r>
          </w:p>
        </w:tc>
        <w:tc>
          <w:tcPr>
            <w:tcW w:w="7720" w:type="dxa"/>
            <w:vAlign w:val="bottom"/>
          </w:tcPr>
          <w:p>
            <w:pPr>
              <w:ind w:left="60"/>
              <w:spacing w:after="0"/>
              <w:rPr>
                <w:sz w:val="20"/>
                <w:szCs w:val="20"/>
                <w:color w:val="auto"/>
              </w:rPr>
            </w:pPr>
            <w:r>
              <w:rPr>
                <w:rFonts w:ascii="Arial" w:cs="Arial" w:eastAsia="Arial" w:hAnsi="Arial"/>
                <w:sz w:val="18"/>
                <w:szCs w:val="18"/>
                <w:color w:val="auto"/>
              </w:rPr>
              <w:t>No Waiver by Course of Conduct; Cumulative Remedies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3.5</w:t>
            </w:r>
          </w:p>
        </w:tc>
        <w:tc>
          <w:tcPr>
            <w:tcW w:w="7720" w:type="dxa"/>
            <w:vAlign w:val="bottom"/>
          </w:tcPr>
          <w:p>
            <w:pPr>
              <w:ind w:left="60"/>
              <w:spacing w:after="0"/>
              <w:rPr>
                <w:sz w:val="20"/>
                <w:szCs w:val="20"/>
                <w:color w:val="auto"/>
              </w:rPr>
            </w:pPr>
            <w:r>
              <w:rPr>
                <w:rFonts w:ascii="Arial" w:cs="Arial" w:eastAsia="Arial" w:hAnsi="Arial"/>
                <w:sz w:val="18"/>
                <w:szCs w:val="18"/>
                <w:color w:val="auto"/>
              </w:rPr>
              <w:t>Enforcement Expenses; Indemnification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3.6</w:t>
            </w:r>
          </w:p>
        </w:tc>
        <w:tc>
          <w:tcPr>
            <w:tcW w:w="77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3.7</w:t>
            </w:r>
          </w:p>
        </w:tc>
        <w:tc>
          <w:tcPr>
            <w:tcW w:w="77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3.8</w:t>
            </w:r>
          </w:p>
        </w:tc>
        <w:tc>
          <w:tcPr>
            <w:tcW w:w="77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3.9</w:t>
            </w:r>
          </w:p>
        </w:tc>
        <w:tc>
          <w:tcPr>
            <w:tcW w:w="7720" w:type="dxa"/>
            <w:vAlign w:val="bottom"/>
          </w:tcPr>
          <w:p>
            <w:pPr>
              <w:ind w:left="60"/>
              <w:spacing w:after="0"/>
              <w:rPr>
                <w:sz w:val="20"/>
                <w:szCs w:val="20"/>
                <w:color w:val="auto"/>
              </w:rPr>
            </w:pPr>
            <w:r>
              <w:rPr>
                <w:rFonts w:ascii="Arial" w:cs="Arial" w:eastAsia="Arial" w:hAnsi="Arial"/>
                <w:sz w:val="18"/>
                <w:szCs w:val="18"/>
                <w:color w:val="auto"/>
              </w:rPr>
              <w:t>Section Headings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00" w:type="dxa"/>
            <w:vAlign w:val="bottom"/>
          </w:tcPr>
          <w:p>
            <w:pPr>
              <w:ind w:left="360"/>
              <w:spacing w:after="0"/>
              <w:rPr>
                <w:sz w:val="20"/>
                <w:szCs w:val="20"/>
                <w:color w:val="auto"/>
              </w:rPr>
            </w:pPr>
            <w:r>
              <w:rPr>
                <w:rFonts w:ascii="Arial" w:cs="Arial" w:eastAsia="Arial" w:hAnsi="Arial"/>
                <w:sz w:val="18"/>
                <w:szCs w:val="18"/>
                <w:color w:val="auto"/>
              </w:rPr>
              <w:t>3.10</w:t>
            </w:r>
          </w:p>
        </w:tc>
        <w:tc>
          <w:tcPr>
            <w:tcW w:w="772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800" w:type="dxa"/>
            <w:vAlign w:val="bottom"/>
          </w:tcPr>
          <w:p>
            <w:pPr>
              <w:ind w:left="360"/>
              <w:spacing w:after="0"/>
              <w:rPr>
                <w:sz w:val="20"/>
                <w:szCs w:val="20"/>
                <w:color w:val="auto"/>
              </w:rPr>
            </w:pPr>
            <w:r>
              <w:rPr>
                <w:rFonts w:ascii="Arial" w:cs="Arial" w:eastAsia="Arial" w:hAnsi="Arial"/>
                <w:sz w:val="18"/>
                <w:szCs w:val="18"/>
                <w:color w:val="auto"/>
              </w:rPr>
              <w:t>3.11</w:t>
            </w:r>
          </w:p>
        </w:tc>
        <w:tc>
          <w:tcPr>
            <w:tcW w:w="7720" w:type="dxa"/>
            <w:vAlign w:val="bottom"/>
          </w:tcPr>
          <w:p>
            <w:pPr>
              <w:ind w:left="60"/>
              <w:spacing w:after="0"/>
              <w:rPr>
                <w:sz w:val="20"/>
                <w:szCs w:val="20"/>
                <w:color w:val="auto"/>
              </w:rPr>
            </w:pPr>
            <w:r>
              <w:rPr>
                <w:rFonts w:ascii="Arial" w:cs="Arial" w:eastAsia="Arial" w:hAnsi="Arial"/>
                <w:sz w:val="18"/>
                <w:szCs w:val="18"/>
                <w:b w:val="1"/>
                <w:bCs w:val="1"/>
                <w:color w:val="auto"/>
              </w:rPr>
              <w:t>GOVERNING LAW</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3.12</w:t>
            </w:r>
          </w:p>
        </w:tc>
        <w:tc>
          <w:tcPr>
            <w:tcW w:w="7720" w:type="dxa"/>
            <w:vAlign w:val="bottom"/>
          </w:tcPr>
          <w:p>
            <w:pPr>
              <w:ind w:left="60"/>
              <w:spacing w:after="0"/>
              <w:rPr>
                <w:sz w:val="20"/>
                <w:szCs w:val="20"/>
                <w:color w:val="auto"/>
              </w:rPr>
            </w:pPr>
            <w:r>
              <w:rPr>
                <w:rFonts w:ascii="Arial" w:cs="Arial" w:eastAsia="Arial" w:hAnsi="Arial"/>
                <w:sz w:val="18"/>
                <w:szCs w:val="18"/>
                <w:color w:val="auto"/>
              </w:rPr>
              <w:t>Submission To Jurisdiction; Waivers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3.13</w:t>
            </w:r>
          </w:p>
        </w:tc>
        <w:tc>
          <w:tcPr>
            <w:tcW w:w="7720" w:type="dxa"/>
            <w:vAlign w:val="bottom"/>
          </w:tcPr>
          <w:p>
            <w:pPr>
              <w:ind w:left="60"/>
              <w:spacing w:after="0"/>
              <w:rPr>
                <w:sz w:val="20"/>
                <w:szCs w:val="20"/>
                <w:color w:val="auto"/>
              </w:rPr>
            </w:pPr>
            <w:r>
              <w:rPr>
                <w:rFonts w:ascii="Arial" w:cs="Arial" w:eastAsia="Arial" w:hAnsi="Arial"/>
                <w:sz w:val="18"/>
                <w:szCs w:val="18"/>
                <w:color w:val="auto"/>
              </w:rPr>
              <w:t>Judgment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3.14</w:t>
            </w:r>
          </w:p>
        </w:tc>
        <w:tc>
          <w:tcPr>
            <w:tcW w:w="7720" w:type="dxa"/>
            <w:vAlign w:val="bottom"/>
          </w:tcPr>
          <w:p>
            <w:pPr>
              <w:ind w:left="60"/>
              <w:spacing w:after="0"/>
              <w:rPr>
                <w:sz w:val="20"/>
                <w:szCs w:val="20"/>
                <w:color w:val="auto"/>
              </w:rPr>
            </w:pPr>
            <w:r>
              <w:rPr>
                <w:rFonts w:ascii="Arial" w:cs="Arial" w:eastAsia="Arial" w:hAnsi="Arial"/>
                <w:sz w:val="18"/>
                <w:szCs w:val="18"/>
                <w:color w:val="auto"/>
              </w:rPr>
              <w:t>Additional Guarantors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00" w:type="dxa"/>
            <w:vAlign w:val="bottom"/>
          </w:tcPr>
          <w:p>
            <w:pPr>
              <w:ind w:left="360"/>
              <w:spacing w:after="0"/>
              <w:rPr>
                <w:sz w:val="20"/>
                <w:szCs w:val="20"/>
                <w:color w:val="auto"/>
              </w:rPr>
            </w:pPr>
            <w:r>
              <w:rPr>
                <w:rFonts w:ascii="Arial" w:cs="Arial" w:eastAsia="Arial" w:hAnsi="Arial"/>
                <w:sz w:val="18"/>
                <w:szCs w:val="18"/>
                <w:color w:val="auto"/>
              </w:rPr>
              <w:t>3.15</w:t>
            </w:r>
          </w:p>
        </w:tc>
        <w:tc>
          <w:tcPr>
            <w:tcW w:w="7720" w:type="dxa"/>
            <w:vAlign w:val="bottom"/>
          </w:tcPr>
          <w:p>
            <w:pPr>
              <w:ind w:left="60"/>
              <w:spacing w:after="0"/>
              <w:rPr>
                <w:sz w:val="20"/>
                <w:szCs w:val="20"/>
                <w:color w:val="auto"/>
              </w:rPr>
            </w:pPr>
            <w:r>
              <w:rPr>
                <w:rFonts w:ascii="Arial" w:cs="Arial" w:eastAsia="Arial" w:hAnsi="Arial"/>
                <w:sz w:val="18"/>
                <w:szCs w:val="18"/>
                <w:color w:val="auto"/>
              </w:rPr>
              <w:t>Releases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800" w:type="dxa"/>
            <w:vAlign w:val="bottom"/>
          </w:tcPr>
          <w:p>
            <w:pPr>
              <w:ind w:left="360"/>
              <w:spacing w:after="0"/>
              <w:rPr>
                <w:sz w:val="20"/>
                <w:szCs w:val="20"/>
                <w:color w:val="auto"/>
              </w:rPr>
            </w:pPr>
            <w:r>
              <w:rPr>
                <w:rFonts w:ascii="Arial" w:cs="Arial" w:eastAsia="Arial" w:hAnsi="Arial"/>
                <w:sz w:val="18"/>
                <w:szCs w:val="18"/>
                <w:color w:val="auto"/>
              </w:rPr>
              <w:t>3.16</w:t>
            </w:r>
          </w:p>
        </w:tc>
        <w:tc>
          <w:tcPr>
            <w:tcW w:w="7720" w:type="dxa"/>
            <w:vAlign w:val="bottom"/>
          </w:tcPr>
          <w:p>
            <w:pPr>
              <w:ind w:left="60"/>
              <w:spacing w:after="0"/>
              <w:rPr>
                <w:sz w:val="20"/>
                <w:szCs w:val="20"/>
                <w:color w:val="auto"/>
              </w:rPr>
            </w:pPr>
            <w:r>
              <w:rPr>
                <w:rFonts w:ascii="Arial" w:cs="Arial" w:eastAsia="Arial" w:hAnsi="Arial"/>
                <w:sz w:val="18"/>
                <w:szCs w:val="18"/>
                <w:b w:val="1"/>
                <w:bCs w:val="1"/>
                <w:color w:val="auto"/>
              </w:rPr>
              <w:t>WAIVER OF JURY TRIAL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-4210050</wp:posOffset>
            </wp:positionV>
            <wp:extent cx="285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4" w:right="439" w:bottom="1440" w:gutter="0" w:footer="0" w:header="0"/>
        </w:sectPr>
      </w:pPr>
    </w:p>
    <w:bookmarkStart w:id="122" w:name="page123"/>
    <w:bookmarkEnd w:id="122"/>
    <w:p>
      <w:pPr>
        <w:ind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GUARANTEE AGREEMENT, dated as of April 16, 2019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Amended and Restated 364-Day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GM Global Treasury Centre Limited, a corporation organized under the laws of England and Wales, the other Subsidiary Borrowers from time to time parties thereto, the Lenders, the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named therein.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WHEREAS, each of the Company and the Subsidiary Borrowers is a member of an affiliated group of companies that includes each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right="420" w:firstLine="881"/>
        <w:spacing w:after="0" w:line="308" w:lineRule="auto"/>
        <w:rPr>
          <w:sz w:val="20"/>
          <w:szCs w:val="20"/>
          <w:color w:val="auto"/>
        </w:rPr>
      </w:pPr>
      <w:r>
        <w:rPr>
          <w:rFonts w:ascii="Arial" w:cs="Arial" w:eastAsia="Arial" w:hAnsi="Arial"/>
          <w:sz w:val="17"/>
          <w:szCs w:val="17"/>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47"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8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77"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ectPr>
          <w:pgSz w:w="11900" w:h="16838" w:orient="portrait"/>
          <w:cols w:equalWidth="0" w:num="1">
            <w:col w:w="10980"/>
          </w:cols>
          <w:pgMar w:left="440" w:top="274" w:right="47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following terms shall have the following meanings: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Lenders and each other Person that holds a Guaranteed Obligation.</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70"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7"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 (i) 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4" w:name="page125"/>
    <w:bookmarkEnd w:id="124"/>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17" w:lineRule="exact"/>
        <w:rPr>
          <w:sz w:val="20"/>
          <w:szCs w:val="20"/>
          <w:color w:val="auto"/>
        </w:rPr>
      </w:pPr>
    </w:p>
    <w:p>
      <w:pPr>
        <w:ind w:left="-40" w:right="220" w:firstLine="444"/>
        <w:spacing w:after="0" w:line="342" w:lineRule="auto"/>
        <w:tabs>
          <w:tab w:leader="none" w:pos="64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5" w:lineRule="exact"/>
        <w:rPr>
          <w:rFonts w:ascii="Arial" w:cs="Arial" w:eastAsia="Arial" w:hAnsi="Arial"/>
          <w:sz w:val="16"/>
          <w:szCs w:val="16"/>
          <w:color w:val="auto"/>
        </w:rPr>
      </w:pPr>
    </w:p>
    <w:p>
      <w:pPr>
        <w:ind w:left="660" w:hanging="25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rFonts w:ascii="Arial" w:cs="Arial" w:eastAsia="Arial" w:hAnsi="Arial"/>
          <w:sz w:val="18"/>
          <w:szCs w:val="18"/>
          <w:color w:val="auto"/>
        </w:rPr>
      </w:pPr>
    </w:p>
    <w:p>
      <w:pPr>
        <w:ind w:left="-40" w:right="240" w:firstLine="444"/>
        <w:spacing w:after="0" w:line="257" w:lineRule="auto"/>
        <w:tabs>
          <w:tab w:leader="none" w:pos="6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References to agreements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40" w:firstLine="444"/>
        <w:spacing w:after="0" w:line="259" w:lineRule="auto"/>
        <w:tabs>
          <w:tab w:leader="none" w:pos="6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78" w:lineRule="exact"/>
        <w:rPr>
          <w:rFonts w:ascii="Arial" w:cs="Arial" w:eastAsia="Arial" w:hAnsi="Arial"/>
          <w:sz w:val="18"/>
          <w:szCs w:val="18"/>
          <w:color w:val="auto"/>
        </w:rPr>
      </w:pPr>
    </w:p>
    <w:p>
      <w:pPr>
        <w:ind w:left="-40" w:right="140" w:firstLine="444"/>
        <w:spacing w:after="0" w:line="264" w:lineRule="auto"/>
        <w:tabs>
          <w:tab w:leader="none" w:pos="6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0" w:right="480" w:firstLine="444"/>
        <w:spacing w:after="0" w:line="264" w:lineRule="auto"/>
        <w:tabs>
          <w:tab w:leader="none" w:pos="6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affecting the rights and remedies of the Guaranteed Parties hereunder.</w:t>
      </w:r>
    </w:p>
    <w:p>
      <w:pPr>
        <w:spacing w:after="0" w:line="181" w:lineRule="exact"/>
        <w:rPr>
          <w:rFonts w:ascii="Arial" w:cs="Arial" w:eastAsia="Arial" w:hAnsi="Arial"/>
          <w:sz w:val="18"/>
          <w:szCs w:val="18"/>
          <w:color w:val="auto"/>
        </w:rPr>
      </w:pPr>
    </w:p>
    <w:p>
      <w:pPr>
        <w:jc w:val="both"/>
        <w:ind w:left="-40" w:right="80" w:firstLine="444"/>
        <w:spacing w:after="0" w:line="264" w:lineRule="auto"/>
        <w:tabs>
          <w:tab w:leader="none" w:pos="6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73" w:lineRule="exact"/>
        <w:rPr>
          <w:rFonts w:ascii="Arial" w:cs="Arial" w:eastAsia="Arial" w:hAnsi="Arial"/>
          <w:sz w:val="18"/>
          <w:szCs w:val="18"/>
          <w:color w:val="auto"/>
        </w:rPr>
      </w:pPr>
    </w:p>
    <w:p>
      <w:pPr>
        <w:ind w:left="-40" w:right="20" w:firstLine="444"/>
        <w:spacing w:after="0" w:line="272" w:lineRule="auto"/>
        <w:tabs>
          <w:tab w:leader="none" w:pos="6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4" w:right="4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25" w:lineRule="exact"/>
        <w:rPr>
          <w:sz w:val="20"/>
          <w:szCs w:val="20"/>
          <w:color w:val="auto"/>
        </w:rPr>
      </w:pPr>
    </w:p>
    <w:p>
      <w:pPr>
        <w:ind w:right="160" w:firstLine="881"/>
        <w:spacing w:after="0" w:line="276"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83"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w:t>
      </w:r>
    </w:p>
    <w:p>
      <w:pPr>
        <w:spacing w:after="0" w:line="4" w:lineRule="exact"/>
        <w:rPr>
          <w:sz w:val="20"/>
          <w:szCs w:val="20"/>
          <w:color w:val="auto"/>
        </w:rPr>
      </w:pPr>
    </w:p>
    <w:p>
      <w:pPr>
        <w:ind w:right="20" w:firstLine="4"/>
        <w:spacing w:after="0" w:line="284" w:lineRule="auto"/>
        <w:tabs>
          <w:tab w:leader="none" w:pos="24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jc w:val="both"/>
        <w:ind w:right="440" w:firstLine="881"/>
        <w:spacing w:after="0" w:line="286" w:lineRule="auto"/>
        <w:rPr>
          <w:sz w:val="20"/>
          <w:szCs w:val="20"/>
          <w:color w:val="auto"/>
        </w:rPr>
      </w:pPr>
      <w:r>
        <w:rPr>
          <w:rFonts w:ascii="Arial" w:cs="Arial" w:eastAsia="Arial" w:hAnsi="Arial"/>
          <w:sz w:val="17"/>
          <w:szCs w:val="17"/>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27" w:name="page128"/>
    <w:bookmarkEnd w:id="127"/>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right="420" w:firstLine="881"/>
        <w:spacing w:after="0" w:line="342" w:lineRule="auto"/>
        <w:rPr>
          <w:sz w:val="20"/>
          <w:szCs w:val="20"/>
          <w:color w:val="auto"/>
        </w:rPr>
      </w:pPr>
      <w:r>
        <w:rPr>
          <w:rFonts w:ascii="Arial" w:cs="Arial" w:eastAsia="Arial" w:hAnsi="Arial"/>
          <w:sz w:val="16"/>
          <w:szCs w:val="16"/>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25"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28" w:name="page129"/>
    <w:bookmarkEnd w:id="128"/>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remedies herein provided are cumulative, may be exercised singly or concurrently and are not exclusive of any other rights or remedies provided by law.</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25" w:lineRule="exact"/>
        <w:rPr>
          <w:sz w:val="20"/>
          <w:szCs w:val="20"/>
          <w:color w:val="auto"/>
        </w:rPr>
      </w:pPr>
    </w:p>
    <w:p>
      <w:pPr>
        <w:ind w:right="60" w:firstLine="444"/>
        <w:spacing w:after="0" w:line="257"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88" w:lineRule="exact"/>
        <w:rPr>
          <w:rFonts w:ascii="Arial" w:cs="Arial" w:eastAsia="Arial" w:hAnsi="Arial"/>
          <w:sz w:val="18"/>
          <w:szCs w:val="18"/>
          <w:color w:val="auto"/>
        </w:rPr>
      </w:pPr>
    </w:p>
    <w:p>
      <w:pPr>
        <w:ind w:right="200" w:firstLine="444"/>
        <w:spacing w:after="0" w:line="277" w:lineRule="auto"/>
        <w:tabs>
          <w:tab w:leader="none" w:pos="6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200" w:firstLine="881"/>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881"/>
        <w:spacing w:after="0" w:line="286" w:lineRule="auto"/>
        <w:rPr>
          <w:sz w:val="20"/>
          <w:szCs w:val="20"/>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129" w:name="page130"/>
    <w:bookmarkEnd w:id="1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881"/>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Guarantor hereby irrevocably and unconditionally:</w:t>
      </w:r>
    </w:p>
    <w:p>
      <w:pPr>
        <w:spacing w:after="0" w:line="117" w:lineRule="exact"/>
        <w:rPr>
          <w:sz w:val="20"/>
          <w:szCs w:val="20"/>
          <w:color w:val="auto"/>
        </w:rPr>
      </w:pPr>
    </w:p>
    <w:p>
      <w:pPr>
        <w:ind w:right="80" w:firstLine="444"/>
        <w:spacing w:after="0" w:line="259"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78"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firstLine="444"/>
        <w:spacing w:after="0" w:line="264"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73" w:lineRule="exact"/>
        <w:rPr>
          <w:rFonts w:ascii="Arial" w:cs="Arial" w:eastAsia="Arial" w:hAnsi="Arial"/>
          <w:sz w:val="18"/>
          <w:szCs w:val="18"/>
          <w:color w:val="auto"/>
        </w:rPr>
      </w:pPr>
    </w:p>
    <w:p>
      <w:pPr>
        <w:ind w:right="420" w:firstLine="444"/>
        <w:spacing w:after="0" w:line="277" w:lineRule="auto"/>
        <w:tabs>
          <w:tab w:leader="none" w:pos="6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62" w:lineRule="exact"/>
        <w:rPr>
          <w:rFonts w:ascii="Arial" w:cs="Arial" w:eastAsia="Arial" w:hAnsi="Arial"/>
          <w:sz w:val="18"/>
          <w:szCs w:val="18"/>
          <w:color w:val="auto"/>
        </w:rPr>
      </w:pPr>
    </w:p>
    <w:p>
      <w:pPr>
        <w:ind w:right="180" w:firstLine="444"/>
        <w:spacing w:after="0" w:line="277"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right="100" w:firstLine="444"/>
        <w:spacing w:after="0" w:line="277" w:lineRule="auto"/>
        <w:tabs>
          <w:tab w:leader="none" w:pos="6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5"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ind w:right="40"/>
        <w:spacing w:after="0" w:line="261" w:lineRule="auto"/>
        <w:rPr>
          <w:sz w:val="20"/>
          <w:szCs w:val="20"/>
          <w:color w:val="auto"/>
        </w:rPr>
      </w:pPr>
      <w:r>
        <w:rPr>
          <w:rFonts w:ascii="Arial" w:cs="Arial" w:eastAsia="Arial" w:hAnsi="Arial"/>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4" w:lineRule="auto"/>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ind w:firstLine="444"/>
        <w:spacing w:after="0" w:line="264" w:lineRule="auto"/>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jc w:val="both"/>
        <w:ind w:right="100" w:firstLine="444"/>
        <w:spacing w:after="0" w:line="264" w:lineRule="auto"/>
        <w:tabs>
          <w:tab w:leader="none" w:pos="6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881"/>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1" w:name="page132"/>
    <w:bookmarkEnd w:id="13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 as the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25901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14605</wp:posOffset>
            </wp:positionV>
            <wp:extent cx="22294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14605</wp:posOffset>
            </wp:positionV>
            <wp:extent cx="22294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Page to Amended and Restated 364-Day Guarantee Agreement</w:t>
      </w:r>
    </w:p>
    <w:p>
      <w:pPr>
        <w:sectPr>
          <w:pgSz w:w="11900" w:h="16838" w:orient="portrait"/>
          <w:cols w:equalWidth="0" w:num="1">
            <w:col w:w="10860"/>
          </w:cols>
          <w:pgMar w:left="440" w:top="274" w:right="5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699"/>
        <w:spacing w:after="0"/>
        <w:rPr>
          <w:sz w:val="20"/>
          <w:szCs w:val="20"/>
          <w:color w:val="auto"/>
        </w:rPr>
      </w:pPr>
      <w:r>
        <w:rPr>
          <w:rFonts w:ascii="Arial" w:cs="Arial" w:eastAsia="Arial" w:hAnsi="Arial"/>
          <w:sz w:val="18"/>
          <w:szCs w:val="18"/>
          <w:b w:val="1"/>
          <w:bCs w:val="1"/>
          <w:color w:val="auto"/>
        </w:rPr>
        <w:t>Signature Page to Amended and Restated 364-Day Guarantee Agreement</w:t>
      </w:r>
    </w:p>
    <w:p>
      <w:pPr>
        <w:sectPr>
          <w:pgSz w:w="11900" w:h="16838" w:orient="portrait"/>
          <w:cols w:equalWidth="0" w:num="1">
            <w:col w:w="10019"/>
          </w:cols>
          <w:pgMar w:left="440" w:top="274" w:right="1440" w:bottom="1440" w:gutter="0" w:footer="0" w:header="0"/>
        </w:sectPr>
      </w:pPr>
    </w:p>
    <w:bookmarkStart w:id="133" w:name="page134"/>
    <w:bookmarkEnd w:id="133"/>
    <w:p>
      <w:pPr>
        <w:jc w:val="center"/>
        <w:ind w:left="9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94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5"/>
          <w:szCs w:val="15"/>
          <w:color w:val="auto"/>
        </w:rPr>
        <w:t>Guarantee Agreement</w:t>
      </w:r>
    </w:p>
    <w:p>
      <w:pPr>
        <w:spacing w:after="0" w:line="245" w:lineRule="exact"/>
        <w:rPr>
          <w:sz w:val="20"/>
          <w:szCs w:val="20"/>
          <w:color w:val="auto"/>
        </w:rPr>
      </w:pPr>
    </w:p>
    <w:p>
      <w:pPr>
        <w:ind w:left="880"/>
        <w:spacing w:after="0"/>
        <w:tabs>
          <w:tab w:leader="none" w:pos="4560" w:val="left"/>
          <w:tab w:leader="none" w:pos="5240" w:val="left"/>
          <w:tab w:leader="none" w:pos="9200" w:val="left"/>
        </w:tabs>
        <w:rPr>
          <w:sz w:val="20"/>
          <w:szCs w:val="20"/>
          <w:color w:val="auto"/>
        </w:rPr>
      </w:pPr>
      <w:r>
        <w:rPr>
          <w:rFonts w:ascii="Arial" w:cs="Arial" w:eastAsia="Arial" w:hAnsi="Arial"/>
          <w:sz w:val="18"/>
          <w:szCs w:val="18"/>
          <w:color w:val="auto"/>
        </w:rPr>
        <w:t>JOINDER AGREEMENT,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w:t>
      </w:r>
      <w:r>
        <w:rPr>
          <w:sz w:val="20"/>
          <w:szCs w:val="20"/>
          <w:color w:val="auto"/>
        </w:rPr>
        <w:tab/>
      </w:r>
      <w:r>
        <w:rPr>
          <w:rFonts w:ascii="Arial" w:cs="Arial" w:eastAsia="Arial" w:hAnsi="Arial"/>
          <w:sz w:val="17"/>
          <w:szCs w:val="17"/>
          <w:color w:val="auto"/>
        </w:rPr>
        <w:t>(the “</w:t>
      </w:r>
      <w:r>
        <w:rPr>
          <w:rFonts w:ascii="Arial" w:cs="Arial" w:eastAsia="Arial" w:hAnsi="Arial"/>
          <w:sz w:val="17"/>
          <w:szCs w:val="17"/>
          <w:u w:val="single" w:color="auto"/>
          <w:color w:val="auto"/>
        </w:rPr>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-10160</wp:posOffset>
            </wp:positionV>
            <wp:extent cx="9715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71550"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-10160</wp:posOffset>
            </wp:positionV>
            <wp:extent cx="8001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WHEREAS, pursuant to the terms of the certain Amended and Restated 364-Day Revolving Credit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Amended and Restated Guarantee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82"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 xml:space="preserve">WHEREAS, the Additional Guarantor desires to become a party to the Guarantee Agreement in accordance with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120" w:firstLine="885"/>
        <w:spacing w:after="0" w:line="259" w:lineRule="auto"/>
        <w:tabs>
          <w:tab w:leader="none" w:pos="106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74" w:lineRule="exact"/>
        <w:rPr>
          <w:rFonts w:ascii="Arial" w:cs="Arial" w:eastAsia="Arial" w:hAnsi="Arial"/>
          <w:sz w:val="18"/>
          <w:szCs w:val="18"/>
          <w:color w:val="auto"/>
        </w:rPr>
      </w:pPr>
    </w:p>
    <w:p>
      <w:pPr>
        <w:ind w:right="80" w:firstLine="885"/>
        <w:spacing w:after="0" w:line="266" w:lineRule="auto"/>
        <w:tabs>
          <w:tab w:leader="none" w:pos="1061"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20"/>
          </w:cols>
          <w:pgMar w:left="440" w:top="274" w:right="439" w:bottom="1440" w:gutter="0" w:footer="0" w:header="0"/>
        </w:sectPr>
      </w:pPr>
    </w:p>
    <w:bookmarkStart w:id="134" w:name="page135"/>
    <w:bookmarkEnd w:id="13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60"/>
          </w:cols>
          <w:pgMar w:left="440" w:top="274" w:right="5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 as the Administrative Agent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36" w:name="page137"/>
    <w:bookmarkEnd w:id="136"/>
    <w:p>
      <w:pPr>
        <w:ind w:left="99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3"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-10160</wp:posOffset>
            </wp:positionV>
            <wp:extent cx="1228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Amended and Restated 364-Day Revolving Credit Agreement, dated as of April 16, 2019,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205" w:lineRule="exact"/>
        <w:rPr>
          <w:sz w:val="20"/>
          <w:szCs w:val="20"/>
          <w:color w:val="auto"/>
        </w:rPr>
      </w:pPr>
    </w:p>
    <w:p>
      <w:pPr>
        <w:ind w:left="1780" w:right="6640" w:hanging="1056"/>
        <w:spacing w:after="0" w:line="277" w:lineRule="auto"/>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75" w:lineRule="exact"/>
        <w:rPr>
          <w:rFonts w:ascii="Arial" w:cs="Arial" w:eastAsia="Arial" w:hAnsi="Arial"/>
          <w:sz w:val="18"/>
          <w:szCs w:val="18"/>
          <w:color w:val="auto"/>
        </w:rPr>
      </w:pPr>
    </w:p>
    <w:p>
      <w:pPr>
        <w:ind w:left="1780" w:hanging="1056"/>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-361950</wp:posOffset>
            </wp:positionV>
            <wp:extent cx="14001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-10160</wp:posOffset>
            </wp:positionV>
            <wp:extent cx="14001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78" w:lineRule="exact"/>
        <w:rPr>
          <w:sz w:val="20"/>
          <w:szCs w:val="20"/>
          <w:color w:val="auto"/>
        </w:rPr>
      </w:pPr>
    </w:p>
    <w:p>
      <w:pPr>
        <w:ind w:left="440" w:hanging="436"/>
        <w:spacing w:after="0"/>
        <w:tabs>
          <w:tab w:leader="none" w:pos="4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40" w:hanging="436"/>
        <w:spacing w:after="0"/>
        <w:tabs>
          <w:tab w:leader="none" w:pos="440" w:val="left"/>
        </w:tabs>
        <w:numPr>
          <w:ilvl w:val="0"/>
          <w:numId w:val="97"/>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40" w:hanging="436"/>
        <w:spacing w:after="0"/>
        <w:tabs>
          <w:tab w:leader="none" w:pos="4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ectPr>
          <w:pgSz w:w="11900" w:h="16838" w:orient="portrait"/>
          <w:cols w:equalWidth="0" w:num="1">
            <w:col w:w="11020"/>
          </w:cols>
          <w:pgMar w:left="440" w:top="274" w:right="439" w:bottom="1440" w:gutter="0" w:footer="0" w:header="0"/>
        </w:sectPr>
      </w:pPr>
    </w:p>
    <w:bookmarkStart w:id="137" w:name="page138"/>
    <w:bookmarkEnd w:id="137"/>
    <w:p>
      <w:pPr>
        <w:ind w:left="1780" w:hanging="1056"/>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rate basis</w:t>
      </w:r>
      <w:r>
        <w:rPr>
          <w:rFonts w:ascii="Arial" w:cs="Arial" w:eastAsia="Arial" w:hAnsi="Arial"/>
          <w:sz w:val="15"/>
          <w:szCs w:val="15"/>
          <w:color w:val="auto"/>
        </w:rPr>
        <w:t>4</w:t>
      </w:r>
    </w:p>
    <w:p>
      <w:pPr>
        <w:spacing w:after="0" w:line="117" w:lineRule="exact"/>
        <w:rPr>
          <w:rFonts w:ascii="Arial" w:cs="Arial" w:eastAsia="Arial" w:hAnsi="Arial"/>
          <w:sz w:val="18"/>
          <w:szCs w:val="18"/>
          <w:color w:val="auto"/>
        </w:rPr>
      </w:pPr>
    </w:p>
    <w:p>
      <w:pPr>
        <w:ind w:left="1780" w:hanging="1056"/>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-215900</wp:posOffset>
            </wp:positionV>
            <wp:extent cx="14001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-10160</wp:posOffset>
            </wp:positionV>
            <wp:extent cx="14001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00"/>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22" w:lineRule="exact"/>
        <w:rPr>
          <w:sz w:val="20"/>
          <w:szCs w:val="20"/>
          <w:color w:val="auto"/>
        </w:rPr>
      </w:pPr>
    </w:p>
    <w:p>
      <w:pPr>
        <w:ind w:left="440" w:hanging="436"/>
        <w:spacing w:after="0"/>
        <w:tabs>
          <w:tab w:leader="none" w:pos="44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0980"/>
          </w:cols>
          <w:pgMar w:left="440" w:top="382" w:right="479" w:bottom="1440" w:gutter="0" w:footer="0" w:header="0"/>
        </w:sectPr>
      </w:pPr>
    </w:p>
    <w:bookmarkStart w:id="138" w:name="page139"/>
    <w:bookmarkEnd w:id="138"/>
    <w:p>
      <w:pPr>
        <w:ind w:left="9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-10160</wp:posOffset>
            </wp:positionV>
            <wp:extent cx="11144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60" w:firstLine="881"/>
        <w:spacing w:after="0" w:line="289" w:lineRule="auto"/>
        <w:rPr>
          <w:sz w:val="20"/>
          <w:szCs w:val="20"/>
          <w:color w:val="auto"/>
        </w:rPr>
      </w:pPr>
      <w:r>
        <w:rPr>
          <w:rFonts w:ascii="Arial" w:cs="Arial" w:eastAsia="Arial" w:hAnsi="Arial"/>
          <w:sz w:val="16"/>
          <w:szCs w:val="16"/>
          <w:color w:val="auto"/>
        </w:rPr>
        <w:t>The undersigned, [Name of Lender], refers to the Amended and Restated 364-Day Revolving Credit Agreement, dated as of April 16,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 Competitive Bid Request made by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on _________, 20__, and in that connection sets forth below the terms on which such Competitive Bid is made:</w:t>
      </w:r>
    </w:p>
    <w:p>
      <w:pPr>
        <w:spacing w:after="0" w:line="194" w:lineRule="exact"/>
        <w:rPr>
          <w:sz w:val="20"/>
          <w:szCs w:val="20"/>
          <w:color w:val="auto"/>
        </w:rPr>
      </w:pPr>
    </w:p>
    <w:p>
      <w:pPr>
        <w:ind w:left="1120" w:hanging="756"/>
        <w:spacing w:after="0"/>
        <w:tabs>
          <w:tab w:leader="none" w:pos="11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17" w:lineRule="exact"/>
        <w:rPr>
          <w:rFonts w:ascii="Arial" w:cs="Arial" w:eastAsia="Arial" w:hAnsi="Arial"/>
          <w:sz w:val="18"/>
          <w:szCs w:val="18"/>
          <w:color w:val="auto"/>
        </w:rPr>
      </w:pPr>
    </w:p>
    <w:p>
      <w:pPr>
        <w:ind w:left="1120" w:hanging="756"/>
        <w:spacing w:after="0"/>
        <w:tabs>
          <w:tab w:leader="none" w:pos="11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1</w:t>
      </w:r>
    </w:p>
    <w:p>
      <w:pPr>
        <w:spacing w:after="0" w:line="117" w:lineRule="exact"/>
        <w:rPr>
          <w:rFonts w:ascii="Arial" w:cs="Arial" w:eastAsia="Arial" w:hAnsi="Arial"/>
          <w:sz w:val="18"/>
          <w:szCs w:val="18"/>
          <w:color w:val="auto"/>
        </w:rPr>
      </w:pPr>
    </w:p>
    <w:p>
      <w:pPr>
        <w:ind w:left="1120" w:hanging="756"/>
        <w:spacing w:after="0"/>
        <w:tabs>
          <w:tab w:leader="none" w:pos="11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2</w:t>
      </w:r>
    </w:p>
    <w:p>
      <w:pPr>
        <w:spacing w:after="0" w:line="117" w:lineRule="exact"/>
        <w:rPr>
          <w:rFonts w:ascii="Arial" w:cs="Arial" w:eastAsia="Arial" w:hAnsi="Arial"/>
          <w:sz w:val="18"/>
          <w:szCs w:val="18"/>
          <w:color w:val="auto"/>
        </w:rPr>
      </w:pPr>
    </w:p>
    <w:p>
      <w:pPr>
        <w:ind w:left="1120" w:hanging="756"/>
        <w:spacing w:after="0"/>
        <w:tabs>
          <w:tab w:leader="none" w:pos="11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198" w:lineRule="exact"/>
        <w:rPr>
          <w:rFonts w:ascii="Arial" w:cs="Arial" w:eastAsia="Arial" w:hAnsi="Arial"/>
          <w:sz w:val="18"/>
          <w:szCs w:val="18"/>
          <w:color w:val="auto"/>
        </w:rPr>
      </w:pPr>
    </w:p>
    <w:p>
      <w:pPr>
        <w:ind w:left="440" w:right="240" w:hanging="432"/>
        <w:spacing w:after="0" w:line="258"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694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-1036320</wp:posOffset>
            </wp:positionV>
            <wp:extent cx="162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-830580</wp:posOffset>
            </wp:positionV>
            <wp:extent cx="162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-624205</wp:posOffset>
            </wp:positionV>
            <wp:extent cx="162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-418465</wp:posOffset>
            </wp:positionV>
            <wp:extent cx="162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ind w:left="440" w:right="100" w:hanging="436"/>
        <w:spacing w:after="0" w:line="262" w:lineRule="auto"/>
        <w:tabs>
          <w:tab w:leader="none" w:pos="440" w:val="left"/>
        </w:tabs>
        <w:numPr>
          <w:ilvl w:val="0"/>
          <w:numId w:val="103"/>
        </w:numPr>
        <w:rPr>
          <w:rFonts w:ascii="Arial" w:cs="Arial" w:eastAsia="Arial" w:hAnsi="Arial"/>
          <w:sz w:val="15"/>
          <w:szCs w:val="15"/>
          <w:color w:val="auto"/>
        </w:rPr>
      </w:pPr>
      <w:r>
        <w:rPr>
          <w:rFonts w:ascii="Arial" w:cs="Arial" w:eastAsia="Arial" w:hAnsi="Arial"/>
          <w:sz w:val="18"/>
          <w:szCs w:val="18"/>
          <w:color w:val="auto"/>
        </w:rPr>
        <w:t>i.e., Eurocurrency Rate + or—__%, in the case of Eurocurrency Competitive Loans or __%, in the case of Fixed Rate Loans, in each expressed as a percentage per annum in the form of a decimal to no more than four decimal places.</w:t>
      </w:r>
    </w:p>
    <w:p>
      <w:pPr>
        <w:sectPr>
          <w:pgSz w:w="11900" w:h="16838" w:orient="portrait"/>
          <w:cols w:equalWidth="0" w:num="1">
            <w:col w:w="11020"/>
          </w:cols>
          <w:pgMar w:left="440" w:top="270" w:right="439" w:bottom="1440" w:gutter="0" w:footer="0" w:header="0"/>
        </w:sectPr>
      </w:pPr>
    </w:p>
    <w:bookmarkStart w:id="139" w:name="page140"/>
    <w:bookmarkEnd w:id="139"/>
    <w:p>
      <w:pPr>
        <w:ind w:firstLine="88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540"/>
          </w:cols>
          <w:pgMar w:left="440" w:top="274" w:right="919" w:bottom="1440" w:gutter="0" w:footer="0" w:header="0"/>
        </w:sectPr>
      </w:pPr>
    </w:p>
    <w:bookmarkStart w:id="140" w:name="page141"/>
    <w:bookmarkEnd w:id="140"/>
    <w:p>
      <w:pPr>
        <w:ind w:left="9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6028690</wp:posOffset>
            </wp:positionH>
            <wp:positionV relativeFrom="paragraph">
              <wp:posOffset>-10160</wp:posOffset>
            </wp:positionV>
            <wp:extent cx="9715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(the “Company/Applicable Borrower”)]</w:t>
      </w:r>
      <w:r>
        <w:rPr>
          <w:rFonts w:ascii="Arial" w:cs="Arial" w:eastAsia="Arial" w:hAnsi="Arial"/>
          <w:sz w:val="14"/>
          <w:szCs w:val="14"/>
          <w:color w:val="auto"/>
        </w:rPr>
        <w:t>1</w:t>
      </w:r>
      <w:r>
        <w:rPr>
          <w:rFonts w:ascii="Arial" w:cs="Arial" w:eastAsia="Arial" w:hAnsi="Arial"/>
          <w:sz w:val="17"/>
          <w:szCs w:val="17"/>
          <w:color w:val="auto"/>
        </w:rPr>
        <w:t>, refer[s] to the Amended and Restated 364-Day Revolving Credit Agreement, dated as of April 16, 2019,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accordance with Section 2.9(d) of the Credit Agreement, we have received a summary of bids in connection with our Competitive Bid</w:t>
      </w:r>
    </w:p>
    <w:p>
      <w:pPr>
        <w:spacing w:after="0" w:line="46" w:lineRule="exact"/>
        <w:rPr>
          <w:sz w:val="20"/>
          <w:szCs w:val="20"/>
          <w:color w:val="auto"/>
        </w:rPr>
      </w:pPr>
    </w:p>
    <w:p>
      <w:pPr>
        <w:spacing w:after="0"/>
        <w:tabs>
          <w:tab w:leader="none" w:pos="1940" w:val="left"/>
          <w:tab w:leader="none" w:pos="2620" w:val="left"/>
        </w:tabs>
        <w:rPr>
          <w:sz w:val="20"/>
          <w:szCs w:val="20"/>
          <w:color w:val="auto"/>
        </w:rPr>
      </w:pPr>
      <w:r>
        <w:rPr>
          <w:rFonts w:ascii="Arial" w:cs="Arial" w:eastAsia="Arial" w:hAnsi="Arial"/>
          <w:sz w:val="18"/>
          <w:szCs w:val="18"/>
          <w:color w:val="auto"/>
        </w:rPr>
        <w:t>Request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and in accordance with Section 2.9(e) of the Credit Agreement, we hereby accept the following bids: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40" w:hanging="436"/>
        <w:spacing w:after="0"/>
        <w:tabs>
          <w:tab w:leader="none" w:pos="44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If Bid Requested by the Company, it is the “Applicable Borrower”.</w:t>
      </w:r>
    </w:p>
    <w:p>
      <w:pPr>
        <w:sectPr>
          <w:pgSz w:w="11900" w:h="16838" w:orient="portrait"/>
          <w:cols w:equalWidth="0" w:num="1">
            <w:col w:w="11020"/>
          </w:cols>
          <w:pgMar w:left="440" w:top="270"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5715</wp:posOffset>
            </wp:positionV>
            <wp:extent cx="21526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14605</wp:posOffset>
            </wp:positionV>
            <wp:extent cx="21526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14605</wp:posOffset>
            </wp:positionV>
            <wp:extent cx="2152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[INSERT NAME OF APPLICABLE BORROWER]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20"/>
          </w:cols>
          <w:pgMar w:left="440" w:top="274" w:right="1039" w:bottom="1440" w:gutter="0" w:footer="0" w:header="0"/>
        </w:sectPr>
      </w:pPr>
    </w:p>
    <w:bookmarkStart w:id="142" w:name="page143"/>
    <w:bookmarkEnd w:id="142"/>
    <w:p>
      <w:pPr>
        <w:ind w:left="8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0020"/>
          </w:cols>
          <w:pgMar w:left="1440" w:top="270" w:right="439" w:bottom="1440" w:gutter="0" w:footer="0" w:header="0"/>
        </w:sectPr>
      </w:pPr>
    </w:p>
    <w:bookmarkStart w:id="143" w:name="page144"/>
    <w:bookmarkEnd w:id="143"/>
    <w:p>
      <w:pPr>
        <w:ind w:left="9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6028690</wp:posOffset>
            </wp:positionH>
            <wp:positionV relativeFrom="paragraph">
              <wp:posOffset>-10160</wp:posOffset>
            </wp:positionV>
            <wp:extent cx="9715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This Certificate is furnished pursuant to Section 5.1(c) of that certain Amended and Restated 364-Day Revolving Credit Agreement, dated as of April 16,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private limited company incorporated under the laws of England and Wales, the Subsidiary Borrowers from time to time party thereto, the lenders from time to time party thereto, JPMorgan Chase Bank, N.A. as the Administrative Agent for the Lenders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67"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color w:val="auto"/>
        </w:rPr>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38" w:lineRule="exact"/>
        <w:rPr>
          <w:sz w:val="20"/>
          <w:szCs w:val="20"/>
          <w:color w:val="auto"/>
        </w:rPr>
      </w:pPr>
    </w:p>
    <w:p>
      <w:pPr>
        <w:jc w:val="both"/>
        <w:ind w:right="340" w:firstLine="444"/>
        <w:spacing w:after="0" w:line="259" w:lineRule="auto"/>
        <w:tabs>
          <w:tab w:leader="none" w:pos="6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78" w:lineRule="exact"/>
        <w:rPr>
          <w:rFonts w:ascii="Arial" w:cs="Arial" w:eastAsia="Arial" w:hAnsi="Arial"/>
          <w:sz w:val="18"/>
          <w:szCs w:val="18"/>
          <w:color w:val="auto"/>
        </w:rPr>
      </w:pPr>
    </w:p>
    <w:p>
      <w:pPr>
        <w:ind w:right="840" w:firstLine="444"/>
        <w:spacing w:after="0" w:line="277" w:lineRule="auto"/>
        <w:tabs>
          <w:tab w:leader="none" w:pos="6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pacing w:after="0" w:line="62" w:lineRule="exact"/>
        <w:rPr>
          <w:rFonts w:ascii="Arial" w:cs="Arial" w:eastAsia="Arial" w:hAnsi="Arial"/>
          <w:sz w:val="18"/>
          <w:szCs w:val="18"/>
          <w:color w:val="auto"/>
        </w:rPr>
      </w:pPr>
    </w:p>
    <w:p>
      <w:pPr>
        <w:jc w:val="both"/>
        <w:ind w:right="220" w:firstLine="444"/>
        <w:spacing w:after="0" w:line="259" w:lineRule="auto"/>
        <w:tabs>
          <w:tab w:leader="none" w:pos="6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Attached hereto as Annex III is a true, correct and complete copy of resolutions duly adopted by the Board of [Directors] [Managers] of the Company [at a meeting thereof] [by written consent] as of the ___ day of ____________, 2019; such resolutions have not in any way been revoked, modified, amended, or rescinded, have been in full force and effect since their adoption to and including the date hereof, and are now in full force and effect, and are the only</w:t>
      </w:r>
    </w:p>
    <w:p>
      <w:pPr>
        <w:sectPr>
          <w:pgSz w:w="11900" w:h="16838" w:orient="portrait"/>
          <w:cols w:equalWidth="0" w:num="1">
            <w:col w:w="11020"/>
          </w:cols>
          <w:pgMar w:left="440" w:top="270" w:right="439" w:bottom="1440" w:gutter="0" w:footer="0" w:header="0"/>
        </w:sectPr>
      </w:pPr>
    </w:p>
    <w:bookmarkStart w:id="144" w:name="page145"/>
    <w:bookmarkEnd w:id="14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pacing w:after="0" w:line="181" w:lineRule="exact"/>
        <w:rPr>
          <w:sz w:val="20"/>
          <w:szCs w:val="20"/>
          <w:color w:val="auto"/>
        </w:rPr>
      </w:pPr>
    </w:p>
    <w:p>
      <w:pPr>
        <w:ind w:right="180" w:firstLine="444"/>
        <w:spacing w:after="0" w:line="277" w:lineRule="auto"/>
        <w:tabs>
          <w:tab w:leader="none" w:pos="62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000"/>
          </w:cols>
          <w:pgMar w:left="440" w:top="274" w:right="4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70" w:lineRule="exact"/>
        <w:rPr>
          <w:sz w:val="20"/>
          <w:szCs w:val="20"/>
          <w:color w:val="auto"/>
        </w:rPr>
      </w:pPr>
    </w:p>
    <w:p>
      <w:pPr>
        <w:ind w:left="1740" w:hanging="1296"/>
        <w:spacing w:after="0"/>
        <w:tabs>
          <w:tab w:leader="none" w:pos="17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is [a] [the] duly elected and qualified [Assistant] Secretary of the Company and the signature above is [his][her] genuine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signature.</w:t>
      </w:r>
    </w:p>
    <w:p>
      <w:pPr>
        <w:spacing w:after="0" w:line="102" w:lineRule="exact"/>
        <w:rPr>
          <w:rFonts w:ascii="Arial" w:cs="Arial" w:eastAsia="Arial" w:hAnsi="Arial"/>
          <w:sz w:val="17"/>
          <w:szCs w:val="17"/>
          <w:color w:val="auto"/>
        </w:rPr>
      </w:pPr>
    </w:p>
    <w:p>
      <w:pPr>
        <w:ind w:firstLine="4"/>
        <w:spacing w:after="0" w:line="259"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w:t>
      </w:r>
    </w:p>
    <w:p>
      <w:pPr>
        <w:spacing w:after="0" w:line="78" w:lineRule="exact"/>
        <w:rPr>
          <w:rFonts w:ascii="Arial" w:cs="Arial" w:eastAsia="Arial" w:hAnsi="Arial"/>
          <w:sz w:val="18"/>
          <w:szCs w:val="18"/>
          <w:color w:val="auto"/>
        </w:rPr>
      </w:pPr>
    </w:p>
    <w:p>
      <w:pPr>
        <w:ind w:left="180" w:hanging="176"/>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-970915</wp:posOffset>
            </wp:positionV>
            <wp:extent cx="6858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694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90" w:lineRule="exact"/>
        <w:rPr>
          <w:sz w:val="20"/>
          <w:szCs w:val="20"/>
          <w:color w:val="auto"/>
        </w:rPr>
      </w:pPr>
    </w:p>
    <w:p>
      <w:pPr>
        <w:ind w:left="440" w:hanging="436"/>
        <w:spacing w:after="0"/>
        <w:tabs>
          <w:tab w:leader="none" w:pos="440" w:val="left"/>
        </w:tabs>
        <w:numPr>
          <w:ilvl w:val="0"/>
          <w:numId w:val="110"/>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2" w:lineRule="exact"/>
        <w:rPr>
          <w:sz w:val="20"/>
          <w:szCs w:val="20"/>
          <w:color w:val="auto"/>
        </w:rPr>
      </w:pPr>
    </w:p>
    <w:p>
      <w:pPr>
        <w:ind w:left="440" w:hanging="436"/>
        <w:spacing w:after="0"/>
        <w:tabs>
          <w:tab w:leader="none" w:pos="4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020"/>
          </w:cols>
          <w:pgMar w:left="440" w:top="274" w:right="439" w:bottom="1440" w:gutter="0" w:footer="0" w:header="0"/>
        </w:sectPr>
      </w:pPr>
    </w:p>
    <w:bookmarkStart w:id="146" w:name="page147"/>
    <w:bookmarkEnd w:id="146"/>
    <w:p>
      <w:pPr>
        <w:jc w:val="center"/>
        <w:ind w:left="10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23" w:lineRule="exact"/>
        <w:rPr>
          <w:sz w:val="20"/>
          <w:szCs w:val="20"/>
          <w:color w:val="auto"/>
        </w:rPr>
      </w:pPr>
    </w:p>
    <w:p>
      <w:pPr>
        <w:jc w:val="cente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020"/>
          </w:cols>
          <w:pgMar w:left="1440" w:top="274" w:right="439" w:bottom="1440" w:gutter="0" w:footer="0" w:header="0"/>
        </w:sectPr>
      </w:pPr>
    </w:p>
    <w:bookmarkStart w:id="147" w:name="page148"/>
    <w:bookmarkEnd w:id="147"/>
    <w:p>
      <w:pPr>
        <w:jc w:val="center"/>
        <w:ind w:left="10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3" w:lineRule="exact"/>
        <w:rPr>
          <w:sz w:val="20"/>
          <w:szCs w:val="20"/>
          <w:color w:val="auto"/>
        </w:rPr>
      </w:pPr>
    </w:p>
    <w:p>
      <w:pPr>
        <w:jc w:val="center"/>
        <w:ind w:left="101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2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020"/>
          </w:cols>
          <w:pgMar w:left="1440" w:top="274" w:right="439" w:bottom="1440" w:gutter="0" w:footer="0" w:header="0"/>
        </w:sectPr>
      </w:pPr>
    </w:p>
    <w:bookmarkStart w:id="148" w:name="page149"/>
    <w:bookmarkEnd w:id="148"/>
    <w:p>
      <w:pPr>
        <w:jc w:val="center"/>
        <w:ind w:left="10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III</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0020"/>
          </w:cols>
          <w:pgMar w:left="1440" w:top="274" w:right="439" w:bottom="1440" w:gutter="0" w:footer="0" w:header="0"/>
        </w:sectPr>
      </w:pPr>
    </w:p>
    <w:bookmarkStart w:id="149" w:name="page150"/>
    <w:bookmarkEnd w:id="149"/>
    <w:p>
      <w:pPr>
        <w:jc w:val="center"/>
        <w:ind w:left="10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3"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Certificate</w:t>
      </w:r>
    </w:p>
    <w:p>
      <w:pPr>
        <w:spacing w:after="0" w:line="256"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color w:val="auto"/>
        </w:rPr>
        <w:t>Office</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12700</wp:posOffset>
            </wp:positionV>
            <wp:extent cx="44678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50" w:name="page151"/>
    <w:bookmarkEnd w:id="150"/>
    <w:p>
      <w:pPr>
        <w:ind w:left="9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left="440"/>
        <w:spacing w:after="0"/>
        <w:tabs>
          <w:tab w:leader="none" w:pos="5020" w:val="left"/>
          <w:tab w:leader="none" w:pos="5700" w:val="left"/>
        </w:tabs>
        <w:rPr>
          <w:sz w:val="20"/>
          <w:szCs w:val="20"/>
          <w:color w:val="auto"/>
        </w:rPr>
      </w:pPr>
      <w:r>
        <w:rPr>
          <w:rFonts w:ascii="Arial" w:cs="Arial" w:eastAsia="Arial" w:hAnsi="Arial"/>
          <w:sz w:val="18"/>
          <w:szCs w:val="18"/>
          <w:color w:val="auto"/>
        </w:rPr>
        <w:t>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(as amended, supplemented or modified from time to time,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-10160</wp:posOffset>
            </wp:positionV>
            <wp:extent cx="9715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right="200" w:firstLine="441"/>
        <w:spacing w:after="0" w:line="291" w:lineRule="auto"/>
        <w:rPr>
          <w:sz w:val="20"/>
          <w:szCs w:val="20"/>
          <w:color w:val="auto"/>
        </w:rPr>
      </w:pPr>
      <w:r>
        <w:rPr>
          <w:rFonts w:ascii="Arial" w:cs="Arial" w:eastAsia="Arial" w:hAnsi="Arial"/>
          <w:sz w:val="16"/>
          <w:szCs w:val="16"/>
          <w:color w:val="auto"/>
        </w:rPr>
        <w:t>Reference is made to the Amended and Restated 364-Day Revolving Credit Agreement, dated as of April 16,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Borrowers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Assignor and the Assignee hereby agree as follows:</w:t>
      </w:r>
    </w:p>
    <w:p>
      <w:pPr>
        <w:spacing w:after="0" w:line="117" w:lineRule="exact"/>
        <w:rPr>
          <w:sz w:val="20"/>
          <w:szCs w:val="20"/>
          <w:color w:val="auto"/>
        </w:rPr>
      </w:pPr>
    </w:p>
    <w:p>
      <w:pPr>
        <w:ind w:right="60" w:firstLine="444"/>
        <w:spacing w:after="0" w:line="286" w:lineRule="auto"/>
        <w:tabs>
          <w:tab w:leader="none" w:pos="62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For an agreed consideration, the Assignor hereby irrevocably sells and assigns to the Assignee,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as of the Trade Date (as defined below), the interest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it is expressly understood and agreed that (i) the Assignor is not</w:t>
      </w:r>
    </w:p>
    <w:p>
      <w:pPr>
        <w:sectPr>
          <w:pgSz w:w="11900" w:h="16838" w:orient="portrait"/>
          <w:cols w:equalWidth="0" w:num="1">
            <w:col w:w="11020"/>
          </w:cols>
          <w:pgMar w:left="440" w:top="270" w:right="439" w:bottom="1440" w:gutter="0" w:footer="0" w:header="0"/>
        </w:sectPr>
      </w:pPr>
    </w:p>
    <w:bookmarkStart w:id="151" w:name="page152"/>
    <w:bookmarkEnd w:id="15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from and after the Trade Date.</w:t>
      </w:r>
    </w:p>
    <w:p>
      <w:pPr>
        <w:spacing w:after="0" w:line="79" w:lineRule="exact"/>
        <w:rPr>
          <w:sz w:val="20"/>
          <w:szCs w:val="20"/>
          <w:color w:val="auto"/>
        </w:rPr>
      </w:pPr>
    </w:p>
    <w:p>
      <w:pPr>
        <w:ind w:firstLine="444"/>
        <w:spacing w:after="0" w:line="286" w:lineRule="auto"/>
        <w:tabs>
          <w:tab w:leader="none" w:pos="62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63" w:lineRule="exact"/>
        <w:rPr>
          <w:rFonts w:ascii="Arial" w:cs="Arial" w:eastAsia="Arial" w:hAnsi="Arial"/>
          <w:sz w:val="16"/>
          <w:szCs w:val="16"/>
          <w:color w:val="auto"/>
        </w:rPr>
      </w:pPr>
    </w:p>
    <w:p>
      <w:pPr>
        <w:ind w:right="260" w:firstLine="444"/>
        <w:spacing w:after="0" w:line="288" w:lineRule="auto"/>
        <w:tabs>
          <w:tab w:leader="none" w:pos="62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w:t>
      </w:r>
    </w:p>
    <w:p>
      <w:pPr>
        <w:ind w:firstLine="4"/>
        <w:spacing w:after="0" w:line="268" w:lineRule="auto"/>
        <w:tabs>
          <w:tab w:leader="none" w:pos="2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confirms that it has received a copy of the Credit Agreement, together with copies of the most recent financial statements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thereof (or, if none of such financial statements shall have then been delivered or deemed delivered, then copies of the financial statements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w:t>
      </w:r>
    </w:p>
    <w:p>
      <w:pPr>
        <w:sectPr>
          <w:pgSz w:w="11900" w:h="16838" w:orient="portrait"/>
          <w:cols w:equalWidth="0" w:num="1">
            <w:col w:w="11020"/>
          </w:cols>
          <w:pgMar w:left="440" w:top="274" w:right="439" w:bottom="1440" w:gutter="0" w:footer="0" w:header="0"/>
        </w:sectPr>
      </w:pPr>
    </w:p>
    <w:bookmarkStart w:id="152" w:name="page153"/>
    <w:bookmarkEnd w:id="15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70" w:lineRule="exact"/>
        <w:rPr>
          <w:sz w:val="20"/>
          <w:szCs w:val="20"/>
          <w:color w:val="auto"/>
        </w:rPr>
      </w:pPr>
    </w:p>
    <w:p>
      <w:pPr>
        <w:ind w:right="140" w:firstLine="444"/>
        <w:spacing w:after="0" w:line="255" w:lineRule="auto"/>
        <w:tabs>
          <w:tab w:leader="none" w:pos="6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effective date of this Agreement shall be the Trade Date of assignment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Following the 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81" w:lineRule="exact"/>
        <w:rPr>
          <w:rFonts w:ascii="Arial" w:cs="Arial" w:eastAsia="Arial" w:hAnsi="Arial"/>
          <w:sz w:val="18"/>
          <w:szCs w:val="18"/>
          <w:color w:val="auto"/>
        </w:rPr>
      </w:pPr>
    </w:p>
    <w:p>
      <w:pPr>
        <w:ind w:right="160" w:firstLine="444"/>
        <w:spacing w:after="0" w:line="286" w:lineRule="auto"/>
        <w:tabs>
          <w:tab w:leader="none" w:pos="62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57" w:lineRule="exact"/>
        <w:rPr>
          <w:rFonts w:ascii="Arial" w:cs="Arial" w:eastAsia="Arial" w:hAnsi="Arial"/>
          <w:sz w:val="17"/>
          <w:szCs w:val="17"/>
          <w:color w:val="auto"/>
        </w:rPr>
      </w:pPr>
    </w:p>
    <w:p>
      <w:pPr>
        <w:ind w:right="20" w:firstLine="444"/>
        <w:spacing w:after="0" w:line="279" w:lineRule="auto"/>
        <w:tabs>
          <w:tab w:leader="none" w:pos="62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63" w:lineRule="exact"/>
        <w:rPr>
          <w:rFonts w:ascii="Arial" w:cs="Arial" w:eastAsia="Arial" w:hAnsi="Arial"/>
          <w:sz w:val="17"/>
          <w:szCs w:val="17"/>
          <w:color w:val="auto"/>
        </w:rPr>
      </w:pPr>
    </w:p>
    <w:p>
      <w:pPr>
        <w:ind w:firstLine="444"/>
        <w:spacing w:after="0" w:line="277" w:lineRule="auto"/>
        <w:tabs>
          <w:tab w:leader="none" w:pos="6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62" w:lineRule="exact"/>
        <w:rPr>
          <w:rFonts w:ascii="Arial" w:cs="Arial" w:eastAsia="Arial" w:hAnsi="Arial"/>
          <w:sz w:val="18"/>
          <w:szCs w:val="18"/>
          <w:color w:val="auto"/>
        </w:rPr>
      </w:pPr>
    </w:p>
    <w:p>
      <w:pPr>
        <w:ind w:right="320" w:firstLine="444"/>
        <w:spacing w:after="0" w:line="286" w:lineRule="auto"/>
        <w:tabs>
          <w:tab w:leader="none" w:pos="62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000"/>
          </w:cols>
          <w:pgMar w:left="440" w:top="274" w:right="459" w:bottom="1440" w:gutter="0" w:footer="0" w:header="0"/>
        </w:sectPr>
      </w:pPr>
    </w:p>
    <w:bookmarkStart w:id="153" w:name="page154"/>
    <w:bookmarkEnd w:id="15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_________________________, as Assignor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________________________, as Assignee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4" w:right="5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Consented to</w:t>
      </w:r>
      <w:r>
        <w:rPr>
          <w:rFonts w:ascii="Arial" w:cs="Arial" w:eastAsia="Arial" w:hAnsi="Arial"/>
          <w:sz w:val="15"/>
          <w:szCs w:val="15"/>
          <w:color w:val="auto"/>
        </w:rPr>
        <w:t>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line="302" w:lineRule="auto"/>
        <w:tabs>
          <w:tab w:leader="none" w:pos="440" w:val="left"/>
        </w:tabs>
        <w:numPr>
          <w:ilvl w:val="0"/>
          <w:numId w:val="116"/>
        </w:numPr>
        <w:rPr>
          <w:rFonts w:ascii="Arial" w:cs="Arial" w:eastAsia="Arial" w:hAnsi="Arial"/>
          <w:sz w:val="14"/>
          <w:szCs w:val="14"/>
          <w:color w:val="auto"/>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80"/>
          </w:cols>
          <w:pgMar w:left="440" w:top="274" w:right="479" w:bottom="1440" w:gutter="0" w:footer="0" w:header="0"/>
        </w:sectPr>
      </w:pPr>
    </w:p>
    <w:bookmarkStart w:id="155" w:name="page156"/>
    <w:bookmarkEnd w:id="155"/>
    <w:p>
      <w:pPr>
        <w:ind w:left="9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Assignment and Assumption</w:t>
      </w:r>
    </w:p>
    <w:p>
      <w:pPr>
        <w:spacing w:after="0" w:line="234" w:lineRule="exact"/>
        <w:rPr>
          <w:sz w:val="20"/>
          <w:szCs w:val="20"/>
          <w:color w:val="auto"/>
        </w:rPr>
      </w:pPr>
    </w:p>
    <w:p>
      <w:pPr>
        <w:ind w:left="440"/>
        <w:spacing w:after="0"/>
        <w:tabs>
          <w:tab w:leader="none" w:pos="8220" w:val="left"/>
          <w:tab w:leader="none" w:pos="890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(as amended,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-10160</wp:posOffset>
            </wp:positionV>
            <wp:extent cx="9715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Reference is made to the Amended and Restated 364-Day Revolving Credit Agreement, dated as of April 16,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Guarantors from time to time party thereto, the lenders from time to time party thereto (together with their respective successors and permitted assigns,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31" w:lineRule="exact"/>
        <w:rPr>
          <w:sz w:val="20"/>
          <w:szCs w:val="20"/>
          <w:color w:val="auto"/>
        </w:rPr>
      </w:pPr>
    </w:p>
    <w:p>
      <w:pPr>
        <w:ind w:left="1420" w:hanging="538"/>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20" w:right="520" w:hanging="538"/>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Aggregate Amount</w:t>
            </w: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of</w:t>
            </w: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Commitment/Loans</w:t>
            </w:r>
          </w:p>
        </w:tc>
        <w:tc>
          <w:tcPr>
            <w:tcW w:w="3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for all Lenders</w:t>
            </w:r>
          </w:p>
        </w:tc>
        <w:tc>
          <w:tcPr>
            <w:tcW w:w="3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Commitment/Loans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Assigned of</w:t>
            </w:r>
          </w:p>
        </w:tc>
      </w:tr>
      <w:tr>
        <w:trPr>
          <w:trHeight w:val="181"/>
        </w:trPr>
        <w:tc>
          <w:tcPr>
            <w:tcW w:w="32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Facility Assigned</w:t>
            </w:r>
          </w:p>
        </w:tc>
        <w:tc>
          <w:tcPr>
            <w:tcW w:w="2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under such Facility</w:t>
            </w:r>
          </w:p>
        </w:tc>
        <w:tc>
          <w:tcPr>
            <w:tcW w:w="20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Assigned</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Commitment/Loans</w:t>
            </w:r>
          </w:p>
        </w:tc>
      </w:tr>
    </w:tbl>
    <w:p>
      <w:pPr>
        <w:sectPr>
          <w:pgSz w:w="11900" w:h="16838" w:orient="portrait"/>
          <w:cols w:equalWidth="0" w:num="1">
            <w:col w:w="11040"/>
          </w:cols>
          <w:pgMar w:left="440" w:top="274" w:right="419" w:bottom="1440" w:gutter="0" w:footer="0" w:header="0"/>
        </w:sectPr>
      </w:pPr>
    </w:p>
    <w:bookmarkStart w:id="156" w:name="page157"/>
    <w:bookmarkEnd w:id="1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7"/>
        </w:trPr>
        <w:tc>
          <w:tcPr>
            <w:tcW w:w="3640" w:type="dxa"/>
            <w:vAlign w:val="bottom"/>
            <w:gridSpan w:val="3"/>
          </w:tcPr>
          <w:p>
            <w:pPr>
              <w:spacing w:after="0"/>
              <w:rPr>
                <w:sz w:val="20"/>
                <w:szCs w:val="20"/>
                <w:color w:val="auto"/>
              </w:rPr>
            </w:pPr>
            <w:r>
              <w:rPr>
                <w:rFonts w:ascii="Arial" w:cs="Arial" w:eastAsia="Arial" w:hAnsi="Arial"/>
                <w:sz w:val="18"/>
                <w:szCs w:val="18"/>
                <w:color w:val="auto"/>
                <w:w w:val="92"/>
              </w:rPr>
              <w:t>(d) Trade Date of Assignment (the “Trade Date”):</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 20  .</w:t>
            </w:r>
            <w:r>
              <w:rPr>
                <w:rFonts w:ascii="Arial" w:cs="Arial" w:eastAsia="Arial" w:hAnsi="Arial"/>
                <w:sz w:val="15"/>
                <w:szCs w:val="15"/>
                <w:color w:val="auto"/>
              </w:rPr>
              <w:t>1</w:t>
            </w:r>
          </w:p>
        </w:tc>
      </w:tr>
      <w:tr>
        <w:trPr>
          <w:trHeight w:val="20"/>
        </w:trPr>
        <w:tc>
          <w:tcPr>
            <w:tcW w:w="2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4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0880"/>
          </w:cols>
          <w:pgMar w:left="440" w:top="257" w:right="579" w:bottom="1440" w:gutter="0" w:footer="0" w:header="0"/>
        </w:sectPr>
      </w:pPr>
    </w:p>
    <w:bookmarkStart w:id="157" w:name="page158"/>
    <w:bookmarkEnd w:id="157"/>
    <w:tbl>
      <w:tblPr>
        <w:tblLayout w:type="fixed"/>
        <w:tblInd w:w="88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40" w:type="dxa"/>
            <w:vAlign w:val="bottom"/>
          </w:tcPr>
          <w:p>
            <w:pPr>
              <w:ind w:left="900"/>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40" w:type="dxa"/>
            <w:vAlign w:val="bottom"/>
          </w:tcPr>
          <w:p>
            <w:pPr>
              <w:ind w:left="1360"/>
              <w:spacing w:after="0"/>
              <w:rPr>
                <w:sz w:val="20"/>
                <w:szCs w:val="20"/>
                <w:color w:val="auto"/>
              </w:rPr>
            </w:pPr>
            <w:r>
              <w:rPr>
                <w:rFonts w:ascii="Arial" w:cs="Arial" w:eastAsia="Arial" w:hAnsi="Arial"/>
                <w:sz w:val="18"/>
                <w:szCs w:val="18"/>
                <w:b w:val="1"/>
                <w:bCs w:val="1"/>
                <w:color w:val="auto"/>
              </w:rPr>
              <w:t>to</w:t>
            </w:r>
          </w:p>
        </w:tc>
      </w:tr>
      <w:tr>
        <w:trPr>
          <w:trHeight w:val="234"/>
        </w:trPr>
        <w:tc>
          <w:tcPr>
            <w:tcW w:w="2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40" w:type="dxa"/>
            <w:vAlign w:val="bottom"/>
          </w:tcPr>
          <w:p>
            <w:pPr>
              <w:ind w:left="660"/>
              <w:spacing w:after="0"/>
              <w:rPr>
                <w:sz w:val="20"/>
                <w:szCs w:val="20"/>
                <w:color w:val="auto"/>
              </w:rPr>
            </w:pPr>
            <w:r>
              <w:rPr>
                <w:rFonts w:ascii="Arial" w:cs="Arial" w:eastAsia="Arial" w:hAnsi="Arial"/>
                <w:sz w:val="18"/>
                <w:szCs w:val="18"/>
                <w:b w:val="1"/>
                <w:bCs w:val="1"/>
                <w:color w:val="auto"/>
                <w:w w:val="90"/>
              </w:rPr>
              <w:t>Credit Agreement</w:t>
            </w:r>
          </w:p>
        </w:tc>
      </w:tr>
      <w:tr>
        <w:trPr>
          <w:trHeight w:val="432"/>
        </w:trPr>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gridSpan w:val="5"/>
          </w:tcPr>
          <w:p>
            <w:pPr>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2820" w:type="dxa"/>
            <w:vAlign w:val="bottom"/>
          </w:tcPr>
          <w:p>
            <w:pPr>
              <w:spacing w:after="0"/>
              <w:rPr>
                <w:sz w:val="20"/>
                <w:szCs w:val="20"/>
                <w:color w:val="auto"/>
              </w:rPr>
            </w:pPr>
            <w:r>
              <w:rPr>
                <w:rFonts w:ascii="Arial" w:cs="Arial" w:eastAsia="Arial" w:hAnsi="Arial"/>
                <w:sz w:val="18"/>
                <w:szCs w:val="18"/>
                <w:color w:val="auto"/>
                <w:w w:val="94"/>
              </w:rPr>
              <w:t>JOINDER AGREEMENT, dated as of</w:t>
            </w:r>
          </w:p>
        </w:tc>
        <w:tc>
          <w:tcPr>
            <w:tcW w:w="360" w:type="dxa"/>
            <w:vAlign w:val="bottom"/>
          </w:tcPr>
          <w:p>
            <w:pPr>
              <w:spacing w:after="0"/>
              <w:rPr>
                <w:sz w:val="24"/>
                <w:szCs w:val="24"/>
                <w:color w:val="auto"/>
              </w:rPr>
            </w:pPr>
          </w:p>
        </w:tc>
        <w:tc>
          <w:tcPr>
            <w:tcW w:w="6960" w:type="dxa"/>
            <w:vAlign w:val="bottom"/>
            <w:gridSpan w:val="5"/>
          </w:tcPr>
          <w:p>
            <w:pPr>
              <w:spacing w:after="0"/>
              <w:rPr>
                <w:sz w:val="20"/>
                <w:szCs w:val="20"/>
                <w:color w:val="auto"/>
              </w:rPr>
            </w:pPr>
            <w:r>
              <w:rPr>
                <w:rFonts w:ascii="Arial" w:cs="Arial" w:eastAsia="Arial" w:hAnsi="Arial"/>
                <w:sz w:val="18"/>
                <w:szCs w:val="18"/>
                <w:color w:val="auto"/>
                <w:w w:val="95"/>
              </w:rPr>
              <w:t>, 20  , made by each signatory hereto (each a “Subsidiary Borrower”), in favor of JPMorgan</w:t>
            </w:r>
          </w:p>
        </w:tc>
      </w:tr>
      <w:tr>
        <w:trPr>
          <w:trHeight w:val="20"/>
        </w:trPr>
        <w:tc>
          <w:tcPr>
            <w:tcW w:w="2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72" w:lineRule="auto"/>
        <w:rPr>
          <w:sz w:val="20"/>
          <w:szCs w:val="20"/>
          <w:color w:val="auto"/>
        </w:rPr>
      </w:pPr>
      <w:r>
        <w:rPr>
          <w:rFonts w:ascii="Arial" w:cs="Arial" w:eastAsia="Arial" w:hAnsi="Arial"/>
          <w:sz w:val="17"/>
          <w:szCs w:val="17"/>
          <w:color w:val="auto"/>
        </w:rPr>
        <w:t>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referred to in the Amended and Restated 364-Day Revolving Credit Agreement, dated as of April 16, 2019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WHEREAS, the parties to this Joinder Agreement wish to add the Subsidiary Borrower to the Credit Agreement in the manner hereinafter set forth; and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117" w:lineRule="exact"/>
        <w:rPr>
          <w:sz w:val="20"/>
          <w:szCs w:val="20"/>
          <w:color w:val="auto"/>
        </w:rPr>
      </w:pPr>
    </w:p>
    <w:p>
      <w:pPr>
        <w:ind w:right="40" w:firstLine="885"/>
        <w:spacing w:after="0" w:line="259" w:lineRule="auto"/>
        <w:tabs>
          <w:tab w:leader="none" w:pos="106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78" w:lineRule="exact"/>
        <w:rPr>
          <w:rFonts w:ascii="Arial" w:cs="Arial" w:eastAsia="Arial" w:hAnsi="Arial"/>
          <w:sz w:val="18"/>
          <w:szCs w:val="18"/>
          <w:color w:val="auto"/>
        </w:rPr>
      </w:pPr>
    </w:p>
    <w:p>
      <w:pPr>
        <w:ind w:right="80" w:firstLine="885"/>
        <w:spacing w:after="0" w:line="277" w:lineRule="auto"/>
        <w:tabs>
          <w:tab w:leader="none" w:pos="106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58" w:lineRule="exact"/>
        <w:rPr>
          <w:rFonts w:ascii="Arial" w:cs="Arial" w:eastAsia="Arial" w:hAnsi="Arial"/>
          <w:sz w:val="18"/>
          <w:szCs w:val="18"/>
          <w:color w:val="auto"/>
        </w:rPr>
      </w:pPr>
    </w:p>
    <w:p>
      <w:pPr>
        <w:ind w:right="260" w:firstLine="885"/>
        <w:spacing w:after="0" w:line="282" w:lineRule="auto"/>
        <w:tabs>
          <w:tab w:leader="none" w:pos="1061"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020"/>
          </w:cols>
          <w:pgMar w:left="440" w:top="270" w:right="439" w:bottom="1440" w:gutter="0" w:footer="0" w:header="0"/>
        </w:sectPr>
      </w:pPr>
    </w:p>
    <w:bookmarkStart w:id="158" w:name="page159"/>
    <w:bookmarkEnd w:id="158"/>
    <w:p>
      <w:pPr>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80"/>
          </w:cols>
          <w:pgMar w:left="440" w:top="274" w:right="579" w:bottom="1440" w:gutter="0" w:footer="0" w:header="0"/>
        </w:sectPr>
      </w:pPr>
    </w:p>
    <w:bookmarkStart w:id="159" w:name="page160"/>
    <w:bookmarkEnd w:id="159"/>
    <w:p>
      <w:pPr>
        <w:ind w:left="9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I-1</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Reference is hereby made to the Amended and Restated 364-Day Revolving Credit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58"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20"/>
          </w:cols>
          <w:pgMar w:left="440" w:top="270" w:right="439" w:bottom="1440" w:gutter="0" w:footer="0" w:header="0"/>
        </w:sectPr>
      </w:pPr>
    </w:p>
    <w:bookmarkStart w:id="160" w:name="page161"/>
    <w:bookmarkEnd w:id="16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9715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61" w:name="page162"/>
    <w:bookmarkEnd w:id="161"/>
    <w:p>
      <w:pPr>
        <w:ind w:left="9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Reference is hereby made to the Amended and Restated 364-Day Revolving Credit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9"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w:t>
      </w:r>
    </w:p>
    <w:p>
      <w:pPr>
        <w:sectPr>
          <w:pgSz w:w="11900" w:h="16838" w:orient="portrait"/>
          <w:cols w:equalWidth="0" w:num="1">
            <w:col w:w="11020"/>
          </w:cols>
          <w:pgMar w:left="440" w:top="270" w:right="439" w:bottom="1440" w:gutter="0" w:footer="0" w:header="0"/>
        </w:sectPr>
      </w:pPr>
    </w:p>
    <w:bookmarkStart w:id="162" w:name="page163"/>
    <w:bookmarkEnd w:id="16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calendar year in which each payment under the Credit Agreement or any other Loan Document is to be made to the undersigned, or in either of the two calendar years preceding such payments.</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9715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ectPr>
          <w:pgSz w:w="11900" w:h="16838" w:orient="portrait"/>
          <w:cols w:equalWidth="0" w:num="1">
            <w:col w:w="10900"/>
          </w:cols>
          <w:pgMar w:left="440" w:top="274" w:right="559" w:bottom="1440" w:gutter="0" w:footer="0" w:header="0"/>
        </w:sectPr>
      </w:pPr>
    </w:p>
    <w:bookmarkStart w:id="163" w:name="page164"/>
    <w:bookmarkEnd w:id="163"/>
    <w:p>
      <w:pPr>
        <w:ind w:left="9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Reference is hereby made to the Amended and Restated 364-Day Revolving Credit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360" w:firstLine="441"/>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20"/>
          </w:cols>
          <w:pgMar w:left="440" w:top="270" w:right="439" w:bottom="1440" w:gutter="0" w:footer="0" w:header="0"/>
        </w:sectPr>
      </w:pPr>
    </w:p>
    <w:bookmarkStart w:id="164" w:name="page165"/>
    <w:bookmarkEnd w:id="16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9715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65" w:name="page166"/>
    <w:bookmarkEnd w:id="165"/>
    <w:p>
      <w:pPr>
        <w:ind w:left="9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I-4</w:t>
      </w:r>
    </w:p>
    <w:p>
      <w:pPr>
        <w:spacing w:after="0" w:line="27"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Reference is hereby made to the Amended and Restated 364-Day Revolving Credit Agreement, dated as of April 16, 2019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8"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direct or indirect partners/members that is claiming the portfolio interest exception: (i) an IRS Form W-8BEN or IRS Form W-8BEN-E, as applicable, or</w:t>
      </w:r>
    </w:p>
    <w:p>
      <w:pPr>
        <w:spacing w:after="0" w:line="32" w:lineRule="exact"/>
        <w:rPr>
          <w:sz w:val="20"/>
          <w:szCs w:val="20"/>
          <w:color w:val="auto"/>
        </w:rPr>
      </w:pPr>
    </w:p>
    <w:p>
      <w:pPr>
        <w:ind w:right="20" w:firstLine="4"/>
        <w:spacing w:after="0" w:line="252" w:lineRule="auto"/>
        <w:tabs>
          <w:tab w:leader="none" w:pos="2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20"/>
          </w:cols>
          <w:pgMar w:left="440" w:top="270" w:right="439" w:bottom="1440" w:gutter="0" w:footer="0" w:header="0"/>
        </w:sectPr>
      </w:pPr>
    </w:p>
    <w:bookmarkStart w:id="166" w:name="page167"/>
    <w:bookmarkEnd w:id="16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9715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ectPr>
          <w:pgSz w:w="11900" w:h="16838" w:orient="portrait"/>
          <w:cols w:equalWidth="0" w:num="1">
            <w:col w:w="10540"/>
          </w:cols>
          <w:pgMar w:left="440" w:top="274" w:right="919" w:bottom="1440" w:gutter="0" w:footer="0" w:header="0"/>
        </w:sectPr>
      </w:pPr>
    </w:p>
    <w:bookmarkStart w:id="167" w:name="page168"/>
    <w:bookmarkEnd w:id="167"/>
    <w:p>
      <w:pPr>
        <w:jc w:val="center"/>
        <w:ind w:left="9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7" w:lineRule="exact"/>
        <w:rPr>
          <w:sz w:val="20"/>
          <w:szCs w:val="20"/>
          <w:color w:val="auto"/>
        </w:rPr>
      </w:pPr>
    </w:p>
    <w:p>
      <w:pPr>
        <w:jc w:val="center"/>
        <w:ind w:left="98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6028690</wp:posOffset>
            </wp:positionH>
            <wp:positionV relativeFrom="paragraph">
              <wp:posOffset>-10160</wp:posOffset>
            </wp:positionV>
            <wp:extent cx="9715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Re:</w:t>
        <w:tab/>
        <w:t>(i) the Third Amended and Restated Three Year Revolving Credit Agreement, dated as of April 18, 2018 (as amended, restated, amended and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Subsidiary Borrowers from time to time party thereto, the lenders from time to time party thereto, as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 such capacity,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 Agreement, dated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April 18, 2018 (as amended, restated, amended and restated, renewed, supplemented or modified from time to time, the “</w:t>
      </w:r>
      <w:r>
        <w:rPr>
          <w:rFonts w:ascii="Arial" w:cs="Arial" w:eastAsia="Arial" w:hAnsi="Arial"/>
          <w:sz w:val="17"/>
          <w:szCs w:val="17"/>
          <w:u w:val="single" w:color="auto"/>
          <w:color w:val="auto"/>
        </w:rPr>
        <w:t>5-Year Credit</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among the Company, GMF, GMGTC, GMB, the Subsidiary Borrowers from time to time party thereto, the lenders from time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(in such capacity, together with 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Agent, the Co-Syndication Agent, and the other agents party thereto, (iii) the Three Year Revolving Credit Agreement, dated as of January 14,</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2019 (as amended, restated, amended and restated, renewed, supplemented or modified from time to time, the “</w:t>
      </w:r>
      <w:r>
        <w:rPr>
          <w:rFonts w:ascii="Arial" w:cs="Arial" w:eastAsia="Arial" w:hAnsi="Arial"/>
          <w:sz w:val="16"/>
          <w:szCs w:val="16"/>
          <w:u w:val="single" w:color="auto"/>
          <w:color w:val="auto"/>
        </w:rPr>
        <w:t>2019 3-Year Credit Agreement</w:t>
      </w:r>
      <w:r>
        <w:rPr>
          <w:rFonts w:ascii="Arial" w:cs="Arial" w:eastAsia="Arial" w:hAnsi="Arial"/>
          <w:sz w:val="16"/>
          <w:szCs w:val="16"/>
          <w:color w:val="auto"/>
        </w:rPr>
        <w: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among the Company, the lenders from time to time party thereto, as lenders (the “</w:t>
      </w:r>
      <w:r>
        <w:rPr>
          <w:rFonts w:ascii="Arial" w:cs="Arial" w:eastAsia="Arial" w:hAnsi="Arial"/>
          <w:sz w:val="16"/>
          <w:szCs w:val="16"/>
          <w:u w:val="single" w:color="auto"/>
          <w:color w:val="auto"/>
        </w:rPr>
        <w:t>2019 3-Year Lenders</w:t>
      </w:r>
      <w:r>
        <w:rPr>
          <w:rFonts w:ascii="Arial" w:cs="Arial" w:eastAsia="Arial" w:hAnsi="Arial"/>
          <w:sz w:val="16"/>
          <w:szCs w:val="16"/>
          <w:color w:val="auto"/>
        </w:rPr>
        <w:t>”), JPM as administrative agent for the 2019</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3-Year Lenders (in such capacity, together with any successor thereto in such capacity, the “</w:t>
      </w:r>
      <w:r>
        <w:rPr>
          <w:rFonts w:ascii="Arial" w:cs="Arial" w:eastAsia="Arial" w:hAnsi="Arial"/>
          <w:sz w:val="16"/>
          <w:szCs w:val="16"/>
          <w:u w:val="single" w:color="auto"/>
          <w:color w:val="auto"/>
        </w:rPr>
        <w:t>2019 3-Year Administrative Agent</w:t>
      </w:r>
      <w:r>
        <w:rPr>
          <w:rFonts w:ascii="Arial" w:cs="Arial" w:eastAsia="Arial" w:hAnsi="Arial"/>
          <w:sz w:val="16"/>
          <w:szCs w:val="16"/>
          <w:color w:val="auto"/>
        </w:rPr>
        <w:t>”) and Citibank,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the other agents party thereto and (iv) the Amended and Restated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364-Day Revolving Credit Agreement, dated as of April 16, 2019, as amended, restated, amended and restated, renewed, supplemented or</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 with the 3-Year Credit Agreement, the 5-Year Credit Agreement and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2019 3-Year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GMF,</w:t>
      </w:r>
    </w:p>
    <w:p>
      <w:pPr>
        <w:sectPr>
          <w:pgSz w:w="11900" w:h="16838" w:orient="portrait"/>
          <w:cols w:equalWidth="0" w:num="1">
            <w:col w:w="11020"/>
          </w:cols>
          <w:pgMar w:left="440" w:top="270" w:right="439" w:bottom="1440" w:gutter="0" w:footer="0" w:header="0"/>
        </w:sectPr>
      </w:pPr>
    </w:p>
    <w:bookmarkStart w:id="168" w:name="page169"/>
    <w:bookmarkEnd w:id="168"/>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GMGTC, the Subsidiary Borrowers from time to time party thereto, the lenders from time to time party thereto, as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and together with the 3-Year Lenders, the 5-Year Lenders and 2019 3-Year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the Administrative Agent for the</w:t>
      </w:r>
    </w:p>
    <w:p>
      <w:pPr>
        <w:jc w:val="both"/>
        <w:ind w:left="440" w:right="200"/>
        <w:spacing w:after="0" w:line="255" w:lineRule="auto"/>
        <w:rPr>
          <w:sz w:val="20"/>
          <w:szCs w:val="20"/>
          <w:color w:val="auto"/>
        </w:rPr>
      </w:pPr>
      <w:r>
        <w:rPr>
          <w:rFonts w:ascii="Arial" w:cs="Arial" w:eastAsia="Arial" w:hAnsi="Arial"/>
          <w:sz w:val="18"/>
          <w:szCs w:val="18"/>
          <w:color w:val="auto"/>
        </w:rPr>
        <w:t>364-Day Lenders (in such capacity, together with any successor thereto in such capacity, the “</w:t>
      </w:r>
      <w:r>
        <w:rPr>
          <w:rFonts w:ascii="Arial" w:cs="Arial" w:eastAsia="Arial" w:hAnsi="Arial"/>
          <w:sz w:val="18"/>
          <w:szCs w:val="18"/>
          <w:u w:val="single" w:color="auto"/>
          <w:color w:val="auto"/>
        </w:rPr>
        <w:t>364-Day Administrative Agent</w:t>
      </w:r>
      <w:r>
        <w:rPr>
          <w:rFonts w:ascii="Arial" w:cs="Arial" w:eastAsia="Arial" w:hAnsi="Arial"/>
          <w:sz w:val="18"/>
          <w:szCs w:val="18"/>
          <w:color w:val="auto"/>
        </w:rPr>
        <w:t>” and together with the 3-Year Administrative Agent, the 5-Year Administrative Agent and the 2019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Syndication Agent, the Co-Syndication Agent, and the other agents party thereto.</w:t>
      </w:r>
    </w:p>
    <w:p>
      <w:pPr>
        <w:spacing w:after="0" w:line="190"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This Compliance Certificate (this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is furnished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39" w:lineRule="exact"/>
        <w:rPr>
          <w:sz w:val="20"/>
          <w:szCs w:val="20"/>
          <w:color w:val="auto"/>
        </w:rPr>
      </w:pPr>
    </w:p>
    <w:p>
      <w:pPr>
        <w:ind w:left="620" w:hanging="176"/>
        <w:spacing w:after="0"/>
        <w:tabs>
          <w:tab w:leader="none" w:pos="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117" w:lineRule="exact"/>
        <w:rPr>
          <w:rFonts w:ascii="Arial" w:cs="Arial" w:eastAsia="Arial" w:hAnsi="Arial"/>
          <w:sz w:val="18"/>
          <w:szCs w:val="18"/>
          <w:color w:val="auto"/>
        </w:rPr>
      </w:pPr>
    </w:p>
    <w:p>
      <w:pPr>
        <w:ind w:right="60" w:firstLine="444"/>
        <w:spacing w:after="0" w:line="277" w:lineRule="auto"/>
        <w:tabs>
          <w:tab w:leader="none" w:pos="62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To the best of my knowledge, no Default or Event of Default has occurred and is continuing as of the date hereof [, except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right="200" w:firstLine="444"/>
        <w:spacing w:after="0" w:line="308" w:lineRule="auto"/>
        <w:tabs>
          <w:tab w:leader="none" w:pos="62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38" w:lineRule="exact"/>
        <w:rPr>
          <w:rFonts w:ascii="Arial" w:cs="Arial" w:eastAsia="Arial" w:hAnsi="Arial"/>
          <w:sz w:val="17"/>
          <w:szCs w:val="17"/>
          <w:color w:val="auto"/>
        </w:rPr>
      </w:pPr>
    </w:p>
    <w:p>
      <w:pPr>
        <w:ind w:right="100" w:firstLine="444"/>
        <w:spacing w:after="0" w:line="308" w:lineRule="auto"/>
        <w:tabs>
          <w:tab w:leader="none" w:pos="62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74" w:right="439" w:bottom="1440" w:gutter="0" w:footer="0" w:header="0"/>
        </w:sectPr>
      </w:pPr>
    </w:p>
    <w:bookmarkStart w:id="169" w:name="page170"/>
    <w:bookmarkEnd w:id="16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70" w:name="page171"/>
    <w:bookmarkEnd w:id="170"/>
    <w:p>
      <w:pPr>
        <w:ind w:left="9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420"/>
        <w:spacing w:after="0"/>
        <w:tabs>
          <w:tab w:leader="none" w:pos="6120" w:val="left"/>
          <w:tab w:leader="none" w:pos="6760"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-10160</wp:posOffset>
            </wp:positionV>
            <wp:extent cx="38887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88740" cy="8890"/>
                    </a:xfrm>
                    <a:prstGeom prst="rect">
                      <a:avLst/>
                    </a:prstGeom>
                    <a:noFill/>
                  </pic:spPr>
                </pic:pic>
              </a:graphicData>
            </a:graphic>
          </wp:anchor>
        </w:drawing>
      </w:r>
    </w:p>
    <w:p>
      <w:pPr>
        <w:spacing w:after="0" w:line="232" w:lineRule="exact"/>
        <w:rPr>
          <w:sz w:val="20"/>
          <w:szCs w:val="20"/>
          <w:color w:val="auto"/>
        </w:rPr>
      </w:pPr>
    </w:p>
    <w:p>
      <w:pPr>
        <w:ind w:right="5500"/>
        <w:spacing w:after="0" w:line="277" w:lineRule="auto"/>
        <w:rPr>
          <w:sz w:val="20"/>
          <w:szCs w:val="20"/>
          <w:color w:val="auto"/>
        </w:rPr>
      </w:pPr>
      <w:r>
        <w:rPr>
          <w:rFonts w:ascii="Arial" w:cs="Arial" w:eastAsia="Arial" w:hAnsi="Arial"/>
          <w:sz w:val="18"/>
          <w:szCs w:val="18"/>
          <w:color w:val="auto"/>
        </w:rPr>
        <w:t>(A)The Total Available Commitments under the 3-Year Credit Agreement as of the Calculation Date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(B)The Total Available Commitments under the 5-Year Credit Agreement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Calculation Date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(C)The Total Available Commitments under the 364-Day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Calculation Date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6080" w:firstLine="4"/>
        <w:spacing w:after="0" w:line="277" w:lineRule="auto"/>
        <w:tabs>
          <w:tab w:leader="none" w:pos="2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(E)The total available commitments (after giving effect to any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borrowing base limitations) under other effective committed credit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or any Domestic Subsidiary as of the Calculation Date.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400"/>
        <w:spacing w:after="0" w:line="291" w:lineRule="auto"/>
        <w:rPr>
          <w:sz w:val="20"/>
          <w:szCs w:val="20"/>
          <w:color w:val="auto"/>
        </w:rPr>
      </w:pPr>
      <w:r>
        <w:rPr>
          <w:rFonts w:ascii="Arial" w:cs="Arial" w:eastAsia="Arial" w:hAnsi="Arial"/>
          <w:sz w:val="16"/>
          <w:szCs w:val="16"/>
          <w:color w:val="auto"/>
        </w:rPr>
        <w:t>(F)Total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6946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3" w:lineRule="exact"/>
        <w:rPr>
          <w:sz w:val="20"/>
          <w:szCs w:val="20"/>
          <w:color w:val="auto"/>
        </w:rPr>
      </w:pPr>
    </w:p>
    <w:p>
      <w:pPr>
        <w:ind w:left="440" w:right="560" w:hanging="436"/>
        <w:spacing w:after="0" w:line="277" w:lineRule="auto"/>
        <w:tabs>
          <w:tab w:leader="none" w:pos="440" w:val="left"/>
        </w:tabs>
        <w:numPr>
          <w:ilvl w:val="0"/>
          <w:numId w:val="123"/>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020"/>
          </w:cols>
          <w:pgMar w:left="440" w:top="270" w:right="4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Sum of (A) plus (B) plus (C) plus (D) plus (E) plus (F): Consolidated</w:t>
            </w:r>
          </w:p>
        </w:tc>
        <w:tc>
          <w:tcPr>
            <w:tcW w:w="4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$______________________</w:t>
            </w:r>
          </w:p>
        </w:tc>
      </w:tr>
      <w:tr>
        <w:trPr>
          <w:trHeight w:val="196"/>
        </w:trPr>
        <w:tc>
          <w:tcPr>
            <w:tcW w:w="5420" w:type="dxa"/>
            <w:vAlign w:val="bottom"/>
            <w:gridSpan w:val="3"/>
          </w:tcPr>
          <w:p>
            <w:pPr>
              <w:spacing w:after="0" w:line="196" w:lineRule="exact"/>
              <w:rPr>
                <w:sz w:val="20"/>
                <w:szCs w:val="20"/>
                <w:color w:val="auto"/>
              </w:rPr>
            </w:pPr>
            <w:r>
              <w:rPr>
                <w:rFonts w:ascii="Arial" w:cs="Arial" w:eastAsia="Arial" w:hAnsi="Arial"/>
                <w:sz w:val="18"/>
                <w:szCs w:val="18"/>
                <w:color w:val="auto"/>
              </w:rPr>
              <w:t>Domestic Liquidity:</w:t>
            </w:r>
          </w:p>
        </w:tc>
        <w:tc>
          <w:tcPr>
            <w:tcW w:w="2500" w:type="dxa"/>
            <w:vAlign w:val="bottom"/>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36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2" w:name="page173"/>
    <w:bookmarkEnd w:id="172"/>
    <w:p>
      <w:pPr>
        <w:ind w:left="9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520"/>
        <w:spacing w:after="0"/>
        <w:tabs>
          <w:tab w:leader="none" w:pos="6020" w:val="left"/>
          <w:tab w:leader="none" w:pos="666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-10160</wp:posOffset>
            </wp:positionV>
            <wp:extent cx="37617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61740" cy="8890"/>
                    </a:xfrm>
                    <a:prstGeom prst="rect">
                      <a:avLst/>
                    </a:prstGeom>
                    <a:noFill/>
                  </pic:spPr>
                </pic:pic>
              </a:graphicData>
            </a:graphic>
          </wp:anchor>
        </w:drawing>
      </w:r>
    </w:p>
    <w:p>
      <w:pPr>
        <w:spacing w:after="0" w:line="232" w:lineRule="exact"/>
        <w:rPr>
          <w:sz w:val="20"/>
          <w:szCs w:val="20"/>
          <w:color w:val="auto"/>
        </w:rPr>
      </w:pPr>
    </w:p>
    <w:p>
      <w:pPr>
        <w:ind w:right="5500"/>
        <w:spacing w:after="0" w:line="277" w:lineRule="auto"/>
        <w:rPr>
          <w:sz w:val="20"/>
          <w:szCs w:val="20"/>
          <w:color w:val="auto"/>
        </w:rPr>
      </w:pPr>
      <w:r>
        <w:rPr>
          <w:rFonts w:ascii="Arial" w:cs="Arial" w:eastAsia="Arial" w:hAnsi="Arial"/>
          <w:sz w:val="18"/>
          <w:szCs w:val="18"/>
          <w:color w:val="auto"/>
        </w:rPr>
        <w:t>(A)The Total Available Commitments under the 3-Year Credit Agreement as of the Calculation Date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460" w:firstLine="4"/>
        <w:spacing w:after="0" w:line="277" w:lineRule="auto"/>
        <w:tabs>
          <w:tab w:leader="none" w:pos="2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(C)The Total Available Commitments under the 364-Day Credit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Calculation Date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6080" w:firstLine="4"/>
        <w:spacing w:after="0" w:line="277" w:lineRule="auto"/>
        <w:tabs>
          <w:tab w:leader="none" w:pos="2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Total Available Commitments under the 2019 3-Year Credit Agreement as of the Calculation Date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(E)The total available commitments (after giving effect to any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borrowing base limitations) under other effective committed credit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or any of its Subsidiaries as of the Calculation Date.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(F)The total cash (other than restricted cash), cash equivalents,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of the Company and its Subsidiaries (other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 that constitute Finance Subsidiaries, if any),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reported in the Company’s most recent Annual Report on Form 10-K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right="560" w:hanging="436"/>
        <w:spacing w:after="0" w:line="277" w:lineRule="auto"/>
        <w:tabs>
          <w:tab w:leader="none" w:pos="4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020"/>
          </w:cols>
          <w:pgMar w:left="440" w:top="270" w:right="4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Sum of (A) plus (B) plus (C) plus (D) plus (E) plus (F): Consolidated Global</w:t>
            </w: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w w:val="95"/>
              </w:rPr>
              <w:t>$______________________</w:t>
            </w:r>
          </w:p>
        </w:tc>
      </w:tr>
      <w:tr>
        <w:trPr>
          <w:trHeight w:val="196"/>
        </w:trPr>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Liquidity:</w:t>
            </w:r>
          </w:p>
        </w:tc>
        <w:tc>
          <w:tcPr>
            <w:tcW w:w="2220" w:type="dxa"/>
            <w:vAlign w:val="bottom"/>
          </w:tcPr>
          <w:p>
            <w:pPr>
              <w:spacing w:after="0"/>
              <w:rPr>
                <w:sz w:val="17"/>
                <w:szCs w:val="17"/>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4" w:name="page175"/>
    <w:bookmarkEnd w:id="174"/>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20"/>
          </w:cols>
          <w:pgMar w:left="1440" w:top="270" w:right="439" w:bottom="1440" w:gutter="0" w:footer="0" w:header="0"/>
        </w:sectPr>
      </w:pPr>
    </w:p>
    <w:bookmarkStart w:id="175" w:name="page176"/>
    <w:bookmarkEnd w:id="175"/>
    <w:p>
      <w:pPr>
        <w:ind w:left="9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7"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gridSpan w:val="4"/>
          </w:tcPr>
          <w:p>
            <w:pPr>
              <w:jc w:val="right"/>
              <w:spacing w:after="0"/>
              <w:rPr>
                <w:sz w:val="20"/>
                <w:szCs w:val="20"/>
                <w:color w:val="auto"/>
              </w:rPr>
            </w:pPr>
            <w:r>
              <w:rPr>
                <w:rFonts w:ascii="Arial" w:cs="Arial" w:eastAsia="Arial" w:hAnsi="Arial"/>
                <w:sz w:val="18"/>
                <w:szCs w:val="18"/>
                <w:color w:val="auto"/>
              </w:rPr>
              <w:t>New York, New York</w:t>
            </w:r>
          </w:p>
        </w:tc>
      </w:tr>
      <w:tr>
        <w:trPr>
          <w:trHeight w:val="190"/>
        </w:trPr>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520" w:type="dxa"/>
            <w:vAlign w:val="bottom"/>
            <w:gridSpan w:val="3"/>
          </w:tcPr>
          <w:p>
            <w:pPr>
              <w:jc w:val="right"/>
              <w:ind w:right="360"/>
              <w:spacing w:after="0" w:line="190" w:lineRule="exact"/>
              <w:rPr>
                <w:sz w:val="20"/>
                <w:szCs w:val="20"/>
                <w:color w:val="auto"/>
              </w:rPr>
            </w:pPr>
            <w:r>
              <w:rPr>
                <w:rFonts w:ascii="Arial" w:cs="Arial" w:eastAsia="Arial" w:hAnsi="Arial"/>
                <w:sz w:val="18"/>
                <w:szCs w:val="18"/>
                <w:color w:val="auto"/>
              </w:rPr>
              <w:t>, 20</w:t>
            </w:r>
          </w:p>
        </w:tc>
      </w:tr>
      <w:tr>
        <w:trPr>
          <w:trHeight w:val="20"/>
        </w:trPr>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160" w:firstLine="441"/>
        <w:spacing w:after="0" w:line="274"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ind w:right="120" w:firstLine="945"/>
        <w:spacing w:after="0" w:line="28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 the Funding Office specified in such Credit Agreement, in the currency of such Loans and in immediately available funds, the principal amount of (a)</w:t>
      </w:r>
    </w:p>
    <w:p>
      <w:pPr>
        <w:spacing w:after="0" w:line="1" w:lineRule="exact"/>
        <w:rPr>
          <w:sz w:val="20"/>
          <w:szCs w:val="20"/>
          <w:color w:val="auto"/>
        </w:rPr>
      </w:pPr>
    </w:p>
    <w:p>
      <w:pPr>
        <w:ind w:right="540" w:firstLine="949"/>
        <w:spacing w:after="0" w:line="255" w:lineRule="auto"/>
        <w:tabs>
          <w:tab w:leader="none" w:pos="19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w:t>
      </w:r>
    </w:p>
    <w:p>
      <w:pPr>
        <w:spacing w:after="0" w:line="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of the Credit Agreement, each such endorsement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90"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This Note (a) is one of the Notes referred to in the Amended and Restated 364-Day Revolving Credit Agreement, dated as of April 16, 2019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Global Treasury Centre Limited, a corporation organized under the laws of England and Wales, the Subsidiary Borrowers from time</w:t>
      </w:r>
    </w:p>
    <w:p>
      <w:pPr>
        <w:sectPr>
          <w:pgSz w:w="11900" w:h="16838" w:orient="portrait"/>
          <w:cols w:equalWidth="0" w:num="1">
            <w:col w:w="11020"/>
          </w:cols>
          <w:pgMar w:left="440" w:top="270" w:right="439" w:bottom="1440" w:gutter="0" w:footer="0" w:header="0"/>
        </w:sectPr>
      </w:pPr>
    </w:p>
    <w:bookmarkStart w:id="176" w:name="page177"/>
    <w:bookmarkEnd w:id="176"/>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time party thereto, the Lender, the 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40" w:top="274" w:right="579" w:bottom="1440" w:gutter="0" w:footer="0" w:header="0"/>
        </w:sectPr>
      </w:pPr>
    </w:p>
    <w:bookmarkStart w:id="177" w:name="page178"/>
    <w:bookmarkEnd w:id="177"/>
    <w:p>
      <w:pP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LOANS, CONVERSIONS AND REPAYMENTS OF ABR LOANS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Converted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Amount of Principal</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 ABR</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Unpaid Principal</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14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of ABR Loans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Loans Converted to</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ABR Loans</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ABR Loans</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Repaid</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Eurocurrency Loans</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ABR Loans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60" w:top="270" w:right="419" w:bottom="1440" w:gutter="0" w:footer="0" w:header="0"/>
        </w:sectPr>
      </w:pPr>
    </w:p>
    <w:bookmarkStart w:id="178" w:name="page179"/>
    <w:bookmarkEnd w:id="178"/>
    <w:p>
      <w:pP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7"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LOANS, CONVERSIONS AND REPAYMENTS OF EUROCURRENCY LOANS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Unpaid Principal</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Amount Converted</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 Eurocurrency</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Balance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Date</w:t>
            </w:r>
          </w:p>
        </w:tc>
        <w:tc>
          <w:tcPr>
            <w:tcW w:w="200" w:type="dxa"/>
            <w:vAlign w:val="bottom"/>
            <w:vMerge w:val="restart"/>
          </w:tcPr>
          <w:p>
            <w:pPr>
              <w:spacing w:after="0"/>
              <w:rPr>
                <w:sz w:val="12"/>
                <w:szCs w:val="12"/>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Interest Period</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Loans</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Loans Converted to</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Eurocurrency</w:t>
            </w: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Eurocurrency 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Repaid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ABR 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60" w:top="270" w:right="419" w:bottom="1440" w:gutter="0" w:footer="0" w:header="0"/>
        </w:sectPr>
      </w:pPr>
    </w:p>
    <w:bookmarkStart w:id="179" w:name="page180"/>
    <w:bookmarkEnd w:id="179"/>
    <w:p>
      <w:pPr>
        <w:ind w:left="9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7"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FORM OF BORROWING REQUEST</w:t>
      </w:r>
    </w:p>
    <w:p>
      <w:pPr>
        <w:spacing w:after="0" w:line="121" w:lineRule="exact"/>
        <w:rPr>
          <w:sz w:val="20"/>
          <w:szCs w:val="20"/>
          <w:color w:val="auto"/>
        </w:rPr>
      </w:pPr>
    </w:p>
    <w:p>
      <w:pPr>
        <w:ind w:right="4720"/>
        <w:spacing w:after="0" w:line="256"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North America 500 Stanton Christiana Road, NCC5, Floor 01</w:t>
      </w: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Amended and Restated 364-Day Revolving Credit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16, 2019,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GMGTC</w:t>
      </w:r>
      <w:r>
        <w:rPr>
          <w:rFonts w:ascii="Arial" w:cs="Arial" w:eastAsia="Arial" w:hAnsi="Arial"/>
          <w:sz w:val="16"/>
          <w:szCs w:val="16"/>
          <w:color w:val="auto"/>
        </w:rPr>
        <w:t>”), a corporation organized under the laws of England and Wales, the Subsidiary Borrowers from time to time party thereto, the several banks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Citibank, N.A., as syndication agent, Bank of America, N.A., as co-syndication agent, and the other agents named therein. Capitalized terms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 otherwise defined herein shall have the meanings assigned to such terms in the Credit Agreement. The Applicable Borrower and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give you notice pursuant to Section [2.2] of the Credit Agreement that it requests an Extension of Credit under the Credit Agreement, and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sets forth below the terms on which such Extension of Credit is requested to be made[, to which the Company hereby consents]</w:t>
      </w:r>
      <w:r>
        <w:rPr>
          <w:rFonts w:ascii="Arial" w:cs="Arial" w:eastAsia="Arial" w:hAnsi="Arial"/>
          <w:sz w:val="14"/>
          <w:szCs w:val="14"/>
          <w:color w:val="auto"/>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694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97" w:lineRule="exact"/>
        <w:rPr>
          <w:sz w:val="20"/>
          <w:szCs w:val="20"/>
          <w:color w:val="auto"/>
        </w:rPr>
      </w:pPr>
    </w:p>
    <w:p>
      <w:pPr>
        <w:ind w:left="440" w:hanging="436"/>
        <w:spacing w:after="0"/>
        <w:tabs>
          <w:tab w:leader="none" w:pos="440" w:val="left"/>
        </w:tabs>
        <w:numPr>
          <w:ilvl w:val="0"/>
          <w:numId w:val="128"/>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40" w:hanging="436"/>
        <w:spacing w:after="0"/>
        <w:tabs>
          <w:tab w:leader="none" w:pos="44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40" w:hanging="436"/>
        <w:spacing w:after="0"/>
        <w:tabs>
          <w:tab w:leader="none" w:pos="44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Insert if the Applicable Borrower is a Domestic Subsidiary Borrower.</w:t>
      </w:r>
    </w:p>
    <w:p>
      <w:pPr>
        <w:sectPr>
          <w:pgSz w:w="11900" w:h="16838" w:orient="portrait"/>
          <w:cols w:equalWidth="0" w:num="1">
            <w:col w:w="11020"/>
          </w:cols>
          <w:pgMar w:left="440" w:top="270" w:right="439" w:bottom="1440" w:gutter="0" w:footer="0" w:header="0"/>
        </w:sectPr>
      </w:pPr>
    </w:p>
    <w:bookmarkStart w:id="180" w:name="page181"/>
    <w:bookmarkEnd w:id="180"/>
    <w:p>
      <w:pPr>
        <w:ind w:left="456" w:hanging="456"/>
        <w:spacing w:after="0"/>
        <w:tabs>
          <w:tab w:leader="none" w:pos="4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Date</w:t>
      </w:r>
    </w:p>
    <w:p>
      <w:pPr>
        <w:spacing w:after="0" w:line="23" w:lineRule="exact"/>
        <w:rPr>
          <w:rFonts w:ascii="Arial" w:cs="Arial" w:eastAsia="Arial" w:hAnsi="Arial"/>
          <w:sz w:val="18"/>
          <w:szCs w:val="18"/>
          <w:color w:val="auto"/>
        </w:rPr>
      </w:pPr>
    </w:p>
    <w:p>
      <w:pPr>
        <w:ind w:left="456"/>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6165850</wp:posOffset>
            </wp:positionH>
            <wp:positionV relativeFrom="paragraph">
              <wp:posOffset>-156210</wp:posOffset>
            </wp:positionV>
            <wp:extent cx="8286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96" w:lineRule="exact"/>
        <w:rPr>
          <w:sz w:val="20"/>
          <w:szCs w:val="20"/>
          <w:color w:val="auto"/>
        </w:rPr>
      </w:pPr>
    </w:p>
    <w:p>
      <w:pPr>
        <w:ind w:left="456" w:hanging="456"/>
        <w:spacing w:after="0"/>
        <w:tabs>
          <w:tab w:leader="none" w:pos="4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5</w:t>
      </w:r>
    </w:p>
    <w:p>
      <w:pPr>
        <w:spacing w:after="0" w:line="117" w:lineRule="exact"/>
        <w:rPr>
          <w:rFonts w:ascii="Arial" w:cs="Arial" w:eastAsia="Arial" w:hAnsi="Arial"/>
          <w:sz w:val="18"/>
          <w:szCs w:val="18"/>
          <w:color w:val="auto"/>
        </w:rPr>
      </w:pPr>
    </w:p>
    <w:p>
      <w:pPr>
        <w:ind w:left="456" w:hanging="456"/>
        <w:spacing w:after="0"/>
        <w:tabs>
          <w:tab w:leader="none" w:pos="4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6</w:t>
      </w:r>
    </w:p>
    <w:p>
      <w:pPr>
        <w:spacing w:after="0" w:line="117" w:lineRule="exact"/>
        <w:rPr>
          <w:rFonts w:ascii="Arial" w:cs="Arial" w:eastAsia="Arial" w:hAnsi="Arial"/>
          <w:sz w:val="18"/>
          <w:szCs w:val="18"/>
          <w:color w:val="auto"/>
        </w:rPr>
      </w:pPr>
    </w:p>
    <w:p>
      <w:pPr>
        <w:ind w:left="456" w:hanging="456"/>
        <w:spacing w:after="0"/>
        <w:tabs>
          <w:tab w:leader="none" w:pos="4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7</w:t>
      </w:r>
    </w:p>
    <w:p>
      <w:pPr>
        <w:spacing w:after="0" w:line="117" w:lineRule="exact"/>
        <w:rPr>
          <w:rFonts w:ascii="Arial" w:cs="Arial" w:eastAsia="Arial" w:hAnsi="Arial"/>
          <w:sz w:val="18"/>
          <w:szCs w:val="18"/>
          <w:color w:val="auto"/>
        </w:rPr>
      </w:pPr>
    </w:p>
    <w:p>
      <w:pPr>
        <w:jc w:val="both"/>
        <w:ind w:left="456" w:right="7380" w:hanging="456"/>
        <w:spacing w:after="0" w:line="310" w:lineRule="auto"/>
        <w:tabs>
          <w:tab w:leader="none" w:pos="456" w:val="left"/>
        </w:tabs>
        <w:numPr>
          <w:ilvl w:val="0"/>
          <w:numId w:val="132"/>
        </w:numPr>
        <w:rPr>
          <w:rFonts w:ascii="Arial" w:cs="Arial" w:eastAsia="Arial" w:hAnsi="Arial"/>
          <w:sz w:val="15"/>
          <w:szCs w:val="15"/>
          <w:color w:val="auto"/>
        </w:rPr>
      </w:pPr>
      <w:r>
        <w:rPr>
          <w:rFonts w:ascii="Arial" w:cs="Arial" w:eastAsia="Arial" w:hAnsi="Arial"/>
          <w:sz w:val="15"/>
          <w:szCs w:val="15"/>
          <w:color w:val="auto"/>
        </w:rPr>
        <w:t>Funds are requested to be disbursed to the Borrower’s account with _____________</w:t>
      </w:r>
    </w:p>
    <w:p>
      <w:pPr>
        <w:ind w:left="456"/>
        <w:spacing w:after="0"/>
        <w:rPr>
          <w:rFonts w:ascii="Arial" w:cs="Arial" w:eastAsia="Arial" w:hAnsi="Arial"/>
          <w:sz w:val="15"/>
          <w:szCs w:val="15"/>
          <w:color w:val="auto"/>
        </w:rPr>
      </w:pPr>
      <w:r>
        <w:rPr>
          <w:rFonts w:ascii="Arial" w:cs="Arial" w:eastAsia="Arial" w:hAnsi="Arial"/>
          <w:sz w:val="18"/>
          <w:szCs w:val="18"/>
          <w:color w:val="auto"/>
        </w:rPr>
        <w:t>(Account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6165850</wp:posOffset>
            </wp:positionH>
            <wp:positionV relativeFrom="paragraph">
              <wp:posOffset>-911225</wp:posOffset>
            </wp:positionV>
            <wp:extent cx="8001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-705485</wp:posOffset>
            </wp:positionV>
            <wp:extent cx="8001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-499745</wp:posOffset>
            </wp:positionV>
            <wp:extent cx="8001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-294005</wp:posOffset>
            </wp:positionV>
            <wp:extent cx="8001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4" w:lineRule="exact"/>
        <w:rPr>
          <w:sz w:val="20"/>
          <w:szCs w:val="20"/>
          <w:color w:val="auto"/>
        </w:rPr>
      </w:pPr>
    </w:p>
    <w:p>
      <w:pPr>
        <w:jc w:val="center"/>
        <w:ind w:right="-175"/>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694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36" w:hanging="436"/>
        <w:spacing w:after="0"/>
        <w:tabs>
          <w:tab w:leader="none" w:pos="436" w:val="left"/>
        </w:tabs>
        <w:numPr>
          <w:ilvl w:val="0"/>
          <w:numId w:val="133"/>
        </w:numPr>
        <w:rPr>
          <w:rFonts w:ascii="Arial" w:cs="Arial" w:eastAsia="Arial" w:hAnsi="Arial"/>
          <w:sz w:val="14"/>
          <w:szCs w:val="14"/>
          <w:color w:val="auto"/>
        </w:rPr>
      </w:pPr>
      <w:r>
        <w:rPr>
          <w:rFonts w:ascii="Arial" w:cs="Arial" w:eastAsia="Arial" w:hAnsi="Arial"/>
          <w:sz w:val="16"/>
          <w:szCs w:val="16"/>
          <w:color w:val="auto"/>
        </w:rPr>
        <w:t>Borrowing Request to be delivered to the Administrative Agent prior to (a) in the case of Eurocurrency Loans (i) in the case of requests made by</w:t>
      </w:r>
    </w:p>
    <w:p>
      <w:pPr>
        <w:spacing w:after="0" w:line="46" w:lineRule="exact"/>
        <w:rPr>
          <w:sz w:val="20"/>
          <w:szCs w:val="20"/>
          <w:color w:val="auto"/>
        </w:rPr>
      </w:pPr>
    </w:p>
    <w:p>
      <w:pPr>
        <w:ind w:left="436" w:right="60"/>
        <w:spacing w:after="0" w:line="264" w:lineRule="auto"/>
        <w:rPr>
          <w:sz w:val="20"/>
          <w:szCs w:val="20"/>
          <w:color w:val="auto"/>
        </w:rPr>
      </w:pPr>
      <w:r>
        <w:rPr>
          <w:rFonts w:ascii="Arial" w:cs="Arial" w:eastAsia="Arial" w:hAnsi="Arial"/>
          <w:sz w:val="17"/>
          <w:szCs w:val="17"/>
          <w:color w:val="auto"/>
        </w:rPr>
        <w:t>the Company or any Subsidiary Borrower other than GMGTC, 1:00 P.M., New York City time, three Business Days prior to the requested Borrowing Date or (ii) in the case of requests made by GMGTC, 1:00 P.M., London time, three Business Days prior to the requested Borrowing Date or (b) in the case of ABR Loans, 1:00 P.M., New York City time, on the date of the proposed borrowing.</w:t>
      </w:r>
    </w:p>
    <w:p>
      <w:pPr>
        <w:spacing w:after="0" w:line="2" w:lineRule="exact"/>
        <w:rPr>
          <w:sz w:val="20"/>
          <w:szCs w:val="20"/>
          <w:color w:val="auto"/>
        </w:rPr>
      </w:pPr>
    </w:p>
    <w:p>
      <w:pPr>
        <w:ind w:left="436" w:right="120" w:hanging="436"/>
        <w:spacing w:after="0" w:line="250" w:lineRule="auto"/>
        <w:tabs>
          <w:tab w:leader="none" w:pos="436" w:val="left"/>
        </w:tabs>
        <w:numPr>
          <w:ilvl w:val="0"/>
          <w:numId w:val="134"/>
        </w:numPr>
        <w:rPr>
          <w:rFonts w:ascii="Arial" w:cs="Arial" w:eastAsia="Arial" w:hAnsi="Arial"/>
          <w:sz w:val="15"/>
          <w:szCs w:val="15"/>
          <w:color w:val="auto"/>
        </w:rPr>
      </w:pPr>
      <w:r>
        <w:rPr>
          <w:rFonts w:ascii="Arial" w:cs="Arial" w:eastAsia="Arial" w:hAnsi="Arial"/>
          <w:sz w:val="18"/>
          <w:szCs w:val="18"/>
          <w:color w:val="auto"/>
        </w:rPr>
        <w:t>Each borrowing shall be in an amount equal to $25 million (or, if the Total Available Commitments at such time are less than $25 million, such lesser amount) or a whole multiple of $5 million in excess thereof.</w:t>
      </w:r>
    </w:p>
    <w:p>
      <w:pPr>
        <w:spacing w:after="0" w:line="1" w:lineRule="exact"/>
        <w:rPr>
          <w:sz w:val="20"/>
          <w:szCs w:val="20"/>
          <w:color w:val="auto"/>
        </w:rPr>
      </w:pPr>
    </w:p>
    <w:p>
      <w:pPr>
        <w:ind w:left="436" w:hanging="436"/>
        <w:spacing w:after="0"/>
        <w:tabs>
          <w:tab w:leader="none" w:pos="436" w:val="left"/>
        </w:tabs>
        <w:numPr>
          <w:ilvl w:val="0"/>
          <w:numId w:val="135"/>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9" w:lineRule="exact"/>
        <w:rPr>
          <w:sz w:val="20"/>
          <w:szCs w:val="20"/>
          <w:color w:val="auto"/>
        </w:rPr>
      </w:pPr>
    </w:p>
    <w:p>
      <w:pPr>
        <w:ind w:left="436" w:hanging="436"/>
        <w:spacing w:after="0"/>
        <w:tabs>
          <w:tab w:leader="none" w:pos="436" w:val="left"/>
        </w:tabs>
        <w:numPr>
          <w:ilvl w:val="0"/>
          <w:numId w:val="136"/>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0856"/>
          </w:cols>
          <w:pgMar w:left="444" w:top="274" w:right="599" w:bottom="1440" w:gutter="0" w:footer="0" w:header="0"/>
        </w:sectPr>
      </w:pPr>
    </w:p>
    <w:bookmarkStart w:id="181" w:name="page182"/>
    <w:bookmarkEnd w:id="181"/>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8</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APPLICABLE BORROWER]</w:t>
      </w:r>
      <w:r>
        <w:rPr>
          <w:rFonts w:ascii="Arial" w:cs="Arial" w:eastAsia="Arial" w:hAnsi="Arial"/>
          <w:sz w:val="15"/>
          <w:szCs w:val="15"/>
          <w:color w:val="auto"/>
        </w:rPr>
        <w:t>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6946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6"/>
        <w:spacing w:after="0"/>
        <w:tabs>
          <w:tab w:leader="none" w:pos="440" w:val="left"/>
        </w:tabs>
        <w:numPr>
          <w:ilvl w:val="0"/>
          <w:numId w:val="137"/>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40" w:hanging="436"/>
        <w:spacing w:after="0"/>
        <w:tabs>
          <w:tab w:leader="none" w:pos="44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sectPr>
      <w:pgSz w:w="11900" w:h="16838" w:orient="portrait"/>
      <w:cols w:equalWidth="0" w:num="1">
        <w:col w:w="10660"/>
      </w:cols>
      <w:pgMar w:left="440" w:top="27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lowerRoman"/>
      <w:start w:val="6"/>
    </w:lvl>
  </w:abstractNum>
  <w:abstractNum w:abstractNumId="3">
    <w:nsid w:val="799D0247"/>
    <w:multiLevelType w:val="hybridMultilevel"/>
    <w:lvl w:ilvl="0">
      <w:lvlJc w:val="left"/>
      <w:lvlText w:val="%1"/>
      <w:numFmt w:val="lowerLetter"/>
      <w:start w:val="1"/>
    </w:lvl>
    <w:lvl w:ilvl="1">
      <w:lvlJc w:val="left"/>
      <w:lvlText w:val="(%2)"/>
      <w:numFmt w:val="lowerLetter"/>
      <w:start w:val="3"/>
    </w:lvl>
  </w:abstractNum>
  <w:abstractNum w:abstractNumId="4">
    <w:nsid w:val="6B94764"/>
    <w:multiLevelType w:val="hybridMultilevel"/>
    <w:lvl w:ilvl="0">
      <w:lvlJc w:val="left"/>
      <w:lvlText w:val="(%1)"/>
      <w:numFmt w:val="lowerLetter"/>
      <w:start w:val="1"/>
    </w:lvl>
    <w:lvl w:ilvl="1">
      <w:lvlJc w:val="left"/>
      <w:lvlText w:val="%2"/>
      <w:numFmt w:val="lowerLetter"/>
      <w:start w:val="1"/>
    </w:lvl>
  </w:abstractNum>
  <w:abstractNum w:abstractNumId="5">
    <w:nsid w:val="42C296BD"/>
    <w:multiLevelType w:val="hybridMultilevel"/>
    <w:lvl w:ilvl="0">
      <w:lvlJc w:val="left"/>
      <w:lvlText w:val="(%1)"/>
      <w:numFmt w:val="upperLetter"/>
      <w:start w:val="1"/>
    </w:lvl>
  </w:abstractNum>
  <w:abstractNum w:abstractNumId="6">
    <w:nsid w:val="168E121F"/>
    <w:multiLevelType w:val="hybridMultilevel"/>
    <w:lvl w:ilvl="0">
      <w:lvlJc w:val="left"/>
      <w:lvlText w:val="(%1)"/>
      <w:numFmt w:val="lowerLetter"/>
      <w:start w:val="2"/>
    </w:lvl>
  </w:abstractNum>
  <w:abstractNum w:abstractNumId="7">
    <w:nsid w:val="1EBA5D23"/>
    <w:multiLevelType w:val="hybridMultilevel"/>
    <w:lvl w:ilvl="0">
      <w:lvlJc w:val="left"/>
      <w:lvlText w:val="(%1)"/>
      <w:numFmt w:val="lowerLetter"/>
      <w:start w:val="1"/>
    </w:lvl>
  </w:abstractNum>
  <w:abstractNum w:abstractNumId="8">
    <w:nsid w:val="661E3F1E"/>
    <w:multiLevelType w:val="hybridMultilevel"/>
    <w:lvl w:ilvl="0">
      <w:lvlJc w:val="left"/>
      <w:lvlText w:val="(%1)"/>
      <w:numFmt w:val="lowerLetter"/>
      <w:start w:val="5"/>
    </w:lvl>
  </w:abstractNum>
  <w:abstractNum w:abstractNumId="9">
    <w:nsid w:val="5DC79EA8"/>
    <w:multiLevelType w:val="hybridMultilevel"/>
    <w:lvl w:ilvl="0">
      <w:lvlJc w:val="left"/>
      <w:lvlText w:val="%1"/>
      <w:numFmt w:val="lowerRoman"/>
      <w:start w:val="1"/>
    </w:lvl>
    <w:lvl w:ilvl="1">
      <w:lvlJc w:val="left"/>
      <w:lvlText w:val="(%2)"/>
      <w:numFmt w:val="lowerLetter"/>
      <w:start w:val="12"/>
    </w:lvl>
  </w:abstractNum>
  <w:abstractNum w:abstractNumId="10">
    <w:nsid w:val="540A471C"/>
    <w:multiLevelType w:val="hybridMultilevel"/>
    <w:lvl w:ilvl="0">
      <w:lvlJc w:val="left"/>
      <w:lvlText w:val="(%1)"/>
      <w:numFmt w:val="lowerRoman"/>
      <w:start w:val="6"/>
    </w:lvl>
    <w:lvl w:ilvl="1">
      <w:lvlJc w:val="left"/>
      <w:lvlText w:val="%2"/>
      <w:numFmt w:val="lowerLetter"/>
      <w:start w:val="1"/>
    </w:lvl>
  </w:abstractNum>
  <w:abstractNum w:abstractNumId="11">
    <w:nsid w:val="7BD3EE7B"/>
    <w:multiLevelType w:val="hybridMultilevel"/>
    <w:lvl w:ilvl="0">
      <w:lvlJc w:val="left"/>
      <w:lvlText w:val="(%1)"/>
      <w:numFmt w:val="lowerRoman"/>
      <w:start w:val="9"/>
    </w:lvl>
    <w:lvl w:ilvl="1">
      <w:lvlJc w:val="left"/>
      <w:lvlText w:val="(%2)"/>
      <w:numFmt w:val="lowerLetter"/>
      <w:start w:val="18"/>
    </w:lvl>
  </w:abstractNum>
  <w:abstractNum w:abstractNumId="12">
    <w:nsid w:val="51D9C564"/>
    <w:multiLevelType w:val="hybridMultilevel"/>
    <w:lvl w:ilvl="0">
      <w:lvlJc w:val="left"/>
      <w:lvlText w:val="(%1)"/>
      <w:numFmt w:val="lowerLetter"/>
      <w:start w:val="22"/>
    </w:lvl>
  </w:abstractNum>
  <w:abstractNum w:abstractNumId="13">
    <w:nsid w:val="613EFDC5"/>
    <w:multiLevelType w:val="hybridMultilevel"/>
    <w:lvl w:ilvl="0">
      <w:lvlJc w:val="left"/>
      <w:lvlText w:val="(%1)"/>
      <w:numFmt w:val="lowerLetter"/>
      <w:start w:val="3"/>
    </w:lvl>
  </w:abstractNum>
  <w:abstractNum w:abstractNumId="14">
    <w:nsid w:val="BF72B14"/>
    <w:multiLevelType w:val="hybridMultilevel"/>
    <w:lvl w:ilvl="0">
      <w:lvlJc w:val="left"/>
      <w:lvlText w:val="(%1)"/>
      <w:numFmt w:val="lowerLetter"/>
      <w:start w:val="2"/>
    </w:lvl>
  </w:abstractNum>
  <w:abstractNum w:abstractNumId="15">
    <w:nsid w:val="11447B73"/>
    <w:multiLevelType w:val="hybridMultilevel"/>
    <w:lvl w:ilvl="0">
      <w:lvlJc w:val="left"/>
      <w:lvlText w:val="%1"/>
      <w:numFmt w:val="lowerLetter"/>
      <w:start w:val="1"/>
    </w:lvl>
    <w:lvl w:ilvl="1">
      <w:lvlJc w:val="left"/>
      <w:lvlText w:val="(%2)"/>
      <w:numFmt w:val="lowerLetter"/>
      <w:start w:val="2"/>
    </w:lvl>
  </w:abstractNum>
  <w:abstractNum w:abstractNumId="16">
    <w:nsid w:val="42963E5A"/>
    <w:multiLevelType w:val="hybridMultilevel"/>
    <w:lvl w:ilvl="0">
      <w:lvlJc w:val="left"/>
      <w:lvlText w:val="(%1)"/>
      <w:numFmt w:val="lowerLetter"/>
      <w:start w:val="9"/>
    </w:lvl>
    <w:lvl w:ilvl="1">
      <w:lvlJc w:val="left"/>
      <w:lvlText w:val="(%2)"/>
      <w:numFmt w:val="lowerLetter"/>
      <w:start w:val="3"/>
    </w:lvl>
  </w:abstractNum>
  <w:abstractNum w:abstractNumId="17">
    <w:nsid w:val="A0382C5"/>
    <w:multiLevelType w:val="hybridMultilevel"/>
    <w:lvl w:ilvl="0">
      <w:lvlJc w:val="left"/>
      <w:lvlText w:val="(%1)"/>
      <w:numFmt w:val="lowerLetter"/>
      <w:start w:val="1"/>
    </w:lvl>
  </w:abstractNum>
  <w:abstractNum w:abstractNumId="18">
    <w:nsid w:val="8F2B15E"/>
    <w:multiLevelType w:val="hybridMultilevel"/>
    <w:lvl w:ilvl="0">
      <w:lvlJc w:val="left"/>
      <w:lvlText w:val="(%1)"/>
      <w:numFmt w:val="lowerLetter"/>
      <w:start w:val="2"/>
    </w:lvl>
  </w:abstractNum>
  <w:abstractNum w:abstractNumId="19">
    <w:nsid w:val="1A32234B"/>
    <w:multiLevelType w:val="hybridMultilevel"/>
    <w:lvl w:ilvl="0">
      <w:lvlJc w:val="left"/>
      <w:lvlText w:val="(%1)"/>
      <w:numFmt w:val="lowerLetter"/>
      <w:start w:val="2"/>
    </w:lvl>
  </w:abstractNum>
  <w:abstractNum w:abstractNumId="20">
    <w:nsid w:val="3B0FD379"/>
    <w:multiLevelType w:val="hybridMultilevel"/>
    <w:lvl w:ilvl="0">
      <w:lvlJc w:val="left"/>
      <w:lvlText w:val="%1"/>
      <w:numFmt w:val="upperLetter"/>
      <w:start w:val="1"/>
    </w:lvl>
    <w:lvl w:ilvl="1">
      <w:lvlJc w:val="left"/>
      <w:lvlText w:val="(%2)"/>
      <w:numFmt w:val="lowerLetter"/>
      <w:start w:val="4"/>
    </w:lvl>
  </w:abstractNum>
  <w:abstractNum w:abstractNumId="21">
    <w:nsid w:val="68EB2F63"/>
    <w:multiLevelType w:val="hybridMultilevel"/>
    <w:lvl w:ilvl="0">
      <w:lvlJc w:val="left"/>
      <w:lvlText w:val="(%1)"/>
      <w:numFmt w:val="upperLetter"/>
      <w:start w:val="3"/>
    </w:lvl>
    <w:lvl w:ilvl="1">
      <w:lvlJc w:val="left"/>
      <w:lvlText w:val="(%2)"/>
      <w:numFmt w:val="lowerLetter"/>
      <w:start w:val="6"/>
    </w:lvl>
  </w:abstractNum>
  <w:abstractNum w:abstractNumId="22">
    <w:nsid w:val="4962813B"/>
    <w:multiLevelType w:val="hybridMultilevel"/>
    <w:lvl w:ilvl="0">
      <w:lvlJc w:val="left"/>
      <w:lvlText w:val="(%1)"/>
      <w:numFmt w:val="lowerLetter"/>
      <w:start w:val="7"/>
    </w:lvl>
  </w:abstractNum>
  <w:abstractNum w:abstractNumId="23">
    <w:nsid w:val="60B6DF70"/>
    <w:multiLevelType w:val="hybridMultilevel"/>
    <w:lvl w:ilvl="0">
      <w:lvlJc w:val="left"/>
      <w:lvlText w:val="(%1)"/>
      <w:numFmt w:val="lowerLetter"/>
      <w:start w:val="2"/>
    </w:lvl>
  </w:abstractNum>
  <w:abstractNum w:abstractNumId="24">
    <w:nsid w:val="6A5EE64"/>
    <w:multiLevelType w:val="hybridMultilevel"/>
    <w:lvl w:ilvl="0">
      <w:lvlJc w:val="left"/>
      <w:lvlText w:val="(%1)"/>
      <w:numFmt w:val="lowerLetter"/>
      <w:start w:val="2"/>
    </w:lvl>
  </w:abstractNum>
  <w:abstractNum w:abstractNumId="25">
    <w:nsid w:val="14330624"/>
    <w:multiLevelType w:val="hybridMultilevel"/>
    <w:lvl w:ilvl="0">
      <w:lvlJc w:val="left"/>
      <w:lvlText w:val="(%1)"/>
      <w:numFmt w:val="lowerLetter"/>
      <w:start w:val="2"/>
    </w:lvl>
  </w:abstractNum>
  <w:abstractNum w:abstractNumId="26">
    <w:nsid w:val="7FFFCA11"/>
    <w:multiLevelType w:val="hybridMultilevel"/>
    <w:lvl w:ilvl="0">
      <w:lvlJc w:val="left"/>
      <w:lvlText w:val="(%1)"/>
      <w:numFmt w:val="lowerLetter"/>
      <w:start w:val="2"/>
    </w:lvl>
  </w:abstractNum>
  <w:abstractNum w:abstractNumId="27">
    <w:nsid w:val="1A27709E"/>
    <w:multiLevelType w:val="hybridMultilevel"/>
    <w:lvl w:ilvl="0">
      <w:lvlJc w:val="left"/>
      <w:lvlText w:val="(%1)"/>
      <w:numFmt w:val="lowerRoman"/>
      <w:start w:val="1"/>
    </w:lvl>
  </w:abstractNum>
  <w:abstractNum w:abstractNumId="28">
    <w:nsid w:val="71EA1109"/>
    <w:multiLevelType w:val="hybridMultilevel"/>
    <w:lvl w:ilvl="0">
      <w:lvlJc w:val="left"/>
      <w:lvlText w:val="(%1)"/>
      <w:numFmt w:val="lowerLetter"/>
      <w:start w:val="2"/>
    </w:lvl>
  </w:abstractNum>
  <w:abstractNum w:abstractNumId="29">
    <w:nsid w:val="100F59DC"/>
    <w:multiLevelType w:val="hybridMultilevel"/>
    <w:lvl w:ilvl="0">
      <w:lvlJc w:val="left"/>
      <w:lvlText w:val="(%1)"/>
      <w:numFmt w:val="lowerLetter"/>
      <w:start w:val="2"/>
    </w:lvl>
  </w:abstractNum>
  <w:abstractNum w:abstractNumId="30">
    <w:nsid w:val="7FB7E0AA"/>
    <w:multiLevelType w:val="hybridMultilevel"/>
    <w:lvl w:ilvl="0">
      <w:lvlJc w:val="left"/>
      <w:lvlText w:val="(%1)"/>
      <w:numFmt w:val="lowerLetter"/>
      <w:start w:val="5"/>
    </w:lvl>
  </w:abstractNum>
  <w:abstractNum w:abstractNumId="31">
    <w:nsid w:val="6EB5BD4"/>
    <w:multiLevelType w:val="hybridMultilevel"/>
    <w:lvl w:ilvl="0">
      <w:lvlJc w:val="left"/>
      <w:lvlText w:val="(%1)"/>
      <w:numFmt w:val="lowerRoman"/>
      <w:start w:val="1"/>
    </w:lvl>
  </w:abstractNum>
  <w:abstractNum w:abstractNumId="32">
    <w:nsid w:val="6F6DD9AC"/>
    <w:multiLevelType w:val="hybridMultilevel"/>
    <w:lvl w:ilvl="0">
      <w:lvlJc w:val="left"/>
      <w:lvlText w:val="(%1)"/>
      <w:numFmt w:val="lowerLetter"/>
      <w:start w:val="2"/>
    </w:lvl>
  </w:abstractNum>
  <w:abstractNum w:abstractNumId="33">
    <w:nsid w:val="94211F2"/>
    <w:multiLevelType w:val="hybridMultilevel"/>
    <w:lvl w:ilvl="0">
      <w:lvlJc w:val="left"/>
      <w:lvlText w:val="(%1)"/>
      <w:numFmt w:val="lowerLetter"/>
      <w:start w:val="2"/>
    </w:lvl>
  </w:abstractNum>
  <w:abstractNum w:abstractNumId="34">
    <w:nsid w:val="885E1B"/>
    <w:multiLevelType w:val="hybridMultilevel"/>
    <w:lvl w:ilvl="0">
      <w:lvlJc w:val="left"/>
      <w:lvlText w:val="(%1)"/>
      <w:numFmt w:val="lowerLetter"/>
      <w:start w:val="5"/>
    </w:lvl>
  </w:abstractNum>
  <w:abstractNum w:abstractNumId="35">
    <w:nsid w:val="76272110"/>
    <w:multiLevelType w:val="hybridMultilevel"/>
    <w:lvl w:ilvl="0">
      <w:lvlJc w:val="left"/>
      <w:lvlText w:val="(%1)"/>
      <w:numFmt w:val="lowerRoman"/>
      <w:start w:val="1"/>
    </w:lvl>
  </w:abstractNum>
  <w:abstractNum w:abstractNumId="36">
    <w:nsid w:val="4C04A8AF"/>
    <w:multiLevelType w:val="hybridMultilevel"/>
    <w:lvl w:ilvl="0">
      <w:lvlJc w:val="left"/>
      <w:lvlText w:val="(%1)"/>
      <w:numFmt w:val="lowerRoman"/>
      <w:start w:val="4"/>
    </w:lvl>
    <w:lvl w:ilvl="1">
      <w:lvlJc w:val="left"/>
      <w:lvlText w:val="(%2)"/>
      <w:numFmt w:val="upperLetter"/>
      <w:start w:val="2"/>
    </w:lvl>
    <w:lvl w:ilvl="2">
      <w:lvlJc w:val="left"/>
      <w:lvlText w:val="%3"/>
      <w:numFmt w:val="decimal"/>
      <w:start w:val="1"/>
    </w:lvl>
  </w:abstractNum>
  <w:abstractNum w:abstractNumId="37">
    <w:nsid w:val="1716703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8">
    <w:nsid w:val="14E17E33"/>
    <w:multiLevelType w:val="hybridMultilevel"/>
    <w:lvl w:ilvl="0">
      <w:lvlJc w:val="left"/>
      <w:lvlText w:val="(%1)"/>
      <w:numFmt w:val="decimal"/>
      <w:start w:val="2"/>
    </w:lvl>
  </w:abstractNum>
  <w:abstractNum w:abstractNumId="39">
    <w:nsid w:val="3222E7CD"/>
    <w:multiLevelType w:val="hybridMultilevel"/>
    <w:lvl w:ilvl="0">
      <w:lvlJc w:val="left"/>
      <w:lvlText w:val="(%1)"/>
      <w:numFmt w:val="lowerRoman"/>
      <w:start w:val="6"/>
    </w:lvl>
  </w:abstractNum>
  <w:abstractNum w:abstractNumId="40">
    <w:nsid w:val="74DE0EE3"/>
    <w:multiLevelType w:val="hybridMultilevel"/>
    <w:lvl w:ilvl="0">
      <w:lvlJc w:val="left"/>
      <w:lvlText w:val="(%1)"/>
      <w:numFmt w:val="lowerLetter"/>
      <w:start w:val="6"/>
    </w:lvl>
  </w:abstractNum>
  <w:abstractNum w:abstractNumId="41">
    <w:nsid w:val="68EBC550"/>
    <w:multiLevelType w:val="hybridMultilevel"/>
    <w:lvl w:ilvl="0">
      <w:lvlJc w:val="left"/>
      <w:lvlText w:val="(%1)"/>
      <w:numFmt w:val="lowerLetter"/>
      <w:start w:val="7"/>
    </w:lvl>
  </w:abstractNum>
  <w:abstractNum w:abstractNumId="42">
    <w:nsid w:val="2DF6D648"/>
    <w:multiLevelType w:val="hybridMultilevel"/>
    <w:lvl w:ilvl="0">
      <w:lvlJc w:val="left"/>
      <w:lvlText w:val="(%1)"/>
      <w:numFmt w:val="lowerLetter"/>
      <w:start w:val="1"/>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2"/>
    </w:lvl>
  </w:abstractNum>
  <w:abstractNum w:abstractNumId="45">
    <w:nsid w:val="39EE015C"/>
    <w:multiLevelType w:val="hybridMultilevel"/>
    <w:lvl w:ilvl="0">
      <w:lvlJc w:val="left"/>
      <w:lvlText w:val="(%1)"/>
      <w:numFmt w:val="lowerLetter"/>
      <w:start w:val="4"/>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1"/>
    </w:lvl>
    <w:lvl w:ilvl="1">
      <w:lvlJc w:val="left"/>
      <w:lvlText w:val="(%2)"/>
      <w:numFmt w:val="lowerLetter"/>
      <w:start w:val="2"/>
    </w:lvl>
  </w:abstractNum>
  <w:abstractNum w:abstractNumId="48">
    <w:nsid w:val="43F18422"/>
    <w:multiLevelType w:val="hybridMultilevel"/>
    <w:lvl w:ilvl="0">
      <w:lvlJc w:val="left"/>
      <w:lvlText w:val="(%1)"/>
      <w:numFmt w:val="lowerLetter"/>
      <w:start w:val="9"/>
    </w:lvl>
    <w:lvl w:ilvl="1">
      <w:lvlJc w:val="left"/>
      <w:lvlText w:val="(%2)"/>
      <w:numFmt w:val="lowerLetter"/>
      <w:start w:val="4"/>
    </w:lvl>
  </w:abstractNum>
  <w:abstractNum w:abstractNumId="49">
    <w:nsid w:val="60EF0119"/>
    <w:multiLevelType w:val="hybridMultilevel"/>
    <w:lvl w:ilvl="0">
      <w:lvlJc w:val="left"/>
      <w:lvlText w:val="(%1)"/>
      <w:numFmt w:val="lowerLetter"/>
      <w:start w:val="35"/>
    </w:lvl>
    <w:lvl w:ilvl="1">
      <w:lvlJc w:val="left"/>
      <w:lvlText w:val="(%2)"/>
      <w:numFmt w:val="lowerLetter"/>
      <w:start w:val="5"/>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2"/>
    </w:lvl>
  </w:abstractNum>
  <w:abstractNum w:abstractNumId="52">
    <w:nsid w:val="49DA307D"/>
    <w:multiLevelType w:val="hybridMultilevel"/>
    <w:lvl w:ilvl="0">
      <w:lvlJc w:val="left"/>
      <w:lvlText w:val="%1"/>
      <w:numFmt w:val="lowerLetter"/>
      <w:start w:val="1"/>
    </w:lvl>
    <w:lvl w:ilvl="1">
      <w:lvlJc w:val="left"/>
      <w:lvlText w:val="(%2)"/>
      <w:numFmt w:val="lowerLetter"/>
      <w:start w:val="2"/>
    </w:lvl>
  </w:abstractNum>
  <w:abstractNum w:abstractNumId="53">
    <w:nsid w:val="7055A5F5"/>
    <w:multiLevelType w:val="hybridMultilevel"/>
    <w:lvl w:ilvl="0">
      <w:lvlJc w:val="left"/>
      <w:lvlText w:val="(%1)"/>
      <w:numFmt w:val="lowerLetter"/>
      <w:start w:val="23"/>
    </w:lvl>
    <w:lvl w:ilvl="1">
      <w:lvlJc w:val="left"/>
      <w:lvlText w:val="(%2)"/>
      <w:numFmt w:val="lowerLetter"/>
      <w:start w:val="3"/>
    </w:lvl>
  </w:abstractNum>
  <w:abstractNum w:abstractNumId="54">
    <w:nsid w:val="5FB8370B"/>
    <w:multiLevelType w:val="hybridMultilevel"/>
    <w:lvl w:ilvl="0">
      <w:lvlJc w:val="left"/>
      <w:lvlText w:val="(%1)"/>
      <w:numFmt w:val="lowerLetter"/>
      <w:start w:val="1"/>
    </w:lvl>
  </w:abstractNum>
  <w:abstractNum w:abstractNumId="55">
    <w:nsid w:val="50801EE1"/>
    <w:multiLevelType w:val="hybridMultilevel"/>
    <w:lvl w:ilvl="0">
      <w:lvlJc w:val="left"/>
      <w:lvlText w:val="(%1)"/>
      <w:numFmt w:val="lowerLetter"/>
      <w:start w:val="1"/>
    </w:lvl>
  </w:abstractNum>
  <w:abstractNum w:abstractNumId="56">
    <w:nsid w:val="488AC1A"/>
    <w:multiLevelType w:val="hybridMultilevel"/>
    <w:lvl w:ilvl="0">
      <w:lvlJc w:val="left"/>
      <w:lvlText w:val="(%1)"/>
      <w:numFmt w:val="lowerLetter"/>
      <w:start w:val="2"/>
    </w:lvl>
  </w:abstractNum>
  <w:abstractNum w:abstractNumId="57">
    <w:nsid w:val="5FB8011C"/>
    <w:multiLevelType w:val="hybridMultilevel"/>
    <w:lvl w:ilvl="0">
      <w:lvlJc w:val="left"/>
      <w:lvlText w:val="(%1)"/>
      <w:numFmt w:val="lowerLetter"/>
      <w:start w:val="1"/>
    </w:lvl>
  </w:abstractNum>
  <w:abstractNum w:abstractNumId="58">
    <w:nsid w:val="6AA78F7F"/>
    <w:multiLevelType w:val="hybridMultilevel"/>
    <w:lvl w:ilvl="0">
      <w:lvlJc w:val="left"/>
      <w:lvlText w:val="(%1)"/>
      <w:numFmt w:val="lowerLetter"/>
      <w:start w:val="3"/>
    </w:lvl>
  </w:abstractNum>
  <w:abstractNum w:abstractNumId="59">
    <w:nsid w:val="7672BD23"/>
    <w:multiLevelType w:val="hybridMultilevel"/>
    <w:lvl w:ilvl="0">
      <w:lvlJc w:val="left"/>
      <w:lvlText w:val="(%1)"/>
      <w:numFmt w:val="lowerRoman"/>
      <w:start w:val="2"/>
    </w:lvl>
  </w:abstractNum>
  <w:abstractNum w:abstractNumId="60">
    <w:nsid w:val="6FC75AF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61">
    <w:nsid w:val="6A5F7029"/>
    <w:multiLevelType w:val="hybridMultilevel"/>
    <w:lvl w:ilvl="0">
      <w:lvlJc w:val="left"/>
      <w:lvlText w:val="%1"/>
      <w:numFmt w:val="lowerLetter"/>
      <w:start w:val="1"/>
    </w:lvl>
    <w:lvl w:ilvl="1">
      <w:lvlJc w:val="left"/>
      <w:lvlText w:val="(%2)"/>
      <w:numFmt w:val="lowerRoman"/>
      <w:start w:val="2"/>
    </w:lvl>
  </w:abstractNum>
  <w:abstractNum w:abstractNumId="62">
    <w:nsid w:val="7D5E18F8"/>
    <w:multiLevelType w:val="hybridMultilevel"/>
    <w:lvl w:ilvl="0">
      <w:lvlJc w:val="left"/>
      <w:lvlText w:val="(%1)"/>
      <w:numFmt w:val="lowerLetter"/>
      <w:start w:val="3"/>
    </w:lvl>
    <w:lvl w:ilvl="1">
      <w:lvlJc w:val="left"/>
      <w:lvlText w:val="%2"/>
      <w:numFmt w:val="lowerRoman"/>
      <w:start w:val="1"/>
    </w:lvl>
  </w:abstractNum>
  <w:abstractNum w:abstractNumId="63">
    <w:nsid w:val="5F3534A4"/>
    <w:multiLevelType w:val="hybridMultilevel"/>
    <w:lvl w:ilvl="0">
      <w:lvlJc w:val="left"/>
      <w:lvlText w:val="(%1)"/>
      <w:numFmt w:val="upperLetter"/>
      <w:start w:val="1"/>
    </w:lvl>
  </w:abstractNum>
  <w:abstractNum w:abstractNumId="64">
    <w:nsid w:val="73A1821B"/>
    <w:multiLevelType w:val="hybridMultilevel"/>
    <w:lvl w:ilvl="0">
      <w:lvlJc w:val="left"/>
      <w:lvlText w:val="(%1)"/>
      <w:numFmt w:val="lowerLetter"/>
      <w:start w:val="2"/>
    </w:lvl>
  </w:abstractNum>
  <w:abstractNum w:abstractNumId="65">
    <w:nsid w:val="7DE67713"/>
    <w:multiLevelType w:val="hybridMultilevel"/>
    <w:lvl w:ilvl="0">
      <w:lvlJc w:val="left"/>
      <w:lvlText w:val="%1"/>
      <w:numFmt w:val="upperLetter"/>
      <w:start w:val="1"/>
    </w:lvl>
    <w:lvl w:ilvl="1">
      <w:lvlJc w:val="left"/>
      <w:lvlText w:val="(%2)"/>
      <w:numFmt w:val="lowerRoman"/>
      <w:start w:val="1"/>
    </w:lvl>
  </w:abstractNum>
  <w:abstractNum w:abstractNumId="66">
    <w:nsid w:val="555C55B5"/>
    <w:multiLevelType w:val="hybridMultilevel"/>
    <w:lvl w:ilvl="0">
      <w:lvlJc w:val="left"/>
      <w:lvlText w:val="(%1)"/>
      <w:numFmt w:val="upperLetter"/>
      <w:start w:val="1"/>
    </w:lvl>
    <w:lvl w:ilvl="1">
      <w:lvlJc w:val="left"/>
      <w:lvlText w:val="%2"/>
      <w:numFmt w:val="lowerRoman"/>
      <w:start w:val="1"/>
    </w:lvl>
  </w:abstractNum>
  <w:abstractNum w:abstractNumId="67">
    <w:nsid w:val="3FA62ACA"/>
    <w:multiLevelType w:val="hybridMultilevel"/>
    <w:lvl w:ilvl="0">
      <w:lvlJc w:val="left"/>
      <w:lvlText w:val="(%1)"/>
      <w:numFmt w:val="lowerRoman"/>
      <w:start w:val="2"/>
    </w:lvl>
  </w:abstractNum>
  <w:abstractNum w:abstractNumId="68">
    <w:nsid w:val="14FCE74E"/>
    <w:multiLevelType w:val="hybridMultilevel"/>
    <w:lvl w:ilvl="0">
      <w:lvlJc w:val="left"/>
      <w:lvlText w:val="(%1)"/>
      <w:numFmt w:val="lowerLetter"/>
      <w:start w:val="2"/>
    </w:lvl>
  </w:abstractNum>
  <w:abstractNum w:abstractNumId="69">
    <w:nsid w:val="6A3DD3E8"/>
    <w:multiLevelType w:val="hybridMultilevel"/>
    <w:lvl w:ilvl="0">
      <w:lvlJc w:val="left"/>
      <w:lvlText w:val="(%1)"/>
      <w:numFmt w:val="lowerLetter"/>
      <w:start w:val="3"/>
    </w:lvl>
  </w:abstractNum>
  <w:abstractNum w:abstractNumId="70">
    <w:nsid w:val="71C91298"/>
    <w:multiLevelType w:val="hybridMultilevel"/>
    <w:lvl w:ilvl="0">
      <w:lvlJc w:val="left"/>
      <w:lvlText w:val="(%1)"/>
      <w:numFmt w:val="lowerRoman"/>
      <w:start w:val="3"/>
    </w:lvl>
  </w:abstractNum>
  <w:abstractNum w:abstractNumId="71">
    <w:nsid w:val="9DAF632"/>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72">
    <w:nsid w:val="53299938"/>
    <w:multiLevelType w:val="hybridMultilevel"/>
    <w:lvl w:ilvl="0">
      <w:lvlJc w:val="left"/>
      <w:lvlText w:val="(%1)"/>
      <w:numFmt w:val="lowerLetter"/>
      <w:start w:val="25"/>
    </w:lvl>
  </w:abstractNum>
  <w:abstractNum w:abstractNumId="73">
    <w:nsid w:val="1FBFE8E0"/>
    <w:multiLevelType w:val="hybridMultilevel"/>
    <w:lvl w:ilvl="0">
      <w:lvlJc w:val="left"/>
      <w:lvlText w:val="(%1)"/>
      <w:numFmt w:val="lowerRoman"/>
      <w:start w:val="2"/>
    </w:lvl>
    <w:lvl w:ilvl="1">
      <w:lvlJc w:val="left"/>
      <w:lvlText w:val="(%2)"/>
      <w:numFmt w:val="upperLetter"/>
      <w:start w:val="1"/>
    </w:lvl>
  </w:abstractNum>
  <w:abstractNum w:abstractNumId="74">
    <w:nsid w:val="5092CA79"/>
    <w:multiLevelType w:val="hybridMultilevel"/>
    <w:lvl w:ilvl="0">
      <w:lvlJc w:val="left"/>
      <w:lvlText w:val="%1"/>
      <w:numFmt w:val="lowerRoman"/>
      <w:start w:val="1"/>
    </w:lvl>
    <w:lvl w:ilvl="1">
      <w:lvlJc w:val="left"/>
      <w:lvlText w:val="(%2)"/>
      <w:numFmt w:val="upperLetter"/>
      <w:start w:val="2"/>
    </w:lvl>
  </w:abstractNum>
  <w:abstractNum w:abstractNumId="75">
    <w:nsid w:val="1D545C4D"/>
    <w:multiLevelType w:val="hybridMultilevel"/>
    <w:lvl w:ilvl="0">
      <w:lvlJc w:val="left"/>
      <w:lvlText w:val="(%1)"/>
      <w:numFmt w:val="lowerRoman"/>
      <w:start w:val="3"/>
    </w:lvl>
    <w:lvl w:ilvl="1">
      <w:lvlJc w:val="left"/>
      <w:lvlText w:val="%2"/>
      <w:numFmt w:val="upperLetter"/>
      <w:start w:val="1"/>
    </w:lvl>
  </w:abstractNum>
  <w:abstractNum w:abstractNumId="76">
    <w:nsid w:val="59ADEA3D"/>
    <w:multiLevelType w:val="hybridMultilevel"/>
    <w:lvl w:ilvl="0">
      <w:lvlJc w:val="left"/>
      <w:lvlText w:val="(%1)"/>
      <w:numFmt w:val="lowerLetter"/>
      <w:start w:val="3"/>
    </w:lvl>
  </w:abstractNum>
  <w:abstractNum w:abstractNumId="77">
    <w:nsid w:val="288F1A34"/>
    <w:multiLevelType w:val="hybridMultilevel"/>
    <w:lvl w:ilvl="0">
      <w:lvlJc w:val="left"/>
      <w:lvlText w:val="(%1)"/>
      <w:numFmt w:val="lowerLetter"/>
      <w:start w:val="35"/>
    </w:lvl>
    <w:lvl w:ilvl="1">
      <w:lvlJc w:val="left"/>
      <w:lvlText w:val="%2"/>
      <w:numFmt w:val="lowerLetter"/>
      <w:start w:val="1"/>
    </w:lvl>
  </w:abstractNum>
  <w:abstractNum w:abstractNumId="78">
    <w:nsid w:val="2A155DBC"/>
    <w:multiLevelType w:val="hybridMultilevel"/>
    <w:lvl w:ilvl="0">
      <w:lvlJc w:val="left"/>
      <w:lvlText w:val="(%1)"/>
      <w:numFmt w:val="lowerLetter"/>
      <w:start w:val="4"/>
    </w:lvl>
    <w:lvl w:ilvl="1">
      <w:lvlJc w:val="left"/>
      <w:lvlText w:val="%2"/>
      <w:numFmt w:val="lowerLetter"/>
      <w:start w:val="1"/>
    </w:lvl>
  </w:abstractNum>
  <w:abstractNum w:abstractNumId="79">
    <w:nsid w:val="1D9F6E5F"/>
    <w:multiLevelType w:val="hybridMultilevel"/>
    <w:lvl w:ilvl="0">
      <w:lvlJc w:val="left"/>
      <w:lvlText w:val="(%1)"/>
      <w:numFmt w:val="lowerLetter"/>
      <w:start w:val="5"/>
    </w:lvl>
  </w:abstractNum>
  <w:abstractNum w:abstractNumId="80">
    <w:nsid w:val="97E1B4E"/>
    <w:multiLevelType w:val="hybridMultilevel"/>
    <w:lvl w:ilvl="0">
      <w:lvlJc w:val="left"/>
      <w:lvlText w:val="(%1)"/>
      <w:numFmt w:val="lowerRoman"/>
      <w:start w:val="1"/>
    </w:lvl>
    <w:lvl w:ilvl="1">
      <w:lvlJc w:val="left"/>
      <w:lvlText w:val="(%2)"/>
      <w:numFmt w:val="lowerLetter"/>
      <w:start w:val="2"/>
    </w:lvl>
  </w:abstractNum>
  <w:abstractNum w:abstractNumId="81">
    <w:nsid w:val="51088277"/>
    <w:multiLevelType w:val="hybridMultilevel"/>
    <w:lvl w:ilvl="0">
      <w:lvlJc w:val="left"/>
      <w:lvlText w:val="(%1)"/>
      <w:numFmt w:val="lowerLetter"/>
      <w:start w:val="1"/>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Roman"/>
      <w:start w:val="1"/>
    </w:lvl>
    <w:lvl w:ilvl="1">
      <w:lvlJc w:val="left"/>
      <w:lvlText w:val="(%2)"/>
      <w:numFmt w:val="lowerLetter"/>
      <w:start w:val="1"/>
    </w:lvl>
  </w:abstractNum>
  <w:abstractNum w:abstractNumId="84">
    <w:nsid w:val="415E286C"/>
    <w:multiLevelType w:val="hybridMultilevel"/>
    <w:lvl w:ilvl="0">
      <w:lvlJc w:val="left"/>
      <w:lvlText w:val="(%1)"/>
      <w:numFmt w:val="lowerRoman"/>
      <w:start w:val="1"/>
    </w:lvl>
    <w:lvl w:ilvl="1">
      <w:lvlJc w:val="left"/>
      <w:lvlText w:val="%2"/>
      <w:numFmt w:val="lowerLetter"/>
      <w:start w:val="1"/>
    </w:lvl>
  </w:abstractNum>
  <w:abstractNum w:abstractNumId="85">
    <w:nsid w:val="7C58FD05"/>
    <w:multiLevelType w:val="hybridMultilevel"/>
    <w:lvl w:ilvl="0">
      <w:lvlJc w:val="left"/>
      <w:lvlText w:val="1"/>
      <w:numFmt w:val="bullet"/>
      <w:start w:val="1"/>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lowerLetter"/>
      <w:start w:val="1"/>
    </w:lvl>
  </w:abstractNum>
  <w:abstractNum w:abstractNumId="89">
    <w:nsid w:val="E7FFA2B"/>
    <w:multiLevelType w:val="hybridMultilevel"/>
    <w:lvl w:ilvl="0">
      <w:lvlJc w:val="left"/>
      <w:lvlText w:val="(%1)"/>
      <w:numFmt w:val="lowerLetter"/>
      <w:start w:val="3"/>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Letter"/>
      <w:start w:val="1"/>
    </w:lvl>
  </w:abstractNum>
  <w:abstractNum w:abstractNumId="92">
    <w:nsid w:val="78DF6A55"/>
    <w:multiLevelType w:val="hybridMultilevel"/>
    <w:lvl w:ilvl="0">
      <w:lvlJc w:val="left"/>
      <w:lvlText w:val="(%1)"/>
      <w:numFmt w:val="lowerLetter"/>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upperLetter"/>
      <w:start w:val="1"/>
    </w:lvl>
  </w:abstractNum>
  <w:abstractNum w:abstractNumId="95">
    <w:nsid w:val="6C80EC70"/>
    <w:multiLevelType w:val="hybridMultilevel"/>
    <w:lvl w:ilvl="0">
      <w:lvlJc w:val="left"/>
      <w:lvlText w:val="1"/>
      <w:numFmt w:val="bullet"/>
      <w:start w:val="1"/>
    </w:lvl>
  </w:abstractNum>
  <w:abstractNum w:abstractNumId="96">
    <w:nsid w:val="379E21B5"/>
    <w:multiLevelType w:val="hybridMultilevel"/>
    <w:lvl w:ilvl="0">
      <w:lvlJc w:val="left"/>
      <w:lvlText w:val="2"/>
      <w:numFmt w:val="bullet"/>
      <w:start w:val="1"/>
    </w:lvl>
  </w:abstractNum>
  <w:abstractNum w:abstractNumId="97">
    <w:nsid w:val="69E373"/>
    <w:multiLevelType w:val="hybridMultilevel"/>
    <w:lvl w:ilvl="0">
      <w:lvlJc w:val="left"/>
      <w:lvlText w:val="3"/>
      <w:numFmt w:val="bullet"/>
      <w:start w:val="1"/>
    </w:lvl>
  </w:abstractNum>
  <w:abstractNum w:abstractNumId="98">
    <w:nsid w:val="2C27173B"/>
    <w:multiLevelType w:val="hybridMultilevel"/>
    <w:lvl w:ilvl="0">
      <w:lvlJc w:val="left"/>
      <w:lvlText w:val="(%1)"/>
      <w:numFmt w:val="upperLetter"/>
      <w:start w:val="3"/>
    </w:lvl>
  </w:abstractNum>
  <w:abstractNum w:abstractNumId="99">
    <w:nsid w:val="4C9B0904"/>
    <w:multiLevelType w:val="hybridMultilevel"/>
    <w:lvl w:ilvl="0">
      <w:lvlJc w:val="left"/>
      <w:lvlText w:val="4"/>
      <w:numFmt w:val="bullet"/>
      <w:start w:val="1"/>
    </w:lvl>
  </w:abstractNum>
  <w:abstractNum w:abstractNumId="100">
    <w:nsid w:val="6AA7B75C"/>
    <w:multiLevelType w:val="hybridMultilevel"/>
    <w:lvl w:ilvl="0">
      <w:lvlJc w:val="left"/>
      <w:lvlText w:val="5"/>
      <w:numFmt w:val="bullet"/>
      <w:start w:val="1"/>
    </w:lvl>
  </w:abstractNum>
  <w:abstractNum w:abstractNumId="101">
    <w:nsid w:val="1DF029D3"/>
    <w:multiLevelType w:val="hybridMultilevel"/>
    <w:lvl w:ilvl="0">
      <w:lvlJc w:val="left"/>
      <w:lvlText w:val="%1"/>
      <w:numFmt w:val="decimal"/>
      <w:start w:val="1"/>
    </w:lvl>
    <w:lvl w:ilvl="1">
      <w:lvlJc w:val="left"/>
      <w:lvlText w:val="(%2)"/>
      <w:numFmt w:val="upperLetter"/>
      <w:start w:val="1"/>
    </w:lvl>
  </w:abstractNum>
  <w:abstractNum w:abstractNumId="102">
    <w:nsid w:val="5675FF36"/>
    <w:multiLevelType w:val="hybridMultilevel"/>
    <w:lvl w:ilvl="0">
      <w:lvlJc w:val="left"/>
      <w:lvlText w:val="2"/>
      <w:numFmt w:val="bullet"/>
      <w:start w:val="1"/>
    </w:lvl>
  </w:abstractNum>
  <w:abstractNum w:abstractNumId="103">
    <w:nsid w:val="3DD15094"/>
    <w:multiLevelType w:val="hybridMultilevel"/>
    <w:lvl w:ilvl="0">
      <w:lvlJc w:val="left"/>
      <w:lvlText w:val="1"/>
      <w:numFmt w:val="bullet"/>
      <w:start w:val="1"/>
    </w:lvl>
  </w:abstractNum>
  <w:abstractNum w:abstractNumId="104">
    <w:nsid w:val="3DB012B3"/>
    <w:multiLevelType w:val="hybridMultilevel"/>
    <w:lvl w:ilvl="0">
      <w:lvlJc w:val="left"/>
      <w:lvlText w:val="2"/>
      <w:numFmt w:val="bullet"/>
      <w:start w:val="1"/>
    </w:lvl>
  </w:abstractNum>
  <w:abstractNum w:abstractNumId="105">
    <w:nsid w:val="2708C9AF"/>
    <w:multiLevelType w:val="hybridMultilevel"/>
    <w:lvl w:ilvl="0">
      <w:lvlJc w:val="left"/>
      <w:lvlText w:val="%1."/>
      <w:numFmt w:val="decimal"/>
      <w:start w:val="1"/>
    </w:lvl>
  </w:abstractNum>
  <w:abstractNum w:abstractNumId="106">
    <w:nsid w:val="5B25ACE2"/>
    <w:multiLevelType w:val="hybridMultilevel"/>
    <w:lvl w:ilvl="0">
      <w:lvlJc w:val="left"/>
      <w:lvlText w:val="%1."/>
      <w:numFmt w:val="decimal"/>
      <w:start w:val="4"/>
    </w:lvl>
  </w:abstractNum>
  <w:abstractNum w:abstractNumId="107">
    <w:nsid w:val="175DFCF0"/>
    <w:multiLevelType w:val="hybridMultilevel"/>
    <w:lvl w:ilvl="0">
      <w:lvlJc w:val="left"/>
      <w:lvlText w:val="%1"/>
      <w:numFmt w:val="decimal"/>
      <w:start w:val="1"/>
    </w:lvl>
    <w:lvl w:ilvl="1">
      <w:lvlJc w:val="left"/>
      <w:lvlText w:val="%2."/>
      <w:numFmt w:val="decimal"/>
      <w:start w:val="1"/>
    </w:lvl>
  </w:abstractNum>
  <w:abstractNum w:abstractNumId="108">
    <w:nsid w:val="4F97E3E4"/>
    <w:multiLevelType w:val="hybridMultilevel"/>
    <w:lvl w:ilvl="0">
      <w:lvlJc w:val="left"/>
      <w:lvlText w:val="%1."/>
      <w:numFmt w:val="decimal"/>
      <w:start w:val="2"/>
    </w:lvl>
    <w:lvl w:ilvl="1">
      <w:lvlJc w:val="left"/>
      <w:lvlText w:val="%2"/>
      <w:numFmt w:val="decimal"/>
      <w:start w:val="1"/>
    </w:lvl>
  </w:abstractNum>
  <w:abstractNum w:abstractNumId="109">
    <w:nsid w:val="53B0A9E"/>
    <w:multiLevelType w:val="hybridMultilevel"/>
    <w:lvl w:ilvl="0">
      <w:lvlJc w:val="left"/>
      <w:lvlText w:val="1"/>
      <w:numFmt w:val="bullet"/>
      <w:start w:val="1"/>
    </w:lvl>
  </w:abstractNum>
  <w:abstractNum w:abstractNumId="110">
    <w:nsid w:val="34FD6B4F"/>
    <w:multiLevelType w:val="hybridMultilevel"/>
    <w:lvl w:ilvl="0">
      <w:lvlJc w:val="left"/>
      <w:lvlText w:val="2"/>
      <w:numFmt w:val="bullet"/>
      <w:start w:val="1"/>
    </w:lvl>
  </w:abstractNum>
  <w:abstractNum w:abstractNumId="111">
    <w:nsid w:val="5915FF32"/>
    <w:multiLevelType w:val="hybridMultilevel"/>
    <w:lvl w:ilvl="0">
      <w:lvlJc w:val="left"/>
      <w:lvlText w:val="%1."/>
      <w:numFmt w:val="decimal"/>
      <w:start w:val="1"/>
    </w:lvl>
  </w:abstractNum>
  <w:abstractNum w:abstractNumId="112">
    <w:nsid w:val="56438D15"/>
    <w:multiLevelType w:val="hybridMultilevel"/>
    <w:lvl w:ilvl="0">
      <w:lvlJc w:val="left"/>
      <w:lvlText w:val="%1"/>
      <w:numFmt w:val="lowerLetter"/>
      <w:start w:val="1"/>
    </w:lvl>
    <w:lvl w:ilvl="1">
      <w:lvlJc w:val="left"/>
      <w:lvlText w:val="%2."/>
      <w:numFmt w:val="decimal"/>
      <w:start w:val="2"/>
    </w:lvl>
  </w:abstractNum>
  <w:abstractNum w:abstractNumId="113">
    <w:nsid w:val="519E3149"/>
    <w:multiLevelType w:val="hybridMultilevel"/>
    <w:lvl w:ilvl="0">
      <w:lvlJc w:val="left"/>
      <w:lvlText w:val="(%1)"/>
      <w:numFmt w:val="lowerLetter"/>
      <w:start w:val="2"/>
    </w:lvl>
    <w:lvl w:ilvl="1">
      <w:lvlJc w:val="left"/>
      <w:lvlText w:val="%2"/>
      <w:numFmt w:val="decimal"/>
      <w:start w:val="1"/>
    </w:lvl>
  </w:abstractNum>
  <w:abstractNum w:abstractNumId="114">
    <w:nsid w:val="2C6E4AFD"/>
    <w:multiLevelType w:val="hybridMultilevel"/>
    <w:lvl w:ilvl="0">
      <w:lvlJc w:val="left"/>
      <w:lvlText w:val="%1."/>
      <w:numFmt w:val="decimal"/>
      <w:start w:val="4"/>
    </w:lvl>
  </w:abstractNum>
  <w:abstractNum w:abstractNumId="115">
    <w:nsid w:val="17A1B582"/>
    <w:multiLevelType w:val="hybridMultilevel"/>
    <w:lvl w:ilvl="0">
      <w:lvlJc w:val="left"/>
      <w:lvlText w:val="1"/>
      <w:numFmt w:val="bullet"/>
      <w:start w:val="1"/>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bullet"/>
      <w:start w:val="1"/>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lowerRoman"/>
      <w:start w:val="2"/>
    </w:lvl>
  </w:abstractNum>
  <w:abstractNum w:abstractNumId="120">
    <w:nsid w:val="5EC6AFD4"/>
    <w:multiLevelType w:val="hybridMultilevel"/>
    <w:lvl w:ilvl="0">
      <w:lvlJc w:val="left"/>
      <w:lvlText w:val="%1"/>
      <w:numFmt w:val="decimal"/>
      <w:start w:val="1"/>
    </w:lvl>
    <w:lvl w:ilvl="1">
      <w:lvlJc w:val="left"/>
      <w:lvlText w:val="%2."/>
      <w:numFmt w:val="decimal"/>
      <w:start w:val="1"/>
    </w:lvl>
  </w:abstractNum>
  <w:abstractNum w:abstractNumId="121">
    <w:nsid w:val="19E21BB2"/>
    <w:multiLevelType w:val="hybridMultilevel"/>
    <w:lvl w:ilvl="0">
      <w:lvlJc w:val="left"/>
      <w:lvlText w:val="(%1)"/>
      <w:numFmt w:val="upperLetter"/>
      <w:start w:val="4"/>
    </w:lvl>
  </w:abstractNum>
  <w:abstractNum w:abstractNumId="122">
    <w:nsid w:val="75E0858A"/>
    <w:multiLevelType w:val="hybridMultilevel"/>
    <w:lvl w:ilvl="0">
      <w:lvlJc w:val="left"/>
      <w:lvlText w:val="1"/>
      <w:numFmt w:val="bullet"/>
      <w:start w:val="1"/>
    </w:lvl>
  </w:abstractNum>
  <w:abstractNum w:abstractNumId="123">
    <w:nsid w:val="57A61A29"/>
    <w:multiLevelType w:val="hybridMultilevel"/>
    <w:lvl w:ilvl="0">
      <w:lvlJc w:val="left"/>
      <w:lvlText w:val="(%1)"/>
      <w:numFmt w:val="upperLetter"/>
      <w:start w:val="2"/>
    </w:lvl>
  </w:abstractNum>
  <w:abstractNum w:abstractNumId="124">
    <w:nsid w:val="5399C654"/>
    <w:multiLevelType w:val="hybridMultilevel"/>
    <w:lvl w:ilvl="0">
      <w:lvlJc w:val="left"/>
      <w:lvlText w:val="(%1)"/>
      <w:numFmt w:val="upperLetter"/>
      <w:start w:val="4"/>
    </w:lvl>
  </w:abstractNum>
  <w:abstractNum w:abstractNumId="125">
    <w:nsid w:val="20EE1348"/>
    <w:multiLevelType w:val="hybridMultilevel"/>
    <w:lvl w:ilvl="0">
      <w:lvlJc w:val="left"/>
      <w:lvlText w:val="1"/>
      <w:numFmt w:val="bullet"/>
      <w:start w:val="1"/>
    </w:lvl>
  </w:abstractNum>
  <w:abstractNum w:abstractNumId="126">
    <w:nsid w:val="4427069A"/>
    <w:multiLevelType w:val="hybridMultilevel"/>
    <w:lvl w:ilvl="0">
      <w:lvlJc w:val="left"/>
      <w:lvlText w:val="("/>
      <w:numFmt w:val="bullet"/>
      <w:start w:val="1"/>
    </w:lvl>
  </w:abstractNum>
  <w:abstractNum w:abstractNumId="127">
    <w:nsid w:val="B37E80A"/>
    <w:multiLevelType w:val="hybridMultilevel"/>
    <w:lvl w:ilvl="0">
      <w:lvlJc w:val="left"/>
      <w:lvlText w:val="1"/>
      <w:numFmt w:val="bullet"/>
      <w:start w:val="1"/>
    </w:lvl>
  </w:abstractNum>
  <w:abstractNum w:abstractNumId="128">
    <w:nsid w:val="2157F6BC"/>
    <w:multiLevelType w:val="hybridMultilevel"/>
    <w:lvl w:ilvl="0">
      <w:lvlJc w:val="left"/>
      <w:lvlText w:val="2"/>
      <w:numFmt w:val="bullet"/>
      <w:start w:val="1"/>
    </w:lvl>
  </w:abstractNum>
  <w:abstractNum w:abstractNumId="129">
    <w:nsid w:val="704E1DD5"/>
    <w:multiLevelType w:val="hybridMultilevel"/>
    <w:lvl w:ilvl="0">
      <w:lvlJc w:val="left"/>
      <w:lvlText w:val="3"/>
      <w:numFmt w:val="bullet"/>
      <w:start w:val="1"/>
    </w:lvl>
  </w:abstractNum>
  <w:abstractNum w:abstractNumId="130">
    <w:nsid w:val="57D2F10E"/>
    <w:multiLevelType w:val="hybridMultilevel"/>
    <w:lvl w:ilvl="0">
      <w:lvlJc w:val="left"/>
      <w:lvlText w:val="(%1)"/>
      <w:numFmt w:val="upperLetter"/>
      <w:start w:val="1"/>
    </w:lvl>
  </w:abstractNum>
  <w:abstractNum w:abstractNumId="131">
    <w:nsid w:val="BFFAE18"/>
    <w:multiLevelType w:val="hybridMultilevel"/>
    <w:lvl w:ilvl="0">
      <w:lvlJc w:val="left"/>
      <w:lvlText w:val="(%1)"/>
      <w:numFmt w:val="upperLetter"/>
      <w:start w:val="4"/>
    </w:lvl>
  </w:abstractNum>
  <w:abstractNum w:abstractNumId="132">
    <w:nsid w:val="E3E47A8"/>
    <w:multiLevelType w:val="hybridMultilevel"/>
    <w:lvl w:ilvl="0">
      <w:lvlJc w:val="left"/>
      <w:lvlText w:val="4"/>
      <w:numFmt w:val="bullet"/>
      <w:start w:val="1"/>
    </w:lvl>
  </w:abstractNum>
  <w:abstractNum w:abstractNumId="133">
    <w:nsid w:val="2E48F044"/>
    <w:multiLevelType w:val="hybridMultilevel"/>
    <w:lvl w:ilvl="0">
      <w:lvlJc w:val="left"/>
      <w:lvlText w:val="5"/>
      <w:numFmt w:val="bullet"/>
      <w:start w:val="1"/>
    </w:lvl>
  </w:abstractNum>
  <w:abstractNum w:abstractNumId="134">
    <w:nsid w:val="49D0FEAC"/>
    <w:multiLevelType w:val="hybridMultilevel"/>
    <w:lvl w:ilvl="0">
      <w:lvlJc w:val="left"/>
      <w:lvlText w:val="6"/>
      <w:numFmt w:val="bullet"/>
      <w:start w:val="1"/>
    </w:lvl>
  </w:abstractNum>
  <w:abstractNum w:abstractNumId="135">
    <w:nsid w:val="4BEE5A5B"/>
    <w:multiLevelType w:val="hybridMultilevel"/>
    <w:lvl w:ilvl="0">
      <w:lvlJc w:val="left"/>
      <w:lvlText w:val="7"/>
      <w:numFmt w:val="bullet"/>
      <w:start w:val="1"/>
    </w:lvl>
  </w:abstractNum>
  <w:abstractNum w:abstractNumId="136">
    <w:nsid w:val="5551B9F3"/>
    <w:multiLevelType w:val="hybridMultilevel"/>
    <w:lvl w:ilvl="0">
      <w:lvlJc w:val="left"/>
      <w:lvlText w:val="8"/>
      <w:numFmt w:val="bullet"/>
      <w:start w:val="1"/>
    </w:lvl>
  </w:abstractNum>
  <w:abstractNum w:abstractNumId="137">
    <w:nsid w:val="24F6AB8E"/>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2019-12-28T14:05:14Z</dcterms:created>
  <dcterms:modified xsi:type="dcterms:W3CDTF">2019-12-28T14:05:14Z</dcterms:modified>
</cp:coreProperties>
</file>