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139700</wp:posOffset>
            </wp:positionH>
            <wp:positionV relativeFrom="page">
              <wp:posOffset>473710</wp:posOffset>
            </wp:positionV>
            <wp:extent cx="7282180" cy="412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2180" cy="41275"/>
                    </a:xfrm>
                    <a:prstGeom prst="rect">
                      <a:avLst/>
                    </a:prstGeom>
                    <a:noFill/>
                  </pic:spPr>
                </pic:pic>
              </a:graphicData>
            </a:graphic>
          </wp:anchor>
        </w:drawing>
        <w:t>UNITED STATES SECURITIES AND EXCHANGE COMMISSION</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Washington, DC 20549-1004</w:t>
      </w:r>
    </w:p>
    <w:p>
      <w:pPr>
        <w:spacing w:after="0" w:line="142"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Form 10-Q/A</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(Amendment No. 1)</w:t>
      </w:r>
    </w:p>
    <w:p>
      <w:pPr>
        <w:spacing w:after="0" w:line="132" w:lineRule="exact"/>
        <w:rPr>
          <w:sz w:val="24"/>
          <w:szCs w:val="24"/>
          <w:color w:val="auto"/>
        </w:rPr>
      </w:pPr>
    </w:p>
    <w:p>
      <w:pPr>
        <w:ind w:left="400" w:right="2220" w:hanging="375"/>
        <w:spacing w:after="0" w:line="368" w:lineRule="auto"/>
        <w:tabs>
          <w:tab w:leader="none" w:pos="713"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QUARTERLY REPORT PURSUANT TO SECTION 13 OR 15(d) OF THE SECURITIES EXCHANGE ACT OF 1934 For the quarterly period ended June 30, 2012</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OR</w:t>
      </w:r>
    </w:p>
    <w:p>
      <w:pPr>
        <w:spacing w:after="0" w:line="155" w:lineRule="exact"/>
        <w:rPr>
          <w:sz w:val="24"/>
          <w:szCs w:val="24"/>
          <w:color w:val="auto"/>
        </w:rPr>
      </w:pPr>
    </w:p>
    <w:p>
      <w:pPr>
        <w:ind w:left="720" w:hanging="695"/>
        <w:spacing w:after="0"/>
        <w:tabs>
          <w:tab w:leader="none" w:pos="72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ectPr>
          <w:pgSz w:w="11900" w:h="16838" w:orient="portrait"/>
          <w:cols w:equalWidth="0" w:num="1">
            <w:col w:w="11420"/>
          </w:cols>
          <w:pgMar w:left="240" w:top="949" w:right="239" w:bottom="1440" w:gutter="0" w:footer="0" w:header="0"/>
        </w:sectPr>
      </w:pPr>
    </w:p>
    <w:p>
      <w:pPr>
        <w:spacing w:after="0" w:line="192" w:lineRule="exact"/>
        <w:rPr>
          <w:sz w:val="24"/>
          <w:szCs w:val="24"/>
          <w:color w:val="auto"/>
        </w:rPr>
      </w:pPr>
    </w:p>
    <w:p>
      <w:pPr>
        <w:ind w:left="400"/>
        <w:spacing w:after="0"/>
        <w:rPr>
          <w:sz w:val="20"/>
          <w:szCs w:val="20"/>
          <w:color w:val="auto"/>
        </w:rPr>
      </w:pPr>
      <w:r>
        <w:rPr>
          <w:rFonts w:ascii="Arial" w:cs="Arial" w:eastAsia="Arial" w:hAnsi="Arial"/>
          <w:sz w:val="15"/>
          <w:szCs w:val="15"/>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72"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to</w:t>
      </w:r>
    </w:p>
    <w:p>
      <w:pPr>
        <w:spacing w:after="0" w:line="211" w:lineRule="exact"/>
        <w:rPr>
          <w:sz w:val="24"/>
          <w:szCs w:val="24"/>
          <w:color w:val="auto"/>
        </w:rPr>
      </w:pPr>
    </w:p>
    <w:p>
      <w:pPr>
        <w:sectPr>
          <w:pgSz w:w="11900" w:h="16838" w:orient="portrait"/>
          <w:cols w:equalWidth="0" w:num="2">
            <w:col w:w="2560" w:space="580"/>
            <w:col w:w="8280"/>
          </w:cols>
          <w:pgMar w:left="240" w:top="949" w:right="239" w:bottom="1440" w:gutter="0" w:footer="0" w:header="0"/>
          <w:type w:val="continuous"/>
        </w:sectPr>
      </w:pPr>
    </w:p>
    <w:p>
      <w:pPr>
        <w:spacing w:after="0" w:line="28"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Commission file number 001-34960</w:t>
      </w:r>
    </w:p>
    <w:p>
      <w:pPr>
        <w:spacing w:after="0" w:line="95" w:lineRule="exact"/>
        <w:rPr>
          <w:sz w:val="24"/>
          <w:szCs w:val="24"/>
          <w:color w:val="auto"/>
        </w:rPr>
      </w:pPr>
    </w:p>
    <w:p>
      <w:pPr>
        <w:jc w:val="center"/>
        <w:spacing w:after="0"/>
        <w:rPr>
          <w:sz w:val="20"/>
          <w:szCs w:val="20"/>
          <w:color w:val="auto"/>
        </w:rPr>
      </w:pPr>
      <w:r>
        <w:rPr>
          <w:rFonts w:ascii="Arial" w:cs="Arial" w:eastAsia="Arial" w:hAnsi="Arial"/>
          <w:sz w:val="30"/>
          <w:szCs w:val="30"/>
          <w:b w:val="1"/>
          <w:bCs w:val="1"/>
          <w:color w:val="auto"/>
        </w:rPr>
        <w:t>GENERAL MOTORS COMPANY</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7"/>
          <w:szCs w:val="17"/>
          <w:i w:val="1"/>
          <w:iCs w:val="1"/>
          <w:color w:val="auto"/>
        </w:rPr>
        <w:t>(Exact Name of Registrant as Specified in its Charter)</w:t>
      </w:r>
    </w:p>
    <w:p>
      <w:pPr>
        <w:sectPr>
          <w:pgSz w:w="11900" w:h="16838" w:orient="portrait"/>
          <w:cols w:equalWidth="0" w:num="1">
            <w:col w:w="11420"/>
          </w:cols>
          <w:pgMar w:left="240" w:top="949" w:right="239" w:bottom="1440" w:gutter="0" w:footer="0" w:header="0"/>
          <w:type w:val="continuous"/>
        </w:sectPr>
      </w:pPr>
    </w:p>
    <w:p>
      <w:pPr>
        <w:spacing w:after="0" w:line="137" w:lineRule="exact"/>
        <w:rPr>
          <w:sz w:val="24"/>
          <w:szCs w:val="24"/>
          <w:color w:val="auto"/>
        </w:rPr>
      </w:pPr>
    </w:p>
    <w:p>
      <w:pPr>
        <w:ind w:left="1960"/>
        <w:spacing w:after="0"/>
        <w:rPr>
          <w:sz w:val="20"/>
          <w:szCs w:val="20"/>
          <w:color w:val="auto"/>
        </w:rPr>
      </w:pPr>
      <w:r>
        <w:rPr>
          <w:rFonts w:ascii="Arial" w:cs="Arial" w:eastAsia="Arial" w:hAnsi="Arial"/>
          <w:sz w:val="16"/>
          <w:szCs w:val="16"/>
          <w:b w:val="1"/>
          <w:bCs w:val="1"/>
          <w:color w:val="auto"/>
        </w:rPr>
        <w:t>STATE OF DELAWARE</w:t>
      </w:r>
    </w:p>
    <w:p>
      <w:pPr>
        <w:spacing w:after="0" w:line="20" w:lineRule="exact"/>
        <w:rPr>
          <w:sz w:val="24"/>
          <w:szCs w:val="24"/>
          <w:color w:val="auto"/>
        </w:rPr>
      </w:pPr>
      <w:r>
        <w:rPr>
          <w:sz w:val="24"/>
          <w:szCs w:val="24"/>
          <w:color w:val="auto"/>
        </w:rPr>
        <w:br w:type="column"/>
      </w:r>
    </w:p>
    <w:p>
      <w:pPr>
        <w:spacing w:after="0" w:line="117"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27-0756180</w:t>
      </w:r>
    </w:p>
    <w:p>
      <w:pPr>
        <w:spacing w:after="0" w:line="92" w:lineRule="exact"/>
        <w:rPr>
          <w:sz w:val="24"/>
          <w:szCs w:val="24"/>
          <w:color w:val="auto"/>
        </w:rPr>
      </w:pPr>
    </w:p>
    <w:p>
      <w:pPr>
        <w:sectPr>
          <w:pgSz w:w="11900" w:h="16838" w:orient="portrait"/>
          <w:cols w:equalWidth="0" w:num="2">
            <w:col w:w="7460" w:space="720"/>
            <w:col w:w="3240"/>
          </w:cols>
          <w:pgMar w:left="240" w:top="949" w:right="239" w:bottom="1440" w:gutter="0" w:footer="0" w:header="0"/>
          <w:type w:val="continuous"/>
        </w:sectPr>
      </w:pPr>
    </w:p>
    <w:p>
      <w:pPr>
        <w:jc w:val="center"/>
        <w:ind w:right="1520"/>
        <w:spacing w:after="0"/>
        <w:rPr>
          <w:sz w:val="20"/>
          <w:szCs w:val="20"/>
          <w:color w:val="auto"/>
        </w:rPr>
      </w:pPr>
      <w:r>
        <w:rPr>
          <w:rFonts w:ascii="Arial" w:cs="Arial" w:eastAsia="Arial" w:hAnsi="Arial"/>
          <w:sz w:val="16"/>
          <w:szCs w:val="16"/>
          <w:i w:val="1"/>
          <w:iCs w:val="1"/>
          <w:color w:val="auto"/>
        </w:rPr>
        <w:t>(State or other jurisdiction of</w:t>
      </w:r>
    </w:p>
    <w:p>
      <w:pPr>
        <w:spacing w:after="0" w:line="29" w:lineRule="exact"/>
        <w:rPr>
          <w:sz w:val="24"/>
          <w:szCs w:val="24"/>
          <w:color w:val="auto"/>
        </w:rPr>
      </w:pPr>
    </w:p>
    <w:p>
      <w:pPr>
        <w:jc w:val="center"/>
        <w:ind w:right="1520"/>
        <w:spacing w:after="0"/>
        <w:rPr>
          <w:sz w:val="20"/>
          <w:szCs w:val="20"/>
          <w:color w:val="auto"/>
        </w:rPr>
      </w:pPr>
      <w:r>
        <w:rPr>
          <w:rFonts w:ascii="Arial" w:cs="Arial" w:eastAsia="Arial" w:hAnsi="Arial"/>
          <w:sz w:val="15"/>
          <w:szCs w:val="15"/>
          <w:i w:val="1"/>
          <w:i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2220"/>
        <w:spacing w:after="0"/>
        <w:rPr>
          <w:sz w:val="20"/>
          <w:szCs w:val="20"/>
          <w:color w:val="auto"/>
        </w:rPr>
      </w:pPr>
      <w:r>
        <w:rPr>
          <w:rFonts w:ascii="Arial" w:cs="Arial" w:eastAsia="Arial" w:hAnsi="Arial"/>
          <w:sz w:val="16"/>
          <w:szCs w:val="16"/>
          <w:i w:val="1"/>
          <w:iCs w:val="1"/>
          <w:color w:val="auto"/>
        </w:rPr>
        <w:t>(I.R.S. Employer</w:t>
      </w:r>
    </w:p>
    <w:p>
      <w:pPr>
        <w:spacing w:after="0" w:line="29" w:lineRule="exact"/>
        <w:rPr>
          <w:sz w:val="24"/>
          <w:szCs w:val="24"/>
          <w:color w:val="auto"/>
        </w:rPr>
      </w:pPr>
    </w:p>
    <w:p>
      <w:pPr>
        <w:jc w:val="center"/>
        <w:ind w:right="2220"/>
        <w:spacing w:after="0"/>
        <w:rPr>
          <w:sz w:val="20"/>
          <w:szCs w:val="20"/>
          <w:color w:val="auto"/>
        </w:rPr>
      </w:pPr>
      <w:r>
        <w:rPr>
          <w:rFonts w:ascii="Arial" w:cs="Arial" w:eastAsia="Arial" w:hAnsi="Arial"/>
          <w:sz w:val="15"/>
          <w:szCs w:val="15"/>
          <w:i w:val="1"/>
          <w:iCs w:val="1"/>
          <w:color w:val="auto"/>
        </w:rPr>
        <w:t>Identification No.)</w:t>
      </w:r>
    </w:p>
    <w:p>
      <w:pPr>
        <w:spacing w:after="0" w:line="187" w:lineRule="exact"/>
        <w:rPr>
          <w:sz w:val="24"/>
          <w:szCs w:val="24"/>
          <w:color w:val="auto"/>
        </w:rPr>
      </w:pPr>
    </w:p>
    <w:p>
      <w:pPr>
        <w:sectPr>
          <w:pgSz w:w="11900" w:h="16838" w:orient="portrait"/>
          <w:cols w:equalWidth="0" w:num="2">
            <w:col w:w="7240" w:space="720"/>
            <w:col w:w="3460"/>
          </w:cols>
          <w:pgMar w:left="240" w:top="949" w:right="239" w:bottom="1440" w:gutter="0" w:footer="0" w:header="0"/>
          <w:type w:val="continuous"/>
        </w:sectPr>
      </w:pPr>
    </w:p>
    <w:p>
      <w:pPr>
        <w:ind w:left="1340"/>
        <w:spacing w:after="0"/>
        <w:rPr>
          <w:sz w:val="20"/>
          <w:szCs w:val="20"/>
          <w:color w:val="auto"/>
        </w:rPr>
      </w:pPr>
      <w:r>
        <w:rPr>
          <w:rFonts w:ascii="Arial" w:cs="Arial" w:eastAsia="Arial" w:hAnsi="Arial"/>
          <w:sz w:val="15"/>
          <w:szCs w:val="15"/>
          <w:b w:val="1"/>
          <w:bCs w:val="1"/>
          <w:color w:val="auto"/>
        </w:rPr>
        <w:t>300 Renaissance Center, Detroit, Michigan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48265-3000</w:t>
      </w:r>
    </w:p>
    <w:p>
      <w:pPr>
        <w:spacing w:after="0" w:line="93" w:lineRule="exact"/>
        <w:rPr>
          <w:sz w:val="24"/>
          <w:szCs w:val="24"/>
          <w:color w:val="auto"/>
        </w:rPr>
      </w:pPr>
    </w:p>
    <w:p>
      <w:pPr>
        <w:sectPr>
          <w:pgSz w:w="11900" w:h="16838" w:orient="portrait"/>
          <w:cols w:equalWidth="0" w:num="2">
            <w:col w:w="7460" w:space="720"/>
            <w:col w:w="3240"/>
          </w:cols>
          <w:pgMar w:left="240" w:top="949" w:right="239" w:bottom="1440" w:gutter="0" w:footer="0" w:header="0"/>
          <w:type w:val="continuous"/>
        </w:sectPr>
      </w:pPr>
    </w:p>
    <w:p>
      <w:pPr>
        <w:ind w:left="1520"/>
        <w:spacing w:after="0"/>
        <w:rPr>
          <w:sz w:val="20"/>
          <w:szCs w:val="20"/>
          <w:color w:val="auto"/>
        </w:rPr>
      </w:pPr>
      <w:r>
        <w:rPr>
          <w:rFonts w:ascii="Arial" w:cs="Arial" w:eastAsia="Arial" w:hAnsi="Arial"/>
          <w:sz w:val="15"/>
          <w:szCs w:val="15"/>
          <w:i w:val="1"/>
          <w:i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i w:val="1"/>
          <w:iCs w:val="1"/>
          <w:color w:val="auto"/>
        </w:rPr>
        <w:t>(Zip Code)</w:t>
      </w:r>
    </w:p>
    <w:p>
      <w:pPr>
        <w:spacing w:after="0" w:line="49" w:lineRule="exact"/>
        <w:rPr>
          <w:sz w:val="24"/>
          <w:szCs w:val="24"/>
          <w:color w:val="auto"/>
        </w:rPr>
      </w:pPr>
    </w:p>
    <w:p>
      <w:pPr>
        <w:sectPr>
          <w:pgSz w:w="11900" w:h="16838" w:orient="portrait"/>
          <w:cols w:equalWidth="0" w:num="2">
            <w:col w:w="7500" w:space="720"/>
            <w:col w:w="3200"/>
          </w:cols>
          <w:pgMar w:left="240" w:top="949" w:right="239" w:bottom="1440" w:gutter="0" w:footer="0" w:header="0"/>
          <w:type w:val="continuous"/>
        </w:sectPr>
      </w:pPr>
    </w:p>
    <w:p>
      <w:pPr>
        <w:jc w:val="center"/>
        <w:spacing w:after="0"/>
        <w:rPr>
          <w:sz w:val="20"/>
          <w:szCs w:val="20"/>
          <w:color w:val="auto"/>
        </w:rPr>
      </w:pPr>
      <w:r>
        <w:rPr>
          <w:rFonts w:ascii="Arial" w:cs="Arial" w:eastAsia="Arial" w:hAnsi="Arial"/>
          <w:sz w:val="17"/>
          <w:szCs w:val="17"/>
          <w:b w:val="1"/>
          <w:bCs w:val="1"/>
          <w:color w:val="auto"/>
        </w:rPr>
        <w:t>(313) 556-5000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5"/>
          <w:szCs w:val="15"/>
          <w:i w:val="1"/>
          <w:iCs w:val="1"/>
          <w:color w:val="auto"/>
        </w:rPr>
        <w:t>(Registrant’s telephone number, including area code)</w:t>
      </w:r>
    </w:p>
    <w:p>
      <w:pPr>
        <w:sectPr>
          <w:pgSz w:w="11900" w:h="16838" w:orient="portrait"/>
          <w:cols w:equalWidth="0" w:num="1">
            <w:col w:w="11420"/>
          </w:cols>
          <w:pgMar w:left="240" w:top="949" w:right="239" w:bottom="1440" w:gutter="0" w:footer="0" w:header="0"/>
          <w:type w:val="continuous"/>
        </w:sectPr>
      </w:pPr>
    </w:p>
    <w:p>
      <w:pPr>
        <w:spacing w:after="0" w:line="212"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Not applicable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7"/>
          <w:szCs w:val="17"/>
          <w:i w:val="1"/>
          <w:iCs w:val="1"/>
          <w:color w:val="auto"/>
        </w:rPr>
        <w:t>(Former name, former address and former fiscal year, if changed since last report)</w:t>
      </w:r>
    </w:p>
    <w:p>
      <w:pPr>
        <w:spacing w:after="0" w:line="293" w:lineRule="exact"/>
        <w:rPr>
          <w:sz w:val="24"/>
          <w:szCs w:val="24"/>
          <w:color w:val="auto"/>
        </w:rPr>
      </w:pPr>
    </w:p>
    <w:p>
      <w:pPr>
        <w:jc w:val="both"/>
        <w:ind w:firstLine="100"/>
        <w:spacing w:after="0" w:line="211"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71" w:lineRule="exact"/>
        <w:rPr>
          <w:sz w:val="24"/>
          <w:szCs w:val="24"/>
          <w:color w:val="auto"/>
        </w:rPr>
      </w:pPr>
    </w:p>
    <w:p>
      <w:pPr>
        <w:jc w:val="both"/>
        <w:ind w:firstLine="100"/>
        <w:spacing w:after="0" w:line="211" w:lineRule="exact"/>
        <w:rPr>
          <w:sz w:val="20"/>
          <w:szCs w:val="20"/>
          <w:color w:val="auto"/>
        </w:rPr>
      </w:pPr>
      <w:r>
        <w:rPr>
          <w:rFonts w:ascii="Arial" w:cs="Arial" w:eastAsia="Arial" w:hAnsi="Arial"/>
          <w:sz w:val="17"/>
          <w:szCs w:val="17"/>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71" w:lineRule="exact"/>
        <w:rPr>
          <w:sz w:val="24"/>
          <w:szCs w:val="24"/>
          <w:color w:val="auto"/>
        </w:rPr>
      </w:pPr>
    </w:p>
    <w:p>
      <w:pPr>
        <w:jc w:val="both"/>
        <w:ind w:firstLine="100"/>
        <w:spacing w:after="0" w:line="266"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w:t>
      </w:r>
    </w:p>
    <w:p>
      <w:pPr>
        <w:spacing w:after="0" w:line="37" w:lineRule="exact"/>
        <w:rPr>
          <w:sz w:val="24"/>
          <w:szCs w:val="24"/>
          <w:color w:val="auto"/>
        </w:rPr>
      </w:pPr>
    </w:p>
    <w:p>
      <w:pPr>
        <w:ind w:left="2200"/>
        <w:spacing w:after="0" w:line="196" w:lineRule="exact"/>
        <w:rPr>
          <w:sz w:val="20"/>
          <w:szCs w:val="20"/>
          <w:color w:val="auto"/>
        </w:rPr>
      </w:pPr>
      <w:r>
        <w:rPr>
          <w:rFonts w:ascii="Arial" w:cs="Arial" w:eastAsia="Arial" w:hAnsi="Arial"/>
          <w:sz w:val="17"/>
          <w:szCs w:val="17"/>
          <w:color w:val="auto"/>
        </w:rPr>
        <w:t xml:space="preserve">Large accelerated filer </w:t>
      </w:r>
      <w:r>
        <w:rPr>
          <w:rFonts w:ascii="MS PGothic" w:cs="MS PGothic" w:eastAsia="MS PGothic" w:hAnsi="MS PGothic"/>
          <w:sz w:val="17"/>
          <w:szCs w:val="17"/>
          <w:color w:val="auto"/>
        </w:rPr>
        <w:t>☑</w:t>
      </w:r>
      <w:r>
        <w:rPr>
          <w:rFonts w:ascii="Arial" w:cs="Arial" w:eastAsia="Arial" w:hAnsi="Arial"/>
          <w:sz w:val="17"/>
          <w:szCs w:val="17"/>
          <w:color w:val="auto"/>
        </w:rPr>
        <w:t xml:space="preserve"> Accelerated filer </w:t>
      </w:r>
      <w:r>
        <w:rPr>
          <w:rFonts w:ascii="MS PGothic" w:cs="MS PGothic" w:eastAsia="MS PGothic" w:hAnsi="MS PGothic"/>
          <w:sz w:val="17"/>
          <w:szCs w:val="17"/>
          <w:color w:val="auto"/>
        </w:rPr>
        <w:t>☐</w:t>
      </w:r>
      <w:r>
        <w:rPr>
          <w:rFonts w:ascii="Arial" w:cs="Arial" w:eastAsia="Arial" w:hAnsi="Arial"/>
          <w:sz w:val="17"/>
          <w:szCs w:val="17"/>
          <w:color w:val="auto"/>
        </w:rPr>
        <w:t xml:space="preserve"> Non-accelerated filer </w:t>
      </w:r>
      <w:r>
        <w:rPr>
          <w:rFonts w:ascii="MS PGothic" w:cs="MS PGothic" w:eastAsia="MS PGothic" w:hAnsi="MS PGothic"/>
          <w:sz w:val="17"/>
          <w:szCs w:val="17"/>
          <w:color w:val="auto"/>
        </w:rPr>
        <w:t>☐</w:t>
      </w:r>
      <w:r>
        <w:rPr>
          <w:rFonts w:ascii="Arial" w:cs="Arial" w:eastAsia="Arial" w:hAnsi="Arial"/>
          <w:sz w:val="17"/>
          <w:szCs w:val="17"/>
          <w:color w:val="auto"/>
        </w:rPr>
        <w:t xml:space="preserve"> Smaller reporting company </w:t>
      </w:r>
      <w:r>
        <w:rPr>
          <w:rFonts w:ascii="MS PGothic" w:cs="MS PGothic" w:eastAsia="MS PGothic" w:hAnsi="MS PGothic"/>
          <w:sz w:val="17"/>
          <w:szCs w:val="17"/>
          <w:color w:val="auto"/>
        </w:rPr>
        <w:t>☐</w:t>
      </w:r>
    </w:p>
    <w:p>
      <w:pPr>
        <w:spacing w:after="0" w:line="111" w:lineRule="exact"/>
        <w:rPr>
          <w:sz w:val="24"/>
          <w:szCs w:val="24"/>
          <w:color w:val="auto"/>
        </w:rPr>
      </w:pPr>
    </w:p>
    <w:p>
      <w:pPr>
        <w:ind w:left="100"/>
        <w:spacing w:after="0" w:line="196"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29" w:lineRule="exact"/>
        <w:rPr>
          <w:sz w:val="24"/>
          <w:szCs w:val="24"/>
          <w:color w:val="auto"/>
        </w:rPr>
      </w:pPr>
    </w:p>
    <w:p>
      <w:pPr>
        <w:ind w:left="100"/>
        <w:spacing w:after="0"/>
        <w:rPr>
          <w:sz w:val="20"/>
          <w:szCs w:val="20"/>
          <w:color w:val="auto"/>
        </w:rPr>
      </w:pPr>
      <w:r>
        <w:rPr>
          <w:rFonts w:ascii="Arial" w:cs="Arial" w:eastAsia="Arial" w:hAnsi="Arial"/>
          <w:sz w:val="17"/>
          <w:szCs w:val="17"/>
          <w:color w:val="auto"/>
        </w:rPr>
        <w:t>As of July 27, 2012 the number of shares outstanding of common stock was 1,565,954,484 shares.</w:t>
      </w:r>
    </w:p>
    <w:p>
      <w:pPr>
        <w:spacing w:after="0" w:line="301"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Website Access to Company's Reports</w:t>
      </w:r>
    </w:p>
    <w:p>
      <w:pPr>
        <w:spacing w:after="0" w:line="209" w:lineRule="exact"/>
        <w:rPr>
          <w:sz w:val="24"/>
          <w:szCs w:val="24"/>
          <w:color w:val="auto"/>
        </w:rPr>
      </w:pPr>
    </w:p>
    <w:p>
      <w:pPr>
        <w:jc w:val="both"/>
        <w:ind w:firstLine="75"/>
        <w:spacing w:after="0" w:line="256" w:lineRule="auto"/>
        <w:rPr>
          <w:sz w:val="20"/>
          <w:szCs w:val="20"/>
          <w:color w:val="auto"/>
        </w:rPr>
      </w:pPr>
      <w:r>
        <w:rPr>
          <w:rFonts w:ascii="Arial" w:cs="Arial" w:eastAsia="Arial" w:hAnsi="Arial"/>
          <w:sz w:val="17"/>
          <w:szCs w:val="17"/>
          <w:color w:val="auto"/>
        </w:rPr>
        <w:t>General Motors Company's internet website address is www.gm.com. Our annual report on Form 10-K, quarterly reports on Form 10-Q, current reports on Form 8-K and amendments to those reports filed or furnished pursuant to section 13(a) or 15(d) of the Exchange Act are available free of charge through our website as soon as reasonably practicable after they are electronically filed with, or furnished to, the Securities and Exchange Commission.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43180</wp:posOffset>
            </wp:positionV>
            <wp:extent cx="7282180" cy="412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2180" cy="41275"/>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t>EXPLANATORY NOTE</w:t>
      </w:r>
    </w:p>
    <w:p>
      <w:pPr>
        <w:spacing w:after="0" w:line="172" w:lineRule="exact"/>
        <w:rPr>
          <w:sz w:val="20"/>
          <w:szCs w:val="20"/>
          <w:color w:val="auto"/>
        </w:rPr>
      </w:pPr>
    </w:p>
    <w:p>
      <w:pPr>
        <w:jc w:val="both"/>
        <w:ind w:firstLine="150"/>
        <w:spacing w:after="0" w:line="292" w:lineRule="auto"/>
        <w:rPr>
          <w:sz w:val="20"/>
          <w:szCs w:val="20"/>
          <w:color w:val="auto"/>
        </w:rPr>
      </w:pPr>
      <w:r>
        <w:rPr>
          <w:rFonts w:ascii="Arial" w:cs="Arial" w:eastAsia="Arial" w:hAnsi="Arial"/>
          <w:sz w:val="15"/>
          <w:szCs w:val="15"/>
          <w:color w:val="auto"/>
        </w:rPr>
        <w:t>The sole purpose of this Amendment No. 1 to the Quarterly Report on Form 10-Q for General Motors Company for the period ended June 30, 2012, filed with the Securities and Exchange Commission on August 3, 2012 (the "Form 10-Q") is to file a revised redacted version of Exhibit 10.1 included in Item 6 of the Form 10-Q in connection with the Confidential Treatment Request filed with that exhibit. Confidential treatment has been requested from the Securities and Exchange Commission for certain portions of Exhibit 10.1. This Amendment No. 1 only affects Item 6 of the Form 10-Q and does not otherwise change or update the disclosures or financial information set forth in the Form 10-Q as originally filed and does not otherwise reflect events occurring after the original filing of the Form 10-Q.</w:t>
      </w:r>
    </w:p>
    <w:p>
      <w:pPr>
        <w:sectPr>
          <w:pgSz w:w="11900" w:h="16838" w:orient="portrait"/>
          <w:cols w:equalWidth="0" w:num="1">
            <w:col w:w="11420"/>
          </w:cols>
          <w:pgMar w:left="240" w:top="549"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3480" w:type="dxa"/>
            <w:vAlign w:val="bottom"/>
            <w:gridSpan w:val="2"/>
          </w:tcPr>
          <w:p>
            <w:pPr>
              <w:ind w:left="400"/>
              <w:spacing w:after="0"/>
              <w:rPr>
                <w:sz w:val="20"/>
                <w:szCs w:val="20"/>
                <w:color w:val="auto"/>
              </w:rPr>
            </w:pPr>
            <w:r>
              <w:rPr>
                <w:rFonts w:ascii="Arial" w:cs="Arial" w:eastAsia="Arial" w:hAnsi="Arial"/>
                <w:sz w:val="17"/>
                <w:szCs w:val="17"/>
                <w:b w:val="1"/>
                <w:bCs w:val="1"/>
                <w:color w:val="auto"/>
              </w:rPr>
              <w:t>PART II - OTHER INFORMATION</w:t>
            </w:r>
          </w:p>
        </w:tc>
        <w:tc>
          <w:tcPr>
            <w:tcW w:w="0" w:type="dxa"/>
            <w:vAlign w:val="bottom"/>
          </w:tcPr>
          <w:p>
            <w:pPr>
              <w:spacing w:after="0"/>
              <w:rPr>
                <w:sz w:val="1"/>
                <w:szCs w:val="1"/>
                <w:color w:val="auto"/>
              </w:rPr>
            </w:pPr>
          </w:p>
        </w:tc>
      </w:tr>
      <w:tr>
        <w:trPr>
          <w:trHeight w:val="401"/>
        </w:trPr>
        <w:tc>
          <w:tcPr>
            <w:tcW w:w="1140" w:type="dxa"/>
            <w:vAlign w:val="bottom"/>
            <w:gridSpan w:val="3"/>
          </w:tcPr>
          <w:p>
            <w:pPr>
              <w:spacing w:after="0"/>
              <w:rPr>
                <w:sz w:val="20"/>
                <w:szCs w:val="20"/>
                <w:color w:val="auto"/>
              </w:rPr>
            </w:pPr>
            <w:r>
              <w:rPr>
                <w:rFonts w:ascii="Arial" w:cs="Arial" w:eastAsia="Arial" w:hAnsi="Arial"/>
                <w:sz w:val="17"/>
                <w:szCs w:val="17"/>
                <w:b w:val="1"/>
                <w:bCs w:val="1"/>
                <w:color w:val="auto"/>
                <w:w w:val="89"/>
              </w:rPr>
              <w:t>Item 6. Exhibits</w:t>
            </w:r>
          </w:p>
        </w:tc>
        <w:tc>
          <w:tcPr>
            <w:tcW w:w="28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120" w:type="dxa"/>
            <w:vAlign w:val="bottom"/>
            <w:gridSpan w:val="2"/>
          </w:tcPr>
          <w:p>
            <w:pPr>
              <w:spacing w:after="0"/>
              <w:rPr>
                <w:sz w:val="20"/>
                <w:szCs w:val="20"/>
                <w:color w:val="auto"/>
              </w:rPr>
            </w:pPr>
            <w:r>
              <w:rPr>
                <w:rFonts w:ascii="Arial" w:cs="Arial" w:eastAsia="Arial" w:hAnsi="Arial"/>
                <w:sz w:val="13"/>
                <w:szCs w:val="13"/>
                <w:b w:val="1"/>
                <w:bCs w:val="1"/>
                <w:color w:val="auto"/>
              </w:rPr>
              <w:t>Exhibit</w:t>
            </w:r>
          </w:p>
        </w:tc>
        <w:tc>
          <w:tcPr>
            <w:tcW w:w="6340" w:type="dxa"/>
            <w:vAlign w:val="bottom"/>
            <w:gridSpan w:val="3"/>
            <w:vMerge w:val="restart"/>
          </w:tcPr>
          <w:p>
            <w:pPr>
              <w:ind w:left="2860"/>
              <w:spacing w:after="0"/>
              <w:rPr>
                <w:sz w:val="20"/>
                <w:szCs w:val="20"/>
                <w:color w:val="auto"/>
              </w:rPr>
            </w:pPr>
            <w:r>
              <w:rPr>
                <w:rFonts w:ascii="Arial" w:cs="Arial" w:eastAsia="Arial" w:hAnsi="Arial"/>
                <w:sz w:val="13"/>
                <w:szCs w:val="13"/>
                <w:b w:val="1"/>
                <w:bCs w:val="1"/>
                <w:color w:val="auto"/>
              </w:rPr>
              <w:t>Exhibit Name</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480" w:type="dxa"/>
            <w:vAlign w:val="bottom"/>
          </w:tcPr>
          <w:p>
            <w:pPr>
              <w:spacing w:after="0" w:line="146" w:lineRule="exact"/>
              <w:rPr>
                <w:sz w:val="20"/>
                <w:szCs w:val="20"/>
                <w:color w:val="auto"/>
              </w:rPr>
            </w:pPr>
            <w:r>
              <w:rPr>
                <w:rFonts w:ascii="Arial" w:cs="Arial" w:eastAsia="Arial" w:hAnsi="Arial"/>
                <w:sz w:val="13"/>
                <w:szCs w:val="13"/>
                <w:b w:val="1"/>
                <w:bCs w:val="1"/>
                <w:color w:val="auto"/>
                <w:w w:val="93"/>
              </w:rPr>
              <w:t>Number</w:t>
            </w:r>
          </w:p>
        </w:tc>
        <w:tc>
          <w:tcPr>
            <w:tcW w:w="640" w:type="dxa"/>
            <w:vAlign w:val="bottom"/>
          </w:tcPr>
          <w:p>
            <w:pPr>
              <w:spacing w:after="0"/>
              <w:rPr>
                <w:sz w:val="12"/>
                <w:szCs w:val="12"/>
                <w:color w:val="auto"/>
              </w:rPr>
            </w:pPr>
          </w:p>
        </w:tc>
        <w:tc>
          <w:tcPr>
            <w:tcW w:w="63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20"/>
                <w:szCs w:val="20"/>
                <w:color w:val="auto"/>
              </w:rPr>
            </w:pPr>
            <w:r>
              <w:rPr>
                <w:rFonts w:ascii="Arial" w:cs="Arial" w:eastAsia="Arial" w:hAnsi="Arial"/>
                <w:sz w:val="15"/>
                <w:szCs w:val="15"/>
                <w:color w:val="auto"/>
              </w:rPr>
              <w:t>10.1</w:t>
            </w:r>
          </w:p>
        </w:tc>
        <w:tc>
          <w:tcPr>
            <w:tcW w:w="640" w:type="dxa"/>
            <w:vAlign w:val="bottom"/>
          </w:tcPr>
          <w:p>
            <w:pPr>
              <w:spacing w:after="0"/>
              <w:rPr>
                <w:sz w:val="19"/>
                <w:szCs w:val="19"/>
                <w:color w:val="auto"/>
              </w:rPr>
            </w:pPr>
          </w:p>
        </w:tc>
        <w:tc>
          <w:tcPr>
            <w:tcW w:w="6340" w:type="dxa"/>
            <w:vAlign w:val="bottom"/>
            <w:gridSpan w:val="3"/>
          </w:tcPr>
          <w:p>
            <w:pPr>
              <w:ind w:left="20"/>
              <w:spacing w:after="0"/>
              <w:rPr>
                <w:sz w:val="20"/>
                <w:szCs w:val="20"/>
                <w:color w:val="auto"/>
              </w:rPr>
            </w:pPr>
            <w:r>
              <w:rPr>
                <w:rFonts w:ascii="Arial" w:cs="Arial" w:eastAsia="Arial" w:hAnsi="Arial"/>
                <w:sz w:val="15"/>
                <w:szCs w:val="15"/>
                <w:color w:val="auto"/>
                <w:w w:val="91"/>
              </w:rPr>
              <w:t>Definitive Transaction Framework Agreement, dated as of May 30, 2012, by and among General Motors</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340" w:type="dxa"/>
            <w:vAlign w:val="bottom"/>
            <w:gridSpan w:val="3"/>
          </w:tcPr>
          <w:p>
            <w:pPr>
              <w:ind w:left="20"/>
              <w:spacing w:after="0"/>
              <w:rPr>
                <w:sz w:val="20"/>
                <w:szCs w:val="20"/>
                <w:color w:val="auto"/>
              </w:rPr>
            </w:pPr>
            <w:r>
              <w:rPr>
                <w:rFonts w:ascii="Arial" w:cs="Arial" w:eastAsia="Arial" w:hAnsi="Arial"/>
                <w:sz w:val="15"/>
                <w:szCs w:val="15"/>
                <w:color w:val="auto"/>
                <w:w w:val="93"/>
              </w:rPr>
              <w:t>LLC, Prudential Insurance Company of America, Prudential Financial, Inc. and State Street Bank and</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340" w:type="dxa"/>
            <w:vAlign w:val="bottom"/>
            <w:gridSpan w:val="3"/>
          </w:tcPr>
          <w:p>
            <w:pPr>
              <w:ind w:left="20"/>
              <w:spacing w:after="0"/>
              <w:rPr>
                <w:sz w:val="20"/>
                <w:szCs w:val="20"/>
                <w:color w:val="auto"/>
              </w:rPr>
            </w:pPr>
            <w:r>
              <w:rPr>
                <w:rFonts w:ascii="Arial" w:cs="Arial" w:eastAsia="Arial" w:hAnsi="Arial"/>
                <w:sz w:val="15"/>
                <w:szCs w:val="15"/>
                <w:color w:val="auto"/>
                <w:w w:val="95"/>
              </w:rPr>
              <w:t>Trust Company, as Independent Fiduciary of the GM Retirement Program for Salaried Employees**</w:t>
            </w:r>
          </w:p>
        </w:tc>
        <w:tc>
          <w:tcPr>
            <w:tcW w:w="0" w:type="dxa"/>
            <w:vAlign w:val="bottom"/>
          </w:tcPr>
          <w:p>
            <w:pPr>
              <w:spacing w:after="0"/>
              <w:rPr>
                <w:sz w:val="1"/>
                <w:szCs w:val="1"/>
                <w:color w:val="auto"/>
              </w:rPr>
            </w:pPr>
          </w:p>
        </w:tc>
      </w:tr>
      <w:tr>
        <w:trPr>
          <w:trHeight w:val="238"/>
        </w:trPr>
        <w:tc>
          <w:tcPr>
            <w:tcW w:w="500" w:type="dxa"/>
            <w:vAlign w:val="bottom"/>
            <w:gridSpan w:val="2"/>
          </w:tcPr>
          <w:p>
            <w:pPr>
              <w:ind w:left="20"/>
              <w:spacing w:after="0"/>
              <w:rPr>
                <w:sz w:val="20"/>
                <w:szCs w:val="20"/>
                <w:color w:val="auto"/>
              </w:rPr>
            </w:pPr>
            <w:r>
              <w:rPr>
                <w:rFonts w:ascii="Arial" w:cs="Arial" w:eastAsia="Arial" w:hAnsi="Arial"/>
                <w:sz w:val="15"/>
                <w:szCs w:val="15"/>
                <w:color w:val="auto"/>
              </w:rPr>
              <w:t>31.1</w:t>
            </w:r>
          </w:p>
        </w:tc>
        <w:tc>
          <w:tcPr>
            <w:tcW w:w="640" w:type="dxa"/>
            <w:vAlign w:val="bottom"/>
          </w:tcPr>
          <w:p>
            <w:pPr>
              <w:spacing w:after="0"/>
              <w:rPr>
                <w:sz w:val="20"/>
                <w:szCs w:val="20"/>
                <w:color w:val="auto"/>
              </w:rPr>
            </w:pPr>
          </w:p>
        </w:tc>
        <w:tc>
          <w:tcPr>
            <w:tcW w:w="6340" w:type="dxa"/>
            <w:vAlign w:val="bottom"/>
            <w:gridSpan w:val="3"/>
          </w:tcPr>
          <w:p>
            <w:pPr>
              <w:ind w:left="20"/>
              <w:spacing w:after="0"/>
              <w:rPr>
                <w:sz w:val="20"/>
                <w:szCs w:val="20"/>
                <w:color w:val="auto"/>
              </w:rPr>
            </w:pPr>
            <w:r>
              <w:rPr>
                <w:rFonts w:ascii="Arial" w:cs="Arial" w:eastAsia="Arial" w:hAnsi="Arial"/>
                <w:sz w:val="15"/>
                <w:szCs w:val="15"/>
                <w:color w:val="auto"/>
              </w:rPr>
              <w:t>Section 302 Certification of the Chief Executive Officer</w:t>
            </w:r>
          </w:p>
        </w:tc>
        <w:tc>
          <w:tcPr>
            <w:tcW w:w="0" w:type="dxa"/>
            <w:vAlign w:val="bottom"/>
          </w:tcPr>
          <w:p>
            <w:pPr>
              <w:spacing w:after="0"/>
              <w:rPr>
                <w:sz w:val="1"/>
                <w:szCs w:val="1"/>
                <w:color w:val="auto"/>
              </w:rPr>
            </w:pPr>
          </w:p>
        </w:tc>
      </w:tr>
      <w:tr>
        <w:trPr>
          <w:trHeight w:val="426"/>
        </w:trPr>
        <w:tc>
          <w:tcPr>
            <w:tcW w:w="500" w:type="dxa"/>
            <w:vAlign w:val="bottom"/>
            <w:gridSpan w:val="2"/>
          </w:tcPr>
          <w:p>
            <w:pPr>
              <w:ind w:left="20"/>
              <w:spacing w:after="0"/>
              <w:rPr>
                <w:sz w:val="20"/>
                <w:szCs w:val="20"/>
                <w:color w:val="auto"/>
              </w:rPr>
            </w:pPr>
            <w:r>
              <w:rPr>
                <w:rFonts w:ascii="Arial" w:cs="Arial" w:eastAsia="Arial" w:hAnsi="Arial"/>
                <w:sz w:val="15"/>
                <w:szCs w:val="15"/>
                <w:color w:val="auto"/>
              </w:rPr>
              <w:t>31.2</w:t>
            </w:r>
          </w:p>
        </w:tc>
        <w:tc>
          <w:tcPr>
            <w:tcW w:w="640" w:type="dxa"/>
            <w:vAlign w:val="bottom"/>
          </w:tcPr>
          <w:p>
            <w:pPr>
              <w:spacing w:after="0"/>
              <w:rPr>
                <w:sz w:val="24"/>
                <w:szCs w:val="24"/>
                <w:color w:val="auto"/>
              </w:rPr>
            </w:pPr>
          </w:p>
        </w:tc>
        <w:tc>
          <w:tcPr>
            <w:tcW w:w="6340" w:type="dxa"/>
            <w:vAlign w:val="bottom"/>
            <w:gridSpan w:val="3"/>
          </w:tcPr>
          <w:p>
            <w:pPr>
              <w:ind w:left="20"/>
              <w:spacing w:after="0"/>
              <w:rPr>
                <w:sz w:val="20"/>
                <w:szCs w:val="20"/>
                <w:color w:val="auto"/>
              </w:rPr>
            </w:pPr>
            <w:r>
              <w:rPr>
                <w:rFonts w:ascii="Arial" w:cs="Arial" w:eastAsia="Arial" w:hAnsi="Arial"/>
                <w:sz w:val="15"/>
                <w:szCs w:val="15"/>
                <w:color w:val="auto"/>
              </w:rPr>
              <w:t>Section 302 Certification of the Chief Financial Officer</w:t>
            </w:r>
          </w:p>
        </w:tc>
        <w:tc>
          <w:tcPr>
            <w:tcW w:w="0" w:type="dxa"/>
            <w:vAlign w:val="bottom"/>
          </w:tcPr>
          <w:p>
            <w:pPr>
              <w:spacing w:after="0"/>
              <w:rPr>
                <w:sz w:val="1"/>
                <w:szCs w:val="1"/>
                <w:color w:val="auto"/>
              </w:rPr>
            </w:pPr>
          </w:p>
        </w:tc>
      </w:tr>
      <w:tr>
        <w:trPr>
          <w:trHeight w:val="423"/>
        </w:trPr>
        <w:tc>
          <w:tcPr>
            <w:tcW w:w="500" w:type="dxa"/>
            <w:vAlign w:val="bottom"/>
            <w:gridSpan w:val="2"/>
          </w:tcPr>
          <w:p>
            <w:pPr>
              <w:ind w:left="20"/>
              <w:spacing w:after="0"/>
              <w:rPr>
                <w:sz w:val="20"/>
                <w:szCs w:val="20"/>
                <w:color w:val="auto"/>
              </w:rPr>
            </w:pPr>
            <w:r>
              <w:rPr>
                <w:rFonts w:ascii="Arial" w:cs="Arial" w:eastAsia="Arial" w:hAnsi="Arial"/>
                <w:sz w:val="15"/>
                <w:szCs w:val="15"/>
                <w:color w:val="auto"/>
              </w:rPr>
              <w:t>32.1</w:t>
            </w:r>
          </w:p>
        </w:tc>
        <w:tc>
          <w:tcPr>
            <w:tcW w:w="640" w:type="dxa"/>
            <w:vAlign w:val="bottom"/>
          </w:tcPr>
          <w:p>
            <w:pPr>
              <w:spacing w:after="0"/>
              <w:rPr>
                <w:sz w:val="24"/>
                <w:szCs w:val="24"/>
                <w:color w:val="auto"/>
              </w:rPr>
            </w:pPr>
          </w:p>
        </w:tc>
        <w:tc>
          <w:tcPr>
            <w:tcW w:w="6340" w:type="dxa"/>
            <w:vAlign w:val="bottom"/>
            <w:gridSpan w:val="3"/>
          </w:tcPr>
          <w:p>
            <w:pPr>
              <w:ind w:left="20"/>
              <w:spacing w:after="0"/>
              <w:rPr>
                <w:sz w:val="20"/>
                <w:szCs w:val="20"/>
                <w:color w:val="auto"/>
              </w:rPr>
            </w:pPr>
            <w:r>
              <w:rPr>
                <w:rFonts w:ascii="Arial" w:cs="Arial" w:eastAsia="Arial" w:hAnsi="Arial"/>
                <w:sz w:val="15"/>
                <w:szCs w:val="15"/>
                <w:color w:val="auto"/>
                <w:w w:val="91"/>
              </w:rPr>
              <w:t>Certification of the Chief Executive Officer Pursuant to 18 U.S.C. Section 1350, As Adopted Pursuant to</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340" w:type="dxa"/>
            <w:vAlign w:val="bottom"/>
            <w:gridSpan w:val="3"/>
          </w:tcPr>
          <w:p>
            <w:pPr>
              <w:ind w:left="20"/>
              <w:spacing w:after="0"/>
              <w:rPr>
                <w:sz w:val="20"/>
                <w:szCs w:val="20"/>
                <w:color w:val="auto"/>
              </w:rPr>
            </w:pPr>
            <w:r>
              <w:rPr>
                <w:rFonts w:ascii="Arial" w:cs="Arial" w:eastAsia="Arial" w:hAnsi="Arial"/>
                <w:sz w:val="15"/>
                <w:szCs w:val="15"/>
                <w:color w:val="auto"/>
              </w:rPr>
              <w:t>Section 906 of the Sarbanes-Oxley Act of 2002</w:t>
            </w:r>
          </w:p>
        </w:tc>
        <w:tc>
          <w:tcPr>
            <w:tcW w:w="0" w:type="dxa"/>
            <w:vAlign w:val="bottom"/>
          </w:tcPr>
          <w:p>
            <w:pPr>
              <w:spacing w:after="0"/>
              <w:rPr>
                <w:sz w:val="1"/>
                <w:szCs w:val="1"/>
                <w:color w:val="auto"/>
              </w:rPr>
            </w:pPr>
          </w:p>
        </w:tc>
      </w:tr>
      <w:tr>
        <w:trPr>
          <w:trHeight w:val="423"/>
        </w:trPr>
        <w:tc>
          <w:tcPr>
            <w:tcW w:w="500" w:type="dxa"/>
            <w:vAlign w:val="bottom"/>
            <w:gridSpan w:val="2"/>
          </w:tcPr>
          <w:p>
            <w:pPr>
              <w:ind w:left="20"/>
              <w:spacing w:after="0"/>
              <w:rPr>
                <w:sz w:val="20"/>
                <w:szCs w:val="20"/>
                <w:color w:val="auto"/>
              </w:rPr>
            </w:pPr>
            <w:r>
              <w:rPr>
                <w:rFonts w:ascii="Arial" w:cs="Arial" w:eastAsia="Arial" w:hAnsi="Arial"/>
                <w:sz w:val="15"/>
                <w:szCs w:val="15"/>
                <w:color w:val="auto"/>
              </w:rPr>
              <w:t>32.2</w:t>
            </w:r>
          </w:p>
        </w:tc>
        <w:tc>
          <w:tcPr>
            <w:tcW w:w="640" w:type="dxa"/>
            <w:vAlign w:val="bottom"/>
          </w:tcPr>
          <w:p>
            <w:pPr>
              <w:spacing w:after="0"/>
              <w:rPr>
                <w:sz w:val="24"/>
                <w:szCs w:val="24"/>
                <w:color w:val="auto"/>
              </w:rPr>
            </w:pPr>
          </w:p>
        </w:tc>
        <w:tc>
          <w:tcPr>
            <w:tcW w:w="6340" w:type="dxa"/>
            <w:vAlign w:val="bottom"/>
            <w:gridSpan w:val="3"/>
          </w:tcPr>
          <w:p>
            <w:pPr>
              <w:ind w:left="20"/>
              <w:spacing w:after="0"/>
              <w:rPr>
                <w:sz w:val="20"/>
                <w:szCs w:val="20"/>
                <w:color w:val="auto"/>
              </w:rPr>
            </w:pPr>
            <w:r>
              <w:rPr>
                <w:rFonts w:ascii="Arial" w:cs="Arial" w:eastAsia="Arial" w:hAnsi="Arial"/>
                <w:sz w:val="15"/>
                <w:szCs w:val="15"/>
                <w:color w:val="auto"/>
                <w:w w:val="92"/>
              </w:rPr>
              <w:t>Certification of the Chief Financial Officer Pursuant to 18 U.S.C. Section 1350, As Adopted Pursuant to</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340" w:type="dxa"/>
            <w:vAlign w:val="bottom"/>
            <w:gridSpan w:val="3"/>
          </w:tcPr>
          <w:p>
            <w:pPr>
              <w:ind w:left="20"/>
              <w:spacing w:after="0"/>
              <w:rPr>
                <w:sz w:val="20"/>
                <w:szCs w:val="20"/>
                <w:color w:val="auto"/>
              </w:rPr>
            </w:pPr>
            <w:r>
              <w:rPr>
                <w:rFonts w:ascii="Arial" w:cs="Arial" w:eastAsia="Arial" w:hAnsi="Arial"/>
                <w:sz w:val="15"/>
                <w:szCs w:val="15"/>
                <w:color w:val="auto"/>
              </w:rPr>
              <w:t>Section 906 of the Sarbanes-Oxley Act of 2002</w:t>
            </w: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1120" w:type="dxa"/>
            <w:vAlign w:val="bottom"/>
            <w:gridSpan w:val="2"/>
          </w:tcPr>
          <w:p>
            <w:pPr>
              <w:spacing w:after="0"/>
              <w:rPr>
                <w:sz w:val="20"/>
                <w:szCs w:val="20"/>
                <w:color w:val="auto"/>
              </w:rPr>
            </w:pPr>
            <w:r>
              <w:rPr>
                <w:rFonts w:ascii="Arial" w:cs="Arial" w:eastAsia="Arial" w:hAnsi="Arial"/>
                <w:sz w:val="15"/>
                <w:szCs w:val="15"/>
                <w:color w:val="auto"/>
              </w:rPr>
              <w:t>101.INS</w:t>
            </w:r>
          </w:p>
        </w:tc>
        <w:tc>
          <w:tcPr>
            <w:tcW w:w="6340" w:type="dxa"/>
            <w:vAlign w:val="bottom"/>
            <w:gridSpan w:val="3"/>
          </w:tcPr>
          <w:p>
            <w:pPr>
              <w:ind w:left="20"/>
              <w:spacing w:after="0"/>
              <w:rPr>
                <w:sz w:val="20"/>
                <w:szCs w:val="20"/>
                <w:color w:val="auto"/>
              </w:rPr>
            </w:pPr>
            <w:r>
              <w:rPr>
                <w:rFonts w:ascii="Arial" w:cs="Arial" w:eastAsia="Arial" w:hAnsi="Arial"/>
                <w:sz w:val="15"/>
                <w:szCs w:val="15"/>
                <w:color w:val="auto"/>
              </w:rPr>
              <w:t>XBRL Instance Document</w:t>
            </w:r>
          </w:p>
        </w:tc>
        <w:tc>
          <w:tcPr>
            <w:tcW w:w="0" w:type="dxa"/>
            <w:vAlign w:val="bottom"/>
          </w:tcPr>
          <w:p>
            <w:pPr>
              <w:spacing w:after="0"/>
              <w:rPr>
                <w:sz w:val="1"/>
                <w:szCs w:val="1"/>
                <w:color w:val="auto"/>
              </w:rPr>
            </w:pPr>
          </w:p>
        </w:tc>
      </w:tr>
      <w:tr>
        <w:trPr>
          <w:trHeight w:val="613"/>
        </w:trPr>
        <w:tc>
          <w:tcPr>
            <w:tcW w:w="20" w:type="dxa"/>
            <w:vAlign w:val="bottom"/>
          </w:tcPr>
          <w:p>
            <w:pPr>
              <w:spacing w:after="0"/>
              <w:rPr>
                <w:sz w:val="24"/>
                <w:szCs w:val="24"/>
                <w:color w:val="auto"/>
              </w:rPr>
            </w:pPr>
          </w:p>
        </w:tc>
        <w:tc>
          <w:tcPr>
            <w:tcW w:w="1120" w:type="dxa"/>
            <w:vAlign w:val="bottom"/>
            <w:gridSpan w:val="2"/>
          </w:tcPr>
          <w:p>
            <w:pPr>
              <w:spacing w:after="0"/>
              <w:rPr>
                <w:sz w:val="20"/>
                <w:szCs w:val="20"/>
                <w:color w:val="auto"/>
              </w:rPr>
            </w:pPr>
            <w:r>
              <w:rPr>
                <w:rFonts w:ascii="Arial" w:cs="Arial" w:eastAsia="Arial" w:hAnsi="Arial"/>
                <w:sz w:val="15"/>
                <w:szCs w:val="15"/>
                <w:color w:val="auto"/>
              </w:rPr>
              <w:t>101.SCH</w:t>
            </w:r>
          </w:p>
        </w:tc>
        <w:tc>
          <w:tcPr>
            <w:tcW w:w="6340" w:type="dxa"/>
            <w:vAlign w:val="bottom"/>
            <w:gridSpan w:val="3"/>
          </w:tcPr>
          <w:p>
            <w:pPr>
              <w:ind w:left="20"/>
              <w:spacing w:after="0"/>
              <w:rPr>
                <w:sz w:val="20"/>
                <w:szCs w:val="20"/>
                <w:color w:val="auto"/>
              </w:rPr>
            </w:pPr>
            <w:r>
              <w:rPr>
                <w:rFonts w:ascii="Arial" w:cs="Arial" w:eastAsia="Arial" w:hAnsi="Arial"/>
                <w:sz w:val="15"/>
                <w:szCs w:val="15"/>
                <w:color w:val="auto"/>
              </w:rPr>
              <w:t>XBRL Taxonomy Extension Schema Document</w:t>
            </w:r>
          </w:p>
        </w:tc>
        <w:tc>
          <w:tcPr>
            <w:tcW w:w="0" w:type="dxa"/>
            <w:vAlign w:val="bottom"/>
          </w:tcPr>
          <w:p>
            <w:pPr>
              <w:spacing w:after="0"/>
              <w:rPr>
                <w:sz w:val="1"/>
                <w:szCs w:val="1"/>
                <w:color w:val="auto"/>
              </w:rPr>
            </w:pPr>
          </w:p>
        </w:tc>
      </w:tr>
      <w:tr>
        <w:trPr>
          <w:trHeight w:val="613"/>
        </w:trPr>
        <w:tc>
          <w:tcPr>
            <w:tcW w:w="20" w:type="dxa"/>
            <w:vAlign w:val="bottom"/>
          </w:tcPr>
          <w:p>
            <w:pPr>
              <w:spacing w:after="0"/>
              <w:rPr>
                <w:sz w:val="24"/>
                <w:szCs w:val="24"/>
                <w:color w:val="auto"/>
              </w:rPr>
            </w:pPr>
          </w:p>
        </w:tc>
        <w:tc>
          <w:tcPr>
            <w:tcW w:w="1120" w:type="dxa"/>
            <w:vAlign w:val="bottom"/>
            <w:gridSpan w:val="2"/>
          </w:tcPr>
          <w:p>
            <w:pPr>
              <w:spacing w:after="0"/>
              <w:rPr>
                <w:sz w:val="20"/>
                <w:szCs w:val="20"/>
                <w:color w:val="auto"/>
              </w:rPr>
            </w:pPr>
            <w:r>
              <w:rPr>
                <w:rFonts w:ascii="Arial" w:cs="Arial" w:eastAsia="Arial" w:hAnsi="Arial"/>
                <w:sz w:val="15"/>
                <w:szCs w:val="15"/>
                <w:color w:val="auto"/>
              </w:rPr>
              <w:t>101.CAL</w:t>
            </w:r>
          </w:p>
        </w:tc>
        <w:tc>
          <w:tcPr>
            <w:tcW w:w="6340" w:type="dxa"/>
            <w:vAlign w:val="bottom"/>
            <w:gridSpan w:val="3"/>
          </w:tcPr>
          <w:p>
            <w:pPr>
              <w:ind w:left="20"/>
              <w:spacing w:after="0"/>
              <w:rPr>
                <w:sz w:val="20"/>
                <w:szCs w:val="20"/>
                <w:color w:val="auto"/>
              </w:rPr>
            </w:pPr>
            <w:r>
              <w:rPr>
                <w:rFonts w:ascii="Arial" w:cs="Arial" w:eastAsia="Arial" w:hAnsi="Arial"/>
                <w:sz w:val="15"/>
                <w:szCs w:val="15"/>
                <w:color w:val="auto"/>
              </w:rPr>
              <w:t>XBRL Taxonomy Extension Calculation Linkbase Document</w:t>
            </w:r>
          </w:p>
        </w:tc>
        <w:tc>
          <w:tcPr>
            <w:tcW w:w="0" w:type="dxa"/>
            <w:vAlign w:val="bottom"/>
          </w:tcPr>
          <w:p>
            <w:pPr>
              <w:spacing w:after="0"/>
              <w:rPr>
                <w:sz w:val="1"/>
                <w:szCs w:val="1"/>
                <w:color w:val="auto"/>
              </w:rPr>
            </w:pPr>
          </w:p>
        </w:tc>
      </w:tr>
      <w:tr>
        <w:trPr>
          <w:trHeight w:val="613"/>
        </w:trPr>
        <w:tc>
          <w:tcPr>
            <w:tcW w:w="20" w:type="dxa"/>
            <w:vAlign w:val="bottom"/>
          </w:tcPr>
          <w:p>
            <w:pPr>
              <w:spacing w:after="0"/>
              <w:rPr>
                <w:sz w:val="24"/>
                <w:szCs w:val="24"/>
                <w:color w:val="auto"/>
              </w:rPr>
            </w:pPr>
          </w:p>
        </w:tc>
        <w:tc>
          <w:tcPr>
            <w:tcW w:w="1120" w:type="dxa"/>
            <w:vAlign w:val="bottom"/>
            <w:gridSpan w:val="2"/>
          </w:tcPr>
          <w:p>
            <w:pPr>
              <w:spacing w:after="0"/>
              <w:rPr>
                <w:sz w:val="20"/>
                <w:szCs w:val="20"/>
                <w:color w:val="auto"/>
              </w:rPr>
            </w:pPr>
            <w:r>
              <w:rPr>
                <w:rFonts w:ascii="Arial" w:cs="Arial" w:eastAsia="Arial" w:hAnsi="Arial"/>
                <w:sz w:val="15"/>
                <w:szCs w:val="15"/>
                <w:color w:val="auto"/>
              </w:rPr>
              <w:t>101.LAB</w:t>
            </w:r>
          </w:p>
        </w:tc>
        <w:tc>
          <w:tcPr>
            <w:tcW w:w="6340" w:type="dxa"/>
            <w:vAlign w:val="bottom"/>
            <w:gridSpan w:val="3"/>
          </w:tcPr>
          <w:p>
            <w:pPr>
              <w:ind w:left="20"/>
              <w:spacing w:after="0"/>
              <w:rPr>
                <w:sz w:val="20"/>
                <w:szCs w:val="20"/>
                <w:color w:val="auto"/>
              </w:rPr>
            </w:pPr>
            <w:r>
              <w:rPr>
                <w:rFonts w:ascii="Arial" w:cs="Arial" w:eastAsia="Arial" w:hAnsi="Arial"/>
                <w:sz w:val="15"/>
                <w:szCs w:val="15"/>
                <w:color w:val="auto"/>
              </w:rPr>
              <w:t>XBRL Taxonomy Extension Label Linkbase Document</w:t>
            </w:r>
          </w:p>
        </w:tc>
        <w:tc>
          <w:tcPr>
            <w:tcW w:w="0" w:type="dxa"/>
            <w:vAlign w:val="bottom"/>
          </w:tcPr>
          <w:p>
            <w:pPr>
              <w:spacing w:after="0"/>
              <w:rPr>
                <w:sz w:val="1"/>
                <w:szCs w:val="1"/>
                <w:color w:val="auto"/>
              </w:rPr>
            </w:pPr>
          </w:p>
        </w:tc>
      </w:tr>
      <w:tr>
        <w:trPr>
          <w:trHeight w:val="613"/>
        </w:trPr>
        <w:tc>
          <w:tcPr>
            <w:tcW w:w="20" w:type="dxa"/>
            <w:vAlign w:val="bottom"/>
          </w:tcPr>
          <w:p>
            <w:pPr>
              <w:spacing w:after="0"/>
              <w:rPr>
                <w:sz w:val="24"/>
                <w:szCs w:val="24"/>
                <w:color w:val="auto"/>
              </w:rPr>
            </w:pPr>
          </w:p>
        </w:tc>
        <w:tc>
          <w:tcPr>
            <w:tcW w:w="1120" w:type="dxa"/>
            <w:vAlign w:val="bottom"/>
            <w:gridSpan w:val="2"/>
          </w:tcPr>
          <w:p>
            <w:pPr>
              <w:spacing w:after="0"/>
              <w:rPr>
                <w:sz w:val="20"/>
                <w:szCs w:val="20"/>
                <w:color w:val="auto"/>
              </w:rPr>
            </w:pPr>
            <w:r>
              <w:rPr>
                <w:rFonts w:ascii="Arial" w:cs="Arial" w:eastAsia="Arial" w:hAnsi="Arial"/>
                <w:sz w:val="15"/>
                <w:szCs w:val="15"/>
                <w:color w:val="auto"/>
              </w:rPr>
              <w:t>101.PRE</w:t>
            </w:r>
          </w:p>
        </w:tc>
        <w:tc>
          <w:tcPr>
            <w:tcW w:w="6340" w:type="dxa"/>
            <w:vAlign w:val="bottom"/>
            <w:gridSpan w:val="3"/>
          </w:tcPr>
          <w:p>
            <w:pPr>
              <w:ind w:left="20"/>
              <w:spacing w:after="0"/>
              <w:rPr>
                <w:sz w:val="20"/>
                <w:szCs w:val="20"/>
                <w:color w:val="auto"/>
              </w:rPr>
            </w:pPr>
            <w:r>
              <w:rPr>
                <w:rFonts w:ascii="Arial" w:cs="Arial" w:eastAsia="Arial" w:hAnsi="Arial"/>
                <w:sz w:val="15"/>
                <w:szCs w:val="15"/>
                <w:color w:val="auto"/>
              </w:rPr>
              <w:t>XBRL Taxonomy Extension Presentation Linkbase Document</w:t>
            </w:r>
          </w:p>
        </w:tc>
        <w:tc>
          <w:tcPr>
            <w:tcW w:w="0" w:type="dxa"/>
            <w:vAlign w:val="bottom"/>
          </w:tcPr>
          <w:p>
            <w:pPr>
              <w:spacing w:after="0"/>
              <w:rPr>
                <w:sz w:val="1"/>
                <w:szCs w:val="1"/>
                <w:color w:val="auto"/>
              </w:rPr>
            </w:pPr>
          </w:p>
        </w:tc>
      </w:tr>
      <w:tr>
        <w:trPr>
          <w:trHeight w:val="613"/>
        </w:trPr>
        <w:tc>
          <w:tcPr>
            <w:tcW w:w="20" w:type="dxa"/>
            <w:vAlign w:val="bottom"/>
          </w:tcPr>
          <w:p>
            <w:pPr>
              <w:spacing w:after="0"/>
              <w:rPr>
                <w:sz w:val="24"/>
                <w:szCs w:val="24"/>
                <w:color w:val="auto"/>
              </w:rPr>
            </w:pPr>
          </w:p>
        </w:tc>
        <w:tc>
          <w:tcPr>
            <w:tcW w:w="1120" w:type="dxa"/>
            <w:vAlign w:val="bottom"/>
            <w:gridSpan w:val="2"/>
          </w:tcPr>
          <w:p>
            <w:pPr>
              <w:spacing w:after="0"/>
              <w:rPr>
                <w:sz w:val="20"/>
                <w:szCs w:val="20"/>
                <w:color w:val="auto"/>
              </w:rPr>
            </w:pPr>
            <w:r>
              <w:rPr>
                <w:rFonts w:ascii="Arial" w:cs="Arial" w:eastAsia="Arial" w:hAnsi="Arial"/>
                <w:sz w:val="15"/>
                <w:szCs w:val="15"/>
                <w:color w:val="auto"/>
              </w:rPr>
              <w:t>101.DEF</w:t>
            </w:r>
          </w:p>
        </w:tc>
        <w:tc>
          <w:tcPr>
            <w:tcW w:w="6340" w:type="dxa"/>
            <w:vAlign w:val="bottom"/>
            <w:gridSpan w:val="3"/>
          </w:tcPr>
          <w:p>
            <w:pPr>
              <w:ind w:left="20"/>
              <w:spacing w:after="0"/>
              <w:rPr>
                <w:sz w:val="20"/>
                <w:szCs w:val="20"/>
                <w:color w:val="auto"/>
              </w:rPr>
            </w:pPr>
            <w:r>
              <w:rPr>
                <w:rFonts w:ascii="Arial" w:cs="Arial" w:eastAsia="Arial" w:hAnsi="Arial"/>
                <w:sz w:val="15"/>
                <w:szCs w:val="15"/>
                <w:color w:val="auto"/>
              </w:rPr>
              <w:t>XBRL Taxonomy Extension Definition Linkbase Document</w:t>
            </w:r>
          </w:p>
        </w:tc>
        <w:tc>
          <w:tcPr>
            <w:tcW w:w="0" w:type="dxa"/>
            <w:vAlign w:val="bottom"/>
          </w:tcPr>
          <w:p>
            <w:pPr>
              <w:spacing w:after="0"/>
              <w:rPr>
                <w:sz w:val="1"/>
                <w:szCs w:val="1"/>
                <w:color w:val="auto"/>
              </w:rPr>
            </w:pPr>
          </w:p>
        </w:tc>
      </w:tr>
    </w:tbl>
    <w:p>
      <w:pPr>
        <w:spacing w:after="0" w:line="394" w:lineRule="exact"/>
        <w:rPr>
          <w:sz w:val="20"/>
          <w:szCs w:val="20"/>
          <w:color w:val="auto"/>
        </w:rPr>
      </w:pPr>
    </w:p>
    <w:p>
      <w:pPr>
        <w:spacing w:after="0"/>
        <w:rPr>
          <w:sz w:val="20"/>
          <w:szCs w:val="20"/>
          <w:color w:val="auto"/>
        </w:rPr>
      </w:pPr>
      <w:r>
        <w:rPr>
          <w:rFonts w:ascii="Arial" w:cs="Arial" w:eastAsia="Arial" w:hAnsi="Arial"/>
          <w:sz w:val="17"/>
          <w:szCs w:val="17"/>
          <w:color w:val="auto"/>
        </w:rPr>
        <w:t>__________</w:t>
      </w:r>
    </w:p>
    <w:p>
      <w:pPr>
        <w:spacing w:after="0" w:line="17" w:lineRule="exact"/>
        <w:rPr>
          <w:sz w:val="20"/>
          <w:szCs w:val="20"/>
          <w:color w:val="auto"/>
        </w:rPr>
      </w:pPr>
    </w:p>
    <w:p>
      <w:pPr>
        <w:spacing w:after="0"/>
        <w:tabs>
          <w:tab w:leader="none" w:pos="280" w:val="left"/>
        </w:tabs>
        <w:rPr>
          <w:sz w:val="20"/>
          <w:szCs w:val="20"/>
          <w:color w:val="auto"/>
        </w:rPr>
      </w:pPr>
      <w:r>
        <w:rPr>
          <w:rFonts w:ascii="Arial" w:cs="Arial" w:eastAsia="Arial" w:hAnsi="Arial"/>
          <w:sz w:val="15"/>
          <w:szCs w:val="15"/>
          <w:color w:val="auto"/>
        </w:rPr>
        <w:t>**</w:t>
        <w:tab/>
        <w:t>Confidential treatment has been requested for portions of this agreement.</w:t>
      </w:r>
    </w:p>
    <w:p>
      <w:pPr>
        <w:spacing w:after="0" w:line="166" w:lineRule="exact"/>
        <w:rPr>
          <w:sz w:val="20"/>
          <w:szCs w:val="20"/>
          <w:color w:val="auto"/>
        </w:rPr>
      </w:pPr>
    </w:p>
    <w:p>
      <w:pPr>
        <w:ind w:left="5300"/>
        <w:spacing w:after="0"/>
        <w:rPr>
          <w:sz w:val="20"/>
          <w:szCs w:val="20"/>
          <w:color w:val="auto"/>
        </w:rPr>
      </w:pPr>
      <w:r>
        <w:rPr>
          <w:rFonts w:ascii="Arial" w:cs="Arial" w:eastAsia="Arial" w:hAnsi="Arial"/>
          <w:sz w:val="17"/>
          <w:szCs w:val="17"/>
          <w:color w:val="auto"/>
        </w:rPr>
        <w:t>* * * * * *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5"/>
          <w:szCs w:val="15"/>
          <w:color w:val="auto"/>
        </w:rPr>
        <w:t>Filed Herewith</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5"/>
          <w:szCs w:val="15"/>
          <w:color w:val="auto"/>
        </w:rPr>
        <w:t>Filed Herewith</w:t>
      </w:r>
    </w:p>
    <w:p>
      <w:pPr>
        <w:spacing w:after="0" w:line="253" w:lineRule="exact"/>
        <w:rPr>
          <w:sz w:val="20"/>
          <w:szCs w:val="20"/>
          <w:color w:val="auto"/>
        </w:rPr>
      </w:pPr>
    </w:p>
    <w:p>
      <w:pPr>
        <w:spacing w:after="0"/>
        <w:rPr>
          <w:sz w:val="20"/>
          <w:szCs w:val="20"/>
          <w:color w:val="auto"/>
        </w:rPr>
      </w:pPr>
      <w:r>
        <w:rPr>
          <w:rFonts w:ascii="Arial" w:cs="Arial" w:eastAsia="Arial" w:hAnsi="Arial"/>
          <w:sz w:val="15"/>
          <w:szCs w:val="15"/>
          <w:color w:val="auto"/>
        </w:rPr>
        <w:t>Filed Herewith</w:t>
      </w:r>
    </w:p>
    <w:p>
      <w:pPr>
        <w:spacing w:after="0" w:line="253" w:lineRule="exact"/>
        <w:rPr>
          <w:sz w:val="20"/>
          <w:szCs w:val="20"/>
          <w:color w:val="auto"/>
        </w:rPr>
      </w:pPr>
    </w:p>
    <w:p>
      <w:pPr>
        <w:jc w:val="both"/>
        <w:spacing w:after="0" w:line="273" w:lineRule="auto"/>
        <w:rPr>
          <w:sz w:val="20"/>
          <w:szCs w:val="20"/>
          <w:color w:val="auto"/>
        </w:rPr>
      </w:pPr>
      <w:r>
        <w:rPr>
          <w:rFonts w:ascii="Arial" w:cs="Arial" w:eastAsia="Arial" w:hAnsi="Arial"/>
          <w:sz w:val="15"/>
          <w:szCs w:val="15"/>
          <w:color w:val="auto"/>
        </w:rPr>
        <w:t>Previously Filed on August 3, 2012 as Exhibit 32.1 to the Company's Quarterly Report on Form 10-Q for the quarter ended June 30, 2012</w:t>
      </w:r>
    </w:p>
    <w:p>
      <w:pPr>
        <w:spacing w:after="0" w:line="25" w:lineRule="exact"/>
        <w:rPr>
          <w:sz w:val="20"/>
          <w:szCs w:val="20"/>
          <w:color w:val="auto"/>
        </w:rPr>
      </w:pPr>
    </w:p>
    <w:p>
      <w:pPr>
        <w:jc w:val="both"/>
        <w:spacing w:after="0" w:line="273" w:lineRule="auto"/>
        <w:rPr>
          <w:sz w:val="20"/>
          <w:szCs w:val="20"/>
          <w:color w:val="auto"/>
        </w:rPr>
      </w:pPr>
      <w:r>
        <w:rPr>
          <w:rFonts w:ascii="Arial" w:cs="Arial" w:eastAsia="Arial" w:hAnsi="Arial"/>
          <w:sz w:val="15"/>
          <w:szCs w:val="15"/>
          <w:color w:val="auto"/>
        </w:rPr>
        <w:t>Previously Filed on August 3, 2012 as Exhibit 32.1 to the Company's Quarterly Report on Form 10-Q for the quarter ended June 30, 2012</w:t>
      </w:r>
    </w:p>
    <w:p>
      <w:pPr>
        <w:spacing w:after="0" w:line="25" w:lineRule="exact"/>
        <w:rPr>
          <w:sz w:val="20"/>
          <w:szCs w:val="20"/>
          <w:color w:val="auto"/>
        </w:rPr>
      </w:pPr>
    </w:p>
    <w:p>
      <w:pPr>
        <w:jc w:val="both"/>
        <w:spacing w:after="0" w:line="273" w:lineRule="auto"/>
        <w:rPr>
          <w:sz w:val="20"/>
          <w:szCs w:val="20"/>
          <w:color w:val="auto"/>
        </w:rPr>
      </w:pPr>
      <w:r>
        <w:rPr>
          <w:rFonts w:ascii="Arial" w:cs="Arial" w:eastAsia="Arial" w:hAnsi="Arial"/>
          <w:sz w:val="15"/>
          <w:szCs w:val="15"/>
          <w:color w:val="auto"/>
        </w:rPr>
        <w:t>Previously Filed on August 3, 2012 as Exhibit 32.1 to the Company's Quarterly Report on Form 10-Q for the quarter ended June 30, 2012</w:t>
      </w:r>
    </w:p>
    <w:p>
      <w:pPr>
        <w:spacing w:after="0" w:line="25" w:lineRule="exact"/>
        <w:rPr>
          <w:sz w:val="20"/>
          <w:szCs w:val="20"/>
          <w:color w:val="auto"/>
        </w:rPr>
      </w:pPr>
    </w:p>
    <w:p>
      <w:pPr>
        <w:jc w:val="both"/>
        <w:spacing w:after="0" w:line="273" w:lineRule="auto"/>
        <w:rPr>
          <w:sz w:val="20"/>
          <w:szCs w:val="20"/>
          <w:color w:val="auto"/>
        </w:rPr>
      </w:pPr>
      <w:r>
        <w:rPr>
          <w:rFonts w:ascii="Arial" w:cs="Arial" w:eastAsia="Arial" w:hAnsi="Arial"/>
          <w:sz w:val="15"/>
          <w:szCs w:val="15"/>
          <w:color w:val="auto"/>
        </w:rPr>
        <w:t>Previously Filed on August 3, 2012 as Exhibit 32.1 to the Company's Quarterly Report on Form 10-Q for the quarter ended June 30, 2012</w:t>
      </w:r>
    </w:p>
    <w:p>
      <w:pPr>
        <w:spacing w:after="0" w:line="25" w:lineRule="exact"/>
        <w:rPr>
          <w:sz w:val="20"/>
          <w:szCs w:val="20"/>
          <w:color w:val="auto"/>
        </w:rPr>
      </w:pPr>
    </w:p>
    <w:p>
      <w:pPr>
        <w:jc w:val="both"/>
        <w:spacing w:after="0" w:line="273" w:lineRule="auto"/>
        <w:rPr>
          <w:sz w:val="20"/>
          <w:szCs w:val="20"/>
          <w:color w:val="auto"/>
        </w:rPr>
      </w:pPr>
      <w:r>
        <w:rPr>
          <w:rFonts w:ascii="Arial" w:cs="Arial" w:eastAsia="Arial" w:hAnsi="Arial"/>
          <w:sz w:val="15"/>
          <w:szCs w:val="15"/>
          <w:color w:val="auto"/>
        </w:rPr>
        <w:t>Previously Filed on August 3, 2012 as Exhibit 32.1 to the Company's Quarterly Report on Form 10-Q for the quarter ended June 30, 2012</w:t>
      </w:r>
    </w:p>
    <w:p>
      <w:pPr>
        <w:spacing w:after="0" w:line="25" w:lineRule="exact"/>
        <w:rPr>
          <w:sz w:val="20"/>
          <w:szCs w:val="20"/>
          <w:color w:val="auto"/>
        </w:rPr>
      </w:pPr>
    </w:p>
    <w:p>
      <w:pPr>
        <w:jc w:val="both"/>
        <w:spacing w:after="0" w:line="273" w:lineRule="auto"/>
        <w:rPr>
          <w:sz w:val="20"/>
          <w:szCs w:val="20"/>
          <w:color w:val="auto"/>
        </w:rPr>
      </w:pPr>
      <w:r>
        <w:rPr>
          <w:rFonts w:ascii="Arial" w:cs="Arial" w:eastAsia="Arial" w:hAnsi="Arial"/>
          <w:sz w:val="15"/>
          <w:szCs w:val="15"/>
          <w:color w:val="auto"/>
        </w:rPr>
        <w:t>Previously Filed on August 3, 2012 as Exhibit 32.1 to the Company's Quarterly Report on Form 10-Q for the quarter ended June 30, 2012</w:t>
      </w:r>
    </w:p>
    <w:p>
      <w:pPr>
        <w:spacing w:after="0" w:line="25" w:lineRule="exact"/>
        <w:rPr>
          <w:sz w:val="20"/>
          <w:szCs w:val="20"/>
          <w:color w:val="auto"/>
        </w:rPr>
      </w:pPr>
    </w:p>
    <w:p>
      <w:pPr>
        <w:jc w:val="both"/>
        <w:spacing w:after="0" w:line="273" w:lineRule="auto"/>
        <w:rPr>
          <w:sz w:val="20"/>
          <w:szCs w:val="20"/>
          <w:color w:val="auto"/>
        </w:rPr>
      </w:pPr>
      <w:r>
        <w:rPr>
          <w:rFonts w:ascii="Arial" w:cs="Arial" w:eastAsia="Arial" w:hAnsi="Arial"/>
          <w:sz w:val="15"/>
          <w:szCs w:val="15"/>
          <w:color w:val="auto"/>
        </w:rPr>
        <w:t>Previously Filed on August 3, 2012 as Exhibit 32.1 to the Company's Quarterly Report on Form 10-Q for the quarter ended June 30, 2012</w:t>
      </w:r>
    </w:p>
    <w:p>
      <w:pPr>
        <w:spacing w:after="0" w:line="25" w:lineRule="exact"/>
        <w:rPr>
          <w:sz w:val="20"/>
          <w:szCs w:val="20"/>
          <w:color w:val="auto"/>
        </w:rPr>
      </w:pPr>
    </w:p>
    <w:p>
      <w:pPr>
        <w:jc w:val="both"/>
        <w:spacing w:after="0" w:line="273" w:lineRule="auto"/>
        <w:rPr>
          <w:sz w:val="20"/>
          <w:szCs w:val="20"/>
          <w:color w:val="auto"/>
        </w:rPr>
      </w:pPr>
      <w:r>
        <w:rPr>
          <w:rFonts w:ascii="Arial" w:cs="Arial" w:eastAsia="Arial" w:hAnsi="Arial"/>
          <w:sz w:val="15"/>
          <w:szCs w:val="15"/>
          <w:color w:val="auto"/>
        </w:rPr>
        <w:t>Previously Filed on August 3, 2012 as Exhibit 32.1 to the Company's Quarterly Report on Form 10-Q for the quarter ended June 30, 2012</w:t>
      </w:r>
    </w:p>
    <w:p>
      <w:pPr>
        <w:sectPr>
          <w:pgSz w:w="11900" w:h="16838" w:orient="portrait"/>
          <w:cols w:equalWidth="0" w:num="2">
            <w:col w:w="7480" w:space="320"/>
            <w:col w:w="3520"/>
          </w:cols>
          <w:pgMar w:left="240" w:top="749"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700" w:type="dxa"/>
            <w:vAlign w:val="bottom"/>
          </w:tcPr>
          <w:p>
            <w:pPr>
              <w:ind w:left="280"/>
              <w:spacing w:after="0"/>
              <w:rPr>
                <w:sz w:val="20"/>
                <w:szCs w:val="20"/>
                <w:color w:val="auto"/>
              </w:rPr>
            </w:pPr>
            <w:r>
              <w:rPr>
                <w:rFonts w:ascii="Arial" w:cs="Arial" w:eastAsia="Arial" w:hAnsi="Arial"/>
                <w:sz w:val="17"/>
                <w:szCs w:val="17"/>
                <w:b w:val="1"/>
                <w:bCs w:val="1"/>
                <w:color w:val="auto"/>
              </w:rPr>
              <w:t>EXHIBIT INDEX</w:t>
            </w:r>
          </w:p>
        </w:tc>
        <w:tc>
          <w:tcPr>
            <w:tcW w:w="0" w:type="dxa"/>
            <w:vAlign w:val="bottom"/>
          </w:tcPr>
          <w:p>
            <w:pPr>
              <w:spacing w:after="0"/>
              <w:rPr>
                <w:sz w:val="1"/>
                <w:szCs w:val="1"/>
                <w:color w:val="auto"/>
              </w:rPr>
            </w:pPr>
          </w:p>
        </w:tc>
      </w:tr>
      <w:tr>
        <w:trPr>
          <w:trHeight w:val="468"/>
        </w:trPr>
        <w:tc>
          <w:tcPr>
            <w:tcW w:w="20" w:type="dxa"/>
            <w:vAlign w:val="bottom"/>
          </w:tcPr>
          <w:p>
            <w:pPr>
              <w:spacing w:after="0"/>
              <w:rPr>
                <w:sz w:val="24"/>
                <w:szCs w:val="24"/>
                <w:color w:val="auto"/>
              </w:rPr>
            </w:pPr>
          </w:p>
        </w:tc>
        <w:tc>
          <w:tcPr>
            <w:tcW w:w="980" w:type="dxa"/>
            <w:vAlign w:val="bottom"/>
            <w:gridSpan w:val="2"/>
          </w:tcPr>
          <w:p>
            <w:pPr>
              <w:spacing w:after="0"/>
              <w:rPr>
                <w:sz w:val="20"/>
                <w:szCs w:val="20"/>
                <w:color w:val="auto"/>
              </w:rPr>
            </w:pPr>
            <w:r>
              <w:rPr>
                <w:rFonts w:ascii="Arial" w:cs="Arial" w:eastAsia="Arial" w:hAnsi="Arial"/>
                <w:sz w:val="13"/>
                <w:szCs w:val="13"/>
                <w:b w:val="1"/>
                <w:bCs w:val="1"/>
                <w:color w:val="auto"/>
              </w:rPr>
              <w:t>Exhibit</w:t>
            </w:r>
          </w:p>
        </w:tc>
        <w:tc>
          <w:tcPr>
            <w:tcW w:w="6480" w:type="dxa"/>
            <w:vAlign w:val="bottom"/>
            <w:gridSpan w:val="3"/>
            <w:vMerge w:val="restart"/>
          </w:tcPr>
          <w:p>
            <w:pPr>
              <w:ind w:left="3000"/>
              <w:spacing w:after="0"/>
              <w:rPr>
                <w:sz w:val="20"/>
                <w:szCs w:val="20"/>
                <w:color w:val="auto"/>
              </w:rPr>
            </w:pPr>
            <w:r>
              <w:rPr>
                <w:rFonts w:ascii="Arial" w:cs="Arial" w:eastAsia="Arial" w:hAnsi="Arial"/>
                <w:sz w:val="13"/>
                <w:szCs w:val="13"/>
                <w:b w:val="1"/>
                <w:bCs w:val="1"/>
                <w:color w:val="auto"/>
              </w:rPr>
              <w:t>Exhibit Name</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480" w:type="dxa"/>
            <w:vAlign w:val="bottom"/>
          </w:tcPr>
          <w:p>
            <w:pPr>
              <w:spacing w:after="0" w:line="146" w:lineRule="exact"/>
              <w:rPr>
                <w:sz w:val="20"/>
                <w:szCs w:val="20"/>
                <w:color w:val="auto"/>
              </w:rPr>
            </w:pPr>
            <w:r>
              <w:rPr>
                <w:rFonts w:ascii="Arial" w:cs="Arial" w:eastAsia="Arial" w:hAnsi="Arial"/>
                <w:sz w:val="13"/>
                <w:szCs w:val="13"/>
                <w:b w:val="1"/>
                <w:bCs w:val="1"/>
                <w:color w:val="auto"/>
                <w:w w:val="93"/>
              </w:rPr>
              <w:t>Number</w:t>
            </w:r>
          </w:p>
        </w:tc>
        <w:tc>
          <w:tcPr>
            <w:tcW w:w="500" w:type="dxa"/>
            <w:vAlign w:val="bottom"/>
          </w:tcPr>
          <w:p>
            <w:pPr>
              <w:spacing w:after="0"/>
              <w:rPr>
                <w:sz w:val="12"/>
                <w:szCs w:val="12"/>
                <w:color w:val="auto"/>
              </w:rPr>
            </w:pPr>
          </w:p>
        </w:tc>
        <w:tc>
          <w:tcPr>
            <w:tcW w:w="64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20"/>
                <w:szCs w:val="20"/>
                <w:color w:val="auto"/>
              </w:rPr>
            </w:pPr>
            <w:r>
              <w:rPr>
                <w:rFonts w:ascii="Arial" w:cs="Arial" w:eastAsia="Arial" w:hAnsi="Arial"/>
                <w:sz w:val="15"/>
                <w:szCs w:val="15"/>
                <w:color w:val="auto"/>
              </w:rPr>
              <w:t>10.1</w:t>
            </w:r>
          </w:p>
        </w:tc>
        <w:tc>
          <w:tcPr>
            <w:tcW w:w="500" w:type="dxa"/>
            <w:vAlign w:val="bottom"/>
          </w:tcPr>
          <w:p>
            <w:pPr>
              <w:spacing w:after="0"/>
              <w:rPr>
                <w:sz w:val="19"/>
                <w:szCs w:val="19"/>
                <w:color w:val="auto"/>
              </w:rPr>
            </w:pPr>
          </w:p>
        </w:tc>
        <w:tc>
          <w:tcPr>
            <w:tcW w:w="6480" w:type="dxa"/>
            <w:vAlign w:val="bottom"/>
            <w:gridSpan w:val="3"/>
          </w:tcPr>
          <w:p>
            <w:pPr>
              <w:ind w:left="160"/>
              <w:spacing w:after="0"/>
              <w:rPr>
                <w:sz w:val="20"/>
                <w:szCs w:val="20"/>
                <w:color w:val="auto"/>
              </w:rPr>
            </w:pPr>
            <w:r>
              <w:rPr>
                <w:rFonts w:ascii="Arial" w:cs="Arial" w:eastAsia="Arial" w:hAnsi="Arial"/>
                <w:sz w:val="15"/>
                <w:szCs w:val="15"/>
                <w:color w:val="auto"/>
                <w:w w:val="91"/>
              </w:rPr>
              <w:t>Definitive Transaction Framework Agreement, dated as of May 30, 2012, by and among General Motors</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480" w:type="dxa"/>
            <w:vAlign w:val="bottom"/>
            <w:gridSpan w:val="3"/>
          </w:tcPr>
          <w:p>
            <w:pPr>
              <w:ind w:left="160"/>
              <w:spacing w:after="0"/>
              <w:rPr>
                <w:sz w:val="20"/>
                <w:szCs w:val="20"/>
                <w:color w:val="auto"/>
              </w:rPr>
            </w:pPr>
            <w:r>
              <w:rPr>
                <w:rFonts w:ascii="Arial" w:cs="Arial" w:eastAsia="Arial" w:hAnsi="Arial"/>
                <w:sz w:val="15"/>
                <w:szCs w:val="15"/>
                <w:color w:val="auto"/>
                <w:w w:val="93"/>
              </w:rPr>
              <w:t>LLC, Prudential Insurance Company of America, Prudential Financial, Inc. and State Street Bank and</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480" w:type="dxa"/>
            <w:vAlign w:val="bottom"/>
            <w:gridSpan w:val="3"/>
          </w:tcPr>
          <w:p>
            <w:pPr>
              <w:ind w:left="160"/>
              <w:spacing w:after="0"/>
              <w:rPr>
                <w:sz w:val="20"/>
                <w:szCs w:val="20"/>
                <w:color w:val="auto"/>
              </w:rPr>
            </w:pPr>
            <w:r>
              <w:rPr>
                <w:rFonts w:ascii="Arial" w:cs="Arial" w:eastAsia="Arial" w:hAnsi="Arial"/>
                <w:sz w:val="15"/>
                <w:szCs w:val="15"/>
                <w:color w:val="auto"/>
                <w:w w:val="95"/>
              </w:rPr>
              <w:t>Trust Company, as Independent Fiduciary of the GM Retirement Program for Salaried Employees**</w:t>
            </w:r>
          </w:p>
        </w:tc>
        <w:tc>
          <w:tcPr>
            <w:tcW w:w="0" w:type="dxa"/>
            <w:vAlign w:val="bottom"/>
          </w:tcPr>
          <w:p>
            <w:pPr>
              <w:spacing w:after="0"/>
              <w:rPr>
                <w:sz w:val="1"/>
                <w:szCs w:val="1"/>
                <w:color w:val="auto"/>
              </w:rPr>
            </w:pPr>
          </w:p>
        </w:tc>
      </w:tr>
      <w:tr>
        <w:trPr>
          <w:trHeight w:val="238"/>
        </w:trPr>
        <w:tc>
          <w:tcPr>
            <w:tcW w:w="500" w:type="dxa"/>
            <w:vAlign w:val="bottom"/>
            <w:gridSpan w:val="2"/>
          </w:tcPr>
          <w:p>
            <w:pPr>
              <w:ind w:left="20"/>
              <w:spacing w:after="0"/>
              <w:rPr>
                <w:sz w:val="20"/>
                <w:szCs w:val="20"/>
                <w:color w:val="auto"/>
              </w:rPr>
            </w:pPr>
            <w:r>
              <w:rPr>
                <w:rFonts w:ascii="Arial" w:cs="Arial" w:eastAsia="Arial" w:hAnsi="Arial"/>
                <w:sz w:val="15"/>
                <w:szCs w:val="15"/>
                <w:color w:val="auto"/>
              </w:rPr>
              <w:t>31.1</w:t>
            </w:r>
          </w:p>
        </w:tc>
        <w:tc>
          <w:tcPr>
            <w:tcW w:w="500" w:type="dxa"/>
            <w:vAlign w:val="bottom"/>
          </w:tcPr>
          <w:p>
            <w:pPr>
              <w:spacing w:after="0"/>
              <w:rPr>
                <w:sz w:val="20"/>
                <w:szCs w:val="20"/>
                <w:color w:val="auto"/>
              </w:rPr>
            </w:pPr>
          </w:p>
        </w:tc>
        <w:tc>
          <w:tcPr>
            <w:tcW w:w="6480" w:type="dxa"/>
            <w:vAlign w:val="bottom"/>
            <w:gridSpan w:val="3"/>
          </w:tcPr>
          <w:p>
            <w:pPr>
              <w:ind w:left="160"/>
              <w:spacing w:after="0"/>
              <w:rPr>
                <w:sz w:val="20"/>
                <w:szCs w:val="20"/>
                <w:color w:val="auto"/>
              </w:rPr>
            </w:pPr>
            <w:r>
              <w:rPr>
                <w:rFonts w:ascii="Arial" w:cs="Arial" w:eastAsia="Arial" w:hAnsi="Arial"/>
                <w:sz w:val="15"/>
                <w:szCs w:val="15"/>
                <w:color w:val="auto"/>
              </w:rPr>
              <w:t>Section 302 Certification of the Chief Executive Officer</w:t>
            </w:r>
          </w:p>
        </w:tc>
        <w:tc>
          <w:tcPr>
            <w:tcW w:w="0" w:type="dxa"/>
            <w:vAlign w:val="bottom"/>
          </w:tcPr>
          <w:p>
            <w:pPr>
              <w:spacing w:after="0"/>
              <w:rPr>
                <w:sz w:val="1"/>
                <w:szCs w:val="1"/>
                <w:color w:val="auto"/>
              </w:rPr>
            </w:pPr>
          </w:p>
        </w:tc>
      </w:tr>
      <w:tr>
        <w:trPr>
          <w:trHeight w:val="426"/>
        </w:trPr>
        <w:tc>
          <w:tcPr>
            <w:tcW w:w="500" w:type="dxa"/>
            <w:vAlign w:val="bottom"/>
            <w:gridSpan w:val="2"/>
          </w:tcPr>
          <w:p>
            <w:pPr>
              <w:ind w:left="20"/>
              <w:spacing w:after="0"/>
              <w:rPr>
                <w:sz w:val="20"/>
                <w:szCs w:val="20"/>
                <w:color w:val="auto"/>
              </w:rPr>
            </w:pPr>
            <w:r>
              <w:rPr>
                <w:rFonts w:ascii="Arial" w:cs="Arial" w:eastAsia="Arial" w:hAnsi="Arial"/>
                <w:sz w:val="15"/>
                <w:szCs w:val="15"/>
                <w:color w:val="auto"/>
              </w:rPr>
              <w:t>31.2</w:t>
            </w:r>
          </w:p>
        </w:tc>
        <w:tc>
          <w:tcPr>
            <w:tcW w:w="500" w:type="dxa"/>
            <w:vAlign w:val="bottom"/>
          </w:tcPr>
          <w:p>
            <w:pPr>
              <w:spacing w:after="0"/>
              <w:rPr>
                <w:sz w:val="24"/>
                <w:szCs w:val="24"/>
                <w:color w:val="auto"/>
              </w:rPr>
            </w:pPr>
          </w:p>
        </w:tc>
        <w:tc>
          <w:tcPr>
            <w:tcW w:w="6480" w:type="dxa"/>
            <w:vAlign w:val="bottom"/>
            <w:gridSpan w:val="3"/>
          </w:tcPr>
          <w:p>
            <w:pPr>
              <w:ind w:left="160"/>
              <w:spacing w:after="0"/>
              <w:rPr>
                <w:sz w:val="20"/>
                <w:szCs w:val="20"/>
                <w:color w:val="auto"/>
              </w:rPr>
            </w:pPr>
            <w:r>
              <w:rPr>
                <w:rFonts w:ascii="Arial" w:cs="Arial" w:eastAsia="Arial" w:hAnsi="Arial"/>
                <w:sz w:val="15"/>
                <w:szCs w:val="15"/>
                <w:color w:val="auto"/>
              </w:rPr>
              <w:t>Section 302 Certification of the Chief Financial Officer</w:t>
            </w:r>
          </w:p>
        </w:tc>
        <w:tc>
          <w:tcPr>
            <w:tcW w:w="0" w:type="dxa"/>
            <w:vAlign w:val="bottom"/>
          </w:tcPr>
          <w:p>
            <w:pPr>
              <w:spacing w:after="0"/>
              <w:rPr>
                <w:sz w:val="1"/>
                <w:szCs w:val="1"/>
                <w:color w:val="auto"/>
              </w:rPr>
            </w:pPr>
          </w:p>
        </w:tc>
      </w:tr>
      <w:tr>
        <w:trPr>
          <w:trHeight w:val="423"/>
        </w:trPr>
        <w:tc>
          <w:tcPr>
            <w:tcW w:w="500" w:type="dxa"/>
            <w:vAlign w:val="bottom"/>
            <w:gridSpan w:val="2"/>
          </w:tcPr>
          <w:p>
            <w:pPr>
              <w:ind w:left="20"/>
              <w:spacing w:after="0"/>
              <w:rPr>
                <w:sz w:val="20"/>
                <w:szCs w:val="20"/>
                <w:color w:val="auto"/>
              </w:rPr>
            </w:pPr>
            <w:r>
              <w:rPr>
                <w:rFonts w:ascii="Arial" w:cs="Arial" w:eastAsia="Arial" w:hAnsi="Arial"/>
                <w:sz w:val="15"/>
                <w:szCs w:val="15"/>
                <w:color w:val="auto"/>
              </w:rPr>
              <w:t>32.1</w:t>
            </w:r>
          </w:p>
        </w:tc>
        <w:tc>
          <w:tcPr>
            <w:tcW w:w="500" w:type="dxa"/>
            <w:vAlign w:val="bottom"/>
          </w:tcPr>
          <w:p>
            <w:pPr>
              <w:spacing w:after="0"/>
              <w:rPr>
                <w:sz w:val="24"/>
                <w:szCs w:val="24"/>
                <w:color w:val="auto"/>
              </w:rPr>
            </w:pPr>
          </w:p>
        </w:tc>
        <w:tc>
          <w:tcPr>
            <w:tcW w:w="6480" w:type="dxa"/>
            <w:vAlign w:val="bottom"/>
            <w:gridSpan w:val="3"/>
          </w:tcPr>
          <w:p>
            <w:pPr>
              <w:ind w:left="160"/>
              <w:spacing w:after="0"/>
              <w:rPr>
                <w:sz w:val="20"/>
                <w:szCs w:val="20"/>
                <w:color w:val="auto"/>
              </w:rPr>
            </w:pPr>
            <w:r>
              <w:rPr>
                <w:rFonts w:ascii="Arial" w:cs="Arial" w:eastAsia="Arial" w:hAnsi="Arial"/>
                <w:sz w:val="15"/>
                <w:szCs w:val="15"/>
                <w:color w:val="auto"/>
                <w:w w:val="91"/>
              </w:rPr>
              <w:t>Certification of the Chief Executive Officer Pursuant to 18 U.S.C. Section 1350, As Adopted Pursuant to</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480" w:type="dxa"/>
            <w:vAlign w:val="bottom"/>
            <w:gridSpan w:val="3"/>
          </w:tcPr>
          <w:p>
            <w:pPr>
              <w:ind w:left="160"/>
              <w:spacing w:after="0"/>
              <w:rPr>
                <w:sz w:val="20"/>
                <w:szCs w:val="20"/>
                <w:color w:val="auto"/>
              </w:rPr>
            </w:pPr>
            <w:r>
              <w:rPr>
                <w:rFonts w:ascii="Arial" w:cs="Arial" w:eastAsia="Arial" w:hAnsi="Arial"/>
                <w:sz w:val="15"/>
                <w:szCs w:val="15"/>
                <w:color w:val="auto"/>
              </w:rPr>
              <w:t>Section 906 of the Sarbanes-Oxley Act of 2002</w:t>
            </w:r>
          </w:p>
        </w:tc>
        <w:tc>
          <w:tcPr>
            <w:tcW w:w="0" w:type="dxa"/>
            <w:vAlign w:val="bottom"/>
          </w:tcPr>
          <w:p>
            <w:pPr>
              <w:spacing w:after="0"/>
              <w:rPr>
                <w:sz w:val="1"/>
                <w:szCs w:val="1"/>
                <w:color w:val="auto"/>
              </w:rPr>
            </w:pPr>
          </w:p>
        </w:tc>
      </w:tr>
      <w:tr>
        <w:trPr>
          <w:trHeight w:val="423"/>
        </w:trPr>
        <w:tc>
          <w:tcPr>
            <w:tcW w:w="500" w:type="dxa"/>
            <w:vAlign w:val="bottom"/>
            <w:gridSpan w:val="2"/>
          </w:tcPr>
          <w:p>
            <w:pPr>
              <w:ind w:left="20"/>
              <w:spacing w:after="0"/>
              <w:rPr>
                <w:sz w:val="20"/>
                <w:szCs w:val="20"/>
                <w:color w:val="auto"/>
              </w:rPr>
            </w:pPr>
            <w:r>
              <w:rPr>
                <w:rFonts w:ascii="Arial" w:cs="Arial" w:eastAsia="Arial" w:hAnsi="Arial"/>
                <w:sz w:val="15"/>
                <w:szCs w:val="15"/>
                <w:color w:val="auto"/>
              </w:rPr>
              <w:t>32.2</w:t>
            </w:r>
          </w:p>
        </w:tc>
        <w:tc>
          <w:tcPr>
            <w:tcW w:w="500" w:type="dxa"/>
            <w:vAlign w:val="bottom"/>
          </w:tcPr>
          <w:p>
            <w:pPr>
              <w:spacing w:after="0"/>
              <w:rPr>
                <w:sz w:val="24"/>
                <w:szCs w:val="24"/>
                <w:color w:val="auto"/>
              </w:rPr>
            </w:pPr>
          </w:p>
        </w:tc>
        <w:tc>
          <w:tcPr>
            <w:tcW w:w="6480" w:type="dxa"/>
            <w:vAlign w:val="bottom"/>
            <w:gridSpan w:val="3"/>
          </w:tcPr>
          <w:p>
            <w:pPr>
              <w:ind w:left="160"/>
              <w:spacing w:after="0"/>
              <w:rPr>
                <w:sz w:val="20"/>
                <w:szCs w:val="20"/>
                <w:color w:val="auto"/>
              </w:rPr>
            </w:pPr>
            <w:r>
              <w:rPr>
                <w:rFonts w:ascii="Arial" w:cs="Arial" w:eastAsia="Arial" w:hAnsi="Arial"/>
                <w:sz w:val="15"/>
                <w:szCs w:val="15"/>
                <w:color w:val="auto"/>
                <w:w w:val="92"/>
              </w:rPr>
              <w:t>Certification of the Chief Financial Officer Pursuant to 18 U.S.C. Section 1350, As Adopted Pursuant to</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480" w:type="dxa"/>
            <w:vAlign w:val="bottom"/>
            <w:gridSpan w:val="3"/>
          </w:tcPr>
          <w:p>
            <w:pPr>
              <w:ind w:left="160"/>
              <w:spacing w:after="0"/>
              <w:rPr>
                <w:sz w:val="20"/>
                <w:szCs w:val="20"/>
                <w:color w:val="auto"/>
              </w:rPr>
            </w:pPr>
            <w:r>
              <w:rPr>
                <w:rFonts w:ascii="Arial" w:cs="Arial" w:eastAsia="Arial" w:hAnsi="Arial"/>
                <w:sz w:val="15"/>
                <w:szCs w:val="15"/>
                <w:color w:val="auto"/>
              </w:rPr>
              <w:t>Section 906 of the Sarbanes-Oxley Act of 2002</w:t>
            </w: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980" w:type="dxa"/>
            <w:vAlign w:val="bottom"/>
            <w:gridSpan w:val="2"/>
          </w:tcPr>
          <w:p>
            <w:pPr>
              <w:spacing w:after="0"/>
              <w:rPr>
                <w:sz w:val="20"/>
                <w:szCs w:val="20"/>
                <w:color w:val="auto"/>
              </w:rPr>
            </w:pPr>
            <w:r>
              <w:rPr>
                <w:rFonts w:ascii="Arial" w:cs="Arial" w:eastAsia="Arial" w:hAnsi="Arial"/>
                <w:sz w:val="15"/>
                <w:szCs w:val="15"/>
                <w:color w:val="auto"/>
              </w:rPr>
              <w:t>101.INS</w:t>
            </w:r>
          </w:p>
        </w:tc>
        <w:tc>
          <w:tcPr>
            <w:tcW w:w="6480" w:type="dxa"/>
            <w:vAlign w:val="bottom"/>
            <w:gridSpan w:val="3"/>
          </w:tcPr>
          <w:p>
            <w:pPr>
              <w:ind w:left="160"/>
              <w:spacing w:after="0"/>
              <w:rPr>
                <w:sz w:val="20"/>
                <w:szCs w:val="20"/>
                <w:color w:val="auto"/>
              </w:rPr>
            </w:pPr>
            <w:r>
              <w:rPr>
                <w:rFonts w:ascii="Arial" w:cs="Arial" w:eastAsia="Arial" w:hAnsi="Arial"/>
                <w:sz w:val="15"/>
                <w:szCs w:val="15"/>
                <w:color w:val="auto"/>
              </w:rPr>
              <w:t>XBRL Instance Document</w:t>
            </w:r>
          </w:p>
        </w:tc>
        <w:tc>
          <w:tcPr>
            <w:tcW w:w="0" w:type="dxa"/>
            <w:vAlign w:val="bottom"/>
          </w:tcPr>
          <w:p>
            <w:pPr>
              <w:spacing w:after="0"/>
              <w:rPr>
                <w:sz w:val="1"/>
                <w:szCs w:val="1"/>
                <w:color w:val="auto"/>
              </w:rPr>
            </w:pPr>
          </w:p>
        </w:tc>
      </w:tr>
      <w:tr>
        <w:trPr>
          <w:trHeight w:val="613"/>
        </w:trPr>
        <w:tc>
          <w:tcPr>
            <w:tcW w:w="20" w:type="dxa"/>
            <w:vAlign w:val="bottom"/>
          </w:tcPr>
          <w:p>
            <w:pPr>
              <w:spacing w:after="0"/>
              <w:rPr>
                <w:sz w:val="24"/>
                <w:szCs w:val="24"/>
                <w:color w:val="auto"/>
              </w:rPr>
            </w:pPr>
          </w:p>
        </w:tc>
        <w:tc>
          <w:tcPr>
            <w:tcW w:w="980" w:type="dxa"/>
            <w:vAlign w:val="bottom"/>
            <w:gridSpan w:val="2"/>
          </w:tcPr>
          <w:p>
            <w:pPr>
              <w:spacing w:after="0"/>
              <w:rPr>
                <w:sz w:val="20"/>
                <w:szCs w:val="20"/>
                <w:color w:val="auto"/>
              </w:rPr>
            </w:pPr>
            <w:r>
              <w:rPr>
                <w:rFonts w:ascii="Arial" w:cs="Arial" w:eastAsia="Arial" w:hAnsi="Arial"/>
                <w:sz w:val="15"/>
                <w:szCs w:val="15"/>
                <w:color w:val="auto"/>
              </w:rPr>
              <w:t>101.SCH</w:t>
            </w:r>
          </w:p>
        </w:tc>
        <w:tc>
          <w:tcPr>
            <w:tcW w:w="6480" w:type="dxa"/>
            <w:vAlign w:val="bottom"/>
            <w:gridSpan w:val="3"/>
          </w:tcPr>
          <w:p>
            <w:pPr>
              <w:ind w:left="160"/>
              <w:spacing w:after="0"/>
              <w:rPr>
                <w:sz w:val="20"/>
                <w:szCs w:val="20"/>
                <w:color w:val="auto"/>
              </w:rPr>
            </w:pPr>
            <w:r>
              <w:rPr>
                <w:rFonts w:ascii="Arial" w:cs="Arial" w:eastAsia="Arial" w:hAnsi="Arial"/>
                <w:sz w:val="15"/>
                <w:szCs w:val="15"/>
                <w:color w:val="auto"/>
              </w:rPr>
              <w:t>XBRL Taxonomy Extension Schema Document</w:t>
            </w:r>
          </w:p>
        </w:tc>
        <w:tc>
          <w:tcPr>
            <w:tcW w:w="0" w:type="dxa"/>
            <w:vAlign w:val="bottom"/>
          </w:tcPr>
          <w:p>
            <w:pPr>
              <w:spacing w:after="0"/>
              <w:rPr>
                <w:sz w:val="1"/>
                <w:szCs w:val="1"/>
                <w:color w:val="auto"/>
              </w:rPr>
            </w:pPr>
          </w:p>
        </w:tc>
      </w:tr>
      <w:tr>
        <w:trPr>
          <w:trHeight w:val="613"/>
        </w:trPr>
        <w:tc>
          <w:tcPr>
            <w:tcW w:w="20" w:type="dxa"/>
            <w:vAlign w:val="bottom"/>
          </w:tcPr>
          <w:p>
            <w:pPr>
              <w:spacing w:after="0"/>
              <w:rPr>
                <w:sz w:val="24"/>
                <w:szCs w:val="24"/>
                <w:color w:val="auto"/>
              </w:rPr>
            </w:pPr>
          </w:p>
        </w:tc>
        <w:tc>
          <w:tcPr>
            <w:tcW w:w="980" w:type="dxa"/>
            <w:vAlign w:val="bottom"/>
            <w:gridSpan w:val="2"/>
          </w:tcPr>
          <w:p>
            <w:pPr>
              <w:spacing w:after="0"/>
              <w:rPr>
                <w:sz w:val="20"/>
                <w:szCs w:val="20"/>
                <w:color w:val="auto"/>
              </w:rPr>
            </w:pPr>
            <w:r>
              <w:rPr>
                <w:rFonts w:ascii="Arial" w:cs="Arial" w:eastAsia="Arial" w:hAnsi="Arial"/>
                <w:sz w:val="15"/>
                <w:szCs w:val="15"/>
                <w:color w:val="auto"/>
              </w:rPr>
              <w:t>101.CAL</w:t>
            </w:r>
          </w:p>
        </w:tc>
        <w:tc>
          <w:tcPr>
            <w:tcW w:w="6480" w:type="dxa"/>
            <w:vAlign w:val="bottom"/>
            <w:gridSpan w:val="3"/>
          </w:tcPr>
          <w:p>
            <w:pPr>
              <w:ind w:left="160"/>
              <w:spacing w:after="0"/>
              <w:rPr>
                <w:sz w:val="20"/>
                <w:szCs w:val="20"/>
                <w:color w:val="auto"/>
              </w:rPr>
            </w:pPr>
            <w:r>
              <w:rPr>
                <w:rFonts w:ascii="Arial" w:cs="Arial" w:eastAsia="Arial" w:hAnsi="Arial"/>
                <w:sz w:val="15"/>
                <w:szCs w:val="15"/>
                <w:color w:val="auto"/>
              </w:rPr>
              <w:t>XBRL Taxonomy Extension Calculation Linkbase Document</w:t>
            </w:r>
          </w:p>
        </w:tc>
        <w:tc>
          <w:tcPr>
            <w:tcW w:w="0" w:type="dxa"/>
            <w:vAlign w:val="bottom"/>
          </w:tcPr>
          <w:p>
            <w:pPr>
              <w:spacing w:after="0"/>
              <w:rPr>
                <w:sz w:val="1"/>
                <w:szCs w:val="1"/>
                <w:color w:val="auto"/>
              </w:rPr>
            </w:pPr>
          </w:p>
        </w:tc>
      </w:tr>
      <w:tr>
        <w:trPr>
          <w:trHeight w:val="613"/>
        </w:trPr>
        <w:tc>
          <w:tcPr>
            <w:tcW w:w="20" w:type="dxa"/>
            <w:vAlign w:val="bottom"/>
          </w:tcPr>
          <w:p>
            <w:pPr>
              <w:spacing w:after="0"/>
              <w:rPr>
                <w:sz w:val="24"/>
                <w:szCs w:val="24"/>
                <w:color w:val="auto"/>
              </w:rPr>
            </w:pPr>
          </w:p>
        </w:tc>
        <w:tc>
          <w:tcPr>
            <w:tcW w:w="980" w:type="dxa"/>
            <w:vAlign w:val="bottom"/>
            <w:gridSpan w:val="2"/>
          </w:tcPr>
          <w:p>
            <w:pPr>
              <w:spacing w:after="0"/>
              <w:rPr>
                <w:sz w:val="20"/>
                <w:szCs w:val="20"/>
                <w:color w:val="auto"/>
              </w:rPr>
            </w:pPr>
            <w:r>
              <w:rPr>
                <w:rFonts w:ascii="Arial" w:cs="Arial" w:eastAsia="Arial" w:hAnsi="Arial"/>
                <w:sz w:val="15"/>
                <w:szCs w:val="15"/>
                <w:color w:val="auto"/>
              </w:rPr>
              <w:t>101.LAB</w:t>
            </w:r>
          </w:p>
        </w:tc>
        <w:tc>
          <w:tcPr>
            <w:tcW w:w="6480" w:type="dxa"/>
            <w:vAlign w:val="bottom"/>
            <w:gridSpan w:val="3"/>
          </w:tcPr>
          <w:p>
            <w:pPr>
              <w:ind w:left="160"/>
              <w:spacing w:after="0"/>
              <w:rPr>
                <w:sz w:val="20"/>
                <w:szCs w:val="20"/>
                <w:color w:val="auto"/>
              </w:rPr>
            </w:pPr>
            <w:r>
              <w:rPr>
                <w:rFonts w:ascii="Arial" w:cs="Arial" w:eastAsia="Arial" w:hAnsi="Arial"/>
                <w:sz w:val="15"/>
                <w:szCs w:val="15"/>
                <w:color w:val="auto"/>
              </w:rPr>
              <w:t>XBRL Taxonomy Extension Label Linkbase Document</w:t>
            </w:r>
          </w:p>
        </w:tc>
        <w:tc>
          <w:tcPr>
            <w:tcW w:w="0" w:type="dxa"/>
            <w:vAlign w:val="bottom"/>
          </w:tcPr>
          <w:p>
            <w:pPr>
              <w:spacing w:after="0"/>
              <w:rPr>
                <w:sz w:val="1"/>
                <w:szCs w:val="1"/>
                <w:color w:val="auto"/>
              </w:rPr>
            </w:pPr>
          </w:p>
        </w:tc>
      </w:tr>
      <w:tr>
        <w:trPr>
          <w:trHeight w:val="613"/>
        </w:trPr>
        <w:tc>
          <w:tcPr>
            <w:tcW w:w="20" w:type="dxa"/>
            <w:vAlign w:val="bottom"/>
          </w:tcPr>
          <w:p>
            <w:pPr>
              <w:spacing w:after="0"/>
              <w:rPr>
                <w:sz w:val="24"/>
                <w:szCs w:val="24"/>
                <w:color w:val="auto"/>
              </w:rPr>
            </w:pPr>
          </w:p>
        </w:tc>
        <w:tc>
          <w:tcPr>
            <w:tcW w:w="980" w:type="dxa"/>
            <w:vAlign w:val="bottom"/>
            <w:gridSpan w:val="2"/>
          </w:tcPr>
          <w:p>
            <w:pPr>
              <w:spacing w:after="0"/>
              <w:rPr>
                <w:sz w:val="20"/>
                <w:szCs w:val="20"/>
                <w:color w:val="auto"/>
              </w:rPr>
            </w:pPr>
            <w:r>
              <w:rPr>
                <w:rFonts w:ascii="Arial" w:cs="Arial" w:eastAsia="Arial" w:hAnsi="Arial"/>
                <w:sz w:val="15"/>
                <w:szCs w:val="15"/>
                <w:color w:val="auto"/>
              </w:rPr>
              <w:t>101.PRE</w:t>
            </w:r>
          </w:p>
        </w:tc>
        <w:tc>
          <w:tcPr>
            <w:tcW w:w="6480" w:type="dxa"/>
            <w:vAlign w:val="bottom"/>
            <w:gridSpan w:val="3"/>
          </w:tcPr>
          <w:p>
            <w:pPr>
              <w:ind w:left="160"/>
              <w:spacing w:after="0"/>
              <w:rPr>
                <w:sz w:val="20"/>
                <w:szCs w:val="20"/>
                <w:color w:val="auto"/>
              </w:rPr>
            </w:pPr>
            <w:r>
              <w:rPr>
                <w:rFonts w:ascii="Arial" w:cs="Arial" w:eastAsia="Arial" w:hAnsi="Arial"/>
                <w:sz w:val="15"/>
                <w:szCs w:val="15"/>
                <w:color w:val="auto"/>
              </w:rPr>
              <w:t>XBRL Taxonomy Extension Presentation Linkbase Document</w:t>
            </w:r>
          </w:p>
        </w:tc>
        <w:tc>
          <w:tcPr>
            <w:tcW w:w="0" w:type="dxa"/>
            <w:vAlign w:val="bottom"/>
          </w:tcPr>
          <w:p>
            <w:pPr>
              <w:spacing w:after="0"/>
              <w:rPr>
                <w:sz w:val="1"/>
                <w:szCs w:val="1"/>
                <w:color w:val="auto"/>
              </w:rPr>
            </w:pPr>
          </w:p>
        </w:tc>
      </w:tr>
      <w:tr>
        <w:trPr>
          <w:trHeight w:val="613"/>
        </w:trPr>
        <w:tc>
          <w:tcPr>
            <w:tcW w:w="20" w:type="dxa"/>
            <w:vAlign w:val="bottom"/>
          </w:tcPr>
          <w:p>
            <w:pPr>
              <w:spacing w:after="0"/>
              <w:rPr>
                <w:sz w:val="24"/>
                <w:szCs w:val="24"/>
                <w:color w:val="auto"/>
              </w:rPr>
            </w:pPr>
          </w:p>
        </w:tc>
        <w:tc>
          <w:tcPr>
            <w:tcW w:w="980" w:type="dxa"/>
            <w:vAlign w:val="bottom"/>
            <w:gridSpan w:val="2"/>
          </w:tcPr>
          <w:p>
            <w:pPr>
              <w:spacing w:after="0"/>
              <w:rPr>
                <w:sz w:val="20"/>
                <w:szCs w:val="20"/>
                <w:color w:val="auto"/>
              </w:rPr>
            </w:pPr>
            <w:r>
              <w:rPr>
                <w:rFonts w:ascii="Arial" w:cs="Arial" w:eastAsia="Arial" w:hAnsi="Arial"/>
                <w:sz w:val="15"/>
                <w:szCs w:val="15"/>
                <w:color w:val="auto"/>
              </w:rPr>
              <w:t>101.DEF</w:t>
            </w:r>
          </w:p>
        </w:tc>
        <w:tc>
          <w:tcPr>
            <w:tcW w:w="6480" w:type="dxa"/>
            <w:vAlign w:val="bottom"/>
            <w:gridSpan w:val="3"/>
          </w:tcPr>
          <w:p>
            <w:pPr>
              <w:ind w:left="160"/>
              <w:spacing w:after="0"/>
              <w:rPr>
                <w:sz w:val="20"/>
                <w:szCs w:val="20"/>
                <w:color w:val="auto"/>
              </w:rPr>
            </w:pPr>
            <w:r>
              <w:rPr>
                <w:rFonts w:ascii="Arial" w:cs="Arial" w:eastAsia="Arial" w:hAnsi="Arial"/>
                <w:sz w:val="15"/>
                <w:szCs w:val="15"/>
                <w:color w:val="auto"/>
              </w:rPr>
              <w:t>XBRL Taxonomy Extension Definition Linkbase Document</w:t>
            </w:r>
          </w:p>
        </w:tc>
        <w:tc>
          <w:tcPr>
            <w:tcW w:w="0" w:type="dxa"/>
            <w:vAlign w:val="bottom"/>
          </w:tcPr>
          <w:p>
            <w:pPr>
              <w:spacing w:after="0"/>
              <w:rPr>
                <w:sz w:val="1"/>
                <w:szCs w:val="1"/>
                <w:color w:val="auto"/>
              </w:rPr>
            </w:pPr>
          </w:p>
        </w:tc>
      </w:tr>
      <w:tr>
        <w:trPr>
          <w:trHeight w:val="607"/>
        </w:trPr>
        <w:tc>
          <w:tcPr>
            <w:tcW w:w="1000" w:type="dxa"/>
            <w:vAlign w:val="bottom"/>
            <w:gridSpan w:val="3"/>
          </w:tcPr>
          <w:p>
            <w:pPr>
              <w:jc w:val="right"/>
              <w:ind w:right="160"/>
              <w:spacing w:after="0"/>
              <w:rPr>
                <w:sz w:val="20"/>
                <w:szCs w:val="20"/>
                <w:color w:val="auto"/>
              </w:rPr>
            </w:pPr>
            <w:r>
              <w:rPr>
                <w:rFonts w:ascii="Arial" w:cs="Arial" w:eastAsia="Arial" w:hAnsi="Arial"/>
                <w:sz w:val="17"/>
                <w:szCs w:val="17"/>
                <w:color w:val="auto"/>
                <w:w w:val="86"/>
              </w:rPr>
              <w:t>__________</w:t>
            </w:r>
          </w:p>
        </w:tc>
        <w:tc>
          <w:tcPr>
            <w:tcW w:w="30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tabs>
          <w:tab w:leader="none" w:pos="280" w:val="left"/>
        </w:tabs>
        <w:rPr>
          <w:sz w:val="20"/>
          <w:szCs w:val="20"/>
          <w:color w:val="auto"/>
        </w:rPr>
      </w:pPr>
      <w:r>
        <w:rPr>
          <w:rFonts w:ascii="Arial" w:cs="Arial" w:eastAsia="Arial" w:hAnsi="Arial"/>
          <w:sz w:val="15"/>
          <w:szCs w:val="15"/>
          <w:color w:val="auto"/>
        </w:rPr>
        <w:t>**</w:t>
        <w:tab/>
        <w:t>Confidential treatment has been requested for portions of this agreement.</w:t>
      </w:r>
    </w:p>
    <w:p>
      <w:pPr>
        <w:spacing w:after="0" w:line="166" w:lineRule="exact"/>
        <w:rPr>
          <w:sz w:val="20"/>
          <w:szCs w:val="20"/>
          <w:color w:val="auto"/>
        </w:rPr>
      </w:pPr>
    </w:p>
    <w:p>
      <w:pPr>
        <w:ind w:left="5300"/>
        <w:spacing w:after="0"/>
        <w:rPr>
          <w:sz w:val="20"/>
          <w:szCs w:val="20"/>
          <w:color w:val="auto"/>
        </w:rPr>
      </w:pPr>
      <w:r>
        <w:rPr>
          <w:rFonts w:ascii="Arial" w:cs="Arial" w:eastAsia="Arial" w:hAnsi="Arial"/>
          <w:sz w:val="17"/>
          <w:szCs w:val="17"/>
          <w:color w:val="auto"/>
        </w:rPr>
        <w:t>* * * * * *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5"/>
          <w:szCs w:val="15"/>
          <w:color w:val="auto"/>
        </w:rPr>
        <w:t>Filed Herewith</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5"/>
          <w:szCs w:val="15"/>
          <w:color w:val="auto"/>
        </w:rPr>
        <w:t>Filed Herewith</w:t>
      </w:r>
    </w:p>
    <w:p>
      <w:pPr>
        <w:spacing w:after="0" w:line="253" w:lineRule="exact"/>
        <w:rPr>
          <w:sz w:val="20"/>
          <w:szCs w:val="20"/>
          <w:color w:val="auto"/>
        </w:rPr>
      </w:pPr>
    </w:p>
    <w:p>
      <w:pPr>
        <w:spacing w:after="0"/>
        <w:rPr>
          <w:sz w:val="20"/>
          <w:szCs w:val="20"/>
          <w:color w:val="auto"/>
        </w:rPr>
      </w:pPr>
      <w:r>
        <w:rPr>
          <w:rFonts w:ascii="Arial" w:cs="Arial" w:eastAsia="Arial" w:hAnsi="Arial"/>
          <w:sz w:val="15"/>
          <w:szCs w:val="15"/>
          <w:color w:val="auto"/>
        </w:rPr>
        <w:t>Filed Herewith</w:t>
      </w:r>
    </w:p>
    <w:p>
      <w:pPr>
        <w:spacing w:after="0" w:line="253" w:lineRule="exact"/>
        <w:rPr>
          <w:sz w:val="20"/>
          <w:szCs w:val="20"/>
          <w:color w:val="auto"/>
        </w:rPr>
      </w:pPr>
    </w:p>
    <w:p>
      <w:pPr>
        <w:jc w:val="both"/>
        <w:spacing w:after="0" w:line="273" w:lineRule="auto"/>
        <w:rPr>
          <w:sz w:val="20"/>
          <w:szCs w:val="20"/>
          <w:color w:val="auto"/>
        </w:rPr>
      </w:pPr>
      <w:r>
        <w:rPr>
          <w:rFonts w:ascii="Arial" w:cs="Arial" w:eastAsia="Arial" w:hAnsi="Arial"/>
          <w:sz w:val="15"/>
          <w:szCs w:val="15"/>
          <w:color w:val="auto"/>
        </w:rPr>
        <w:t>Previously Filed on August 3, 2012 as Exhibit 32.1 to the Company's Quarterly Report on Form 10-Q for the quarter ended June 30, 2012</w:t>
      </w:r>
    </w:p>
    <w:p>
      <w:pPr>
        <w:spacing w:after="0" w:line="25" w:lineRule="exact"/>
        <w:rPr>
          <w:sz w:val="20"/>
          <w:szCs w:val="20"/>
          <w:color w:val="auto"/>
        </w:rPr>
      </w:pPr>
    </w:p>
    <w:p>
      <w:pPr>
        <w:jc w:val="both"/>
        <w:spacing w:after="0" w:line="273" w:lineRule="auto"/>
        <w:rPr>
          <w:sz w:val="20"/>
          <w:szCs w:val="20"/>
          <w:color w:val="auto"/>
        </w:rPr>
      </w:pPr>
      <w:r>
        <w:rPr>
          <w:rFonts w:ascii="Arial" w:cs="Arial" w:eastAsia="Arial" w:hAnsi="Arial"/>
          <w:sz w:val="15"/>
          <w:szCs w:val="15"/>
          <w:color w:val="auto"/>
        </w:rPr>
        <w:t>Previously Filed on August 3, 2012 as Exhibit 32.1 to the Company's Quarterly Report on Form 10-Q for the quarter ended June 30, 2012</w:t>
      </w:r>
    </w:p>
    <w:p>
      <w:pPr>
        <w:spacing w:after="0" w:line="25" w:lineRule="exact"/>
        <w:rPr>
          <w:sz w:val="20"/>
          <w:szCs w:val="20"/>
          <w:color w:val="auto"/>
        </w:rPr>
      </w:pPr>
    </w:p>
    <w:p>
      <w:pPr>
        <w:jc w:val="both"/>
        <w:spacing w:after="0" w:line="273" w:lineRule="auto"/>
        <w:rPr>
          <w:sz w:val="20"/>
          <w:szCs w:val="20"/>
          <w:color w:val="auto"/>
        </w:rPr>
      </w:pPr>
      <w:r>
        <w:rPr>
          <w:rFonts w:ascii="Arial" w:cs="Arial" w:eastAsia="Arial" w:hAnsi="Arial"/>
          <w:sz w:val="15"/>
          <w:szCs w:val="15"/>
          <w:color w:val="auto"/>
        </w:rPr>
        <w:t>Previously Filed on August 3, 2012 as Exhibit 32.1 to the Company's Quarterly Report on Form 10-Q for the quarter ended June 30, 2012</w:t>
      </w:r>
    </w:p>
    <w:p>
      <w:pPr>
        <w:spacing w:after="0" w:line="25" w:lineRule="exact"/>
        <w:rPr>
          <w:sz w:val="20"/>
          <w:szCs w:val="20"/>
          <w:color w:val="auto"/>
        </w:rPr>
      </w:pPr>
    </w:p>
    <w:p>
      <w:pPr>
        <w:jc w:val="both"/>
        <w:spacing w:after="0" w:line="273" w:lineRule="auto"/>
        <w:rPr>
          <w:sz w:val="20"/>
          <w:szCs w:val="20"/>
          <w:color w:val="auto"/>
        </w:rPr>
      </w:pPr>
      <w:r>
        <w:rPr>
          <w:rFonts w:ascii="Arial" w:cs="Arial" w:eastAsia="Arial" w:hAnsi="Arial"/>
          <w:sz w:val="15"/>
          <w:szCs w:val="15"/>
          <w:color w:val="auto"/>
        </w:rPr>
        <w:t>Previously Filed on August 3, 2012 as Exhibit 32.1 to the Company's Quarterly Report on Form 10-Q for the quarter ended June 30, 2012</w:t>
      </w:r>
    </w:p>
    <w:p>
      <w:pPr>
        <w:spacing w:after="0" w:line="25" w:lineRule="exact"/>
        <w:rPr>
          <w:sz w:val="20"/>
          <w:szCs w:val="20"/>
          <w:color w:val="auto"/>
        </w:rPr>
      </w:pPr>
    </w:p>
    <w:p>
      <w:pPr>
        <w:jc w:val="both"/>
        <w:spacing w:after="0" w:line="273" w:lineRule="auto"/>
        <w:rPr>
          <w:sz w:val="20"/>
          <w:szCs w:val="20"/>
          <w:color w:val="auto"/>
        </w:rPr>
      </w:pPr>
      <w:r>
        <w:rPr>
          <w:rFonts w:ascii="Arial" w:cs="Arial" w:eastAsia="Arial" w:hAnsi="Arial"/>
          <w:sz w:val="15"/>
          <w:szCs w:val="15"/>
          <w:color w:val="auto"/>
        </w:rPr>
        <w:t>Previously Filed on August 3, 2012 as Exhibit 32.1 to the Company's Quarterly Report on Form 10-Q for the quarter ended June 30, 2012</w:t>
      </w:r>
    </w:p>
    <w:p>
      <w:pPr>
        <w:spacing w:after="0" w:line="25" w:lineRule="exact"/>
        <w:rPr>
          <w:sz w:val="20"/>
          <w:szCs w:val="20"/>
          <w:color w:val="auto"/>
        </w:rPr>
      </w:pPr>
    </w:p>
    <w:p>
      <w:pPr>
        <w:jc w:val="both"/>
        <w:spacing w:after="0" w:line="273" w:lineRule="auto"/>
        <w:rPr>
          <w:sz w:val="20"/>
          <w:szCs w:val="20"/>
          <w:color w:val="auto"/>
        </w:rPr>
      </w:pPr>
      <w:r>
        <w:rPr>
          <w:rFonts w:ascii="Arial" w:cs="Arial" w:eastAsia="Arial" w:hAnsi="Arial"/>
          <w:sz w:val="15"/>
          <w:szCs w:val="15"/>
          <w:color w:val="auto"/>
        </w:rPr>
        <w:t>Previously Filed on August 3, 2012 as Exhibit 32.1 to the Company's Quarterly Report on Form 10-Q for the quarter ended June 30, 2012</w:t>
      </w:r>
    </w:p>
    <w:p>
      <w:pPr>
        <w:spacing w:after="0" w:line="25" w:lineRule="exact"/>
        <w:rPr>
          <w:sz w:val="20"/>
          <w:szCs w:val="20"/>
          <w:color w:val="auto"/>
        </w:rPr>
      </w:pPr>
    </w:p>
    <w:p>
      <w:pPr>
        <w:jc w:val="both"/>
        <w:spacing w:after="0" w:line="273" w:lineRule="auto"/>
        <w:rPr>
          <w:sz w:val="20"/>
          <w:szCs w:val="20"/>
          <w:color w:val="auto"/>
        </w:rPr>
      </w:pPr>
      <w:r>
        <w:rPr>
          <w:rFonts w:ascii="Arial" w:cs="Arial" w:eastAsia="Arial" w:hAnsi="Arial"/>
          <w:sz w:val="15"/>
          <w:szCs w:val="15"/>
          <w:color w:val="auto"/>
        </w:rPr>
        <w:t>Previously Filed on August 3, 2012 as Exhibit 32.1 to the Company's Quarterly Report on Form 10-Q for the quarter ended June 30, 2012</w:t>
      </w:r>
    </w:p>
    <w:p>
      <w:pPr>
        <w:spacing w:after="0" w:line="25" w:lineRule="exact"/>
        <w:rPr>
          <w:sz w:val="20"/>
          <w:szCs w:val="20"/>
          <w:color w:val="auto"/>
        </w:rPr>
      </w:pPr>
    </w:p>
    <w:p>
      <w:pPr>
        <w:jc w:val="both"/>
        <w:spacing w:after="0" w:line="273" w:lineRule="auto"/>
        <w:rPr>
          <w:sz w:val="20"/>
          <w:szCs w:val="20"/>
          <w:color w:val="auto"/>
        </w:rPr>
      </w:pPr>
      <w:r>
        <w:rPr>
          <w:rFonts w:ascii="Arial" w:cs="Arial" w:eastAsia="Arial" w:hAnsi="Arial"/>
          <w:sz w:val="15"/>
          <w:szCs w:val="15"/>
          <w:color w:val="auto"/>
        </w:rPr>
        <w:t>Previously Filed on August 3, 2012 as Exhibit 32.1 to the Company's Quarterly Report on Form 10-Q for the quarter ended June 30, 2012</w:t>
      </w:r>
    </w:p>
    <w:p>
      <w:pPr>
        <w:sectPr>
          <w:pgSz w:w="11900" w:h="16838" w:orient="portrait"/>
          <w:cols w:equalWidth="0" w:num="2">
            <w:col w:w="7480" w:space="320"/>
            <w:col w:w="3520"/>
          </w:cols>
          <w:pgMar w:left="240" w:top="749" w:right="339" w:bottom="1440" w:gutter="0" w:footer="0" w:header="0"/>
        </w:sectPr>
      </w:pPr>
    </w:p>
    <w:bookmarkStart w:id="4" w:name="page5"/>
    <w:bookmarkEnd w:id="4"/>
    <w:p>
      <w:pPr>
        <w:jc w:val="center"/>
        <w:ind w:right="-279"/>
        <w:spacing w:after="0"/>
        <w:rPr>
          <w:sz w:val="20"/>
          <w:szCs w:val="20"/>
          <w:color w:val="auto"/>
        </w:rPr>
      </w:pPr>
      <w:r>
        <w:rPr>
          <w:rFonts w:ascii="Arial" w:cs="Arial" w:eastAsia="Arial" w:hAnsi="Arial"/>
          <w:sz w:val="15"/>
          <w:szCs w:val="15"/>
          <w:b w:val="1"/>
          <w:bCs w:val="1"/>
          <w:color w:val="auto"/>
        </w:rPr>
        <w:t>SIGNATURE</w:t>
      </w:r>
    </w:p>
    <w:p>
      <w:pPr>
        <w:spacing w:after="0" w:line="115" w:lineRule="exact"/>
        <w:rPr>
          <w:sz w:val="20"/>
          <w:szCs w:val="20"/>
          <w:color w:val="auto"/>
        </w:rPr>
      </w:pPr>
    </w:p>
    <w:p>
      <w:pPr>
        <w:ind w:firstLine="75"/>
        <w:spacing w:after="0" w:line="266"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hereunto duly authorized.</w:t>
      </w:r>
    </w:p>
    <w:p>
      <w:pPr>
        <w:spacing w:after="0" w:line="318"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GENERAL MOTORS COMPANY</w:t>
      </w:r>
    </w:p>
    <w:p>
      <w:pPr>
        <w:spacing w:after="0" w:line="17"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(Registrant)</w:t>
      </w:r>
    </w:p>
    <w:p>
      <w:pPr>
        <w:spacing w:after="0" w:line="200" w:lineRule="exact"/>
        <w:rPr>
          <w:sz w:val="20"/>
          <w:szCs w:val="20"/>
          <w:color w:val="auto"/>
        </w:rPr>
      </w:pPr>
    </w:p>
    <w:p>
      <w:pPr>
        <w:spacing w:after="0" w:line="243" w:lineRule="exact"/>
        <w:rPr>
          <w:sz w:val="20"/>
          <w:szCs w:val="20"/>
          <w:color w:val="auto"/>
        </w:rPr>
      </w:pPr>
    </w:p>
    <w:p>
      <w:pPr>
        <w:ind w:left="5740"/>
        <w:spacing w:after="0"/>
        <w:tabs>
          <w:tab w:leader="none" w:pos="6180" w:val="left"/>
        </w:tabs>
        <w:rPr>
          <w:sz w:val="20"/>
          <w:szCs w:val="20"/>
          <w:color w:val="auto"/>
        </w:rPr>
      </w:pPr>
      <w:r>
        <w:rPr>
          <w:rFonts w:ascii="Arial" w:cs="Arial" w:eastAsia="Arial" w:hAnsi="Arial"/>
          <w:sz w:val="17"/>
          <w:szCs w:val="17"/>
          <w:color w:val="auto"/>
        </w:rPr>
        <w:t>By:</w:t>
        <w:tab/>
        <w:t>/s/ NICK S. CYPRUS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3926205</wp:posOffset>
            </wp:positionH>
            <wp:positionV relativeFrom="paragraph">
              <wp:posOffset>26670</wp:posOffset>
            </wp:positionV>
            <wp:extent cx="23926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92680" cy="8255"/>
                    </a:xfrm>
                    <a:prstGeom prst="rect">
                      <a:avLst/>
                    </a:prstGeom>
                    <a:noFill/>
                  </pic:spPr>
                </pic:pic>
              </a:graphicData>
            </a:graphic>
          </wp:anchor>
        </w:drawing>
      </w:r>
    </w:p>
    <w:p>
      <w:pPr>
        <w:spacing w:after="0" w:line="47" w:lineRule="exact"/>
        <w:rPr>
          <w:sz w:val="20"/>
          <w:szCs w:val="20"/>
          <w:color w:val="auto"/>
        </w:rPr>
      </w:pPr>
    </w:p>
    <w:p>
      <w:pPr>
        <w:ind w:left="6200"/>
        <w:spacing w:after="0"/>
        <w:rPr>
          <w:sz w:val="20"/>
          <w:szCs w:val="20"/>
          <w:color w:val="auto"/>
        </w:rPr>
      </w:pPr>
      <w:r>
        <w:rPr>
          <w:rFonts w:ascii="Arial" w:cs="Arial" w:eastAsia="Arial" w:hAnsi="Arial"/>
          <w:sz w:val="17"/>
          <w:szCs w:val="17"/>
          <w:color w:val="auto"/>
        </w:rPr>
        <w:t>Nick S. Cyprus, Vice President, Controller and Chief</w:t>
      </w:r>
    </w:p>
    <w:p>
      <w:pPr>
        <w:spacing w:after="0" w:line="17" w:lineRule="exact"/>
        <w:rPr>
          <w:sz w:val="20"/>
          <w:szCs w:val="20"/>
          <w:color w:val="auto"/>
        </w:rPr>
      </w:pPr>
    </w:p>
    <w:p>
      <w:pPr>
        <w:ind w:left="6200"/>
        <w:spacing w:after="0"/>
        <w:rPr>
          <w:sz w:val="20"/>
          <w:szCs w:val="20"/>
          <w:color w:val="auto"/>
        </w:rPr>
      </w:pPr>
      <w:r>
        <w:rPr>
          <w:rFonts w:ascii="Arial" w:cs="Arial" w:eastAsia="Arial" w:hAnsi="Arial"/>
          <w:sz w:val="17"/>
          <w:szCs w:val="17"/>
          <w:color w:val="auto"/>
        </w:rPr>
        <w:t>Accounting Officer</w:t>
      </w:r>
    </w:p>
    <w:p>
      <w:pPr>
        <w:spacing w:after="0" w:line="42" w:lineRule="exact"/>
        <w:rPr>
          <w:sz w:val="20"/>
          <w:szCs w:val="20"/>
          <w:color w:val="auto"/>
        </w:rPr>
      </w:pPr>
    </w:p>
    <w:p>
      <w:pPr>
        <w:ind w:left="20"/>
        <w:spacing w:after="0"/>
        <w:tabs>
          <w:tab w:leader="none" w:pos="580" w:val="left"/>
        </w:tabs>
        <w:rPr>
          <w:sz w:val="20"/>
          <w:szCs w:val="20"/>
          <w:color w:val="auto"/>
        </w:rPr>
      </w:pPr>
      <w:r>
        <w:rPr>
          <w:rFonts w:ascii="Arial" w:cs="Arial" w:eastAsia="Arial" w:hAnsi="Arial"/>
          <w:sz w:val="17"/>
          <w:szCs w:val="17"/>
          <w:color w:val="auto"/>
        </w:rPr>
        <w:t>Date:</w:t>
        <w:tab/>
        <w:t>November 15, 2012</w:t>
      </w:r>
    </w:p>
    <w:p>
      <w:pPr>
        <w:sectPr>
          <w:pgSz w:w="11900" w:h="16838" w:orient="portrait"/>
          <w:cols w:equalWidth="0" w:num="1">
            <w:col w:w="11140"/>
          </w:cols>
          <w:pgMar w:left="240" w:top="753" w:right="519" w:bottom="1440" w:gutter="0" w:footer="0" w:header="0"/>
        </w:sectPr>
      </w:pPr>
    </w:p>
    <w:bookmarkStart w:id="5" w:name="page6"/>
    <w:bookmarkEnd w:id="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760"/>
        <w:spacing w:after="0"/>
        <w:rPr>
          <w:sz w:val="20"/>
          <w:szCs w:val="20"/>
          <w:color w:val="auto"/>
        </w:rPr>
      </w:pPr>
      <w:r>
        <w:rPr>
          <w:rFonts w:ascii="Arial" w:cs="Arial" w:eastAsia="Arial" w:hAnsi="Arial"/>
          <w:sz w:val="20"/>
          <w:szCs w:val="20"/>
          <w:b w:val="1"/>
          <w:bCs w:val="1"/>
          <w:color w:val="auto"/>
        </w:rPr>
        <w:t>DEFINITIVE TRANSACTION FRAMEWORK AGREEMENT</w:t>
      </w:r>
    </w:p>
    <w:p>
      <w:pPr>
        <w:spacing w:after="0" w:line="200" w:lineRule="exact"/>
        <w:rPr>
          <w:sz w:val="20"/>
          <w:szCs w:val="20"/>
          <w:color w:val="auto"/>
        </w:rPr>
      </w:pPr>
    </w:p>
    <w:p>
      <w:pPr>
        <w:spacing w:after="0" w:line="208" w:lineRule="exact"/>
        <w:rPr>
          <w:sz w:val="20"/>
          <w:szCs w:val="20"/>
          <w:color w:val="auto"/>
        </w:rPr>
      </w:pPr>
    </w:p>
    <w:p>
      <w:pPr>
        <w:ind w:left="3720"/>
        <w:spacing w:after="0"/>
        <w:rPr>
          <w:sz w:val="20"/>
          <w:szCs w:val="20"/>
          <w:color w:val="auto"/>
        </w:rPr>
      </w:pPr>
      <w:r>
        <w:rPr>
          <w:rFonts w:ascii="Arial" w:cs="Arial" w:eastAsia="Arial" w:hAnsi="Arial"/>
          <w:sz w:val="20"/>
          <w:szCs w:val="20"/>
          <w:b w:val="1"/>
          <w:bCs w:val="1"/>
          <w:color w:val="auto"/>
        </w:rPr>
        <w:t>BY AND AMONG</w:t>
      </w:r>
    </w:p>
    <w:p>
      <w:pPr>
        <w:spacing w:after="0" w:line="200" w:lineRule="exact"/>
        <w:rPr>
          <w:sz w:val="20"/>
          <w:szCs w:val="20"/>
          <w:color w:val="auto"/>
        </w:rPr>
      </w:pPr>
    </w:p>
    <w:p>
      <w:pPr>
        <w:spacing w:after="0" w:line="208" w:lineRule="exact"/>
        <w:rPr>
          <w:sz w:val="20"/>
          <w:szCs w:val="20"/>
          <w:color w:val="auto"/>
        </w:rPr>
      </w:pPr>
    </w:p>
    <w:p>
      <w:pPr>
        <w:ind w:left="3300"/>
        <w:spacing w:after="0"/>
        <w:rPr>
          <w:sz w:val="20"/>
          <w:szCs w:val="20"/>
          <w:color w:val="auto"/>
        </w:rPr>
      </w:pPr>
      <w:r>
        <w:rPr>
          <w:rFonts w:ascii="Arial" w:cs="Arial" w:eastAsia="Arial" w:hAnsi="Arial"/>
          <w:sz w:val="20"/>
          <w:szCs w:val="20"/>
          <w:b w:val="1"/>
          <w:bCs w:val="1"/>
          <w:color w:val="auto"/>
        </w:rPr>
        <w:t>GENERAL MOTORS LLC,</w:t>
      </w:r>
    </w:p>
    <w:p>
      <w:pPr>
        <w:spacing w:after="0" w:line="200" w:lineRule="exact"/>
        <w:rPr>
          <w:sz w:val="20"/>
          <w:szCs w:val="20"/>
          <w:color w:val="auto"/>
        </w:rPr>
      </w:pPr>
    </w:p>
    <w:p>
      <w:pPr>
        <w:spacing w:after="0" w:line="208" w:lineRule="exact"/>
        <w:rPr>
          <w:sz w:val="20"/>
          <w:szCs w:val="20"/>
          <w:color w:val="auto"/>
        </w:rPr>
      </w:pPr>
    </w:p>
    <w:p>
      <w:pPr>
        <w:ind w:left="2300"/>
        <w:spacing w:after="0"/>
        <w:rPr>
          <w:sz w:val="20"/>
          <w:szCs w:val="20"/>
          <w:color w:val="auto"/>
        </w:rPr>
      </w:pPr>
      <w:r>
        <w:rPr>
          <w:rFonts w:ascii="Arial" w:cs="Arial" w:eastAsia="Arial" w:hAnsi="Arial"/>
          <w:sz w:val="20"/>
          <w:szCs w:val="20"/>
          <w:b w:val="1"/>
          <w:bCs w:val="1"/>
          <w:color w:val="auto"/>
        </w:rPr>
        <w:t>STATE STREET BANK AND TRUST COMPANY,</w:t>
      </w:r>
    </w:p>
    <w:p>
      <w:pPr>
        <w:spacing w:after="0" w:line="200" w:lineRule="exact"/>
        <w:rPr>
          <w:sz w:val="20"/>
          <w:szCs w:val="20"/>
          <w:color w:val="auto"/>
        </w:rPr>
      </w:pPr>
    </w:p>
    <w:p>
      <w:pPr>
        <w:spacing w:after="0" w:line="208" w:lineRule="exact"/>
        <w:rPr>
          <w:sz w:val="20"/>
          <w:szCs w:val="20"/>
          <w:color w:val="auto"/>
        </w:rPr>
      </w:pPr>
    </w:p>
    <w:p>
      <w:pPr>
        <w:ind w:left="1780"/>
        <w:spacing w:after="0"/>
        <w:rPr>
          <w:sz w:val="20"/>
          <w:szCs w:val="20"/>
          <w:color w:val="auto"/>
        </w:rPr>
      </w:pPr>
      <w:r>
        <w:rPr>
          <w:rFonts w:ascii="Arial" w:cs="Arial" w:eastAsia="Arial" w:hAnsi="Arial"/>
          <w:sz w:val="20"/>
          <w:szCs w:val="20"/>
          <w:b w:val="1"/>
          <w:bCs w:val="1"/>
          <w:color w:val="auto"/>
        </w:rPr>
        <w:t>THE PRUDENTIAL INSURANCE COMPANY OF AMERICA</w:t>
      </w:r>
    </w:p>
    <w:p>
      <w:pPr>
        <w:spacing w:after="0" w:line="200" w:lineRule="exact"/>
        <w:rPr>
          <w:sz w:val="20"/>
          <w:szCs w:val="20"/>
          <w:color w:val="auto"/>
        </w:rPr>
      </w:pPr>
    </w:p>
    <w:p>
      <w:pPr>
        <w:spacing w:after="0" w:line="208" w:lineRule="exact"/>
        <w:rPr>
          <w:sz w:val="20"/>
          <w:szCs w:val="20"/>
          <w:color w:val="auto"/>
        </w:rPr>
      </w:pPr>
    </w:p>
    <w:p>
      <w:pPr>
        <w:ind w:left="4300"/>
        <w:spacing w:after="0"/>
        <w:rPr>
          <w:sz w:val="20"/>
          <w:szCs w:val="20"/>
          <w:color w:val="auto"/>
        </w:rPr>
      </w:pPr>
      <w:r>
        <w:rPr>
          <w:rFonts w:ascii="Arial" w:cs="Arial" w:eastAsia="Arial" w:hAnsi="Arial"/>
          <w:sz w:val="20"/>
          <w:szCs w:val="20"/>
          <w:b w:val="1"/>
          <w:bCs w:val="1"/>
          <w:color w:val="auto"/>
        </w:rPr>
        <w:t>AND</w:t>
      </w:r>
    </w:p>
    <w:p>
      <w:pPr>
        <w:spacing w:after="0" w:line="200" w:lineRule="exact"/>
        <w:rPr>
          <w:sz w:val="20"/>
          <w:szCs w:val="20"/>
          <w:color w:val="auto"/>
        </w:rPr>
      </w:pPr>
    </w:p>
    <w:p>
      <w:pPr>
        <w:spacing w:after="0" w:line="208" w:lineRule="exact"/>
        <w:rPr>
          <w:sz w:val="20"/>
          <w:szCs w:val="20"/>
          <w:color w:val="auto"/>
        </w:rPr>
      </w:pPr>
    </w:p>
    <w:p>
      <w:pPr>
        <w:ind w:left="3000"/>
        <w:spacing w:after="0"/>
        <w:rPr>
          <w:sz w:val="20"/>
          <w:szCs w:val="20"/>
          <w:color w:val="auto"/>
        </w:rPr>
      </w:pPr>
      <w:r>
        <w:rPr>
          <w:rFonts w:ascii="Arial" w:cs="Arial" w:eastAsia="Arial" w:hAnsi="Arial"/>
          <w:sz w:val="20"/>
          <w:szCs w:val="20"/>
          <w:b w:val="1"/>
          <w:bCs w:val="1"/>
          <w:color w:val="auto"/>
        </w:rPr>
        <w:t>PRUDENTIAL FINANCIAL, INC.</w:t>
      </w:r>
    </w:p>
    <w:p>
      <w:pPr>
        <w:spacing w:after="0" w:line="200" w:lineRule="exact"/>
        <w:rPr>
          <w:sz w:val="20"/>
          <w:szCs w:val="20"/>
          <w:color w:val="auto"/>
        </w:rPr>
      </w:pPr>
    </w:p>
    <w:p>
      <w:pPr>
        <w:spacing w:after="0" w:line="208" w:lineRule="exact"/>
        <w:rPr>
          <w:sz w:val="20"/>
          <w:szCs w:val="20"/>
          <w:color w:val="auto"/>
        </w:rPr>
      </w:pPr>
    </w:p>
    <w:p>
      <w:pPr>
        <w:ind w:left="3940"/>
        <w:spacing w:after="0"/>
        <w:rPr>
          <w:sz w:val="20"/>
          <w:szCs w:val="20"/>
          <w:color w:val="auto"/>
        </w:rPr>
      </w:pPr>
      <w:r>
        <w:rPr>
          <w:rFonts w:ascii="Arial" w:cs="Arial" w:eastAsia="Arial" w:hAnsi="Arial"/>
          <w:sz w:val="20"/>
          <w:szCs w:val="20"/>
          <w:b w:val="1"/>
          <w:bCs w:val="1"/>
          <w:color w:val="auto"/>
        </w:rPr>
        <w:t>May 30, 2012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480"/>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0220"/>
          </w:cols>
          <w:pgMar w:left="1440" w:top="1440" w:right="239" w:bottom="1440" w:gutter="0" w:footer="0" w:header="0"/>
        </w:sectPr>
      </w:pPr>
    </w:p>
    <w:bookmarkStart w:id="6" w:name="page7"/>
    <w:bookmarkEnd w:id="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9"/>
          <w:szCs w:val="19"/>
          <w:color w:val="auto"/>
        </w:rPr>
        <w:t>Section 1.1</w:t>
      </w:r>
    </w:p>
    <w:p>
      <w:pPr>
        <w:spacing w:after="0" w:line="157" w:lineRule="exact"/>
        <w:rPr>
          <w:sz w:val="20"/>
          <w:szCs w:val="20"/>
          <w:color w:val="auto"/>
        </w:rPr>
      </w:pPr>
    </w:p>
    <w:p>
      <w:pPr>
        <w:spacing w:after="0"/>
        <w:rPr>
          <w:sz w:val="20"/>
          <w:szCs w:val="20"/>
          <w:color w:val="auto"/>
        </w:rPr>
      </w:pPr>
      <w:r>
        <w:rPr>
          <w:rFonts w:ascii="Arial" w:cs="Arial" w:eastAsia="Arial" w:hAnsi="Arial"/>
          <w:sz w:val="19"/>
          <w:szCs w:val="19"/>
          <w:color w:val="auto"/>
        </w:rPr>
        <w:t>Section 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9"/>
          <w:szCs w:val="19"/>
          <w:color w:val="auto"/>
        </w:rPr>
        <w:t>Section 2.1</w:t>
      </w:r>
    </w:p>
    <w:p>
      <w:pPr>
        <w:spacing w:after="0" w:line="57" w:lineRule="exact"/>
        <w:rPr>
          <w:sz w:val="20"/>
          <w:szCs w:val="20"/>
          <w:color w:val="auto"/>
        </w:rPr>
      </w:pPr>
    </w:p>
    <w:p>
      <w:pPr>
        <w:spacing w:after="0"/>
        <w:rPr>
          <w:sz w:val="20"/>
          <w:szCs w:val="20"/>
          <w:color w:val="auto"/>
        </w:rPr>
      </w:pPr>
      <w:r>
        <w:rPr>
          <w:rFonts w:ascii="Arial" w:cs="Arial" w:eastAsia="Arial" w:hAnsi="Arial"/>
          <w:sz w:val="19"/>
          <w:szCs w:val="19"/>
          <w:color w:val="auto"/>
        </w:rPr>
        <w:t>Section 2.2</w:t>
      </w:r>
    </w:p>
    <w:p>
      <w:pPr>
        <w:spacing w:after="0" w:line="57" w:lineRule="exact"/>
        <w:rPr>
          <w:sz w:val="20"/>
          <w:szCs w:val="20"/>
          <w:color w:val="auto"/>
        </w:rPr>
      </w:pPr>
    </w:p>
    <w:p>
      <w:pPr>
        <w:spacing w:after="0"/>
        <w:rPr>
          <w:sz w:val="20"/>
          <w:szCs w:val="20"/>
          <w:color w:val="auto"/>
        </w:rPr>
      </w:pPr>
      <w:r>
        <w:rPr>
          <w:rFonts w:ascii="Arial" w:cs="Arial" w:eastAsia="Arial" w:hAnsi="Arial"/>
          <w:sz w:val="19"/>
          <w:szCs w:val="19"/>
          <w:color w:val="auto"/>
        </w:rPr>
        <w:t>Section 2.3</w:t>
      </w:r>
    </w:p>
    <w:p>
      <w:pPr>
        <w:spacing w:after="0" w:line="57" w:lineRule="exact"/>
        <w:rPr>
          <w:sz w:val="20"/>
          <w:szCs w:val="20"/>
          <w:color w:val="auto"/>
        </w:rPr>
      </w:pPr>
    </w:p>
    <w:p>
      <w:pPr>
        <w:spacing w:after="0"/>
        <w:rPr>
          <w:sz w:val="20"/>
          <w:szCs w:val="20"/>
          <w:color w:val="auto"/>
        </w:rPr>
      </w:pPr>
      <w:r>
        <w:rPr>
          <w:rFonts w:ascii="Arial" w:cs="Arial" w:eastAsia="Arial" w:hAnsi="Arial"/>
          <w:sz w:val="19"/>
          <w:szCs w:val="19"/>
          <w:color w:val="auto"/>
        </w:rPr>
        <w:t>Section 2.4</w:t>
      </w:r>
    </w:p>
    <w:p>
      <w:pPr>
        <w:spacing w:after="0" w:line="257" w:lineRule="exact"/>
        <w:rPr>
          <w:sz w:val="20"/>
          <w:szCs w:val="20"/>
          <w:color w:val="auto"/>
        </w:rPr>
      </w:pPr>
    </w:p>
    <w:p>
      <w:pPr>
        <w:spacing w:after="0"/>
        <w:rPr>
          <w:sz w:val="20"/>
          <w:szCs w:val="20"/>
          <w:color w:val="auto"/>
        </w:rPr>
      </w:pPr>
      <w:r>
        <w:rPr>
          <w:rFonts w:ascii="Arial" w:cs="Arial" w:eastAsia="Arial" w:hAnsi="Arial"/>
          <w:sz w:val="19"/>
          <w:szCs w:val="19"/>
          <w:color w:val="auto"/>
        </w:rPr>
        <w:t>Section 2.5</w:t>
      </w:r>
    </w:p>
    <w:p>
      <w:pPr>
        <w:spacing w:after="0" w:line="157" w:lineRule="exact"/>
        <w:rPr>
          <w:sz w:val="20"/>
          <w:szCs w:val="20"/>
          <w:color w:val="auto"/>
        </w:rPr>
      </w:pPr>
    </w:p>
    <w:p>
      <w:pPr>
        <w:spacing w:after="0"/>
        <w:rPr>
          <w:sz w:val="20"/>
          <w:szCs w:val="20"/>
          <w:color w:val="auto"/>
        </w:rPr>
      </w:pPr>
      <w:r>
        <w:rPr>
          <w:rFonts w:ascii="Arial" w:cs="Arial" w:eastAsia="Arial" w:hAnsi="Arial"/>
          <w:sz w:val="19"/>
          <w:szCs w:val="19"/>
          <w:color w:val="auto"/>
        </w:rPr>
        <w:t>Section 2.6</w:t>
      </w:r>
    </w:p>
    <w:p>
      <w:pPr>
        <w:spacing w:after="0" w:line="157" w:lineRule="exact"/>
        <w:rPr>
          <w:sz w:val="20"/>
          <w:szCs w:val="20"/>
          <w:color w:val="auto"/>
        </w:rPr>
      </w:pPr>
    </w:p>
    <w:p>
      <w:pPr>
        <w:ind w:right="100"/>
        <w:spacing w:after="0" w:line="412" w:lineRule="auto"/>
        <w:rPr>
          <w:sz w:val="20"/>
          <w:szCs w:val="20"/>
          <w:color w:val="auto"/>
        </w:rPr>
      </w:pPr>
      <w:r>
        <w:rPr>
          <w:rFonts w:ascii="Arial" w:cs="Arial" w:eastAsia="Arial" w:hAnsi="Arial"/>
          <w:sz w:val="17"/>
          <w:szCs w:val="17"/>
          <w:color w:val="auto"/>
        </w:rPr>
        <w:t>Section 2.7 Section 2.8</w:t>
      </w:r>
    </w:p>
    <w:p>
      <w:pPr>
        <w:spacing w:after="0" w:line="80" w:lineRule="exact"/>
        <w:rPr>
          <w:sz w:val="20"/>
          <w:szCs w:val="20"/>
          <w:color w:val="auto"/>
        </w:rPr>
      </w:pPr>
    </w:p>
    <w:p>
      <w:pPr>
        <w:spacing w:after="0" w:line="375" w:lineRule="auto"/>
        <w:rPr>
          <w:sz w:val="20"/>
          <w:szCs w:val="20"/>
          <w:color w:val="auto"/>
        </w:rPr>
      </w:pPr>
      <w:r>
        <w:rPr>
          <w:rFonts w:ascii="Arial" w:cs="Arial" w:eastAsia="Arial" w:hAnsi="Arial"/>
          <w:sz w:val="17"/>
          <w:szCs w:val="17"/>
          <w:color w:val="auto"/>
        </w:rPr>
        <w:t>Section 2.9 Section 2.10 Section 2.11</w:t>
      </w:r>
    </w:p>
    <w:p>
      <w:pPr>
        <w:spacing w:after="0" w:line="10" w:lineRule="exact"/>
        <w:rPr>
          <w:sz w:val="20"/>
          <w:szCs w:val="20"/>
          <w:color w:val="auto"/>
        </w:rPr>
      </w:pPr>
    </w:p>
    <w:p>
      <w:pPr>
        <w:spacing w:after="0" w:line="399" w:lineRule="auto"/>
        <w:rPr>
          <w:sz w:val="20"/>
          <w:szCs w:val="20"/>
          <w:color w:val="auto"/>
        </w:rPr>
      </w:pPr>
      <w:r>
        <w:rPr>
          <w:rFonts w:ascii="Arial" w:cs="Arial" w:eastAsia="Arial" w:hAnsi="Arial"/>
          <w:sz w:val="17"/>
          <w:szCs w:val="17"/>
          <w:color w:val="auto"/>
        </w:rPr>
        <w:t>Section 2.12 Section 2.13</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Section 2.14</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color w:val="auto"/>
        </w:rPr>
        <w:t>Section 2.15</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color w:val="auto"/>
        </w:rPr>
        <w:t>Section 2.16</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color w:val="auto"/>
        </w:rPr>
        <w:t>Section 2.17</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color w:val="auto"/>
        </w:rPr>
        <w:t>Section 2.18</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color w:val="auto"/>
        </w:rPr>
        <w:t>Section 2.19</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color w:val="auto"/>
        </w:rPr>
        <w:t>Section 2.20</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color w:val="auto"/>
        </w:rPr>
        <w:t>Section 2.21</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color w:val="auto"/>
        </w:rPr>
        <w:t>Section 2.22</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color w:val="auto"/>
        </w:rPr>
        <w:t>Section 2.23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9"/>
          <w:szCs w:val="19"/>
          <w:color w:val="auto"/>
        </w:rPr>
        <w:t>Section 3.1</w:t>
      </w:r>
    </w:p>
    <w:p>
      <w:pPr>
        <w:spacing w:after="0" w:line="20" w:lineRule="exact"/>
        <w:rPr>
          <w:sz w:val="20"/>
          <w:szCs w:val="20"/>
          <w:color w:val="auto"/>
        </w:rPr>
      </w:pPr>
      <w:r>
        <w:rPr>
          <w:sz w:val="20"/>
          <w:szCs w:val="20"/>
          <w:color w:val="auto"/>
        </w:rPr>
        <w:br w:type="column"/>
      </w:r>
    </w:p>
    <w:p>
      <w:pPr>
        <w:ind w:left="3060"/>
        <w:spacing w:after="0"/>
        <w:rPr>
          <w:sz w:val="20"/>
          <w:szCs w:val="20"/>
          <w:color w:val="auto"/>
        </w:rPr>
      </w:pPr>
      <w:r>
        <w:rPr>
          <w:rFonts w:ascii="Arial" w:cs="Arial" w:eastAsia="Arial" w:hAnsi="Arial"/>
          <w:sz w:val="17"/>
          <w:szCs w:val="17"/>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8540" w:type="dxa"/>
            <w:vAlign w:val="bottom"/>
          </w:tcPr>
          <w:p>
            <w:pPr>
              <w:jc w:val="center"/>
              <w:spacing w:after="0"/>
              <w:rPr>
                <w:sz w:val="20"/>
                <w:szCs w:val="20"/>
                <w:color w:val="auto"/>
              </w:rPr>
            </w:pPr>
            <w:r>
              <w:rPr>
                <w:rFonts w:ascii="Arial" w:cs="Arial" w:eastAsia="Arial" w:hAnsi="Arial"/>
                <w:sz w:val="20"/>
                <w:szCs w:val="20"/>
                <w:color w:val="auto"/>
              </w:rPr>
              <w:t>ARTICLE I</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8540" w:type="dxa"/>
            <w:vAlign w:val="bottom"/>
          </w:tcPr>
          <w:p>
            <w:pPr>
              <w:jc w:val="center"/>
              <w:spacing w:after="0"/>
              <w:rPr>
                <w:sz w:val="20"/>
                <w:szCs w:val="20"/>
                <w:color w:val="auto"/>
              </w:rPr>
            </w:pPr>
            <w:r>
              <w:rPr>
                <w:rFonts w:ascii="Arial" w:cs="Arial" w:eastAsia="Arial" w:hAnsi="Arial"/>
                <w:sz w:val="20"/>
                <w:szCs w:val="20"/>
                <w:color w:val="auto"/>
                <w:w w:val="97"/>
              </w:rPr>
              <w:t>DEFINITIONS AND INTERPRETATION</w:t>
            </w: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40" w:type="dxa"/>
            <w:vAlign w:val="bottom"/>
          </w:tcPr>
          <w:p>
            <w:pPr>
              <w:ind w:left="520"/>
              <w:spacing w:after="0"/>
              <w:rPr>
                <w:sz w:val="20"/>
                <w:szCs w:val="20"/>
                <w:color w:val="auto"/>
              </w:rPr>
            </w:pPr>
            <w:r>
              <w:rPr>
                <w:rFonts w:ascii="Arial" w:cs="Arial" w:eastAsia="Arial" w:hAnsi="Arial"/>
                <w:sz w:val="20"/>
                <w:szCs w:val="20"/>
                <w:b w:val="1"/>
                <w:bCs w:val="1"/>
                <w:color w:val="auto"/>
                <w:w w:val="83"/>
              </w:rPr>
              <w:t>Page</w:t>
            </w:r>
          </w:p>
        </w:tc>
        <w:tc>
          <w:tcPr>
            <w:tcW w:w="0" w:type="dxa"/>
            <w:vAlign w:val="bottom"/>
          </w:tcPr>
          <w:p>
            <w:pPr>
              <w:spacing w:after="0"/>
              <w:rPr>
                <w:sz w:val="1"/>
                <w:szCs w:val="1"/>
                <w:color w:val="auto"/>
              </w:rPr>
            </w:pPr>
          </w:p>
        </w:tc>
      </w:tr>
      <w:tr>
        <w:trPr>
          <w:trHeight w:val="275"/>
        </w:trPr>
        <w:tc>
          <w:tcPr>
            <w:tcW w:w="8540" w:type="dxa"/>
            <w:vAlign w:val="bottom"/>
          </w:tcPr>
          <w:p>
            <w:pPr>
              <w:spacing w:after="0"/>
              <w:rPr>
                <w:sz w:val="20"/>
                <w:szCs w:val="20"/>
                <w:color w:val="auto"/>
              </w:rPr>
            </w:pPr>
            <w:r>
              <w:rPr>
                <w:rFonts w:ascii="Arial" w:cs="Arial" w:eastAsia="Arial" w:hAnsi="Arial"/>
                <w:sz w:val="20"/>
                <w:szCs w:val="20"/>
                <w:color w:val="auto"/>
              </w:rPr>
              <w:t>Definitions</w:t>
            </w:r>
          </w:p>
        </w:tc>
        <w:tc>
          <w:tcPr>
            <w:tcW w:w="160" w:type="dxa"/>
            <w:vAlign w:val="bottom"/>
            <w:gridSpan w:val="2"/>
            <w:vMerge w:val="restart"/>
          </w:tcPr>
          <w:p>
            <w:pPr>
              <w:spacing w:after="0"/>
              <w:rPr>
                <w:rFonts w:ascii="Arial" w:cs="Arial" w:eastAsia="Arial" w:hAnsi="Arial"/>
                <w:sz w:val="17"/>
                <w:szCs w:val="17"/>
                <w:color w:val="0000FF"/>
              </w:rPr>
            </w:pPr>
            <w:hyperlink w:anchor="page13">
              <w:r>
                <w:rPr>
                  <w:rFonts w:ascii="Arial" w:cs="Arial" w:eastAsia="Arial" w:hAnsi="Arial"/>
                  <w:sz w:val="17"/>
                  <w:szCs w:val="17"/>
                  <w:color w:val="0000FF"/>
                </w:rPr>
                <w:t>2</w:t>
              </w:r>
            </w:hyperlink>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3"/>
        </w:trPr>
        <w:tc>
          <w:tcPr>
            <w:tcW w:w="8540" w:type="dxa"/>
            <w:vAlign w:val="bottom"/>
          </w:tcPr>
          <w:p>
            <w:pPr>
              <w:spacing w:after="0"/>
              <w:rPr>
                <w:sz w:val="4"/>
                <w:szCs w:val="4"/>
                <w:color w:val="auto"/>
              </w:rPr>
            </w:pPr>
          </w:p>
        </w:tc>
        <w:tc>
          <w:tcPr>
            <w:tcW w:w="160" w:type="dxa"/>
            <w:vAlign w:val="bottom"/>
            <w:gridSpan w:val="2"/>
            <w:vMerge w:val="continue"/>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8540" w:type="dxa"/>
            <w:vAlign w:val="bottom"/>
            <w:vMerge w:val="restart"/>
          </w:tcPr>
          <w:p>
            <w:pPr>
              <w:spacing w:after="0"/>
              <w:rPr>
                <w:sz w:val="20"/>
                <w:szCs w:val="20"/>
                <w:color w:val="auto"/>
              </w:rPr>
            </w:pPr>
            <w:r>
              <w:rPr>
                <w:rFonts w:ascii="Arial" w:cs="Arial" w:eastAsia="Arial" w:hAnsi="Arial"/>
                <w:sz w:val="20"/>
                <w:szCs w:val="20"/>
                <w:color w:val="auto"/>
              </w:rPr>
              <w:t>Interpretation</w:t>
            </w: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3"/>
        </w:trPr>
        <w:tc>
          <w:tcPr>
            <w:tcW w:w="8540" w:type="dxa"/>
            <w:vAlign w:val="bottom"/>
            <w:vMerge w:val="continue"/>
          </w:tcPr>
          <w:p>
            <w:pPr>
              <w:spacing w:after="0"/>
              <w:rPr>
                <w:sz w:val="24"/>
                <w:szCs w:val="24"/>
                <w:color w:val="auto"/>
              </w:rPr>
            </w:pPr>
          </w:p>
        </w:tc>
        <w:tc>
          <w:tcPr>
            <w:tcW w:w="160" w:type="dxa"/>
            <w:vAlign w:val="bottom"/>
            <w:gridSpan w:val="2"/>
            <w:vMerge w:val="restart"/>
          </w:tcPr>
          <w:p>
            <w:pPr>
              <w:spacing w:after="0"/>
              <w:rPr>
                <w:rFonts w:ascii="Arial" w:cs="Arial" w:eastAsia="Arial" w:hAnsi="Arial"/>
                <w:sz w:val="17"/>
                <w:szCs w:val="17"/>
                <w:color w:val="0000FF"/>
                <w:w w:val="73"/>
              </w:rPr>
            </w:pPr>
            <w:hyperlink w:anchor="page30">
              <w:r>
                <w:rPr>
                  <w:rFonts w:ascii="Arial" w:cs="Arial" w:eastAsia="Arial" w:hAnsi="Arial"/>
                  <w:sz w:val="17"/>
                  <w:szCs w:val="17"/>
                  <w:color w:val="0000FF"/>
                  <w:w w:val="73"/>
                </w:rPr>
                <w:t>19</w:t>
              </w:r>
            </w:hyperlink>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
        </w:trPr>
        <w:tc>
          <w:tcPr>
            <w:tcW w:w="8540" w:type="dxa"/>
            <w:vAlign w:val="bottom"/>
          </w:tcPr>
          <w:p>
            <w:pPr>
              <w:spacing w:after="0"/>
              <w:rPr>
                <w:sz w:val="4"/>
                <w:szCs w:val="4"/>
                <w:color w:val="auto"/>
              </w:rPr>
            </w:pPr>
          </w:p>
        </w:tc>
        <w:tc>
          <w:tcPr>
            <w:tcW w:w="160" w:type="dxa"/>
            <w:vAlign w:val="bottom"/>
            <w:tcBorders>
              <w:bottom w:val="single" w:sz="8" w:color="0000FF"/>
            </w:tcBorders>
            <w:gridSpan w:val="2"/>
            <w:vMerge w:val="continue"/>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66"/>
        </w:trPr>
        <w:tc>
          <w:tcPr>
            <w:tcW w:w="8540" w:type="dxa"/>
            <w:vAlign w:val="bottom"/>
          </w:tcPr>
          <w:p>
            <w:pPr>
              <w:jc w:val="center"/>
              <w:spacing w:after="0"/>
              <w:rPr>
                <w:sz w:val="20"/>
                <w:szCs w:val="20"/>
                <w:color w:val="auto"/>
              </w:rPr>
            </w:pPr>
            <w:r>
              <w:rPr>
                <w:rFonts w:ascii="Arial" w:cs="Arial" w:eastAsia="Arial" w:hAnsi="Arial"/>
                <w:sz w:val="20"/>
                <w:szCs w:val="20"/>
                <w:color w:val="auto"/>
              </w:rPr>
              <w:t>ARTICLE II</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8540" w:type="dxa"/>
            <w:vAlign w:val="bottom"/>
          </w:tcPr>
          <w:p>
            <w:pPr>
              <w:jc w:val="center"/>
              <w:spacing w:after="0"/>
              <w:rPr>
                <w:sz w:val="20"/>
                <w:szCs w:val="20"/>
                <w:color w:val="auto"/>
              </w:rPr>
            </w:pPr>
            <w:r>
              <w:rPr>
                <w:rFonts w:ascii="Arial" w:cs="Arial" w:eastAsia="Arial" w:hAnsi="Arial"/>
                <w:sz w:val="20"/>
                <w:szCs w:val="20"/>
                <w:color w:val="auto"/>
                <w:w w:val="96"/>
              </w:rPr>
              <w:t>PURCHASE OF SINGLE PREMIUM GROUP ANNUITY CONTRACT</w:t>
            </w: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8"/>
        </w:trPr>
        <w:tc>
          <w:tcPr>
            <w:tcW w:w="8540" w:type="dxa"/>
            <w:vAlign w:val="bottom"/>
          </w:tcPr>
          <w:p>
            <w:pPr>
              <w:spacing w:after="0" w:line="228" w:lineRule="exact"/>
              <w:rPr>
                <w:sz w:val="20"/>
                <w:szCs w:val="20"/>
                <w:color w:val="auto"/>
              </w:rPr>
            </w:pPr>
            <w:r>
              <w:rPr>
                <w:rFonts w:ascii="Arial" w:cs="Arial" w:eastAsia="Arial" w:hAnsi="Arial"/>
                <w:sz w:val="20"/>
                <w:szCs w:val="20"/>
                <w:color w:val="auto"/>
              </w:rPr>
              <w:t>Closing</w:t>
            </w:r>
          </w:p>
        </w:tc>
        <w:tc>
          <w:tcPr>
            <w:tcW w:w="160" w:type="dxa"/>
            <w:vAlign w:val="bottom"/>
            <w:tcBorders>
              <w:bottom w:val="single" w:sz="8" w:color="0000FF"/>
            </w:tcBorders>
            <w:gridSpan w:val="2"/>
          </w:tcPr>
          <w:p>
            <w:pPr>
              <w:spacing w:after="0"/>
              <w:rPr>
                <w:rFonts w:ascii="Arial" w:cs="Arial" w:eastAsia="Arial" w:hAnsi="Arial"/>
                <w:sz w:val="17"/>
                <w:szCs w:val="17"/>
                <w:color w:val="0000FF"/>
                <w:w w:val="73"/>
              </w:rPr>
            </w:pPr>
            <w:hyperlink w:anchor="page32">
              <w:r>
                <w:rPr>
                  <w:rFonts w:ascii="Arial" w:cs="Arial" w:eastAsia="Arial" w:hAnsi="Arial"/>
                  <w:sz w:val="17"/>
                  <w:szCs w:val="17"/>
                  <w:color w:val="0000FF"/>
                  <w:w w:val="73"/>
                </w:rPr>
                <w:t>21</w:t>
              </w:r>
            </w:hyperlink>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8540" w:type="dxa"/>
            <w:vAlign w:val="bottom"/>
          </w:tcPr>
          <w:p>
            <w:pPr>
              <w:spacing w:after="0"/>
              <w:rPr>
                <w:sz w:val="20"/>
                <w:szCs w:val="20"/>
                <w:color w:val="auto"/>
              </w:rPr>
            </w:pPr>
            <w:r>
              <w:rPr>
                <w:rFonts w:ascii="Arial" w:cs="Arial" w:eastAsia="Arial" w:hAnsi="Arial"/>
                <w:sz w:val="20"/>
                <w:szCs w:val="20"/>
                <w:color w:val="auto"/>
              </w:rPr>
              <w:t>Deliveries at Closing</w:t>
            </w:r>
          </w:p>
        </w:tc>
        <w:tc>
          <w:tcPr>
            <w:tcW w:w="160" w:type="dxa"/>
            <w:vAlign w:val="bottom"/>
            <w:tcBorders>
              <w:bottom w:val="single" w:sz="8" w:color="0000FF"/>
            </w:tcBorders>
            <w:gridSpan w:val="2"/>
          </w:tcPr>
          <w:p>
            <w:pPr>
              <w:spacing w:after="0"/>
              <w:rPr>
                <w:rFonts w:ascii="Arial" w:cs="Arial" w:eastAsia="Arial" w:hAnsi="Arial"/>
                <w:sz w:val="17"/>
                <w:szCs w:val="17"/>
                <w:color w:val="0000FF"/>
                <w:w w:val="73"/>
              </w:rPr>
            </w:pPr>
            <w:hyperlink w:anchor="page33">
              <w:r>
                <w:rPr>
                  <w:rFonts w:ascii="Arial" w:cs="Arial" w:eastAsia="Arial" w:hAnsi="Arial"/>
                  <w:sz w:val="17"/>
                  <w:szCs w:val="17"/>
                  <w:color w:val="0000FF"/>
                  <w:w w:val="73"/>
                </w:rPr>
                <w:t>22</w:t>
              </w:r>
            </w:hyperlink>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8540" w:type="dxa"/>
            <w:vAlign w:val="bottom"/>
          </w:tcPr>
          <w:p>
            <w:pPr>
              <w:spacing w:after="0"/>
              <w:rPr>
                <w:sz w:val="20"/>
                <w:szCs w:val="20"/>
                <w:color w:val="auto"/>
              </w:rPr>
            </w:pPr>
            <w:r>
              <w:rPr>
                <w:rFonts w:ascii="Arial" w:cs="Arial" w:eastAsia="Arial" w:hAnsi="Arial"/>
                <w:sz w:val="20"/>
                <w:szCs w:val="20"/>
                <w:color w:val="auto"/>
              </w:rPr>
              <w:t>Final Plan Portfolio and Contract 300 Portfolio P</w:t>
            </w:r>
          </w:p>
        </w:tc>
        <w:tc>
          <w:tcPr>
            <w:tcW w:w="160" w:type="dxa"/>
            <w:vAlign w:val="bottom"/>
            <w:tcBorders>
              <w:bottom w:val="single" w:sz="8" w:color="0000FF"/>
            </w:tcBorders>
            <w:gridSpan w:val="2"/>
          </w:tcPr>
          <w:p>
            <w:pPr>
              <w:spacing w:after="0"/>
              <w:rPr>
                <w:rFonts w:ascii="Arial" w:cs="Arial" w:eastAsia="Arial" w:hAnsi="Arial"/>
                <w:sz w:val="17"/>
                <w:szCs w:val="17"/>
                <w:color w:val="0000FF"/>
                <w:w w:val="73"/>
              </w:rPr>
            </w:pPr>
            <w:hyperlink w:anchor="page34">
              <w:r>
                <w:rPr>
                  <w:rFonts w:ascii="Arial" w:cs="Arial" w:eastAsia="Arial" w:hAnsi="Arial"/>
                  <w:sz w:val="17"/>
                  <w:szCs w:val="17"/>
                  <w:color w:val="0000FF"/>
                  <w:w w:val="73"/>
                </w:rPr>
                <w:t>23</w:t>
              </w:r>
            </w:hyperlink>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3"/>
        </w:trPr>
        <w:tc>
          <w:tcPr>
            <w:tcW w:w="8540" w:type="dxa"/>
            <w:vAlign w:val="bottom"/>
          </w:tcPr>
          <w:p>
            <w:pPr>
              <w:spacing w:after="0"/>
              <w:rPr>
                <w:sz w:val="20"/>
                <w:szCs w:val="20"/>
                <w:color w:val="auto"/>
              </w:rPr>
            </w:pPr>
            <w:r>
              <w:rPr>
                <w:rFonts w:ascii="Arial" w:cs="Arial" w:eastAsia="Arial" w:hAnsi="Arial"/>
                <w:sz w:val="20"/>
                <w:szCs w:val="20"/>
                <w:color w:val="auto"/>
              </w:rPr>
              <w:t>Calculation of Base Annuity Premium and Solicited Adjusted Annuity Premium</w:t>
            </w:r>
          </w:p>
        </w:tc>
        <w:tc>
          <w:tcPr>
            <w:tcW w:w="160" w:type="dxa"/>
            <w:vAlign w:val="bottom"/>
            <w:gridSpan w:val="2"/>
            <w:vMerge w:val="restart"/>
          </w:tcPr>
          <w:p>
            <w:pPr>
              <w:spacing w:after="0"/>
              <w:rPr>
                <w:rFonts w:ascii="Arial" w:cs="Arial" w:eastAsia="Arial" w:hAnsi="Arial"/>
                <w:sz w:val="17"/>
                <w:szCs w:val="17"/>
                <w:color w:val="0000FF"/>
                <w:w w:val="73"/>
              </w:rPr>
            </w:pPr>
            <w:hyperlink w:anchor="page34">
              <w:r>
                <w:rPr>
                  <w:rFonts w:ascii="Arial" w:cs="Arial" w:eastAsia="Arial" w:hAnsi="Arial"/>
                  <w:sz w:val="17"/>
                  <w:szCs w:val="17"/>
                  <w:color w:val="0000FF"/>
                  <w:w w:val="73"/>
                </w:rPr>
                <w:t>23</w:t>
              </w:r>
            </w:hyperlink>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
        </w:trPr>
        <w:tc>
          <w:tcPr>
            <w:tcW w:w="8540" w:type="dxa"/>
            <w:vAlign w:val="bottom"/>
          </w:tcPr>
          <w:p>
            <w:pPr>
              <w:spacing w:after="0"/>
              <w:rPr>
                <w:sz w:val="4"/>
                <w:szCs w:val="4"/>
                <w:color w:val="auto"/>
              </w:rPr>
            </w:pPr>
          </w:p>
        </w:tc>
        <w:tc>
          <w:tcPr>
            <w:tcW w:w="160" w:type="dxa"/>
            <w:vAlign w:val="bottom"/>
            <w:tcBorders>
              <w:bottom w:val="single" w:sz="8" w:color="0000FF"/>
            </w:tcBorders>
            <w:gridSpan w:val="2"/>
            <w:vMerge w:val="continue"/>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3"/>
        </w:trPr>
        <w:tc>
          <w:tcPr>
            <w:tcW w:w="8540" w:type="dxa"/>
            <w:vAlign w:val="bottom"/>
          </w:tcPr>
          <w:p>
            <w:pPr>
              <w:spacing w:after="0"/>
              <w:rPr>
                <w:sz w:val="20"/>
                <w:szCs w:val="20"/>
                <w:color w:val="auto"/>
              </w:rPr>
            </w:pPr>
            <w:r>
              <w:rPr>
                <w:rFonts w:ascii="Arial" w:cs="Arial" w:eastAsia="Arial" w:hAnsi="Arial"/>
                <w:sz w:val="20"/>
                <w:szCs w:val="20"/>
                <w:color w:val="auto"/>
              </w:rPr>
              <w:t>Calculation of Revised Base Annuity Premium</w:t>
            </w:r>
          </w:p>
        </w:tc>
        <w:tc>
          <w:tcPr>
            <w:tcW w:w="160" w:type="dxa"/>
            <w:vAlign w:val="bottom"/>
            <w:gridSpan w:val="2"/>
            <w:vMerge w:val="restart"/>
          </w:tcPr>
          <w:p>
            <w:pPr>
              <w:spacing w:after="0"/>
              <w:rPr>
                <w:rFonts w:ascii="Arial" w:cs="Arial" w:eastAsia="Arial" w:hAnsi="Arial"/>
                <w:sz w:val="17"/>
                <w:szCs w:val="17"/>
                <w:color w:val="0000FF"/>
                <w:w w:val="73"/>
              </w:rPr>
            </w:pPr>
            <w:hyperlink w:anchor="page37">
              <w:r>
                <w:rPr>
                  <w:rFonts w:ascii="Arial" w:cs="Arial" w:eastAsia="Arial" w:hAnsi="Arial"/>
                  <w:sz w:val="17"/>
                  <w:szCs w:val="17"/>
                  <w:color w:val="0000FF"/>
                  <w:w w:val="73"/>
                </w:rPr>
                <w:t>26</w:t>
              </w:r>
            </w:hyperlink>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
        </w:trPr>
        <w:tc>
          <w:tcPr>
            <w:tcW w:w="8540" w:type="dxa"/>
            <w:vAlign w:val="bottom"/>
          </w:tcPr>
          <w:p>
            <w:pPr>
              <w:spacing w:after="0"/>
              <w:rPr>
                <w:sz w:val="4"/>
                <w:szCs w:val="4"/>
                <w:color w:val="auto"/>
              </w:rPr>
            </w:pPr>
          </w:p>
        </w:tc>
        <w:tc>
          <w:tcPr>
            <w:tcW w:w="160" w:type="dxa"/>
            <w:vAlign w:val="bottom"/>
            <w:tcBorders>
              <w:bottom w:val="single" w:sz="8" w:color="0000FF"/>
            </w:tcBorders>
            <w:gridSpan w:val="2"/>
            <w:vMerge w:val="continue"/>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3"/>
        </w:trPr>
        <w:tc>
          <w:tcPr>
            <w:tcW w:w="8540" w:type="dxa"/>
            <w:vAlign w:val="bottom"/>
          </w:tcPr>
          <w:p>
            <w:pPr>
              <w:spacing w:after="0"/>
              <w:rPr>
                <w:sz w:val="20"/>
                <w:szCs w:val="20"/>
                <w:color w:val="auto"/>
              </w:rPr>
            </w:pPr>
            <w:r>
              <w:rPr>
                <w:rFonts w:ascii="Arial" w:cs="Arial" w:eastAsia="Arial" w:hAnsi="Arial"/>
                <w:sz w:val="20"/>
                <w:szCs w:val="20"/>
                <w:color w:val="auto"/>
              </w:rPr>
              <w:t>Determination and Valuation of Final Plan Portfolio</w:t>
            </w:r>
          </w:p>
        </w:tc>
        <w:tc>
          <w:tcPr>
            <w:tcW w:w="160" w:type="dxa"/>
            <w:vAlign w:val="bottom"/>
            <w:gridSpan w:val="2"/>
            <w:vMerge w:val="restart"/>
          </w:tcPr>
          <w:p>
            <w:pPr>
              <w:spacing w:after="0"/>
              <w:rPr>
                <w:rFonts w:ascii="Arial" w:cs="Arial" w:eastAsia="Arial" w:hAnsi="Arial"/>
                <w:sz w:val="17"/>
                <w:szCs w:val="17"/>
                <w:color w:val="0000FF"/>
                <w:w w:val="73"/>
              </w:rPr>
            </w:pPr>
            <w:hyperlink w:anchor="page39">
              <w:r>
                <w:rPr>
                  <w:rFonts w:ascii="Arial" w:cs="Arial" w:eastAsia="Arial" w:hAnsi="Arial"/>
                  <w:sz w:val="17"/>
                  <w:szCs w:val="17"/>
                  <w:color w:val="0000FF"/>
                  <w:w w:val="73"/>
                </w:rPr>
                <w:t>28</w:t>
              </w:r>
            </w:hyperlink>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
        </w:trPr>
        <w:tc>
          <w:tcPr>
            <w:tcW w:w="8540" w:type="dxa"/>
            <w:vAlign w:val="bottom"/>
          </w:tcPr>
          <w:p>
            <w:pPr>
              <w:spacing w:after="0"/>
              <w:rPr>
                <w:sz w:val="4"/>
                <w:szCs w:val="4"/>
                <w:color w:val="auto"/>
              </w:rPr>
            </w:pPr>
          </w:p>
        </w:tc>
        <w:tc>
          <w:tcPr>
            <w:tcW w:w="160" w:type="dxa"/>
            <w:vAlign w:val="bottom"/>
            <w:tcBorders>
              <w:bottom w:val="single" w:sz="8" w:color="0000FF"/>
            </w:tcBorders>
            <w:gridSpan w:val="2"/>
            <w:vMerge w:val="continue"/>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3"/>
        </w:trPr>
        <w:tc>
          <w:tcPr>
            <w:tcW w:w="8540" w:type="dxa"/>
            <w:vAlign w:val="bottom"/>
          </w:tcPr>
          <w:p>
            <w:pPr>
              <w:spacing w:after="0"/>
              <w:rPr>
                <w:sz w:val="20"/>
                <w:szCs w:val="20"/>
                <w:color w:val="auto"/>
              </w:rPr>
            </w:pPr>
            <w:r>
              <w:rPr>
                <w:rFonts w:ascii="Arial" w:cs="Arial" w:eastAsia="Arial" w:hAnsi="Arial"/>
                <w:sz w:val="20"/>
                <w:szCs w:val="20"/>
                <w:color w:val="auto"/>
              </w:rPr>
              <w:t>Calculation of Dry-Run Closing Premiums</w:t>
            </w:r>
          </w:p>
        </w:tc>
        <w:tc>
          <w:tcPr>
            <w:tcW w:w="160" w:type="dxa"/>
            <w:vAlign w:val="bottom"/>
            <w:gridSpan w:val="2"/>
            <w:vMerge w:val="restart"/>
          </w:tcPr>
          <w:p>
            <w:pPr>
              <w:spacing w:after="0"/>
              <w:rPr>
                <w:rFonts w:ascii="Arial" w:cs="Arial" w:eastAsia="Arial" w:hAnsi="Arial"/>
                <w:sz w:val="17"/>
                <w:szCs w:val="17"/>
                <w:color w:val="0000FF"/>
                <w:w w:val="73"/>
              </w:rPr>
            </w:pPr>
            <w:hyperlink w:anchor="page40">
              <w:r>
                <w:rPr>
                  <w:rFonts w:ascii="Arial" w:cs="Arial" w:eastAsia="Arial" w:hAnsi="Arial"/>
                  <w:sz w:val="17"/>
                  <w:szCs w:val="17"/>
                  <w:color w:val="0000FF"/>
                  <w:w w:val="73"/>
                </w:rPr>
                <w:t>29</w:t>
              </w:r>
            </w:hyperlink>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
        </w:trPr>
        <w:tc>
          <w:tcPr>
            <w:tcW w:w="8540" w:type="dxa"/>
            <w:vAlign w:val="bottom"/>
          </w:tcPr>
          <w:p>
            <w:pPr>
              <w:spacing w:after="0"/>
              <w:rPr>
                <w:sz w:val="4"/>
                <w:szCs w:val="4"/>
                <w:color w:val="auto"/>
              </w:rPr>
            </w:pPr>
          </w:p>
        </w:tc>
        <w:tc>
          <w:tcPr>
            <w:tcW w:w="160" w:type="dxa"/>
            <w:vAlign w:val="bottom"/>
            <w:tcBorders>
              <w:bottom w:val="single" w:sz="8" w:color="0000FF"/>
            </w:tcBorders>
            <w:gridSpan w:val="2"/>
            <w:vMerge w:val="continue"/>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3"/>
        </w:trPr>
        <w:tc>
          <w:tcPr>
            <w:tcW w:w="8540" w:type="dxa"/>
            <w:vAlign w:val="bottom"/>
          </w:tcPr>
          <w:p>
            <w:pPr>
              <w:spacing w:after="0"/>
              <w:rPr>
                <w:sz w:val="20"/>
                <w:szCs w:val="20"/>
                <w:color w:val="auto"/>
              </w:rPr>
            </w:pPr>
            <w:r>
              <w:rPr>
                <w:rFonts w:ascii="Arial" w:cs="Arial" w:eastAsia="Arial" w:hAnsi="Arial"/>
                <w:sz w:val="20"/>
                <w:szCs w:val="20"/>
                <w:color w:val="auto"/>
              </w:rPr>
              <w:t>Calculation of the Preliminary Closing Premium and Revised Preliminary Closing Premium</w:t>
            </w:r>
          </w:p>
        </w:tc>
        <w:tc>
          <w:tcPr>
            <w:tcW w:w="160" w:type="dxa"/>
            <w:vAlign w:val="bottom"/>
            <w:gridSpan w:val="2"/>
            <w:vMerge w:val="restart"/>
          </w:tcPr>
          <w:p>
            <w:pPr>
              <w:spacing w:after="0"/>
              <w:rPr>
                <w:rFonts w:ascii="Arial" w:cs="Arial" w:eastAsia="Arial" w:hAnsi="Arial"/>
                <w:sz w:val="17"/>
                <w:szCs w:val="17"/>
                <w:color w:val="0000FF"/>
                <w:w w:val="73"/>
              </w:rPr>
            </w:pPr>
            <w:hyperlink w:anchor="page41">
              <w:r>
                <w:rPr>
                  <w:rFonts w:ascii="Arial" w:cs="Arial" w:eastAsia="Arial" w:hAnsi="Arial"/>
                  <w:sz w:val="17"/>
                  <w:szCs w:val="17"/>
                  <w:color w:val="0000FF"/>
                  <w:w w:val="73"/>
                </w:rPr>
                <w:t>30</w:t>
              </w:r>
            </w:hyperlink>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
        </w:trPr>
        <w:tc>
          <w:tcPr>
            <w:tcW w:w="8540" w:type="dxa"/>
            <w:vAlign w:val="bottom"/>
          </w:tcPr>
          <w:p>
            <w:pPr>
              <w:spacing w:after="0"/>
              <w:rPr>
                <w:sz w:val="4"/>
                <w:szCs w:val="4"/>
                <w:color w:val="auto"/>
              </w:rPr>
            </w:pPr>
          </w:p>
        </w:tc>
        <w:tc>
          <w:tcPr>
            <w:tcW w:w="160" w:type="dxa"/>
            <w:vAlign w:val="bottom"/>
            <w:tcBorders>
              <w:bottom w:val="single" w:sz="8" w:color="0000FF"/>
            </w:tcBorders>
            <w:gridSpan w:val="2"/>
            <w:vMerge w:val="continue"/>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3"/>
        </w:trPr>
        <w:tc>
          <w:tcPr>
            <w:tcW w:w="8540" w:type="dxa"/>
            <w:vAlign w:val="bottom"/>
          </w:tcPr>
          <w:p>
            <w:pPr>
              <w:spacing w:after="0"/>
              <w:rPr>
                <w:sz w:val="20"/>
                <w:szCs w:val="20"/>
                <w:color w:val="auto"/>
              </w:rPr>
            </w:pPr>
            <w:r>
              <w:rPr>
                <w:rFonts w:ascii="Arial" w:cs="Arial" w:eastAsia="Arial" w:hAnsi="Arial"/>
                <w:sz w:val="20"/>
                <w:szCs w:val="20"/>
                <w:color w:val="auto"/>
              </w:rPr>
              <w:t>Calculation of the Closing Final Premium</w:t>
            </w:r>
          </w:p>
        </w:tc>
        <w:tc>
          <w:tcPr>
            <w:tcW w:w="160" w:type="dxa"/>
            <w:vAlign w:val="bottom"/>
            <w:gridSpan w:val="2"/>
            <w:vMerge w:val="restart"/>
          </w:tcPr>
          <w:p>
            <w:pPr>
              <w:spacing w:after="0"/>
              <w:rPr>
                <w:rFonts w:ascii="Arial" w:cs="Arial" w:eastAsia="Arial" w:hAnsi="Arial"/>
                <w:sz w:val="17"/>
                <w:szCs w:val="17"/>
                <w:color w:val="0000FF"/>
                <w:w w:val="73"/>
              </w:rPr>
            </w:pPr>
            <w:hyperlink w:anchor="page42">
              <w:r>
                <w:rPr>
                  <w:rFonts w:ascii="Arial" w:cs="Arial" w:eastAsia="Arial" w:hAnsi="Arial"/>
                  <w:sz w:val="17"/>
                  <w:szCs w:val="17"/>
                  <w:color w:val="0000FF"/>
                  <w:w w:val="73"/>
                </w:rPr>
                <w:t>31</w:t>
              </w:r>
            </w:hyperlink>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
        </w:trPr>
        <w:tc>
          <w:tcPr>
            <w:tcW w:w="8540" w:type="dxa"/>
            <w:vAlign w:val="bottom"/>
          </w:tcPr>
          <w:p>
            <w:pPr>
              <w:spacing w:after="0"/>
              <w:rPr>
                <w:sz w:val="4"/>
                <w:szCs w:val="4"/>
                <w:color w:val="auto"/>
              </w:rPr>
            </w:pPr>
          </w:p>
        </w:tc>
        <w:tc>
          <w:tcPr>
            <w:tcW w:w="160" w:type="dxa"/>
            <w:vAlign w:val="bottom"/>
            <w:tcBorders>
              <w:bottom w:val="single" w:sz="8" w:color="0000FF"/>
            </w:tcBorders>
            <w:gridSpan w:val="2"/>
            <w:vMerge w:val="continue"/>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8540" w:type="dxa"/>
            <w:vAlign w:val="bottom"/>
          </w:tcPr>
          <w:p>
            <w:pPr>
              <w:spacing w:after="0"/>
              <w:rPr>
                <w:sz w:val="20"/>
                <w:szCs w:val="20"/>
                <w:color w:val="auto"/>
              </w:rPr>
            </w:pPr>
            <w:r>
              <w:rPr>
                <w:rFonts w:ascii="Arial" w:cs="Arial" w:eastAsia="Arial" w:hAnsi="Arial"/>
                <w:sz w:val="20"/>
                <w:szCs w:val="20"/>
                <w:color w:val="auto"/>
              </w:rPr>
              <w:t>Interim Post-Closing Final Premium</w:t>
            </w:r>
          </w:p>
        </w:tc>
        <w:tc>
          <w:tcPr>
            <w:tcW w:w="160" w:type="dxa"/>
            <w:vAlign w:val="bottom"/>
            <w:tcBorders>
              <w:bottom w:val="single" w:sz="8" w:color="0000FF"/>
            </w:tcBorders>
            <w:gridSpan w:val="2"/>
          </w:tcPr>
          <w:p>
            <w:pPr>
              <w:spacing w:after="0"/>
              <w:rPr>
                <w:rFonts w:ascii="Arial" w:cs="Arial" w:eastAsia="Arial" w:hAnsi="Arial"/>
                <w:sz w:val="17"/>
                <w:szCs w:val="17"/>
                <w:color w:val="0000FF"/>
                <w:w w:val="73"/>
              </w:rPr>
            </w:pPr>
            <w:hyperlink w:anchor="page44">
              <w:r>
                <w:rPr>
                  <w:rFonts w:ascii="Arial" w:cs="Arial" w:eastAsia="Arial" w:hAnsi="Arial"/>
                  <w:sz w:val="17"/>
                  <w:szCs w:val="17"/>
                  <w:color w:val="0000FF"/>
                  <w:w w:val="73"/>
                </w:rPr>
                <w:t>33</w:t>
              </w:r>
            </w:hyperlink>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3"/>
        </w:trPr>
        <w:tc>
          <w:tcPr>
            <w:tcW w:w="8540" w:type="dxa"/>
            <w:vAlign w:val="bottom"/>
          </w:tcPr>
          <w:p>
            <w:pPr>
              <w:spacing w:after="0"/>
              <w:rPr>
                <w:sz w:val="20"/>
                <w:szCs w:val="20"/>
                <w:color w:val="auto"/>
              </w:rPr>
            </w:pPr>
            <w:r>
              <w:rPr>
                <w:rFonts w:ascii="Arial" w:cs="Arial" w:eastAsia="Arial" w:hAnsi="Arial"/>
                <w:sz w:val="20"/>
                <w:szCs w:val="20"/>
                <w:color w:val="auto"/>
              </w:rPr>
              <w:t>Final Valuation of Final Plan Portfolio and Post-Closing Final Premium</w:t>
            </w:r>
          </w:p>
        </w:tc>
        <w:tc>
          <w:tcPr>
            <w:tcW w:w="160" w:type="dxa"/>
            <w:vAlign w:val="bottom"/>
            <w:gridSpan w:val="2"/>
            <w:vMerge w:val="restart"/>
          </w:tcPr>
          <w:p>
            <w:pPr>
              <w:spacing w:after="0"/>
              <w:rPr>
                <w:rFonts w:ascii="Arial" w:cs="Arial" w:eastAsia="Arial" w:hAnsi="Arial"/>
                <w:sz w:val="17"/>
                <w:szCs w:val="17"/>
                <w:color w:val="0000FF"/>
                <w:w w:val="73"/>
              </w:rPr>
            </w:pPr>
            <w:hyperlink w:anchor="page45">
              <w:r>
                <w:rPr>
                  <w:rFonts w:ascii="Arial" w:cs="Arial" w:eastAsia="Arial" w:hAnsi="Arial"/>
                  <w:sz w:val="17"/>
                  <w:szCs w:val="17"/>
                  <w:color w:val="0000FF"/>
                  <w:w w:val="73"/>
                </w:rPr>
                <w:t>34</w:t>
              </w:r>
            </w:hyperlink>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
        </w:trPr>
        <w:tc>
          <w:tcPr>
            <w:tcW w:w="8540" w:type="dxa"/>
            <w:vAlign w:val="bottom"/>
          </w:tcPr>
          <w:p>
            <w:pPr>
              <w:spacing w:after="0"/>
              <w:rPr>
                <w:sz w:val="4"/>
                <w:szCs w:val="4"/>
                <w:color w:val="auto"/>
              </w:rPr>
            </w:pPr>
          </w:p>
        </w:tc>
        <w:tc>
          <w:tcPr>
            <w:tcW w:w="160" w:type="dxa"/>
            <w:vAlign w:val="bottom"/>
            <w:tcBorders>
              <w:bottom w:val="single" w:sz="8" w:color="0000FF"/>
            </w:tcBorders>
            <w:gridSpan w:val="2"/>
            <w:vMerge w:val="continue"/>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8540" w:type="dxa"/>
            <w:vAlign w:val="bottom"/>
          </w:tcPr>
          <w:p>
            <w:pPr>
              <w:spacing w:after="0"/>
              <w:rPr>
                <w:sz w:val="20"/>
                <w:szCs w:val="20"/>
                <w:color w:val="auto"/>
              </w:rPr>
            </w:pPr>
            <w:r>
              <w:rPr>
                <w:rFonts w:ascii="Arial" w:cs="Arial" w:eastAsia="Arial" w:hAnsi="Arial"/>
                <w:sz w:val="20"/>
                <w:szCs w:val="20"/>
                <w:color w:val="auto"/>
              </w:rPr>
              <w:t>Post-Closing Final Premium and Closing Asset Valuation Disputes</w:t>
            </w:r>
          </w:p>
        </w:tc>
        <w:tc>
          <w:tcPr>
            <w:tcW w:w="160" w:type="dxa"/>
            <w:vAlign w:val="bottom"/>
            <w:tcBorders>
              <w:bottom w:val="single" w:sz="8" w:color="0000FF"/>
            </w:tcBorders>
            <w:gridSpan w:val="2"/>
          </w:tcPr>
          <w:p>
            <w:pPr>
              <w:spacing w:after="0"/>
              <w:rPr>
                <w:rFonts w:ascii="Arial" w:cs="Arial" w:eastAsia="Arial" w:hAnsi="Arial"/>
                <w:sz w:val="17"/>
                <w:szCs w:val="17"/>
                <w:color w:val="0000FF"/>
                <w:w w:val="73"/>
              </w:rPr>
            </w:pPr>
            <w:hyperlink w:anchor="page46">
              <w:r>
                <w:rPr>
                  <w:rFonts w:ascii="Arial" w:cs="Arial" w:eastAsia="Arial" w:hAnsi="Arial"/>
                  <w:sz w:val="17"/>
                  <w:szCs w:val="17"/>
                  <w:color w:val="0000FF"/>
                  <w:w w:val="73"/>
                </w:rPr>
                <w:t>35</w:t>
              </w:r>
            </w:hyperlink>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6"/>
        </w:trPr>
        <w:tc>
          <w:tcPr>
            <w:tcW w:w="9640" w:type="dxa"/>
            <w:vAlign w:val="bottom"/>
            <w:gridSpan w:val="4"/>
          </w:tcPr>
          <w:p>
            <w:pPr>
              <w:spacing w:after="0" w:line="355" w:lineRule="exact"/>
              <w:rPr>
                <w:sz w:val="20"/>
                <w:szCs w:val="20"/>
                <w:color w:val="auto"/>
              </w:rPr>
            </w:pPr>
            <w:r>
              <w:rPr>
                <w:rFonts w:ascii="Arial" w:cs="Arial" w:eastAsia="Arial" w:hAnsi="Arial"/>
                <w:sz w:val="20"/>
                <w:szCs w:val="20"/>
                <w:color w:val="auto"/>
              </w:rPr>
              <w:t xml:space="preserve">True-Up Payment Upon Resolution of Post-Closing Final Premium and Closing Asset Valuation Disputes </w:t>
            </w:r>
            <w:r>
              <w:rPr>
                <w:rFonts w:ascii="Arial" w:cs="Arial" w:eastAsia="Arial" w:hAnsi="Arial"/>
                <w:sz w:val="33"/>
                <w:szCs w:val="33"/>
                <w:color w:val="0000FF"/>
                <w:vertAlign w:val="subscript"/>
              </w:rPr>
              <w:t>36</w:t>
            </w:r>
          </w:p>
        </w:tc>
        <w:tc>
          <w:tcPr>
            <w:tcW w:w="0" w:type="dxa"/>
            <w:vAlign w:val="bottom"/>
          </w:tcPr>
          <w:p>
            <w:pPr>
              <w:spacing w:after="0"/>
              <w:rPr>
                <w:sz w:val="1"/>
                <w:szCs w:val="1"/>
                <w:color w:val="auto"/>
              </w:rPr>
            </w:pPr>
          </w:p>
        </w:tc>
      </w:tr>
      <w:tr>
        <w:trPr>
          <w:trHeight w:val="255"/>
        </w:trPr>
        <w:tc>
          <w:tcPr>
            <w:tcW w:w="8540" w:type="dxa"/>
            <w:vAlign w:val="bottom"/>
          </w:tcPr>
          <w:p>
            <w:pPr>
              <w:spacing w:after="0"/>
              <w:rPr>
                <w:sz w:val="20"/>
                <w:szCs w:val="20"/>
                <w:color w:val="auto"/>
              </w:rPr>
            </w:pPr>
            <w:r>
              <w:rPr>
                <w:rFonts w:ascii="Arial" w:cs="Arial" w:eastAsia="Arial" w:hAnsi="Arial"/>
                <w:sz w:val="20"/>
                <w:szCs w:val="20"/>
                <w:color w:val="auto"/>
              </w:rPr>
              <w:t>TCF</w:t>
            </w:r>
          </w:p>
        </w:tc>
        <w:tc>
          <w:tcPr>
            <w:tcW w:w="160" w:type="dxa"/>
            <w:vAlign w:val="bottom"/>
            <w:tcBorders>
              <w:top w:val="single" w:sz="8" w:color="0000FF"/>
              <w:bottom w:val="single" w:sz="8" w:color="0000FF"/>
            </w:tcBorders>
            <w:gridSpan w:val="2"/>
          </w:tcPr>
          <w:p>
            <w:pPr>
              <w:spacing w:after="0"/>
              <w:rPr>
                <w:rFonts w:ascii="Arial" w:cs="Arial" w:eastAsia="Arial" w:hAnsi="Arial"/>
                <w:sz w:val="17"/>
                <w:szCs w:val="17"/>
                <w:color w:val="0000FF"/>
                <w:w w:val="73"/>
              </w:rPr>
            </w:pPr>
            <w:hyperlink w:anchor="page48">
              <w:r>
                <w:rPr>
                  <w:rFonts w:ascii="Arial" w:cs="Arial" w:eastAsia="Arial" w:hAnsi="Arial"/>
                  <w:sz w:val="17"/>
                  <w:szCs w:val="17"/>
                  <w:color w:val="0000FF"/>
                  <w:w w:val="73"/>
                </w:rPr>
                <w:t>37</w:t>
              </w:r>
            </w:hyperlink>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8540" w:type="dxa"/>
            <w:vAlign w:val="bottom"/>
          </w:tcPr>
          <w:p>
            <w:pPr>
              <w:spacing w:after="0"/>
              <w:rPr>
                <w:sz w:val="20"/>
                <w:szCs w:val="20"/>
                <w:color w:val="auto"/>
              </w:rPr>
            </w:pPr>
            <w:r>
              <w:rPr>
                <w:rFonts w:ascii="Arial" w:cs="Arial" w:eastAsia="Arial" w:hAnsi="Arial"/>
                <w:sz w:val="20"/>
                <w:szCs w:val="20"/>
                <w:color w:val="auto"/>
              </w:rPr>
              <w:t>Access and Cooperation</w:t>
            </w:r>
          </w:p>
        </w:tc>
        <w:tc>
          <w:tcPr>
            <w:tcW w:w="160" w:type="dxa"/>
            <w:vAlign w:val="bottom"/>
            <w:tcBorders>
              <w:bottom w:val="single" w:sz="8" w:color="0000FF"/>
            </w:tcBorders>
            <w:gridSpan w:val="2"/>
          </w:tcPr>
          <w:p>
            <w:pPr>
              <w:spacing w:after="0"/>
              <w:rPr>
                <w:rFonts w:ascii="Arial" w:cs="Arial" w:eastAsia="Arial" w:hAnsi="Arial"/>
                <w:sz w:val="17"/>
                <w:szCs w:val="17"/>
                <w:color w:val="0000FF"/>
                <w:w w:val="73"/>
              </w:rPr>
            </w:pPr>
            <w:hyperlink w:anchor="page48">
              <w:r>
                <w:rPr>
                  <w:rFonts w:ascii="Arial" w:cs="Arial" w:eastAsia="Arial" w:hAnsi="Arial"/>
                  <w:sz w:val="17"/>
                  <w:szCs w:val="17"/>
                  <w:color w:val="0000FF"/>
                  <w:w w:val="73"/>
                </w:rPr>
                <w:t>37</w:t>
              </w:r>
            </w:hyperlink>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8540" w:type="dxa"/>
            <w:vAlign w:val="bottom"/>
          </w:tcPr>
          <w:p>
            <w:pPr>
              <w:spacing w:after="0"/>
              <w:rPr>
                <w:sz w:val="20"/>
                <w:szCs w:val="20"/>
                <w:color w:val="auto"/>
              </w:rPr>
            </w:pPr>
            <w:r>
              <w:rPr>
                <w:rFonts w:ascii="Arial" w:cs="Arial" w:eastAsia="Arial" w:hAnsi="Arial"/>
                <w:sz w:val="20"/>
                <w:szCs w:val="20"/>
                <w:color w:val="auto"/>
              </w:rPr>
              <w:t>Data Updates</w:t>
            </w:r>
          </w:p>
        </w:tc>
        <w:tc>
          <w:tcPr>
            <w:tcW w:w="160" w:type="dxa"/>
            <w:vAlign w:val="bottom"/>
            <w:tcBorders>
              <w:bottom w:val="single" w:sz="8" w:color="0000FF"/>
            </w:tcBorders>
            <w:gridSpan w:val="2"/>
          </w:tcPr>
          <w:p>
            <w:pPr>
              <w:spacing w:after="0"/>
              <w:rPr>
                <w:rFonts w:ascii="Arial" w:cs="Arial" w:eastAsia="Arial" w:hAnsi="Arial"/>
                <w:sz w:val="17"/>
                <w:szCs w:val="17"/>
                <w:color w:val="0000FF"/>
                <w:w w:val="73"/>
              </w:rPr>
            </w:pPr>
            <w:hyperlink w:anchor="page48">
              <w:r>
                <w:rPr>
                  <w:rFonts w:ascii="Arial" w:cs="Arial" w:eastAsia="Arial" w:hAnsi="Arial"/>
                  <w:sz w:val="17"/>
                  <w:szCs w:val="17"/>
                  <w:color w:val="0000FF"/>
                  <w:w w:val="73"/>
                </w:rPr>
                <w:t>37</w:t>
              </w:r>
            </w:hyperlink>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8540" w:type="dxa"/>
            <w:vAlign w:val="bottom"/>
          </w:tcPr>
          <w:p>
            <w:pPr>
              <w:spacing w:after="0"/>
              <w:rPr>
                <w:sz w:val="20"/>
                <w:szCs w:val="20"/>
                <w:color w:val="auto"/>
              </w:rPr>
            </w:pPr>
            <w:r>
              <w:rPr>
                <w:rFonts w:ascii="Arial" w:cs="Arial" w:eastAsia="Arial" w:hAnsi="Arial"/>
                <w:sz w:val="20"/>
                <w:szCs w:val="20"/>
                <w:color w:val="auto"/>
              </w:rPr>
              <w:t>Business Day Adjustments</w:t>
            </w:r>
          </w:p>
        </w:tc>
        <w:tc>
          <w:tcPr>
            <w:tcW w:w="160" w:type="dxa"/>
            <w:vAlign w:val="bottom"/>
            <w:tcBorders>
              <w:bottom w:val="single" w:sz="8" w:color="0000FF"/>
            </w:tcBorders>
            <w:gridSpan w:val="2"/>
          </w:tcPr>
          <w:p>
            <w:pPr>
              <w:spacing w:after="0"/>
              <w:rPr>
                <w:rFonts w:ascii="Arial" w:cs="Arial" w:eastAsia="Arial" w:hAnsi="Arial"/>
                <w:sz w:val="17"/>
                <w:szCs w:val="17"/>
                <w:color w:val="0000FF"/>
                <w:w w:val="73"/>
              </w:rPr>
            </w:pPr>
            <w:hyperlink w:anchor="page48">
              <w:r>
                <w:rPr>
                  <w:rFonts w:ascii="Arial" w:cs="Arial" w:eastAsia="Arial" w:hAnsi="Arial"/>
                  <w:sz w:val="17"/>
                  <w:szCs w:val="17"/>
                  <w:color w:val="0000FF"/>
                  <w:w w:val="73"/>
                </w:rPr>
                <w:t>37</w:t>
              </w:r>
            </w:hyperlink>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8540" w:type="dxa"/>
            <w:vAlign w:val="bottom"/>
          </w:tcPr>
          <w:p>
            <w:pPr>
              <w:spacing w:after="0"/>
              <w:rPr>
                <w:sz w:val="20"/>
                <w:szCs w:val="20"/>
                <w:color w:val="auto"/>
              </w:rPr>
            </w:pPr>
            <w:r>
              <w:rPr>
                <w:rFonts w:ascii="Arial" w:cs="Arial" w:eastAsia="Arial" w:hAnsi="Arial"/>
                <w:sz w:val="20"/>
                <w:szCs w:val="20"/>
                <w:color w:val="auto"/>
              </w:rPr>
              <w:t>Adjustment to the Target Closing Date</w:t>
            </w:r>
          </w:p>
        </w:tc>
        <w:tc>
          <w:tcPr>
            <w:tcW w:w="160" w:type="dxa"/>
            <w:vAlign w:val="bottom"/>
            <w:tcBorders>
              <w:bottom w:val="single" w:sz="8" w:color="0000FF"/>
            </w:tcBorders>
            <w:gridSpan w:val="2"/>
          </w:tcPr>
          <w:p>
            <w:pPr>
              <w:spacing w:after="0"/>
              <w:rPr>
                <w:rFonts w:ascii="Arial" w:cs="Arial" w:eastAsia="Arial" w:hAnsi="Arial"/>
                <w:sz w:val="17"/>
                <w:szCs w:val="17"/>
                <w:color w:val="0000FF"/>
                <w:w w:val="73"/>
              </w:rPr>
            </w:pPr>
            <w:hyperlink w:anchor="page48">
              <w:r>
                <w:rPr>
                  <w:rFonts w:ascii="Arial" w:cs="Arial" w:eastAsia="Arial" w:hAnsi="Arial"/>
                  <w:sz w:val="17"/>
                  <w:szCs w:val="17"/>
                  <w:color w:val="0000FF"/>
                  <w:w w:val="73"/>
                </w:rPr>
                <w:t>37</w:t>
              </w:r>
            </w:hyperlink>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8540" w:type="dxa"/>
            <w:vAlign w:val="bottom"/>
          </w:tcPr>
          <w:p>
            <w:pPr>
              <w:spacing w:after="0"/>
              <w:rPr>
                <w:sz w:val="20"/>
                <w:szCs w:val="20"/>
                <w:color w:val="auto"/>
              </w:rPr>
            </w:pPr>
            <w:r>
              <w:rPr>
                <w:rFonts w:ascii="Arial" w:cs="Arial" w:eastAsia="Arial" w:hAnsi="Arial"/>
                <w:sz w:val="20"/>
                <w:szCs w:val="20"/>
                <w:color w:val="auto"/>
              </w:rPr>
              <w:t>Amendments to the Group Annuity Contract</w:t>
            </w:r>
          </w:p>
        </w:tc>
        <w:tc>
          <w:tcPr>
            <w:tcW w:w="160" w:type="dxa"/>
            <w:vAlign w:val="bottom"/>
            <w:tcBorders>
              <w:bottom w:val="single" w:sz="8" w:color="0000FF"/>
            </w:tcBorders>
            <w:gridSpan w:val="2"/>
          </w:tcPr>
          <w:p>
            <w:pPr>
              <w:spacing w:after="0"/>
              <w:rPr>
                <w:rFonts w:ascii="Arial" w:cs="Arial" w:eastAsia="Arial" w:hAnsi="Arial"/>
                <w:sz w:val="17"/>
                <w:szCs w:val="17"/>
                <w:color w:val="0000FF"/>
                <w:w w:val="73"/>
              </w:rPr>
            </w:pPr>
            <w:hyperlink w:anchor="page49">
              <w:r>
                <w:rPr>
                  <w:rFonts w:ascii="Arial" w:cs="Arial" w:eastAsia="Arial" w:hAnsi="Arial"/>
                  <w:sz w:val="17"/>
                  <w:szCs w:val="17"/>
                  <w:color w:val="0000FF"/>
                  <w:w w:val="73"/>
                </w:rPr>
                <w:t>38</w:t>
              </w:r>
            </w:hyperlink>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8540" w:type="dxa"/>
            <w:vAlign w:val="bottom"/>
          </w:tcPr>
          <w:p>
            <w:pPr>
              <w:spacing w:after="0"/>
              <w:rPr>
                <w:sz w:val="20"/>
                <w:szCs w:val="20"/>
                <w:color w:val="auto"/>
              </w:rPr>
            </w:pPr>
            <w:r>
              <w:rPr>
                <w:rFonts w:ascii="Arial" w:cs="Arial" w:eastAsia="Arial" w:hAnsi="Arial"/>
                <w:sz w:val="20"/>
                <w:szCs w:val="20"/>
                <w:color w:val="auto"/>
              </w:rPr>
              <w:t>Amendments to the Procedures Manual and Identified CD-ROM</w:t>
            </w:r>
          </w:p>
        </w:tc>
        <w:tc>
          <w:tcPr>
            <w:tcW w:w="160" w:type="dxa"/>
            <w:vAlign w:val="bottom"/>
            <w:tcBorders>
              <w:bottom w:val="single" w:sz="8" w:color="0000FF"/>
            </w:tcBorders>
            <w:gridSpan w:val="2"/>
          </w:tcPr>
          <w:p>
            <w:pPr>
              <w:spacing w:after="0"/>
              <w:rPr>
                <w:rFonts w:ascii="Arial" w:cs="Arial" w:eastAsia="Arial" w:hAnsi="Arial"/>
                <w:sz w:val="17"/>
                <w:szCs w:val="17"/>
                <w:color w:val="0000FF"/>
                <w:w w:val="73"/>
              </w:rPr>
            </w:pPr>
            <w:hyperlink w:anchor="page49">
              <w:r>
                <w:rPr>
                  <w:rFonts w:ascii="Arial" w:cs="Arial" w:eastAsia="Arial" w:hAnsi="Arial"/>
                  <w:sz w:val="17"/>
                  <w:szCs w:val="17"/>
                  <w:color w:val="0000FF"/>
                  <w:w w:val="73"/>
                </w:rPr>
                <w:t>38</w:t>
              </w:r>
            </w:hyperlink>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3"/>
        </w:trPr>
        <w:tc>
          <w:tcPr>
            <w:tcW w:w="8540" w:type="dxa"/>
            <w:vAlign w:val="bottom"/>
          </w:tcPr>
          <w:p>
            <w:pPr>
              <w:ind w:left="40"/>
              <w:spacing w:after="0"/>
              <w:rPr>
                <w:sz w:val="20"/>
                <w:szCs w:val="20"/>
                <w:color w:val="auto"/>
              </w:rPr>
            </w:pPr>
            <w:r>
              <w:rPr>
                <w:rFonts w:ascii="Arial" w:cs="Arial" w:eastAsia="Arial" w:hAnsi="Arial"/>
                <w:sz w:val="20"/>
                <w:szCs w:val="20"/>
                <w:color w:val="auto"/>
              </w:rPr>
              <w:t>[   ***]</w:t>
            </w:r>
          </w:p>
        </w:tc>
        <w:tc>
          <w:tcPr>
            <w:tcW w:w="160" w:type="dxa"/>
            <w:vAlign w:val="bottom"/>
            <w:gridSpan w:val="2"/>
            <w:vMerge w:val="restart"/>
          </w:tcPr>
          <w:p>
            <w:pPr>
              <w:spacing w:after="0"/>
              <w:rPr>
                <w:rFonts w:ascii="Arial" w:cs="Arial" w:eastAsia="Arial" w:hAnsi="Arial"/>
                <w:sz w:val="17"/>
                <w:szCs w:val="17"/>
                <w:color w:val="0000FF"/>
                <w:w w:val="73"/>
              </w:rPr>
            </w:pPr>
            <w:hyperlink w:anchor="page50">
              <w:r>
                <w:rPr>
                  <w:rFonts w:ascii="Arial" w:cs="Arial" w:eastAsia="Arial" w:hAnsi="Arial"/>
                  <w:sz w:val="17"/>
                  <w:szCs w:val="17"/>
                  <w:color w:val="0000FF"/>
                  <w:w w:val="73"/>
                </w:rPr>
                <w:t>39</w:t>
              </w:r>
            </w:hyperlink>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
        </w:trPr>
        <w:tc>
          <w:tcPr>
            <w:tcW w:w="8540" w:type="dxa"/>
            <w:vAlign w:val="bottom"/>
          </w:tcPr>
          <w:p>
            <w:pPr>
              <w:spacing w:after="0"/>
              <w:rPr>
                <w:sz w:val="4"/>
                <w:szCs w:val="4"/>
                <w:color w:val="auto"/>
              </w:rPr>
            </w:pPr>
          </w:p>
        </w:tc>
        <w:tc>
          <w:tcPr>
            <w:tcW w:w="160" w:type="dxa"/>
            <w:vAlign w:val="bottom"/>
            <w:tcBorders>
              <w:bottom w:val="single" w:sz="8" w:color="0000FF"/>
            </w:tcBorders>
            <w:gridSpan w:val="2"/>
            <w:vMerge w:val="continue"/>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8540" w:type="dxa"/>
            <w:vAlign w:val="bottom"/>
          </w:tcPr>
          <w:p>
            <w:pPr>
              <w:spacing w:after="0"/>
              <w:rPr>
                <w:sz w:val="20"/>
                <w:szCs w:val="20"/>
                <w:color w:val="auto"/>
              </w:rPr>
            </w:pPr>
            <w:r>
              <w:rPr>
                <w:rFonts w:ascii="Arial" w:cs="Arial" w:eastAsia="Arial" w:hAnsi="Arial"/>
                <w:sz w:val="20"/>
                <w:szCs w:val="20"/>
                <w:color w:val="auto"/>
              </w:rPr>
              <w:t>Return of Additional Premium Due To Late Discovery of Mortality</w:t>
            </w:r>
          </w:p>
        </w:tc>
        <w:tc>
          <w:tcPr>
            <w:tcW w:w="160" w:type="dxa"/>
            <w:vAlign w:val="bottom"/>
            <w:tcBorders>
              <w:bottom w:val="single" w:sz="8" w:color="0000FF"/>
            </w:tcBorders>
            <w:gridSpan w:val="2"/>
          </w:tcPr>
          <w:p>
            <w:pPr>
              <w:spacing w:after="0"/>
              <w:rPr>
                <w:rFonts w:ascii="Arial" w:cs="Arial" w:eastAsia="Arial" w:hAnsi="Arial"/>
                <w:sz w:val="17"/>
                <w:szCs w:val="17"/>
                <w:color w:val="0000FF"/>
                <w:w w:val="73"/>
              </w:rPr>
            </w:pPr>
            <w:hyperlink w:anchor="page50">
              <w:r>
                <w:rPr>
                  <w:rFonts w:ascii="Arial" w:cs="Arial" w:eastAsia="Arial" w:hAnsi="Arial"/>
                  <w:sz w:val="17"/>
                  <w:szCs w:val="17"/>
                  <w:color w:val="0000FF"/>
                  <w:w w:val="73"/>
                </w:rPr>
                <w:t>39</w:t>
              </w:r>
            </w:hyperlink>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8540" w:type="dxa"/>
            <w:vAlign w:val="bottom"/>
          </w:tcPr>
          <w:p>
            <w:pPr>
              <w:spacing w:after="0"/>
              <w:rPr>
                <w:sz w:val="20"/>
                <w:szCs w:val="20"/>
                <w:color w:val="auto"/>
              </w:rPr>
            </w:pPr>
            <w:r>
              <w:rPr>
                <w:rFonts w:ascii="Arial" w:cs="Arial" w:eastAsia="Arial" w:hAnsi="Arial"/>
                <w:sz w:val="20"/>
                <w:szCs w:val="20"/>
                <w:color w:val="auto"/>
              </w:rPr>
              <w:t>Reimbursement of [   ***]</w:t>
            </w:r>
          </w:p>
        </w:tc>
        <w:tc>
          <w:tcPr>
            <w:tcW w:w="160" w:type="dxa"/>
            <w:vAlign w:val="bottom"/>
            <w:tcBorders>
              <w:bottom w:val="single" w:sz="8" w:color="0000FF"/>
            </w:tcBorders>
            <w:gridSpan w:val="2"/>
          </w:tcPr>
          <w:p>
            <w:pPr>
              <w:spacing w:after="0"/>
              <w:rPr>
                <w:rFonts w:ascii="Arial" w:cs="Arial" w:eastAsia="Arial" w:hAnsi="Arial"/>
                <w:sz w:val="17"/>
                <w:szCs w:val="17"/>
                <w:color w:val="0000FF"/>
                <w:w w:val="73"/>
              </w:rPr>
            </w:pPr>
            <w:hyperlink w:anchor="page50">
              <w:r>
                <w:rPr>
                  <w:rFonts w:ascii="Arial" w:cs="Arial" w:eastAsia="Arial" w:hAnsi="Arial"/>
                  <w:sz w:val="17"/>
                  <w:szCs w:val="17"/>
                  <w:color w:val="0000FF"/>
                  <w:w w:val="73"/>
                </w:rPr>
                <w:t>39</w:t>
              </w:r>
            </w:hyperlink>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66"/>
        </w:trPr>
        <w:tc>
          <w:tcPr>
            <w:tcW w:w="8540" w:type="dxa"/>
            <w:vAlign w:val="bottom"/>
          </w:tcPr>
          <w:p>
            <w:pPr>
              <w:jc w:val="center"/>
              <w:spacing w:after="0"/>
              <w:rPr>
                <w:sz w:val="20"/>
                <w:szCs w:val="20"/>
                <w:color w:val="auto"/>
              </w:rPr>
            </w:pPr>
            <w:r>
              <w:rPr>
                <w:rFonts w:ascii="Arial" w:cs="Arial" w:eastAsia="Arial" w:hAnsi="Arial"/>
                <w:sz w:val="20"/>
                <w:szCs w:val="20"/>
                <w:color w:val="auto"/>
              </w:rPr>
              <w:t>ARTICLE III</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8540" w:type="dxa"/>
            <w:vAlign w:val="bottom"/>
          </w:tcPr>
          <w:p>
            <w:pPr>
              <w:jc w:val="center"/>
              <w:spacing w:after="0"/>
              <w:rPr>
                <w:sz w:val="20"/>
                <w:szCs w:val="20"/>
                <w:color w:val="auto"/>
              </w:rPr>
            </w:pPr>
            <w:r>
              <w:rPr>
                <w:rFonts w:ascii="Arial" w:cs="Arial" w:eastAsia="Arial" w:hAnsi="Arial"/>
                <w:sz w:val="20"/>
                <w:szCs w:val="20"/>
                <w:color w:val="auto"/>
                <w:w w:val="95"/>
              </w:rPr>
              <w:t>COMPANY'S REPRESENTATIONS AND WARRANTIES</w:t>
            </w: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8"/>
        </w:trPr>
        <w:tc>
          <w:tcPr>
            <w:tcW w:w="8540" w:type="dxa"/>
            <w:vAlign w:val="bottom"/>
          </w:tcPr>
          <w:p>
            <w:pPr>
              <w:spacing w:after="0" w:line="228" w:lineRule="exact"/>
              <w:rPr>
                <w:sz w:val="20"/>
                <w:szCs w:val="20"/>
                <w:color w:val="auto"/>
              </w:rPr>
            </w:pPr>
            <w:r>
              <w:rPr>
                <w:rFonts w:ascii="Arial" w:cs="Arial" w:eastAsia="Arial" w:hAnsi="Arial"/>
                <w:sz w:val="20"/>
                <w:szCs w:val="20"/>
                <w:color w:val="auto"/>
              </w:rPr>
              <w:t>Due Organization, Good Standing and Corporate Power</w:t>
            </w:r>
          </w:p>
        </w:tc>
        <w:tc>
          <w:tcPr>
            <w:tcW w:w="160" w:type="dxa"/>
            <w:vAlign w:val="bottom"/>
            <w:tcBorders>
              <w:bottom w:val="single" w:sz="8" w:color="0000FF"/>
            </w:tcBorders>
            <w:gridSpan w:val="2"/>
          </w:tcPr>
          <w:p>
            <w:pPr>
              <w:spacing w:after="0"/>
              <w:rPr>
                <w:rFonts w:ascii="Arial" w:cs="Arial" w:eastAsia="Arial" w:hAnsi="Arial"/>
                <w:sz w:val="17"/>
                <w:szCs w:val="17"/>
                <w:color w:val="0000FF"/>
                <w:w w:val="73"/>
              </w:rPr>
            </w:pPr>
            <w:hyperlink w:anchor="page51">
              <w:r>
                <w:rPr>
                  <w:rFonts w:ascii="Arial" w:cs="Arial" w:eastAsia="Arial" w:hAnsi="Arial"/>
                  <w:sz w:val="17"/>
                  <w:szCs w:val="17"/>
                  <w:color w:val="0000FF"/>
                  <w:w w:val="73"/>
                </w:rPr>
                <w:t>40</w:t>
              </w:r>
            </w:hyperlink>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63" w:lineRule="exact"/>
        <w:rPr>
          <w:sz w:val="20"/>
          <w:szCs w:val="20"/>
          <w:color w:val="auto"/>
        </w:rPr>
      </w:pPr>
    </w:p>
    <w:p>
      <w:pPr>
        <w:ind w:left="3940"/>
        <w:spacing w:after="0"/>
        <w:rPr>
          <w:sz w:val="20"/>
          <w:szCs w:val="20"/>
          <w:color w:val="auto"/>
        </w:rPr>
      </w:pPr>
      <w:r>
        <w:rPr>
          <w:rFonts w:ascii="Arial" w:cs="Arial" w:eastAsia="Arial" w:hAnsi="Arial"/>
          <w:sz w:val="17"/>
          <w:szCs w:val="17"/>
          <w:color w:val="auto"/>
        </w:rPr>
        <w:t>i</w:t>
      </w:r>
    </w:p>
    <w:p>
      <w:pPr>
        <w:sectPr>
          <w:pgSz w:w="11900" w:h="16838" w:orient="portrait"/>
          <w:cols w:equalWidth="0" w:num="2">
            <w:col w:w="1000" w:space="720"/>
            <w:col w:w="9640"/>
          </w:cols>
          <w:pgMar w:left="280" w:top="123" w:right="25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17"/>
        </w:trPr>
        <w:tc>
          <w:tcPr>
            <w:tcW w:w="1360" w:type="dxa"/>
            <w:vAlign w:val="bottom"/>
          </w:tcPr>
          <w:p>
            <w:pPr>
              <w:spacing w:after="0"/>
              <w:rPr>
                <w:sz w:val="18"/>
                <w:szCs w:val="18"/>
                <w:color w:val="auto"/>
              </w:rPr>
            </w:pPr>
          </w:p>
        </w:tc>
        <w:tc>
          <w:tcPr>
            <w:tcW w:w="8900" w:type="dxa"/>
            <w:vAlign w:val="bottom"/>
          </w:tcPr>
          <w:p>
            <w:pPr>
              <w:jc w:val="center"/>
              <w:ind w:right="180"/>
              <w:spacing w:after="0"/>
              <w:rPr>
                <w:sz w:val="20"/>
                <w:szCs w:val="20"/>
                <w:color w:val="auto"/>
              </w:rPr>
            </w:pPr>
            <w:r>
              <w:rPr>
                <w:rFonts w:ascii="Arial" w:cs="Arial" w:eastAsia="Arial" w:hAnsi="Arial"/>
                <w:sz w:val="17"/>
                <w:szCs w:val="17"/>
                <w:b w:val="1"/>
                <w:bCs w:val="1"/>
                <w:color w:val="auto"/>
                <w:w w:val="97"/>
              </w:rPr>
              <w:t>TABLE OF CONTENTS</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63"/>
        </w:trPr>
        <w:tc>
          <w:tcPr>
            <w:tcW w:w="1360" w:type="dxa"/>
            <w:vAlign w:val="bottom"/>
          </w:tcPr>
          <w:p>
            <w:pPr>
              <w:spacing w:after="0"/>
              <w:rPr>
                <w:sz w:val="20"/>
                <w:szCs w:val="20"/>
                <w:color w:val="auto"/>
              </w:rPr>
            </w:pPr>
            <w:r>
              <w:rPr>
                <w:rFonts w:ascii="Arial" w:cs="Arial" w:eastAsia="Arial" w:hAnsi="Arial"/>
                <w:sz w:val="20"/>
                <w:szCs w:val="20"/>
                <w:color w:val="auto"/>
              </w:rPr>
              <w:t>Section 3.2</w:t>
            </w:r>
          </w:p>
        </w:tc>
        <w:tc>
          <w:tcPr>
            <w:tcW w:w="8900" w:type="dxa"/>
            <w:vAlign w:val="bottom"/>
          </w:tcPr>
          <w:p>
            <w:pPr>
              <w:ind w:left="360"/>
              <w:spacing w:after="0"/>
              <w:rPr>
                <w:sz w:val="20"/>
                <w:szCs w:val="20"/>
                <w:color w:val="auto"/>
              </w:rPr>
            </w:pPr>
            <w:r>
              <w:rPr>
                <w:rFonts w:ascii="Arial" w:cs="Arial" w:eastAsia="Arial" w:hAnsi="Arial"/>
                <w:sz w:val="20"/>
                <w:szCs w:val="20"/>
                <w:color w:val="auto"/>
              </w:rPr>
              <w:t>Authorization of Agreement; Enforceability</w:t>
            </w:r>
          </w:p>
        </w:tc>
        <w:tc>
          <w:tcPr>
            <w:tcW w:w="160" w:type="dxa"/>
            <w:vAlign w:val="bottom"/>
            <w:tcBorders>
              <w:bottom w:val="single" w:sz="8" w:color="0000FF"/>
            </w:tcBorders>
          </w:tcPr>
          <w:p>
            <w:pPr>
              <w:jc w:val="right"/>
              <w:spacing w:after="0"/>
              <w:rPr>
                <w:rFonts w:ascii="Arial" w:cs="Arial" w:eastAsia="Arial" w:hAnsi="Arial"/>
                <w:sz w:val="17"/>
                <w:szCs w:val="17"/>
                <w:color w:val="0000FF"/>
                <w:w w:val="73"/>
              </w:rPr>
            </w:pPr>
            <w:hyperlink w:anchor="page51">
              <w:r>
                <w:rPr>
                  <w:rFonts w:ascii="Arial" w:cs="Arial" w:eastAsia="Arial" w:hAnsi="Arial"/>
                  <w:sz w:val="17"/>
                  <w:szCs w:val="17"/>
                  <w:color w:val="0000FF"/>
                  <w:w w:val="73"/>
                </w:rPr>
                <w:t>40</w:t>
              </w:r>
            </w:hyperlink>
          </w:p>
        </w:tc>
        <w:tc>
          <w:tcPr>
            <w:tcW w:w="0" w:type="dxa"/>
            <w:vAlign w:val="bottom"/>
          </w:tcPr>
          <w:p>
            <w:pPr>
              <w:spacing w:after="0"/>
              <w:rPr>
                <w:sz w:val="1"/>
                <w:szCs w:val="1"/>
                <w:color w:val="auto"/>
              </w:rPr>
            </w:pPr>
          </w:p>
        </w:tc>
      </w:tr>
      <w:tr>
        <w:trPr>
          <w:trHeight w:val="255"/>
        </w:trPr>
        <w:tc>
          <w:tcPr>
            <w:tcW w:w="1360" w:type="dxa"/>
            <w:vAlign w:val="bottom"/>
          </w:tcPr>
          <w:p>
            <w:pPr>
              <w:spacing w:after="0"/>
              <w:rPr>
                <w:sz w:val="20"/>
                <w:szCs w:val="20"/>
                <w:color w:val="auto"/>
              </w:rPr>
            </w:pPr>
            <w:r>
              <w:rPr>
                <w:rFonts w:ascii="Arial" w:cs="Arial" w:eastAsia="Arial" w:hAnsi="Arial"/>
                <w:sz w:val="20"/>
                <w:szCs w:val="20"/>
                <w:color w:val="auto"/>
              </w:rPr>
              <w:t>Section 3.3</w:t>
            </w:r>
          </w:p>
        </w:tc>
        <w:tc>
          <w:tcPr>
            <w:tcW w:w="8900" w:type="dxa"/>
            <w:vAlign w:val="bottom"/>
          </w:tcPr>
          <w:p>
            <w:pPr>
              <w:ind w:left="360"/>
              <w:spacing w:after="0"/>
              <w:rPr>
                <w:sz w:val="20"/>
                <w:szCs w:val="20"/>
                <w:color w:val="auto"/>
              </w:rPr>
            </w:pPr>
            <w:r>
              <w:rPr>
                <w:rFonts w:ascii="Arial" w:cs="Arial" w:eastAsia="Arial" w:hAnsi="Arial"/>
                <w:sz w:val="20"/>
                <w:szCs w:val="20"/>
                <w:color w:val="auto"/>
              </w:rPr>
              <w:t>Consents And Approvals; No Violations</w:t>
            </w:r>
          </w:p>
        </w:tc>
        <w:tc>
          <w:tcPr>
            <w:tcW w:w="160" w:type="dxa"/>
            <w:vAlign w:val="bottom"/>
            <w:tcBorders>
              <w:bottom w:val="single" w:sz="8" w:color="0000FF"/>
            </w:tcBorders>
          </w:tcPr>
          <w:p>
            <w:pPr>
              <w:jc w:val="right"/>
              <w:spacing w:after="0"/>
              <w:rPr>
                <w:rFonts w:ascii="Arial" w:cs="Arial" w:eastAsia="Arial" w:hAnsi="Arial"/>
                <w:sz w:val="17"/>
                <w:szCs w:val="17"/>
                <w:color w:val="0000FF"/>
                <w:w w:val="73"/>
              </w:rPr>
            </w:pPr>
            <w:hyperlink w:anchor="page51">
              <w:r>
                <w:rPr>
                  <w:rFonts w:ascii="Arial" w:cs="Arial" w:eastAsia="Arial" w:hAnsi="Arial"/>
                  <w:sz w:val="17"/>
                  <w:szCs w:val="17"/>
                  <w:color w:val="0000FF"/>
                  <w:w w:val="73"/>
                </w:rPr>
                <w:t>40</w:t>
              </w:r>
            </w:hyperlink>
          </w:p>
        </w:tc>
        <w:tc>
          <w:tcPr>
            <w:tcW w:w="0" w:type="dxa"/>
            <w:vAlign w:val="bottom"/>
          </w:tcPr>
          <w:p>
            <w:pPr>
              <w:spacing w:after="0"/>
              <w:rPr>
                <w:sz w:val="1"/>
                <w:szCs w:val="1"/>
                <w:color w:val="auto"/>
              </w:rPr>
            </w:pPr>
          </w:p>
        </w:tc>
      </w:tr>
      <w:tr>
        <w:trPr>
          <w:trHeight w:val="255"/>
        </w:trPr>
        <w:tc>
          <w:tcPr>
            <w:tcW w:w="1360" w:type="dxa"/>
            <w:vAlign w:val="bottom"/>
          </w:tcPr>
          <w:p>
            <w:pPr>
              <w:spacing w:after="0"/>
              <w:rPr>
                <w:sz w:val="20"/>
                <w:szCs w:val="20"/>
                <w:color w:val="auto"/>
              </w:rPr>
            </w:pPr>
            <w:r>
              <w:rPr>
                <w:rFonts w:ascii="Arial" w:cs="Arial" w:eastAsia="Arial" w:hAnsi="Arial"/>
                <w:sz w:val="20"/>
                <w:szCs w:val="20"/>
                <w:color w:val="auto"/>
              </w:rPr>
              <w:t>Section 3.4</w:t>
            </w:r>
          </w:p>
        </w:tc>
        <w:tc>
          <w:tcPr>
            <w:tcW w:w="8900" w:type="dxa"/>
            <w:vAlign w:val="bottom"/>
          </w:tcPr>
          <w:p>
            <w:pPr>
              <w:ind w:left="360"/>
              <w:spacing w:after="0"/>
              <w:rPr>
                <w:sz w:val="20"/>
                <w:szCs w:val="20"/>
                <w:color w:val="auto"/>
              </w:rPr>
            </w:pPr>
            <w:r>
              <w:rPr>
                <w:rFonts w:ascii="Arial" w:cs="Arial" w:eastAsia="Arial" w:hAnsi="Arial"/>
                <w:sz w:val="20"/>
                <w:szCs w:val="20"/>
                <w:color w:val="auto"/>
              </w:rPr>
              <w:t>Compliance with ERISA and Code</w:t>
            </w:r>
          </w:p>
        </w:tc>
        <w:tc>
          <w:tcPr>
            <w:tcW w:w="160" w:type="dxa"/>
            <w:vAlign w:val="bottom"/>
            <w:tcBorders>
              <w:bottom w:val="single" w:sz="8" w:color="0000FF"/>
            </w:tcBorders>
          </w:tcPr>
          <w:p>
            <w:pPr>
              <w:jc w:val="right"/>
              <w:spacing w:after="0"/>
              <w:rPr>
                <w:rFonts w:ascii="Arial" w:cs="Arial" w:eastAsia="Arial" w:hAnsi="Arial"/>
                <w:sz w:val="17"/>
                <w:szCs w:val="17"/>
                <w:color w:val="0000FF"/>
                <w:w w:val="73"/>
              </w:rPr>
            </w:pPr>
            <w:hyperlink w:anchor="page52">
              <w:r>
                <w:rPr>
                  <w:rFonts w:ascii="Arial" w:cs="Arial" w:eastAsia="Arial" w:hAnsi="Arial"/>
                  <w:sz w:val="17"/>
                  <w:szCs w:val="17"/>
                  <w:color w:val="0000FF"/>
                  <w:w w:val="73"/>
                </w:rPr>
                <w:t>41</w:t>
              </w:r>
            </w:hyperlink>
          </w:p>
        </w:tc>
        <w:tc>
          <w:tcPr>
            <w:tcW w:w="0" w:type="dxa"/>
            <w:vAlign w:val="bottom"/>
          </w:tcPr>
          <w:p>
            <w:pPr>
              <w:spacing w:after="0"/>
              <w:rPr>
                <w:sz w:val="1"/>
                <w:szCs w:val="1"/>
                <w:color w:val="auto"/>
              </w:rPr>
            </w:pPr>
          </w:p>
        </w:tc>
      </w:tr>
      <w:tr>
        <w:trPr>
          <w:trHeight w:val="303"/>
        </w:trPr>
        <w:tc>
          <w:tcPr>
            <w:tcW w:w="1360" w:type="dxa"/>
            <w:vAlign w:val="bottom"/>
            <w:vMerge w:val="restart"/>
          </w:tcPr>
          <w:p>
            <w:pPr>
              <w:spacing w:after="0"/>
              <w:rPr>
                <w:sz w:val="20"/>
                <w:szCs w:val="20"/>
                <w:color w:val="auto"/>
              </w:rPr>
            </w:pPr>
            <w:r>
              <w:rPr>
                <w:rFonts w:ascii="Arial" w:cs="Arial" w:eastAsia="Arial" w:hAnsi="Arial"/>
                <w:sz w:val="20"/>
                <w:szCs w:val="20"/>
                <w:color w:val="auto"/>
              </w:rPr>
              <w:t>Section 3.5</w:t>
            </w:r>
          </w:p>
        </w:tc>
        <w:tc>
          <w:tcPr>
            <w:tcW w:w="8900" w:type="dxa"/>
            <w:vAlign w:val="bottom"/>
          </w:tcPr>
          <w:p>
            <w:pPr>
              <w:ind w:left="360"/>
              <w:spacing w:after="0"/>
              <w:rPr>
                <w:sz w:val="20"/>
                <w:szCs w:val="20"/>
                <w:color w:val="auto"/>
              </w:rPr>
            </w:pPr>
            <w:r>
              <w:rPr>
                <w:rFonts w:ascii="Arial" w:cs="Arial" w:eastAsia="Arial" w:hAnsi="Arial"/>
                <w:sz w:val="20"/>
                <w:szCs w:val="20"/>
                <w:color w:val="auto"/>
              </w:rPr>
              <w:t>No Brokers' Fee</w:t>
            </w:r>
          </w:p>
        </w:tc>
        <w:tc>
          <w:tcPr>
            <w:tcW w:w="160" w:type="dxa"/>
            <w:vAlign w:val="bottom"/>
            <w:vMerge w:val="restart"/>
          </w:tcPr>
          <w:p>
            <w:pPr>
              <w:jc w:val="right"/>
              <w:spacing w:after="0"/>
              <w:rPr>
                <w:rFonts w:ascii="Arial" w:cs="Arial" w:eastAsia="Arial" w:hAnsi="Arial"/>
                <w:sz w:val="17"/>
                <w:szCs w:val="17"/>
                <w:color w:val="0000FF"/>
                <w:w w:val="73"/>
              </w:rPr>
            </w:pPr>
            <w:hyperlink w:anchor="page52">
              <w:r>
                <w:rPr>
                  <w:rFonts w:ascii="Arial" w:cs="Arial" w:eastAsia="Arial" w:hAnsi="Arial"/>
                  <w:sz w:val="17"/>
                  <w:szCs w:val="17"/>
                  <w:color w:val="0000FF"/>
                  <w:w w:val="73"/>
                </w:rPr>
                <w:t>41</w:t>
              </w:r>
            </w:hyperlink>
          </w:p>
        </w:tc>
        <w:tc>
          <w:tcPr>
            <w:tcW w:w="0" w:type="dxa"/>
            <w:vAlign w:val="bottom"/>
          </w:tcPr>
          <w:p>
            <w:pPr>
              <w:spacing w:after="0"/>
              <w:rPr>
                <w:sz w:val="1"/>
                <w:szCs w:val="1"/>
                <w:color w:val="auto"/>
              </w:rPr>
            </w:pPr>
          </w:p>
        </w:tc>
      </w:tr>
      <w:tr>
        <w:trPr>
          <w:trHeight w:val="58"/>
        </w:trPr>
        <w:tc>
          <w:tcPr>
            <w:tcW w:w="1360" w:type="dxa"/>
            <w:vAlign w:val="bottom"/>
            <w:vMerge w:val="continue"/>
          </w:tcPr>
          <w:p>
            <w:pPr>
              <w:spacing w:after="0"/>
              <w:rPr>
                <w:sz w:val="4"/>
                <w:szCs w:val="4"/>
                <w:color w:val="auto"/>
              </w:rPr>
            </w:pPr>
          </w:p>
        </w:tc>
        <w:tc>
          <w:tcPr>
            <w:tcW w:w="8900" w:type="dxa"/>
            <w:vAlign w:val="bottom"/>
          </w:tcPr>
          <w:p>
            <w:pPr>
              <w:spacing w:after="0"/>
              <w:rPr>
                <w:sz w:val="4"/>
                <w:szCs w:val="4"/>
                <w:color w:val="auto"/>
              </w:rPr>
            </w:pPr>
          </w:p>
        </w:tc>
        <w:tc>
          <w:tcPr>
            <w:tcW w:w="160" w:type="dxa"/>
            <w:vAlign w:val="bottom"/>
            <w:tcBorders>
              <w:bottom w:val="single" w:sz="8" w:color="0000FF"/>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1360" w:type="dxa"/>
            <w:vAlign w:val="bottom"/>
          </w:tcPr>
          <w:p>
            <w:pPr>
              <w:spacing w:after="0"/>
              <w:rPr>
                <w:sz w:val="20"/>
                <w:szCs w:val="20"/>
                <w:color w:val="auto"/>
              </w:rPr>
            </w:pPr>
            <w:r>
              <w:rPr>
                <w:rFonts w:ascii="Arial" w:cs="Arial" w:eastAsia="Arial" w:hAnsi="Arial"/>
                <w:sz w:val="20"/>
                <w:szCs w:val="20"/>
                <w:color w:val="auto"/>
              </w:rPr>
              <w:t>Section 3.6</w:t>
            </w:r>
          </w:p>
        </w:tc>
        <w:tc>
          <w:tcPr>
            <w:tcW w:w="8900" w:type="dxa"/>
            <w:vAlign w:val="bottom"/>
          </w:tcPr>
          <w:p>
            <w:pPr>
              <w:ind w:left="360"/>
              <w:spacing w:after="0"/>
              <w:rPr>
                <w:sz w:val="20"/>
                <w:szCs w:val="20"/>
                <w:color w:val="auto"/>
              </w:rPr>
            </w:pPr>
            <w:r>
              <w:rPr>
                <w:rFonts w:ascii="Arial" w:cs="Arial" w:eastAsia="Arial" w:hAnsi="Arial"/>
                <w:sz w:val="20"/>
                <w:szCs w:val="20"/>
                <w:color w:val="auto"/>
              </w:rPr>
              <w:t>No Discretionary Authority</w:t>
            </w:r>
          </w:p>
        </w:tc>
        <w:tc>
          <w:tcPr>
            <w:tcW w:w="160" w:type="dxa"/>
            <w:vAlign w:val="bottom"/>
            <w:tcBorders>
              <w:bottom w:val="single" w:sz="8" w:color="0000FF"/>
            </w:tcBorders>
          </w:tcPr>
          <w:p>
            <w:pPr>
              <w:jc w:val="right"/>
              <w:spacing w:after="0"/>
              <w:rPr>
                <w:rFonts w:ascii="Arial" w:cs="Arial" w:eastAsia="Arial" w:hAnsi="Arial"/>
                <w:sz w:val="17"/>
                <w:szCs w:val="17"/>
                <w:color w:val="0000FF"/>
                <w:w w:val="73"/>
              </w:rPr>
            </w:pPr>
            <w:hyperlink w:anchor="page52">
              <w:r>
                <w:rPr>
                  <w:rFonts w:ascii="Arial" w:cs="Arial" w:eastAsia="Arial" w:hAnsi="Arial"/>
                  <w:sz w:val="17"/>
                  <w:szCs w:val="17"/>
                  <w:color w:val="0000FF"/>
                  <w:w w:val="73"/>
                </w:rPr>
                <w:t>41</w:t>
              </w:r>
            </w:hyperlink>
          </w:p>
        </w:tc>
        <w:tc>
          <w:tcPr>
            <w:tcW w:w="0" w:type="dxa"/>
            <w:vAlign w:val="bottom"/>
          </w:tcPr>
          <w:p>
            <w:pPr>
              <w:spacing w:after="0"/>
              <w:rPr>
                <w:sz w:val="1"/>
                <w:szCs w:val="1"/>
                <w:color w:val="auto"/>
              </w:rPr>
            </w:pPr>
          </w:p>
        </w:tc>
      </w:tr>
      <w:tr>
        <w:trPr>
          <w:trHeight w:val="255"/>
        </w:trPr>
        <w:tc>
          <w:tcPr>
            <w:tcW w:w="1360" w:type="dxa"/>
            <w:vAlign w:val="bottom"/>
          </w:tcPr>
          <w:p>
            <w:pPr>
              <w:spacing w:after="0"/>
              <w:rPr>
                <w:sz w:val="20"/>
                <w:szCs w:val="20"/>
                <w:color w:val="auto"/>
              </w:rPr>
            </w:pPr>
            <w:r>
              <w:rPr>
                <w:rFonts w:ascii="Arial" w:cs="Arial" w:eastAsia="Arial" w:hAnsi="Arial"/>
                <w:sz w:val="20"/>
                <w:szCs w:val="20"/>
                <w:color w:val="auto"/>
              </w:rPr>
              <w:t>Section 3.7</w:t>
            </w:r>
          </w:p>
        </w:tc>
        <w:tc>
          <w:tcPr>
            <w:tcW w:w="8900" w:type="dxa"/>
            <w:vAlign w:val="bottom"/>
          </w:tcPr>
          <w:p>
            <w:pPr>
              <w:ind w:left="360"/>
              <w:spacing w:after="0"/>
              <w:rPr>
                <w:sz w:val="20"/>
                <w:szCs w:val="20"/>
                <w:color w:val="auto"/>
              </w:rPr>
            </w:pPr>
            <w:r>
              <w:rPr>
                <w:rFonts w:ascii="Arial" w:cs="Arial" w:eastAsia="Arial" w:hAnsi="Arial"/>
                <w:sz w:val="20"/>
                <w:szCs w:val="20"/>
                <w:color w:val="auto"/>
              </w:rPr>
              <w:t>Accuracy of Information</w:t>
            </w:r>
          </w:p>
        </w:tc>
        <w:tc>
          <w:tcPr>
            <w:tcW w:w="160" w:type="dxa"/>
            <w:vAlign w:val="bottom"/>
            <w:tcBorders>
              <w:bottom w:val="single" w:sz="8" w:color="0000FF"/>
            </w:tcBorders>
          </w:tcPr>
          <w:p>
            <w:pPr>
              <w:jc w:val="right"/>
              <w:spacing w:after="0"/>
              <w:rPr>
                <w:rFonts w:ascii="Arial" w:cs="Arial" w:eastAsia="Arial" w:hAnsi="Arial"/>
                <w:sz w:val="17"/>
                <w:szCs w:val="17"/>
                <w:color w:val="0000FF"/>
                <w:w w:val="73"/>
              </w:rPr>
            </w:pPr>
            <w:hyperlink w:anchor="page52">
              <w:r>
                <w:rPr>
                  <w:rFonts w:ascii="Arial" w:cs="Arial" w:eastAsia="Arial" w:hAnsi="Arial"/>
                  <w:sz w:val="17"/>
                  <w:szCs w:val="17"/>
                  <w:color w:val="0000FF"/>
                  <w:w w:val="73"/>
                </w:rPr>
                <w:t>41</w:t>
              </w:r>
            </w:hyperlink>
          </w:p>
        </w:tc>
        <w:tc>
          <w:tcPr>
            <w:tcW w:w="0" w:type="dxa"/>
            <w:vAlign w:val="bottom"/>
          </w:tcPr>
          <w:p>
            <w:pPr>
              <w:spacing w:after="0"/>
              <w:rPr>
                <w:sz w:val="1"/>
                <w:szCs w:val="1"/>
                <w:color w:val="auto"/>
              </w:rPr>
            </w:pPr>
          </w:p>
        </w:tc>
      </w:tr>
      <w:tr>
        <w:trPr>
          <w:trHeight w:val="255"/>
        </w:trPr>
        <w:tc>
          <w:tcPr>
            <w:tcW w:w="1360" w:type="dxa"/>
            <w:vAlign w:val="bottom"/>
          </w:tcPr>
          <w:p>
            <w:pPr>
              <w:spacing w:after="0"/>
              <w:rPr>
                <w:sz w:val="20"/>
                <w:szCs w:val="20"/>
                <w:color w:val="auto"/>
              </w:rPr>
            </w:pPr>
            <w:r>
              <w:rPr>
                <w:rFonts w:ascii="Arial" w:cs="Arial" w:eastAsia="Arial" w:hAnsi="Arial"/>
                <w:sz w:val="20"/>
                <w:szCs w:val="20"/>
                <w:color w:val="auto"/>
              </w:rPr>
              <w:t>Section 3.8</w:t>
            </w:r>
          </w:p>
        </w:tc>
        <w:tc>
          <w:tcPr>
            <w:tcW w:w="8900" w:type="dxa"/>
            <w:vAlign w:val="bottom"/>
          </w:tcPr>
          <w:p>
            <w:pPr>
              <w:ind w:left="360"/>
              <w:spacing w:after="0"/>
              <w:rPr>
                <w:sz w:val="20"/>
                <w:szCs w:val="20"/>
                <w:color w:val="auto"/>
              </w:rPr>
            </w:pPr>
            <w:r>
              <w:rPr>
                <w:rFonts w:ascii="Arial" w:cs="Arial" w:eastAsia="Arial" w:hAnsi="Arial"/>
                <w:sz w:val="20"/>
                <w:szCs w:val="20"/>
                <w:color w:val="auto"/>
              </w:rPr>
              <w:t>Parent Liquidity Position</w:t>
            </w:r>
          </w:p>
        </w:tc>
        <w:tc>
          <w:tcPr>
            <w:tcW w:w="160" w:type="dxa"/>
            <w:vAlign w:val="bottom"/>
            <w:tcBorders>
              <w:bottom w:val="single" w:sz="8" w:color="0000FF"/>
            </w:tcBorders>
          </w:tcPr>
          <w:p>
            <w:pPr>
              <w:jc w:val="right"/>
              <w:spacing w:after="0"/>
              <w:rPr>
                <w:rFonts w:ascii="Arial" w:cs="Arial" w:eastAsia="Arial" w:hAnsi="Arial"/>
                <w:sz w:val="17"/>
                <w:szCs w:val="17"/>
                <w:color w:val="0000FF"/>
                <w:w w:val="73"/>
              </w:rPr>
            </w:pPr>
            <w:hyperlink w:anchor="page52">
              <w:r>
                <w:rPr>
                  <w:rFonts w:ascii="Arial" w:cs="Arial" w:eastAsia="Arial" w:hAnsi="Arial"/>
                  <w:sz w:val="17"/>
                  <w:szCs w:val="17"/>
                  <w:color w:val="0000FF"/>
                  <w:w w:val="73"/>
                </w:rPr>
                <w:t>41</w:t>
              </w:r>
            </w:hyperlink>
          </w:p>
        </w:tc>
        <w:tc>
          <w:tcPr>
            <w:tcW w:w="0" w:type="dxa"/>
            <w:vAlign w:val="bottom"/>
          </w:tcPr>
          <w:p>
            <w:pPr>
              <w:spacing w:after="0"/>
              <w:rPr>
                <w:sz w:val="1"/>
                <w:szCs w:val="1"/>
                <w:color w:val="auto"/>
              </w:rPr>
            </w:pPr>
          </w:p>
        </w:tc>
      </w:tr>
      <w:tr>
        <w:trPr>
          <w:trHeight w:val="255"/>
        </w:trPr>
        <w:tc>
          <w:tcPr>
            <w:tcW w:w="1360" w:type="dxa"/>
            <w:vAlign w:val="bottom"/>
          </w:tcPr>
          <w:p>
            <w:pPr>
              <w:spacing w:after="0"/>
              <w:rPr>
                <w:sz w:val="20"/>
                <w:szCs w:val="20"/>
                <w:color w:val="auto"/>
              </w:rPr>
            </w:pPr>
            <w:r>
              <w:rPr>
                <w:rFonts w:ascii="Arial" w:cs="Arial" w:eastAsia="Arial" w:hAnsi="Arial"/>
                <w:sz w:val="20"/>
                <w:szCs w:val="20"/>
                <w:color w:val="auto"/>
              </w:rPr>
              <w:t>Section 3.9</w:t>
            </w:r>
          </w:p>
        </w:tc>
        <w:tc>
          <w:tcPr>
            <w:tcW w:w="8900" w:type="dxa"/>
            <w:vAlign w:val="bottom"/>
          </w:tcPr>
          <w:p>
            <w:pPr>
              <w:ind w:left="360"/>
              <w:spacing w:after="0"/>
              <w:rPr>
                <w:sz w:val="20"/>
                <w:szCs w:val="20"/>
                <w:color w:val="auto"/>
              </w:rPr>
            </w:pPr>
            <w:r>
              <w:rPr>
                <w:rFonts w:ascii="Arial" w:cs="Arial" w:eastAsia="Arial" w:hAnsi="Arial"/>
                <w:sz w:val="20"/>
                <w:szCs w:val="20"/>
                <w:color w:val="auto"/>
              </w:rPr>
              <w:t>Delivery of Plan</w:t>
            </w:r>
          </w:p>
        </w:tc>
        <w:tc>
          <w:tcPr>
            <w:tcW w:w="160" w:type="dxa"/>
            <w:vAlign w:val="bottom"/>
            <w:tcBorders>
              <w:bottom w:val="single" w:sz="8" w:color="0000FF"/>
            </w:tcBorders>
          </w:tcPr>
          <w:p>
            <w:pPr>
              <w:jc w:val="right"/>
              <w:spacing w:after="0"/>
              <w:rPr>
                <w:rFonts w:ascii="Arial" w:cs="Arial" w:eastAsia="Arial" w:hAnsi="Arial"/>
                <w:sz w:val="17"/>
                <w:szCs w:val="17"/>
                <w:color w:val="0000FF"/>
                <w:w w:val="73"/>
              </w:rPr>
            </w:pPr>
            <w:hyperlink w:anchor="page53">
              <w:r>
                <w:rPr>
                  <w:rFonts w:ascii="Arial" w:cs="Arial" w:eastAsia="Arial" w:hAnsi="Arial"/>
                  <w:sz w:val="17"/>
                  <w:szCs w:val="17"/>
                  <w:color w:val="0000FF"/>
                  <w:w w:val="73"/>
                </w:rPr>
                <w:t>42</w:t>
              </w:r>
            </w:hyperlink>
          </w:p>
        </w:tc>
        <w:tc>
          <w:tcPr>
            <w:tcW w:w="0" w:type="dxa"/>
            <w:vAlign w:val="bottom"/>
          </w:tcPr>
          <w:p>
            <w:pPr>
              <w:spacing w:after="0"/>
              <w:rPr>
                <w:sz w:val="1"/>
                <w:szCs w:val="1"/>
                <w:color w:val="auto"/>
              </w:rPr>
            </w:pPr>
          </w:p>
        </w:tc>
      </w:tr>
      <w:tr>
        <w:trPr>
          <w:trHeight w:val="255"/>
        </w:trPr>
        <w:tc>
          <w:tcPr>
            <w:tcW w:w="1360" w:type="dxa"/>
            <w:vAlign w:val="bottom"/>
          </w:tcPr>
          <w:p>
            <w:pPr>
              <w:spacing w:after="0"/>
              <w:rPr>
                <w:sz w:val="20"/>
                <w:szCs w:val="20"/>
                <w:color w:val="auto"/>
              </w:rPr>
            </w:pPr>
            <w:r>
              <w:rPr>
                <w:rFonts w:ascii="Arial" w:cs="Arial" w:eastAsia="Arial" w:hAnsi="Arial"/>
                <w:sz w:val="20"/>
                <w:szCs w:val="20"/>
                <w:color w:val="auto"/>
              </w:rPr>
              <w:t>Section 3.10</w:t>
            </w:r>
          </w:p>
        </w:tc>
        <w:tc>
          <w:tcPr>
            <w:tcW w:w="8900" w:type="dxa"/>
            <w:vAlign w:val="bottom"/>
          </w:tcPr>
          <w:p>
            <w:pPr>
              <w:ind w:left="360"/>
              <w:spacing w:after="0"/>
              <w:rPr>
                <w:sz w:val="20"/>
                <w:szCs w:val="20"/>
                <w:color w:val="auto"/>
              </w:rPr>
            </w:pPr>
            <w:r>
              <w:rPr>
                <w:rFonts w:ascii="Arial" w:cs="Arial" w:eastAsia="Arial" w:hAnsi="Arial"/>
                <w:sz w:val="20"/>
                <w:szCs w:val="20"/>
                <w:color w:val="auto"/>
              </w:rPr>
              <w:t>Settlement Accounting</w:t>
            </w:r>
          </w:p>
        </w:tc>
        <w:tc>
          <w:tcPr>
            <w:tcW w:w="160" w:type="dxa"/>
            <w:vAlign w:val="bottom"/>
            <w:tcBorders>
              <w:bottom w:val="single" w:sz="8" w:color="0000FF"/>
            </w:tcBorders>
          </w:tcPr>
          <w:p>
            <w:pPr>
              <w:jc w:val="right"/>
              <w:spacing w:after="0"/>
              <w:rPr>
                <w:rFonts w:ascii="Arial" w:cs="Arial" w:eastAsia="Arial" w:hAnsi="Arial"/>
                <w:sz w:val="17"/>
                <w:szCs w:val="17"/>
                <w:color w:val="0000FF"/>
                <w:w w:val="73"/>
              </w:rPr>
            </w:pPr>
            <w:hyperlink w:anchor="page53">
              <w:r>
                <w:rPr>
                  <w:rFonts w:ascii="Arial" w:cs="Arial" w:eastAsia="Arial" w:hAnsi="Arial"/>
                  <w:sz w:val="17"/>
                  <w:szCs w:val="17"/>
                  <w:color w:val="0000FF"/>
                  <w:w w:val="73"/>
                </w:rPr>
                <w:t>42</w:t>
              </w:r>
            </w:hyperlink>
          </w:p>
        </w:tc>
        <w:tc>
          <w:tcPr>
            <w:tcW w:w="0" w:type="dxa"/>
            <w:vAlign w:val="bottom"/>
          </w:tcPr>
          <w:p>
            <w:pPr>
              <w:spacing w:after="0"/>
              <w:rPr>
                <w:sz w:val="1"/>
                <w:szCs w:val="1"/>
                <w:color w:val="auto"/>
              </w:rPr>
            </w:pPr>
          </w:p>
        </w:tc>
      </w:tr>
      <w:tr>
        <w:trPr>
          <w:trHeight w:val="303"/>
        </w:trPr>
        <w:tc>
          <w:tcPr>
            <w:tcW w:w="1360" w:type="dxa"/>
            <w:vAlign w:val="bottom"/>
            <w:vMerge w:val="restart"/>
          </w:tcPr>
          <w:p>
            <w:pPr>
              <w:spacing w:after="0"/>
              <w:rPr>
                <w:sz w:val="20"/>
                <w:szCs w:val="20"/>
                <w:color w:val="auto"/>
              </w:rPr>
            </w:pPr>
            <w:r>
              <w:rPr>
                <w:rFonts w:ascii="Arial" w:cs="Arial" w:eastAsia="Arial" w:hAnsi="Arial"/>
                <w:sz w:val="20"/>
                <w:szCs w:val="20"/>
                <w:color w:val="auto"/>
              </w:rPr>
              <w:t>Section 3.11</w:t>
            </w:r>
          </w:p>
        </w:tc>
        <w:tc>
          <w:tcPr>
            <w:tcW w:w="8900" w:type="dxa"/>
            <w:vAlign w:val="bottom"/>
          </w:tcPr>
          <w:p>
            <w:pPr>
              <w:ind w:left="360"/>
              <w:spacing w:after="0"/>
              <w:rPr>
                <w:sz w:val="20"/>
                <w:szCs w:val="20"/>
                <w:color w:val="auto"/>
              </w:rPr>
            </w:pPr>
            <w:r>
              <w:rPr>
                <w:rFonts w:ascii="Arial" w:cs="Arial" w:eastAsia="Arial" w:hAnsi="Arial"/>
                <w:sz w:val="20"/>
                <w:szCs w:val="20"/>
                <w:color w:val="auto"/>
              </w:rPr>
              <w:t>No Other Representations or Warranties; Reliance</w:t>
            </w:r>
          </w:p>
        </w:tc>
        <w:tc>
          <w:tcPr>
            <w:tcW w:w="160" w:type="dxa"/>
            <w:vAlign w:val="bottom"/>
            <w:vMerge w:val="restart"/>
          </w:tcPr>
          <w:p>
            <w:pPr>
              <w:jc w:val="right"/>
              <w:spacing w:after="0"/>
              <w:rPr>
                <w:rFonts w:ascii="Arial" w:cs="Arial" w:eastAsia="Arial" w:hAnsi="Arial"/>
                <w:sz w:val="17"/>
                <w:szCs w:val="17"/>
                <w:color w:val="0000FF"/>
                <w:w w:val="73"/>
              </w:rPr>
            </w:pPr>
            <w:hyperlink w:anchor="page53">
              <w:r>
                <w:rPr>
                  <w:rFonts w:ascii="Arial" w:cs="Arial" w:eastAsia="Arial" w:hAnsi="Arial"/>
                  <w:sz w:val="17"/>
                  <w:szCs w:val="17"/>
                  <w:color w:val="0000FF"/>
                  <w:w w:val="73"/>
                </w:rPr>
                <w:t>42</w:t>
              </w:r>
            </w:hyperlink>
          </w:p>
        </w:tc>
        <w:tc>
          <w:tcPr>
            <w:tcW w:w="0" w:type="dxa"/>
            <w:vAlign w:val="bottom"/>
          </w:tcPr>
          <w:p>
            <w:pPr>
              <w:spacing w:after="0"/>
              <w:rPr>
                <w:sz w:val="1"/>
                <w:szCs w:val="1"/>
                <w:color w:val="auto"/>
              </w:rPr>
            </w:pPr>
          </w:p>
        </w:tc>
      </w:tr>
      <w:tr>
        <w:trPr>
          <w:trHeight w:val="58"/>
        </w:trPr>
        <w:tc>
          <w:tcPr>
            <w:tcW w:w="1360" w:type="dxa"/>
            <w:vAlign w:val="bottom"/>
            <w:vMerge w:val="continue"/>
          </w:tcPr>
          <w:p>
            <w:pPr>
              <w:spacing w:after="0"/>
              <w:rPr>
                <w:sz w:val="4"/>
                <w:szCs w:val="4"/>
                <w:color w:val="auto"/>
              </w:rPr>
            </w:pPr>
          </w:p>
        </w:tc>
        <w:tc>
          <w:tcPr>
            <w:tcW w:w="8900" w:type="dxa"/>
            <w:vAlign w:val="bottom"/>
          </w:tcPr>
          <w:p>
            <w:pPr>
              <w:spacing w:after="0"/>
              <w:rPr>
                <w:sz w:val="4"/>
                <w:szCs w:val="4"/>
                <w:color w:val="auto"/>
              </w:rPr>
            </w:pPr>
          </w:p>
        </w:tc>
        <w:tc>
          <w:tcPr>
            <w:tcW w:w="160" w:type="dxa"/>
            <w:vAlign w:val="bottom"/>
            <w:tcBorders>
              <w:bottom w:val="single" w:sz="8" w:color="0000FF"/>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66"/>
        </w:trPr>
        <w:tc>
          <w:tcPr>
            <w:tcW w:w="1360" w:type="dxa"/>
            <w:vAlign w:val="bottom"/>
          </w:tcPr>
          <w:p>
            <w:pPr>
              <w:spacing w:after="0"/>
              <w:rPr>
                <w:sz w:val="24"/>
                <w:szCs w:val="24"/>
                <w:color w:val="auto"/>
              </w:rPr>
            </w:pPr>
          </w:p>
        </w:tc>
        <w:tc>
          <w:tcPr>
            <w:tcW w:w="8900" w:type="dxa"/>
            <w:vAlign w:val="bottom"/>
          </w:tcPr>
          <w:p>
            <w:pPr>
              <w:jc w:val="center"/>
              <w:ind w:left="200"/>
              <w:spacing w:after="0"/>
              <w:rPr>
                <w:sz w:val="20"/>
                <w:szCs w:val="20"/>
                <w:color w:val="auto"/>
              </w:rPr>
            </w:pPr>
            <w:r>
              <w:rPr>
                <w:rFonts w:ascii="Arial" w:cs="Arial" w:eastAsia="Arial" w:hAnsi="Arial"/>
                <w:sz w:val="20"/>
                <w:szCs w:val="20"/>
                <w:color w:val="auto"/>
                <w:w w:val="99"/>
              </w:rPr>
              <w:t>ARTICLE IV</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1360" w:type="dxa"/>
            <w:vAlign w:val="bottom"/>
          </w:tcPr>
          <w:p>
            <w:pPr>
              <w:spacing w:after="0"/>
              <w:rPr>
                <w:sz w:val="24"/>
                <w:szCs w:val="24"/>
                <w:color w:val="auto"/>
              </w:rPr>
            </w:pPr>
          </w:p>
        </w:tc>
        <w:tc>
          <w:tcPr>
            <w:tcW w:w="8900" w:type="dxa"/>
            <w:vAlign w:val="bottom"/>
          </w:tcPr>
          <w:p>
            <w:pPr>
              <w:jc w:val="center"/>
              <w:ind w:right="160"/>
              <w:spacing w:after="0"/>
              <w:rPr>
                <w:sz w:val="20"/>
                <w:szCs w:val="20"/>
                <w:color w:val="auto"/>
              </w:rPr>
            </w:pPr>
            <w:r>
              <w:rPr>
                <w:rFonts w:ascii="Arial" w:cs="Arial" w:eastAsia="Arial" w:hAnsi="Arial"/>
                <w:sz w:val="20"/>
                <w:szCs w:val="20"/>
                <w:color w:val="auto"/>
                <w:w w:val="95"/>
              </w:rPr>
              <w:t>INDEPENDENT FIDUCIARY'S REPRESENTATIONS AND WARRANTIES</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360" w:type="dxa"/>
            <w:vAlign w:val="bottom"/>
          </w:tcPr>
          <w:p>
            <w:pPr>
              <w:spacing w:after="0" w:line="228" w:lineRule="exact"/>
              <w:rPr>
                <w:sz w:val="20"/>
                <w:szCs w:val="20"/>
                <w:color w:val="auto"/>
              </w:rPr>
            </w:pPr>
            <w:r>
              <w:rPr>
                <w:rFonts w:ascii="Arial" w:cs="Arial" w:eastAsia="Arial" w:hAnsi="Arial"/>
                <w:sz w:val="20"/>
                <w:szCs w:val="20"/>
                <w:color w:val="auto"/>
              </w:rPr>
              <w:t>Section 4.1</w:t>
            </w:r>
          </w:p>
        </w:tc>
        <w:tc>
          <w:tcPr>
            <w:tcW w:w="8900" w:type="dxa"/>
            <w:vAlign w:val="bottom"/>
          </w:tcPr>
          <w:p>
            <w:pPr>
              <w:ind w:left="360"/>
              <w:spacing w:after="0" w:line="228" w:lineRule="exact"/>
              <w:rPr>
                <w:sz w:val="20"/>
                <w:szCs w:val="20"/>
                <w:color w:val="auto"/>
              </w:rPr>
            </w:pPr>
            <w:r>
              <w:rPr>
                <w:rFonts w:ascii="Arial" w:cs="Arial" w:eastAsia="Arial" w:hAnsi="Arial"/>
                <w:sz w:val="20"/>
                <w:szCs w:val="20"/>
                <w:color w:val="auto"/>
              </w:rPr>
              <w:t>Due Organization, Good Standing and Corporate Power</w:t>
            </w:r>
          </w:p>
        </w:tc>
        <w:tc>
          <w:tcPr>
            <w:tcW w:w="160" w:type="dxa"/>
            <w:vAlign w:val="bottom"/>
            <w:tcBorders>
              <w:bottom w:val="single" w:sz="8" w:color="0000FF"/>
            </w:tcBorders>
          </w:tcPr>
          <w:p>
            <w:pPr>
              <w:jc w:val="right"/>
              <w:spacing w:after="0"/>
              <w:rPr>
                <w:rFonts w:ascii="Arial" w:cs="Arial" w:eastAsia="Arial" w:hAnsi="Arial"/>
                <w:sz w:val="17"/>
                <w:szCs w:val="17"/>
                <w:color w:val="0000FF"/>
                <w:w w:val="73"/>
              </w:rPr>
            </w:pPr>
            <w:hyperlink w:anchor="page53">
              <w:r>
                <w:rPr>
                  <w:rFonts w:ascii="Arial" w:cs="Arial" w:eastAsia="Arial" w:hAnsi="Arial"/>
                  <w:sz w:val="17"/>
                  <w:szCs w:val="17"/>
                  <w:color w:val="0000FF"/>
                  <w:w w:val="73"/>
                </w:rPr>
                <w:t>42</w:t>
              </w:r>
            </w:hyperlink>
          </w:p>
        </w:tc>
        <w:tc>
          <w:tcPr>
            <w:tcW w:w="0" w:type="dxa"/>
            <w:vAlign w:val="bottom"/>
          </w:tcPr>
          <w:p>
            <w:pPr>
              <w:spacing w:after="0"/>
              <w:rPr>
                <w:sz w:val="1"/>
                <w:szCs w:val="1"/>
                <w:color w:val="auto"/>
              </w:rPr>
            </w:pPr>
          </w:p>
        </w:tc>
      </w:tr>
      <w:tr>
        <w:trPr>
          <w:trHeight w:val="255"/>
        </w:trPr>
        <w:tc>
          <w:tcPr>
            <w:tcW w:w="1360" w:type="dxa"/>
            <w:vAlign w:val="bottom"/>
          </w:tcPr>
          <w:p>
            <w:pPr>
              <w:spacing w:after="0"/>
              <w:rPr>
                <w:sz w:val="20"/>
                <w:szCs w:val="20"/>
                <w:color w:val="auto"/>
              </w:rPr>
            </w:pPr>
            <w:r>
              <w:rPr>
                <w:rFonts w:ascii="Arial" w:cs="Arial" w:eastAsia="Arial" w:hAnsi="Arial"/>
                <w:sz w:val="20"/>
                <w:szCs w:val="20"/>
                <w:color w:val="auto"/>
              </w:rPr>
              <w:t>Section 4.2</w:t>
            </w:r>
          </w:p>
        </w:tc>
        <w:tc>
          <w:tcPr>
            <w:tcW w:w="8900" w:type="dxa"/>
            <w:vAlign w:val="bottom"/>
          </w:tcPr>
          <w:p>
            <w:pPr>
              <w:ind w:left="360"/>
              <w:spacing w:after="0"/>
              <w:rPr>
                <w:sz w:val="20"/>
                <w:szCs w:val="20"/>
                <w:color w:val="auto"/>
              </w:rPr>
            </w:pPr>
            <w:r>
              <w:rPr>
                <w:rFonts w:ascii="Arial" w:cs="Arial" w:eastAsia="Arial" w:hAnsi="Arial"/>
                <w:sz w:val="20"/>
                <w:szCs w:val="20"/>
                <w:color w:val="auto"/>
              </w:rPr>
              <w:t>Authorization of Agreement; Enforceability</w:t>
            </w:r>
          </w:p>
        </w:tc>
        <w:tc>
          <w:tcPr>
            <w:tcW w:w="160" w:type="dxa"/>
            <w:vAlign w:val="bottom"/>
            <w:tcBorders>
              <w:bottom w:val="single" w:sz="8" w:color="0000FF"/>
            </w:tcBorders>
          </w:tcPr>
          <w:p>
            <w:pPr>
              <w:jc w:val="right"/>
              <w:spacing w:after="0"/>
              <w:rPr>
                <w:rFonts w:ascii="Arial" w:cs="Arial" w:eastAsia="Arial" w:hAnsi="Arial"/>
                <w:sz w:val="17"/>
                <w:szCs w:val="17"/>
                <w:color w:val="0000FF"/>
                <w:w w:val="73"/>
              </w:rPr>
            </w:pPr>
            <w:hyperlink w:anchor="page54">
              <w:r>
                <w:rPr>
                  <w:rFonts w:ascii="Arial" w:cs="Arial" w:eastAsia="Arial" w:hAnsi="Arial"/>
                  <w:sz w:val="17"/>
                  <w:szCs w:val="17"/>
                  <w:color w:val="0000FF"/>
                  <w:w w:val="73"/>
                </w:rPr>
                <w:t>43</w:t>
              </w:r>
            </w:hyperlink>
          </w:p>
        </w:tc>
        <w:tc>
          <w:tcPr>
            <w:tcW w:w="0" w:type="dxa"/>
            <w:vAlign w:val="bottom"/>
          </w:tcPr>
          <w:p>
            <w:pPr>
              <w:spacing w:after="0"/>
              <w:rPr>
                <w:sz w:val="1"/>
                <w:szCs w:val="1"/>
                <w:color w:val="auto"/>
              </w:rPr>
            </w:pPr>
          </w:p>
        </w:tc>
      </w:tr>
      <w:tr>
        <w:trPr>
          <w:trHeight w:val="255"/>
        </w:trPr>
        <w:tc>
          <w:tcPr>
            <w:tcW w:w="1360" w:type="dxa"/>
            <w:vAlign w:val="bottom"/>
          </w:tcPr>
          <w:p>
            <w:pPr>
              <w:spacing w:after="0"/>
              <w:rPr>
                <w:sz w:val="20"/>
                <w:szCs w:val="20"/>
                <w:color w:val="auto"/>
              </w:rPr>
            </w:pPr>
            <w:r>
              <w:rPr>
                <w:rFonts w:ascii="Arial" w:cs="Arial" w:eastAsia="Arial" w:hAnsi="Arial"/>
                <w:sz w:val="20"/>
                <w:szCs w:val="20"/>
                <w:color w:val="auto"/>
              </w:rPr>
              <w:t>Section 4.3</w:t>
            </w:r>
          </w:p>
        </w:tc>
        <w:tc>
          <w:tcPr>
            <w:tcW w:w="8900" w:type="dxa"/>
            <w:vAlign w:val="bottom"/>
          </w:tcPr>
          <w:p>
            <w:pPr>
              <w:ind w:left="360"/>
              <w:spacing w:after="0"/>
              <w:rPr>
                <w:sz w:val="20"/>
                <w:szCs w:val="20"/>
                <w:color w:val="auto"/>
              </w:rPr>
            </w:pPr>
            <w:r>
              <w:rPr>
                <w:rFonts w:ascii="Arial" w:cs="Arial" w:eastAsia="Arial" w:hAnsi="Arial"/>
                <w:sz w:val="20"/>
                <w:szCs w:val="20"/>
                <w:color w:val="auto"/>
              </w:rPr>
              <w:t>Consents And Approvals; No Violations</w:t>
            </w:r>
          </w:p>
        </w:tc>
        <w:tc>
          <w:tcPr>
            <w:tcW w:w="160" w:type="dxa"/>
            <w:vAlign w:val="bottom"/>
            <w:tcBorders>
              <w:bottom w:val="single" w:sz="8" w:color="0000FF"/>
            </w:tcBorders>
          </w:tcPr>
          <w:p>
            <w:pPr>
              <w:jc w:val="right"/>
              <w:spacing w:after="0"/>
              <w:rPr>
                <w:rFonts w:ascii="Arial" w:cs="Arial" w:eastAsia="Arial" w:hAnsi="Arial"/>
                <w:sz w:val="17"/>
                <w:szCs w:val="17"/>
                <w:color w:val="0000FF"/>
                <w:w w:val="73"/>
              </w:rPr>
            </w:pPr>
            <w:hyperlink w:anchor="page54">
              <w:r>
                <w:rPr>
                  <w:rFonts w:ascii="Arial" w:cs="Arial" w:eastAsia="Arial" w:hAnsi="Arial"/>
                  <w:sz w:val="17"/>
                  <w:szCs w:val="17"/>
                  <w:color w:val="0000FF"/>
                  <w:w w:val="73"/>
                </w:rPr>
                <w:t>43</w:t>
              </w:r>
            </w:hyperlink>
          </w:p>
        </w:tc>
        <w:tc>
          <w:tcPr>
            <w:tcW w:w="0" w:type="dxa"/>
            <w:vAlign w:val="bottom"/>
          </w:tcPr>
          <w:p>
            <w:pPr>
              <w:spacing w:after="0"/>
              <w:rPr>
                <w:sz w:val="1"/>
                <w:szCs w:val="1"/>
                <w:color w:val="auto"/>
              </w:rPr>
            </w:pPr>
          </w:p>
        </w:tc>
      </w:tr>
      <w:tr>
        <w:trPr>
          <w:trHeight w:val="255"/>
        </w:trPr>
        <w:tc>
          <w:tcPr>
            <w:tcW w:w="1360" w:type="dxa"/>
            <w:vAlign w:val="bottom"/>
          </w:tcPr>
          <w:p>
            <w:pPr>
              <w:spacing w:after="0"/>
              <w:rPr>
                <w:sz w:val="20"/>
                <w:szCs w:val="20"/>
                <w:color w:val="auto"/>
              </w:rPr>
            </w:pPr>
            <w:r>
              <w:rPr>
                <w:rFonts w:ascii="Arial" w:cs="Arial" w:eastAsia="Arial" w:hAnsi="Arial"/>
                <w:sz w:val="20"/>
                <w:szCs w:val="20"/>
                <w:color w:val="auto"/>
              </w:rPr>
              <w:t>Section 4.4</w:t>
            </w:r>
          </w:p>
        </w:tc>
        <w:tc>
          <w:tcPr>
            <w:tcW w:w="8900" w:type="dxa"/>
            <w:vAlign w:val="bottom"/>
          </w:tcPr>
          <w:p>
            <w:pPr>
              <w:ind w:left="360"/>
              <w:spacing w:after="0"/>
              <w:rPr>
                <w:sz w:val="20"/>
                <w:szCs w:val="20"/>
                <w:color w:val="auto"/>
              </w:rPr>
            </w:pPr>
            <w:r>
              <w:rPr>
                <w:rFonts w:ascii="Arial" w:cs="Arial" w:eastAsia="Arial" w:hAnsi="Arial"/>
                <w:sz w:val="20"/>
                <w:szCs w:val="20"/>
                <w:color w:val="auto"/>
              </w:rPr>
              <w:t>ERISA Related Determinations.</w:t>
            </w:r>
          </w:p>
        </w:tc>
        <w:tc>
          <w:tcPr>
            <w:tcW w:w="160" w:type="dxa"/>
            <w:vAlign w:val="bottom"/>
            <w:tcBorders>
              <w:bottom w:val="single" w:sz="8" w:color="0000FF"/>
            </w:tcBorders>
          </w:tcPr>
          <w:p>
            <w:pPr>
              <w:jc w:val="right"/>
              <w:spacing w:after="0"/>
              <w:rPr>
                <w:rFonts w:ascii="Arial" w:cs="Arial" w:eastAsia="Arial" w:hAnsi="Arial"/>
                <w:sz w:val="17"/>
                <w:szCs w:val="17"/>
                <w:color w:val="0000FF"/>
                <w:w w:val="73"/>
              </w:rPr>
            </w:pPr>
            <w:hyperlink w:anchor="page54">
              <w:r>
                <w:rPr>
                  <w:rFonts w:ascii="Arial" w:cs="Arial" w:eastAsia="Arial" w:hAnsi="Arial"/>
                  <w:sz w:val="17"/>
                  <w:szCs w:val="17"/>
                  <w:color w:val="0000FF"/>
                  <w:w w:val="73"/>
                </w:rPr>
                <w:t>43</w:t>
              </w:r>
            </w:hyperlink>
          </w:p>
        </w:tc>
        <w:tc>
          <w:tcPr>
            <w:tcW w:w="0" w:type="dxa"/>
            <w:vAlign w:val="bottom"/>
          </w:tcPr>
          <w:p>
            <w:pPr>
              <w:spacing w:after="0"/>
              <w:rPr>
                <w:sz w:val="1"/>
                <w:szCs w:val="1"/>
                <w:color w:val="auto"/>
              </w:rPr>
            </w:pPr>
          </w:p>
        </w:tc>
      </w:tr>
      <w:tr>
        <w:trPr>
          <w:trHeight w:val="255"/>
        </w:trPr>
        <w:tc>
          <w:tcPr>
            <w:tcW w:w="1360" w:type="dxa"/>
            <w:vAlign w:val="bottom"/>
          </w:tcPr>
          <w:p>
            <w:pPr>
              <w:spacing w:after="0"/>
              <w:rPr>
                <w:sz w:val="20"/>
                <w:szCs w:val="20"/>
                <w:color w:val="auto"/>
              </w:rPr>
            </w:pPr>
            <w:r>
              <w:rPr>
                <w:rFonts w:ascii="Arial" w:cs="Arial" w:eastAsia="Arial" w:hAnsi="Arial"/>
                <w:sz w:val="20"/>
                <w:szCs w:val="20"/>
                <w:color w:val="auto"/>
              </w:rPr>
              <w:t>Section 4.5</w:t>
            </w:r>
          </w:p>
        </w:tc>
        <w:tc>
          <w:tcPr>
            <w:tcW w:w="8900" w:type="dxa"/>
            <w:vAlign w:val="bottom"/>
          </w:tcPr>
          <w:p>
            <w:pPr>
              <w:ind w:left="360"/>
              <w:spacing w:after="0"/>
              <w:rPr>
                <w:sz w:val="20"/>
                <w:szCs w:val="20"/>
                <w:color w:val="auto"/>
              </w:rPr>
            </w:pPr>
            <w:r>
              <w:rPr>
                <w:rFonts w:ascii="Arial" w:cs="Arial" w:eastAsia="Arial" w:hAnsi="Arial"/>
                <w:sz w:val="20"/>
                <w:szCs w:val="20"/>
                <w:color w:val="auto"/>
              </w:rPr>
              <w:t>No Brokers' Fee</w:t>
            </w:r>
          </w:p>
        </w:tc>
        <w:tc>
          <w:tcPr>
            <w:tcW w:w="160" w:type="dxa"/>
            <w:vAlign w:val="bottom"/>
            <w:tcBorders>
              <w:bottom w:val="single" w:sz="8" w:color="0000FF"/>
            </w:tcBorders>
          </w:tcPr>
          <w:p>
            <w:pPr>
              <w:jc w:val="right"/>
              <w:spacing w:after="0"/>
              <w:rPr>
                <w:rFonts w:ascii="Arial" w:cs="Arial" w:eastAsia="Arial" w:hAnsi="Arial"/>
                <w:sz w:val="17"/>
                <w:szCs w:val="17"/>
                <w:color w:val="0000FF"/>
                <w:w w:val="73"/>
              </w:rPr>
            </w:pPr>
            <w:hyperlink w:anchor="page55">
              <w:r>
                <w:rPr>
                  <w:rFonts w:ascii="Arial" w:cs="Arial" w:eastAsia="Arial" w:hAnsi="Arial"/>
                  <w:sz w:val="17"/>
                  <w:szCs w:val="17"/>
                  <w:color w:val="0000FF"/>
                  <w:w w:val="73"/>
                </w:rPr>
                <w:t>44</w:t>
              </w:r>
            </w:hyperlink>
          </w:p>
        </w:tc>
        <w:tc>
          <w:tcPr>
            <w:tcW w:w="0" w:type="dxa"/>
            <w:vAlign w:val="bottom"/>
          </w:tcPr>
          <w:p>
            <w:pPr>
              <w:spacing w:after="0"/>
              <w:rPr>
                <w:sz w:val="1"/>
                <w:szCs w:val="1"/>
                <w:color w:val="auto"/>
              </w:rPr>
            </w:pPr>
          </w:p>
        </w:tc>
      </w:tr>
      <w:tr>
        <w:trPr>
          <w:trHeight w:val="255"/>
        </w:trPr>
        <w:tc>
          <w:tcPr>
            <w:tcW w:w="1360" w:type="dxa"/>
            <w:vAlign w:val="bottom"/>
          </w:tcPr>
          <w:p>
            <w:pPr>
              <w:spacing w:after="0"/>
              <w:rPr>
                <w:sz w:val="20"/>
                <w:szCs w:val="20"/>
                <w:color w:val="auto"/>
              </w:rPr>
            </w:pPr>
            <w:r>
              <w:rPr>
                <w:rFonts w:ascii="Arial" w:cs="Arial" w:eastAsia="Arial" w:hAnsi="Arial"/>
                <w:sz w:val="20"/>
                <w:szCs w:val="20"/>
                <w:color w:val="auto"/>
              </w:rPr>
              <w:t>Section 4.6</w:t>
            </w:r>
          </w:p>
        </w:tc>
        <w:tc>
          <w:tcPr>
            <w:tcW w:w="8900" w:type="dxa"/>
            <w:vAlign w:val="bottom"/>
          </w:tcPr>
          <w:p>
            <w:pPr>
              <w:ind w:left="360"/>
              <w:spacing w:after="0"/>
              <w:rPr>
                <w:sz w:val="20"/>
                <w:szCs w:val="20"/>
                <w:color w:val="auto"/>
              </w:rPr>
            </w:pPr>
            <w:r>
              <w:rPr>
                <w:rFonts w:ascii="Arial" w:cs="Arial" w:eastAsia="Arial" w:hAnsi="Arial"/>
                <w:sz w:val="20"/>
                <w:szCs w:val="20"/>
                <w:color w:val="auto"/>
              </w:rPr>
              <w:t>No Other Representations or Warranties; Reliance</w:t>
            </w:r>
          </w:p>
        </w:tc>
        <w:tc>
          <w:tcPr>
            <w:tcW w:w="160" w:type="dxa"/>
            <w:vAlign w:val="bottom"/>
            <w:tcBorders>
              <w:bottom w:val="single" w:sz="8" w:color="0000FF"/>
            </w:tcBorders>
          </w:tcPr>
          <w:p>
            <w:pPr>
              <w:jc w:val="right"/>
              <w:spacing w:after="0"/>
              <w:rPr>
                <w:rFonts w:ascii="Arial" w:cs="Arial" w:eastAsia="Arial" w:hAnsi="Arial"/>
                <w:sz w:val="17"/>
                <w:szCs w:val="17"/>
                <w:color w:val="0000FF"/>
                <w:w w:val="73"/>
              </w:rPr>
            </w:pPr>
            <w:hyperlink w:anchor="page55">
              <w:r>
                <w:rPr>
                  <w:rFonts w:ascii="Arial" w:cs="Arial" w:eastAsia="Arial" w:hAnsi="Arial"/>
                  <w:sz w:val="17"/>
                  <w:szCs w:val="17"/>
                  <w:color w:val="0000FF"/>
                  <w:w w:val="73"/>
                </w:rPr>
                <w:t>44</w:t>
              </w:r>
            </w:hyperlink>
          </w:p>
        </w:tc>
        <w:tc>
          <w:tcPr>
            <w:tcW w:w="0" w:type="dxa"/>
            <w:vAlign w:val="bottom"/>
          </w:tcPr>
          <w:p>
            <w:pPr>
              <w:spacing w:after="0"/>
              <w:rPr>
                <w:sz w:val="1"/>
                <w:szCs w:val="1"/>
                <w:color w:val="auto"/>
              </w:rPr>
            </w:pPr>
          </w:p>
        </w:tc>
      </w:tr>
      <w:tr>
        <w:trPr>
          <w:trHeight w:val="666"/>
        </w:trPr>
        <w:tc>
          <w:tcPr>
            <w:tcW w:w="1360" w:type="dxa"/>
            <w:vAlign w:val="bottom"/>
          </w:tcPr>
          <w:p>
            <w:pPr>
              <w:spacing w:after="0"/>
              <w:rPr>
                <w:sz w:val="24"/>
                <w:szCs w:val="24"/>
                <w:color w:val="auto"/>
              </w:rPr>
            </w:pPr>
          </w:p>
        </w:tc>
        <w:tc>
          <w:tcPr>
            <w:tcW w:w="8900" w:type="dxa"/>
            <w:vAlign w:val="bottom"/>
          </w:tcPr>
          <w:p>
            <w:pPr>
              <w:jc w:val="center"/>
              <w:ind w:left="200"/>
              <w:spacing w:after="0"/>
              <w:rPr>
                <w:sz w:val="20"/>
                <w:szCs w:val="20"/>
                <w:color w:val="auto"/>
              </w:rPr>
            </w:pPr>
            <w:r>
              <w:rPr>
                <w:rFonts w:ascii="Arial" w:cs="Arial" w:eastAsia="Arial" w:hAnsi="Arial"/>
                <w:sz w:val="20"/>
                <w:szCs w:val="20"/>
                <w:color w:val="auto"/>
              </w:rPr>
              <w:t>ARTICLE V</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1360" w:type="dxa"/>
            <w:vAlign w:val="bottom"/>
          </w:tcPr>
          <w:p>
            <w:pPr>
              <w:spacing w:after="0"/>
              <w:rPr>
                <w:sz w:val="23"/>
                <w:szCs w:val="23"/>
                <w:color w:val="auto"/>
              </w:rPr>
            </w:pPr>
          </w:p>
        </w:tc>
        <w:tc>
          <w:tcPr>
            <w:tcW w:w="8900" w:type="dxa"/>
            <w:vAlign w:val="bottom"/>
          </w:tcPr>
          <w:p>
            <w:pPr>
              <w:jc w:val="center"/>
              <w:ind w:right="160"/>
              <w:spacing w:after="0"/>
              <w:rPr>
                <w:sz w:val="20"/>
                <w:szCs w:val="20"/>
                <w:color w:val="auto"/>
              </w:rPr>
            </w:pPr>
            <w:r>
              <w:rPr>
                <w:rFonts w:ascii="Arial" w:cs="Arial" w:eastAsia="Arial" w:hAnsi="Arial"/>
                <w:sz w:val="20"/>
                <w:szCs w:val="20"/>
                <w:color w:val="auto"/>
                <w:w w:val="95"/>
              </w:rPr>
              <w:t>INSURER AND INSURER PARENT REPRESENTATIONS AND WARRANTIES</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8"/>
        </w:trPr>
        <w:tc>
          <w:tcPr>
            <w:tcW w:w="1360" w:type="dxa"/>
            <w:vAlign w:val="bottom"/>
          </w:tcPr>
          <w:p>
            <w:pPr>
              <w:spacing w:after="0" w:line="228" w:lineRule="exact"/>
              <w:rPr>
                <w:sz w:val="20"/>
                <w:szCs w:val="20"/>
                <w:color w:val="auto"/>
              </w:rPr>
            </w:pPr>
            <w:r>
              <w:rPr>
                <w:rFonts w:ascii="Arial" w:cs="Arial" w:eastAsia="Arial" w:hAnsi="Arial"/>
                <w:sz w:val="20"/>
                <w:szCs w:val="20"/>
                <w:color w:val="auto"/>
              </w:rPr>
              <w:t>Section 5.1</w:t>
            </w:r>
          </w:p>
        </w:tc>
        <w:tc>
          <w:tcPr>
            <w:tcW w:w="8900" w:type="dxa"/>
            <w:vAlign w:val="bottom"/>
          </w:tcPr>
          <w:p>
            <w:pPr>
              <w:ind w:left="360"/>
              <w:spacing w:after="0" w:line="228" w:lineRule="exact"/>
              <w:rPr>
                <w:sz w:val="20"/>
                <w:szCs w:val="20"/>
                <w:color w:val="auto"/>
              </w:rPr>
            </w:pPr>
            <w:r>
              <w:rPr>
                <w:rFonts w:ascii="Arial" w:cs="Arial" w:eastAsia="Arial" w:hAnsi="Arial"/>
                <w:sz w:val="20"/>
                <w:szCs w:val="20"/>
                <w:color w:val="auto"/>
              </w:rPr>
              <w:t>Due Organization, Good Standing and Corporate Power</w:t>
            </w:r>
          </w:p>
        </w:tc>
        <w:tc>
          <w:tcPr>
            <w:tcW w:w="160" w:type="dxa"/>
            <w:vAlign w:val="bottom"/>
            <w:tcBorders>
              <w:bottom w:val="single" w:sz="8" w:color="0000FF"/>
            </w:tcBorders>
          </w:tcPr>
          <w:p>
            <w:pPr>
              <w:jc w:val="right"/>
              <w:spacing w:after="0"/>
              <w:rPr>
                <w:rFonts w:ascii="Arial" w:cs="Arial" w:eastAsia="Arial" w:hAnsi="Arial"/>
                <w:sz w:val="17"/>
                <w:szCs w:val="17"/>
                <w:color w:val="0000FF"/>
                <w:w w:val="73"/>
              </w:rPr>
            </w:pPr>
            <w:hyperlink w:anchor="page55">
              <w:r>
                <w:rPr>
                  <w:rFonts w:ascii="Arial" w:cs="Arial" w:eastAsia="Arial" w:hAnsi="Arial"/>
                  <w:sz w:val="17"/>
                  <w:szCs w:val="17"/>
                  <w:color w:val="0000FF"/>
                  <w:w w:val="73"/>
                </w:rPr>
                <w:t>44</w:t>
              </w:r>
            </w:hyperlink>
          </w:p>
        </w:tc>
        <w:tc>
          <w:tcPr>
            <w:tcW w:w="0" w:type="dxa"/>
            <w:vAlign w:val="bottom"/>
          </w:tcPr>
          <w:p>
            <w:pPr>
              <w:spacing w:after="0"/>
              <w:rPr>
                <w:sz w:val="1"/>
                <w:szCs w:val="1"/>
                <w:color w:val="auto"/>
              </w:rPr>
            </w:pPr>
          </w:p>
        </w:tc>
      </w:tr>
      <w:tr>
        <w:trPr>
          <w:trHeight w:val="255"/>
        </w:trPr>
        <w:tc>
          <w:tcPr>
            <w:tcW w:w="1360" w:type="dxa"/>
            <w:vAlign w:val="bottom"/>
          </w:tcPr>
          <w:p>
            <w:pPr>
              <w:spacing w:after="0"/>
              <w:rPr>
                <w:sz w:val="20"/>
                <w:szCs w:val="20"/>
                <w:color w:val="auto"/>
              </w:rPr>
            </w:pPr>
            <w:r>
              <w:rPr>
                <w:rFonts w:ascii="Arial" w:cs="Arial" w:eastAsia="Arial" w:hAnsi="Arial"/>
                <w:sz w:val="20"/>
                <w:szCs w:val="20"/>
                <w:color w:val="auto"/>
              </w:rPr>
              <w:t>Section 5.2</w:t>
            </w:r>
          </w:p>
        </w:tc>
        <w:tc>
          <w:tcPr>
            <w:tcW w:w="8900" w:type="dxa"/>
            <w:vAlign w:val="bottom"/>
          </w:tcPr>
          <w:p>
            <w:pPr>
              <w:ind w:left="360"/>
              <w:spacing w:after="0"/>
              <w:rPr>
                <w:sz w:val="20"/>
                <w:szCs w:val="20"/>
                <w:color w:val="auto"/>
              </w:rPr>
            </w:pPr>
            <w:r>
              <w:rPr>
                <w:rFonts w:ascii="Arial" w:cs="Arial" w:eastAsia="Arial" w:hAnsi="Arial"/>
                <w:sz w:val="20"/>
                <w:szCs w:val="20"/>
                <w:color w:val="auto"/>
              </w:rPr>
              <w:t>Authorization of Agreement; Enforceability</w:t>
            </w:r>
          </w:p>
        </w:tc>
        <w:tc>
          <w:tcPr>
            <w:tcW w:w="160" w:type="dxa"/>
            <w:vAlign w:val="bottom"/>
            <w:tcBorders>
              <w:bottom w:val="single" w:sz="8" w:color="0000FF"/>
            </w:tcBorders>
          </w:tcPr>
          <w:p>
            <w:pPr>
              <w:jc w:val="right"/>
              <w:spacing w:after="0"/>
              <w:rPr>
                <w:rFonts w:ascii="Arial" w:cs="Arial" w:eastAsia="Arial" w:hAnsi="Arial"/>
                <w:sz w:val="17"/>
                <w:szCs w:val="17"/>
                <w:color w:val="0000FF"/>
                <w:w w:val="73"/>
              </w:rPr>
            </w:pPr>
            <w:hyperlink w:anchor="page55">
              <w:r>
                <w:rPr>
                  <w:rFonts w:ascii="Arial" w:cs="Arial" w:eastAsia="Arial" w:hAnsi="Arial"/>
                  <w:sz w:val="17"/>
                  <w:szCs w:val="17"/>
                  <w:color w:val="0000FF"/>
                  <w:w w:val="73"/>
                </w:rPr>
                <w:t>44</w:t>
              </w:r>
            </w:hyperlink>
          </w:p>
        </w:tc>
        <w:tc>
          <w:tcPr>
            <w:tcW w:w="0" w:type="dxa"/>
            <w:vAlign w:val="bottom"/>
          </w:tcPr>
          <w:p>
            <w:pPr>
              <w:spacing w:after="0"/>
              <w:rPr>
                <w:sz w:val="1"/>
                <w:szCs w:val="1"/>
                <w:color w:val="auto"/>
              </w:rPr>
            </w:pPr>
          </w:p>
        </w:tc>
      </w:tr>
      <w:tr>
        <w:trPr>
          <w:trHeight w:val="255"/>
        </w:trPr>
        <w:tc>
          <w:tcPr>
            <w:tcW w:w="1360" w:type="dxa"/>
            <w:vAlign w:val="bottom"/>
          </w:tcPr>
          <w:p>
            <w:pPr>
              <w:spacing w:after="0"/>
              <w:rPr>
                <w:sz w:val="20"/>
                <w:szCs w:val="20"/>
                <w:color w:val="auto"/>
              </w:rPr>
            </w:pPr>
            <w:r>
              <w:rPr>
                <w:rFonts w:ascii="Arial" w:cs="Arial" w:eastAsia="Arial" w:hAnsi="Arial"/>
                <w:sz w:val="20"/>
                <w:szCs w:val="20"/>
                <w:color w:val="auto"/>
              </w:rPr>
              <w:t>Section 5.3</w:t>
            </w:r>
          </w:p>
        </w:tc>
        <w:tc>
          <w:tcPr>
            <w:tcW w:w="8900" w:type="dxa"/>
            <w:vAlign w:val="bottom"/>
          </w:tcPr>
          <w:p>
            <w:pPr>
              <w:ind w:left="360"/>
              <w:spacing w:after="0"/>
              <w:rPr>
                <w:sz w:val="20"/>
                <w:szCs w:val="20"/>
                <w:color w:val="auto"/>
              </w:rPr>
            </w:pPr>
            <w:r>
              <w:rPr>
                <w:rFonts w:ascii="Arial" w:cs="Arial" w:eastAsia="Arial" w:hAnsi="Arial"/>
                <w:sz w:val="20"/>
                <w:szCs w:val="20"/>
                <w:color w:val="auto"/>
              </w:rPr>
              <w:t>Consents And Approvals; No Violations</w:t>
            </w:r>
          </w:p>
        </w:tc>
        <w:tc>
          <w:tcPr>
            <w:tcW w:w="160" w:type="dxa"/>
            <w:vAlign w:val="bottom"/>
            <w:tcBorders>
              <w:bottom w:val="single" w:sz="8" w:color="0000FF"/>
            </w:tcBorders>
          </w:tcPr>
          <w:p>
            <w:pPr>
              <w:jc w:val="right"/>
              <w:spacing w:after="0"/>
              <w:rPr>
                <w:rFonts w:ascii="Arial" w:cs="Arial" w:eastAsia="Arial" w:hAnsi="Arial"/>
                <w:sz w:val="17"/>
                <w:szCs w:val="17"/>
                <w:color w:val="0000FF"/>
                <w:w w:val="73"/>
              </w:rPr>
            </w:pPr>
            <w:hyperlink w:anchor="page56">
              <w:r>
                <w:rPr>
                  <w:rFonts w:ascii="Arial" w:cs="Arial" w:eastAsia="Arial" w:hAnsi="Arial"/>
                  <w:sz w:val="17"/>
                  <w:szCs w:val="17"/>
                  <w:color w:val="0000FF"/>
                  <w:w w:val="73"/>
                </w:rPr>
                <w:t>45</w:t>
              </w:r>
            </w:hyperlink>
          </w:p>
        </w:tc>
        <w:tc>
          <w:tcPr>
            <w:tcW w:w="0" w:type="dxa"/>
            <w:vAlign w:val="bottom"/>
          </w:tcPr>
          <w:p>
            <w:pPr>
              <w:spacing w:after="0"/>
              <w:rPr>
                <w:sz w:val="1"/>
                <w:szCs w:val="1"/>
                <w:color w:val="auto"/>
              </w:rPr>
            </w:pPr>
          </w:p>
        </w:tc>
      </w:tr>
      <w:tr>
        <w:trPr>
          <w:trHeight w:val="303"/>
        </w:trPr>
        <w:tc>
          <w:tcPr>
            <w:tcW w:w="1360" w:type="dxa"/>
            <w:vAlign w:val="bottom"/>
            <w:vMerge w:val="restart"/>
          </w:tcPr>
          <w:p>
            <w:pPr>
              <w:spacing w:after="0"/>
              <w:rPr>
                <w:sz w:val="20"/>
                <w:szCs w:val="20"/>
                <w:color w:val="auto"/>
              </w:rPr>
            </w:pPr>
            <w:r>
              <w:rPr>
                <w:rFonts w:ascii="Arial" w:cs="Arial" w:eastAsia="Arial" w:hAnsi="Arial"/>
                <w:sz w:val="20"/>
                <w:szCs w:val="20"/>
                <w:color w:val="auto"/>
              </w:rPr>
              <w:t>Section 5.4</w:t>
            </w:r>
          </w:p>
        </w:tc>
        <w:tc>
          <w:tcPr>
            <w:tcW w:w="8900" w:type="dxa"/>
            <w:vAlign w:val="bottom"/>
          </w:tcPr>
          <w:p>
            <w:pPr>
              <w:ind w:left="360"/>
              <w:spacing w:after="0"/>
              <w:rPr>
                <w:sz w:val="20"/>
                <w:szCs w:val="20"/>
                <w:color w:val="auto"/>
              </w:rPr>
            </w:pPr>
            <w:r>
              <w:rPr>
                <w:rFonts w:ascii="Arial" w:cs="Arial" w:eastAsia="Arial" w:hAnsi="Arial"/>
                <w:sz w:val="20"/>
                <w:szCs w:val="20"/>
                <w:color w:val="auto"/>
              </w:rPr>
              <w:t>Enforceability of Group Annuity Contract</w:t>
            </w:r>
          </w:p>
        </w:tc>
        <w:tc>
          <w:tcPr>
            <w:tcW w:w="160" w:type="dxa"/>
            <w:vAlign w:val="bottom"/>
            <w:vMerge w:val="restart"/>
          </w:tcPr>
          <w:p>
            <w:pPr>
              <w:jc w:val="right"/>
              <w:spacing w:after="0"/>
              <w:rPr>
                <w:rFonts w:ascii="Arial" w:cs="Arial" w:eastAsia="Arial" w:hAnsi="Arial"/>
                <w:sz w:val="17"/>
                <w:szCs w:val="17"/>
                <w:color w:val="0000FF"/>
                <w:w w:val="73"/>
              </w:rPr>
            </w:pPr>
            <w:hyperlink w:anchor="page56">
              <w:r>
                <w:rPr>
                  <w:rFonts w:ascii="Arial" w:cs="Arial" w:eastAsia="Arial" w:hAnsi="Arial"/>
                  <w:sz w:val="17"/>
                  <w:szCs w:val="17"/>
                  <w:color w:val="0000FF"/>
                  <w:w w:val="73"/>
                </w:rPr>
                <w:t>45</w:t>
              </w:r>
            </w:hyperlink>
          </w:p>
        </w:tc>
        <w:tc>
          <w:tcPr>
            <w:tcW w:w="0" w:type="dxa"/>
            <w:vAlign w:val="bottom"/>
          </w:tcPr>
          <w:p>
            <w:pPr>
              <w:spacing w:after="0"/>
              <w:rPr>
                <w:sz w:val="1"/>
                <w:szCs w:val="1"/>
                <w:color w:val="auto"/>
              </w:rPr>
            </w:pPr>
          </w:p>
        </w:tc>
      </w:tr>
      <w:tr>
        <w:trPr>
          <w:trHeight w:val="58"/>
        </w:trPr>
        <w:tc>
          <w:tcPr>
            <w:tcW w:w="1360" w:type="dxa"/>
            <w:vAlign w:val="bottom"/>
            <w:vMerge w:val="continue"/>
          </w:tcPr>
          <w:p>
            <w:pPr>
              <w:spacing w:after="0"/>
              <w:rPr>
                <w:sz w:val="4"/>
                <w:szCs w:val="4"/>
                <w:color w:val="auto"/>
              </w:rPr>
            </w:pPr>
          </w:p>
        </w:tc>
        <w:tc>
          <w:tcPr>
            <w:tcW w:w="8900" w:type="dxa"/>
            <w:vAlign w:val="bottom"/>
          </w:tcPr>
          <w:p>
            <w:pPr>
              <w:spacing w:after="0"/>
              <w:rPr>
                <w:sz w:val="4"/>
                <w:szCs w:val="4"/>
                <w:color w:val="auto"/>
              </w:rPr>
            </w:pPr>
          </w:p>
        </w:tc>
        <w:tc>
          <w:tcPr>
            <w:tcW w:w="160" w:type="dxa"/>
            <w:vAlign w:val="bottom"/>
            <w:tcBorders>
              <w:bottom w:val="single" w:sz="8" w:color="0000FF"/>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1360" w:type="dxa"/>
            <w:vAlign w:val="bottom"/>
          </w:tcPr>
          <w:p>
            <w:pPr>
              <w:spacing w:after="0"/>
              <w:rPr>
                <w:sz w:val="20"/>
                <w:szCs w:val="20"/>
                <w:color w:val="auto"/>
              </w:rPr>
            </w:pPr>
            <w:r>
              <w:rPr>
                <w:rFonts w:ascii="Arial" w:cs="Arial" w:eastAsia="Arial" w:hAnsi="Arial"/>
                <w:sz w:val="20"/>
                <w:szCs w:val="20"/>
                <w:color w:val="auto"/>
              </w:rPr>
              <w:t>Section 5.5</w:t>
            </w:r>
          </w:p>
        </w:tc>
        <w:tc>
          <w:tcPr>
            <w:tcW w:w="8900" w:type="dxa"/>
            <w:vAlign w:val="bottom"/>
          </w:tcPr>
          <w:p>
            <w:pPr>
              <w:ind w:left="360"/>
              <w:spacing w:after="0"/>
              <w:rPr>
                <w:sz w:val="20"/>
                <w:szCs w:val="20"/>
                <w:color w:val="auto"/>
              </w:rPr>
            </w:pPr>
            <w:r>
              <w:rPr>
                <w:rFonts w:ascii="Arial" w:cs="Arial" w:eastAsia="Arial" w:hAnsi="Arial"/>
                <w:sz w:val="20"/>
                <w:szCs w:val="20"/>
                <w:color w:val="auto"/>
              </w:rPr>
              <w:t>RBC Ratio</w:t>
            </w:r>
          </w:p>
        </w:tc>
        <w:tc>
          <w:tcPr>
            <w:tcW w:w="160" w:type="dxa"/>
            <w:vAlign w:val="bottom"/>
            <w:tcBorders>
              <w:bottom w:val="single" w:sz="8" w:color="0000FF"/>
            </w:tcBorders>
          </w:tcPr>
          <w:p>
            <w:pPr>
              <w:jc w:val="right"/>
              <w:spacing w:after="0"/>
              <w:rPr>
                <w:rFonts w:ascii="Arial" w:cs="Arial" w:eastAsia="Arial" w:hAnsi="Arial"/>
                <w:sz w:val="17"/>
                <w:szCs w:val="17"/>
                <w:color w:val="0000FF"/>
                <w:w w:val="73"/>
              </w:rPr>
            </w:pPr>
            <w:hyperlink w:anchor="page56">
              <w:r>
                <w:rPr>
                  <w:rFonts w:ascii="Arial" w:cs="Arial" w:eastAsia="Arial" w:hAnsi="Arial"/>
                  <w:sz w:val="17"/>
                  <w:szCs w:val="17"/>
                  <w:color w:val="0000FF"/>
                  <w:w w:val="73"/>
                </w:rPr>
                <w:t>45</w:t>
              </w:r>
            </w:hyperlink>
          </w:p>
        </w:tc>
        <w:tc>
          <w:tcPr>
            <w:tcW w:w="0" w:type="dxa"/>
            <w:vAlign w:val="bottom"/>
          </w:tcPr>
          <w:p>
            <w:pPr>
              <w:spacing w:after="0"/>
              <w:rPr>
                <w:sz w:val="1"/>
                <w:szCs w:val="1"/>
                <w:color w:val="auto"/>
              </w:rPr>
            </w:pPr>
          </w:p>
        </w:tc>
      </w:tr>
      <w:tr>
        <w:trPr>
          <w:trHeight w:val="255"/>
        </w:trPr>
        <w:tc>
          <w:tcPr>
            <w:tcW w:w="1360" w:type="dxa"/>
            <w:vAlign w:val="bottom"/>
          </w:tcPr>
          <w:p>
            <w:pPr>
              <w:spacing w:after="0"/>
              <w:rPr>
                <w:sz w:val="20"/>
                <w:szCs w:val="20"/>
                <w:color w:val="auto"/>
              </w:rPr>
            </w:pPr>
            <w:r>
              <w:rPr>
                <w:rFonts w:ascii="Arial" w:cs="Arial" w:eastAsia="Arial" w:hAnsi="Arial"/>
                <w:sz w:val="20"/>
                <w:szCs w:val="20"/>
                <w:color w:val="auto"/>
              </w:rPr>
              <w:t>Section 5.6</w:t>
            </w:r>
          </w:p>
        </w:tc>
        <w:tc>
          <w:tcPr>
            <w:tcW w:w="8900" w:type="dxa"/>
            <w:vAlign w:val="bottom"/>
          </w:tcPr>
          <w:p>
            <w:pPr>
              <w:ind w:left="360"/>
              <w:spacing w:after="0"/>
              <w:rPr>
                <w:sz w:val="20"/>
                <w:szCs w:val="20"/>
                <w:color w:val="auto"/>
              </w:rPr>
            </w:pPr>
            <w:r>
              <w:rPr>
                <w:rFonts w:ascii="Arial" w:cs="Arial" w:eastAsia="Arial" w:hAnsi="Arial"/>
                <w:sz w:val="20"/>
                <w:szCs w:val="20"/>
                <w:color w:val="auto"/>
              </w:rPr>
              <w:t>Compliance with Laws</w:t>
            </w:r>
          </w:p>
        </w:tc>
        <w:tc>
          <w:tcPr>
            <w:tcW w:w="160" w:type="dxa"/>
            <w:vAlign w:val="bottom"/>
            <w:tcBorders>
              <w:bottom w:val="single" w:sz="8" w:color="0000FF"/>
            </w:tcBorders>
          </w:tcPr>
          <w:p>
            <w:pPr>
              <w:jc w:val="right"/>
              <w:spacing w:after="0"/>
              <w:rPr>
                <w:rFonts w:ascii="Arial" w:cs="Arial" w:eastAsia="Arial" w:hAnsi="Arial"/>
                <w:sz w:val="17"/>
                <w:szCs w:val="17"/>
                <w:color w:val="0000FF"/>
                <w:w w:val="73"/>
              </w:rPr>
            </w:pPr>
            <w:hyperlink w:anchor="page56">
              <w:r>
                <w:rPr>
                  <w:rFonts w:ascii="Arial" w:cs="Arial" w:eastAsia="Arial" w:hAnsi="Arial"/>
                  <w:sz w:val="17"/>
                  <w:szCs w:val="17"/>
                  <w:color w:val="0000FF"/>
                  <w:w w:val="73"/>
                </w:rPr>
                <w:t>45</w:t>
              </w:r>
            </w:hyperlink>
          </w:p>
        </w:tc>
        <w:tc>
          <w:tcPr>
            <w:tcW w:w="0" w:type="dxa"/>
            <w:vAlign w:val="bottom"/>
          </w:tcPr>
          <w:p>
            <w:pPr>
              <w:spacing w:after="0"/>
              <w:rPr>
                <w:sz w:val="1"/>
                <w:szCs w:val="1"/>
                <w:color w:val="auto"/>
              </w:rPr>
            </w:pPr>
          </w:p>
        </w:tc>
      </w:tr>
      <w:tr>
        <w:trPr>
          <w:trHeight w:val="255"/>
        </w:trPr>
        <w:tc>
          <w:tcPr>
            <w:tcW w:w="1360" w:type="dxa"/>
            <w:vAlign w:val="bottom"/>
          </w:tcPr>
          <w:p>
            <w:pPr>
              <w:spacing w:after="0"/>
              <w:rPr>
                <w:sz w:val="20"/>
                <w:szCs w:val="20"/>
                <w:color w:val="auto"/>
              </w:rPr>
            </w:pPr>
            <w:r>
              <w:rPr>
                <w:rFonts w:ascii="Arial" w:cs="Arial" w:eastAsia="Arial" w:hAnsi="Arial"/>
                <w:sz w:val="20"/>
                <w:szCs w:val="20"/>
                <w:color w:val="auto"/>
              </w:rPr>
              <w:t>Section 5.7</w:t>
            </w:r>
          </w:p>
        </w:tc>
        <w:tc>
          <w:tcPr>
            <w:tcW w:w="8900" w:type="dxa"/>
            <w:vAlign w:val="bottom"/>
          </w:tcPr>
          <w:p>
            <w:pPr>
              <w:ind w:left="360"/>
              <w:spacing w:after="0"/>
              <w:rPr>
                <w:sz w:val="20"/>
                <w:szCs w:val="20"/>
                <w:color w:val="auto"/>
              </w:rPr>
            </w:pPr>
            <w:r>
              <w:rPr>
                <w:rFonts w:ascii="Arial" w:cs="Arial" w:eastAsia="Arial" w:hAnsi="Arial"/>
                <w:sz w:val="20"/>
                <w:szCs w:val="20"/>
                <w:color w:val="auto"/>
              </w:rPr>
              <w:t>No Brokers' Fee</w:t>
            </w:r>
          </w:p>
        </w:tc>
        <w:tc>
          <w:tcPr>
            <w:tcW w:w="160" w:type="dxa"/>
            <w:vAlign w:val="bottom"/>
            <w:tcBorders>
              <w:bottom w:val="single" w:sz="8" w:color="0000FF"/>
            </w:tcBorders>
          </w:tcPr>
          <w:p>
            <w:pPr>
              <w:jc w:val="right"/>
              <w:spacing w:after="0"/>
              <w:rPr>
                <w:rFonts w:ascii="Arial" w:cs="Arial" w:eastAsia="Arial" w:hAnsi="Arial"/>
                <w:sz w:val="17"/>
                <w:szCs w:val="17"/>
                <w:color w:val="0000FF"/>
                <w:w w:val="73"/>
              </w:rPr>
            </w:pPr>
            <w:hyperlink w:anchor="page56">
              <w:r>
                <w:rPr>
                  <w:rFonts w:ascii="Arial" w:cs="Arial" w:eastAsia="Arial" w:hAnsi="Arial"/>
                  <w:sz w:val="17"/>
                  <w:szCs w:val="17"/>
                  <w:color w:val="0000FF"/>
                  <w:w w:val="73"/>
                </w:rPr>
                <w:t>45</w:t>
              </w:r>
            </w:hyperlink>
          </w:p>
        </w:tc>
        <w:tc>
          <w:tcPr>
            <w:tcW w:w="0" w:type="dxa"/>
            <w:vAlign w:val="bottom"/>
          </w:tcPr>
          <w:p>
            <w:pPr>
              <w:spacing w:after="0"/>
              <w:rPr>
                <w:sz w:val="1"/>
                <w:szCs w:val="1"/>
                <w:color w:val="auto"/>
              </w:rPr>
            </w:pPr>
          </w:p>
        </w:tc>
      </w:tr>
      <w:tr>
        <w:trPr>
          <w:trHeight w:val="255"/>
        </w:trPr>
        <w:tc>
          <w:tcPr>
            <w:tcW w:w="1360" w:type="dxa"/>
            <w:vAlign w:val="bottom"/>
          </w:tcPr>
          <w:p>
            <w:pPr>
              <w:spacing w:after="0"/>
              <w:rPr>
                <w:sz w:val="20"/>
                <w:szCs w:val="20"/>
                <w:color w:val="auto"/>
              </w:rPr>
            </w:pPr>
            <w:r>
              <w:rPr>
                <w:rFonts w:ascii="Arial" w:cs="Arial" w:eastAsia="Arial" w:hAnsi="Arial"/>
                <w:sz w:val="20"/>
                <w:szCs w:val="20"/>
                <w:color w:val="auto"/>
              </w:rPr>
              <w:t>Section 5.8</w:t>
            </w:r>
          </w:p>
        </w:tc>
        <w:tc>
          <w:tcPr>
            <w:tcW w:w="8900" w:type="dxa"/>
            <w:vAlign w:val="bottom"/>
          </w:tcPr>
          <w:p>
            <w:pPr>
              <w:ind w:left="360"/>
              <w:spacing w:after="0"/>
              <w:rPr>
                <w:sz w:val="20"/>
                <w:szCs w:val="20"/>
                <w:color w:val="auto"/>
              </w:rPr>
            </w:pPr>
            <w:r>
              <w:rPr>
                <w:rFonts w:ascii="Arial" w:cs="Arial" w:eastAsia="Arial" w:hAnsi="Arial"/>
                <w:sz w:val="20"/>
                <w:szCs w:val="20"/>
                <w:color w:val="auto"/>
              </w:rPr>
              <w:t>Disclosed Information</w:t>
            </w:r>
          </w:p>
        </w:tc>
        <w:tc>
          <w:tcPr>
            <w:tcW w:w="160" w:type="dxa"/>
            <w:vAlign w:val="bottom"/>
            <w:tcBorders>
              <w:bottom w:val="single" w:sz="8" w:color="0000FF"/>
            </w:tcBorders>
          </w:tcPr>
          <w:p>
            <w:pPr>
              <w:jc w:val="right"/>
              <w:spacing w:after="0"/>
              <w:rPr>
                <w:rFonts w:ascii="Arial" w:cs="Arial" w:eastAsia="Arial" w:hAnsi="Arial"/>
                <w:sz w:val="17"/>
                <w:szCs w:val="17"/>
                <w:color w:val="0000FF"/>
                <w:w w:val="73"/>
              </w:rPr>
            </w:pPr>
            <w:hyperlink w:anchor="page56">
              <w:r>
                <w:rPr>
                  <w:rFonts w:ascii="Arial" w:cs="Arial" w:eastAsia="Arial" w:hAnsi="Arial"/>
                  <w:sz w:val="17"/>
                  <w:szCs w:val="17"/>
                  <w:color w:val="0000FF"/>
                  <w:w w:val="73"/>
                </w:rPr>
                <w:t>45</w:t>
              </w:r>
            </w:hyperlink>
          </w:p>
        </w:tc>
        <w:tc>
          <w:tcPr>
            <w:tcW w:w="0" w:type="dxa"/>
            <w:vAlign w:val="bottom"/>
          </w:tcPr>
          <w:p>
            <w:pPr>
              <w:spacing w:after="0"/>
              <w:rPr>
                <w:sz w:val="1"/>
                <w:szCs w:val="1"/>
                <w:color w:val="auto"/>
              </w:rPr>
            </w:pPr>
          </w:p>
        </w:tc>
      </w:tr>
      <w:tr>
        <w:trPr>
          <w:trHeight w:val="255"/>
        </w:trPr>
        <w:tc>
          <w:tcPr>
            <w:tcW w:w="1360" w:type="dxa"/>
            <w:vAlign w:val="bottom"/>
          </w:tcPr>
          <w:p>
            <w:pPr>
              <w:spacing w:after="0"/>
              <w:rPr>
                <w:sz w:val="20"/>
                <w:szCs w:val="20"/>
                <w:color w:val="auto"/>
              </w:rPr>
            </w:pPr>
            <w:r>
              <w:rPr>
                <w:rFonts w:ascii="Arial" w:cs="Arial" w:eastAsia="Arial" w:hAnsi="Arial"/>
                <w:sz w:val="20"/>
                <w:szCs w:val="20"/>
                <w:color w:val="auto"/>
              </w:rPr>
              <w:t>Section 5.9</w:t>
            </w:r>
          </w:p>
        </w:tc>
        <w:tc>
          <w:tcPr>
            <w:tcW w:w="8900" w:type="dxa"/>
            <w:vAlign w:val="bottom"/>
          </w:tcPr>
          <w:p>
            <w:pPr>
              <w:ind w:left="360"/>
              <w:spacing w:after="0"/>
              <w:rPr>
                <w:sz w:val="20"/>
                <w:szCs w:val="20"/>
                <w:color w:val="auto"/>
              </w:rPr>
            </w:pPr>
            <w:r>
              <w:rPr>
                <w:rFonts w:ascii="Arial" w:cs="Arial" w:eastAsia="Arial" w:hAnsi="Arial"/>
                <w:sz w:val="20"/>
                <w:szCs w:val="20"/>
                <w:color w:val="auto"/>
              </w:rPr>
              <w:t>No Other Representations or Warranties; Reliance</w:t>
            </w:r>
          </w:p>
        </w:tc>
        <w:tc>
          <w:tcPr>
            <w:tcW w:w="160" w:type="dxa"/>
            <w:vAlign w:val="bottom"/>
            <w:tcBorders>
              <w:bottom w:val="single" w:sz="8" w:color="0000FF"/>
            </w:tcBorders>
          </w:tcPr>
          <w:p>
            <w:pPr>
              <w:jc w:val="right"/>
              <w:spacing w:after="0"/>
              <w:rPr>
                <w:rFonts w:ascii="Arial" w:cs="Arial" w:eastAsia="Arial" w:hAnsi="Arial"/>
                <w:sz w:val="17"/>
                <w:szCs w:val="17"/>
                <w:color w:val="0000FF"/>
                <w:w w:val="73"/>
              </w:rPr>
            </w:pPr>
            <w:hyperlink w:anchor="page57">
              <w:r>
                <w:rPr>
                  <w:rFonts w:ascii="Arial" w:cs="Arial" w:eastAsia="Arial" w:hAnsi="Arial"/>
                  <w:sz w:val="17"/>
                  <w:szCs w:val="17"/>
                  <w:color w:val="0000FF"/>
                  <w:w w:val="73"/>
                </w:rPr>
                <w:t>46</w:t>
              </w:r>
            </w:hyperlink>
          </w:p>
        </w:tc>
        <w:tc>
          <w:tcPr>
            <w:tcW w:w="0" w:type="dxa"/>
            <w:vAlign w:val="bottom"/>
          </w:tcPr>
          <w:p>
            <w:pPr>
              <w:spacing w:after="0"/>
              <w:rPr>
                <w:sz w:val="1"/>
                <w:szCs w:val="1"/>
                <w:color w:val="auto"/>
              </w:rPr>
            </w:pPr>
          </w:p>
        </w:tc>
      </w:tr>
      <w:tr>
        <w:trPr>
          <w:trHeight w:val="666"/>
        </w:trPr>
        <w:tc>
          <w:tcPr>
            <w:tcW w:w="1360" w:type="dxa"/>
            <w:vAlign w:val="bottom"/>
          </w:tcPr>
          <w:p>
            <w:pPr>
              <w:spacing w:after="0"/>
              <w:rPr>
                <w:sz w:val="24"/>
                <w:szCs w:val="24"/>
                <w:color w:val="auto"/>
              </w:rPr>
            </w:pPr>
          </w:p>
        </w:tc>
        <w:tc>
          <w:tcPr>
            <w:tcW w:w="8900" w:type="dxa"/>
            <w:vAlign w:val="bottom"/>
          </w:tcPr>
          <w:p>
            <w:pPr>
              <w:jc w:val="center"/>
              <w:ind w:left="200"/>
              <w:spacing w:after="0"/>
              <w:rPr>
                <w:sz w:val="20"/>
                <w:szCs w:val="20"/>
                <w:color w:val="auto"/>
              </w:rPr>
            </w:pPr>
            <w:r>
              <w:rPr>
                <w:rFonts w:ascii="Arial" w:cs="Arial" w:eastAsia="Arial" w:hAnsi="Arial"/>
                <w:sz w:val="20"/>
                <w:szCs w:val="20"/>
                <w:color w:val="auto"/>
                <w:w w:val="99"/>
              </w:rPr>
              <w:t>ARTICLE VI</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1360" w:type="dxa"/>
            <w:vAlign w:val="bottom"/>
          </w:tcPr>
          <w:p>
            <w:pPr>
              <w:spacing w:after="0"/>
              <w:rPr>
                <w:sz w:val="23"/>
                <w:szCs w:val="23"/>
                <w:color w:val="auto"/>
              </w:rPr>
            </w:pPr>
          </w:p>
        </w:tc>
        <w:tc>
          <w:tcPr>
            <w:tcW w:w="8900" w:type="dxa"/>
            <w:vAlign w:val="bottom"/>
          </w:tcPr>
          <w:p>
            <w:pPr>
              <w:jc w:val="center"/>
              <w:ind w:left="200"/>
              <w:spacing w:after="0"/>
              <w:rPr>
                <w:sz w:val="20"/>
                <w:szCs w:val="20"/>
                <w:color w:val="auto"/>
              </w:rPr>
            </w:pPr>
            <w:r>
              <w:rPr>
                <w:rFonts w:ascii="Arial" w:cs="Arial" w:eastAsia="Arial" w:hAnsi="Arial"/>
                <w:sz w:val="20"/>
                <w:szCs w:val="20"/>
                <w:color w:val="auto"/>
                <w:w w:val="95"/>
              </w:rPr>
              <w:t>PRE CLOSING COVENANTS</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8"/>
        </w:trPr>
        <w:tc>
          <w:tcPr>
            <w:tcW w:w="1360" w:type="dxa"/>
            <w:vAlign w:val="bottom"/>
          </w:tcPr>
          <w:p>
            <w:pPr>
              <w:spacing w:after="0" w:line="228" w:lineRule="exact"/>
              <w:rPr>
                <w:sz w:val="20"/>
                <w:szCs w:val="20"/>
                <w:color w:val="auto"/>
              </w:rPr>
            </w:pPr>
            <w:r>
              <w:rPr>
                <w:rFonts w:ascii="Arial" w:cs="Arial" w:eastAsia="Arial" w:hAnsi="Arial"/>
                <w:sz w:val="20"/>
                <w:szCs w:val="20"/>
                <w:color w:val="auto"/>
              </w:rPr>
              <w:t>Section 6.1</w:t>
            </w:r>
          </w:p>
        </w:tc>
        <w:tc>
          <w:tcPr>
            <w:tcW w:w="8900" w:type="dxa"/>
            <w:vAlign w:val="bottom"/>
          </w:tcPr>
          <w:p>
            <w:pPr>
              <w:ind w:left="360"/>
              <w:spacing w:after="0" w:line="228" w:lineRule="exact"/>
              <w:rPr>
                <w:sz w:val="20"/>
                <w:szCs w:val="20"/>
                <w:color w:val="auto"/>
              </w:rPr>
            </w:pPr>
            <w:r>
              <w:rPr>
                <w:rFonts w:ascii="Arial" w:cs="Arial" w:eastAsia="Arial" w:hAnsi="Arial"/>
                <w:sz w:val="20"/>
                <w:szCs w:val="20"/>
                <w:color w:val="auto"/>
              </w:rPr>
              <w:t>Plan Amendments; Company Certification</w:t>
            </w:r>
          </w:p>
        </w:tc>
        <w:tc>
          <w:tcPr>
            <w:tcW w:w="160" w:type="dxa"/>
            <w:vAlign w:val="bottom"/>
            <w:tcBorders>
              <w:bottom w:val="single" w:sz="8" w:color="0000FF"/>
            </w:tcBorders>
          </w:tcPr>
          <w:p>
            <w:pPr>
              <w:jc w:val="right"/>
              <w:spacing w:after="0"/>
              <w:rPr>
                <w:rFonts w:ascii="Arial" w:cs="Arial" w:eastAsia="Arial" w:hAnsi="Arial"/>
                <w:sz w:val="17"/>
                <w:szCs w:val="17"/>
                <w:color w:val="0000FF"/>
                <w:w w:val="73"/>
              </w:rPr>
            </w:pPr>
            <w:hyperlink w:anchor="page57">
              <w:r>
                <w:rPr>
                  <w:rFonts w:ascii="Arial" w:cs="Arial" w:eastAsia="Arial" w:hAnsi="Arial"/>
                  <w:sz w:val="17"/>
                  <w:szCs w:val="17"/>
                  <w:color w:val="0000FF"/>
                  <w:w w:val="73"/>
                </w:rPr>
                <w:t>46</w:t>
              </w:r>
            </w:hyperlink>
          </w:p>
        </w:tc>
        <w:tc>
          <w:tcPr>
            <w:tcW w:w="0" w:type="dxa"/>
            <w:vAlign w:val="bottom"/>
          </w:tcPr>
          <w:p>
            <w:pPr>
              <w:spacing w:after="0"/>
              <w:rPr>
                <w:sz w:val="1"/>
                <w:szCs w:val="1"/>
                <w:color w:val="auto"/>
              </w:rPr>
            </w:pPr>
          </w:p>
        </w:tc>
      </w:tr>
      <w:tr>
        <w:trPr>
          <w:trHeight w:val="255"/>
        </w:trPr>
        <w:tc>
          <w:tcPr>
            <w:tcW w:w="1360" w:type="dxa"/>
            <w:vAlign w:val="bottom"/>
          </w:tcPr>
          <w:p>
            <w:pPr>
              <w:spacing w:after="0"/>
              <w:rPr>
                <w:sz w:val="20"/>
                <w:szCs w:val="20"/>
                <w:color w:val="auto"/>
              </w:rPr>
            </w:pPr>
            <w:r>
              <w:rPr>
                <w:rFonts w:ascii="Arial" w:cs="Arial" w:eastAsia="Arial" w:hAnsi="Arial"/>
                <w:sz w:val="20"/>
                <w:szCs w:val="20"/>
                <w:color w:val="auto"/>
              </w:rPr>
              <w:t>Section 6.2</w:t>
            </w:r>
          </w:p>
        </w:tc>
        <w:tc>
          <w:tcPr>
            <w:tcW w:w="8900" w:type="dxa"/>
            <w:vAlign w:val="bottom"/>
          </w:tcPr>
          <w:p>
            <w:pPr>
              <w:ind w:left="360"/>
              <w:spacing w:after="0"/>
              <w:rPr>
                <w:sz w:val="20"/>
                <w:szCs w:val="20"/>
                <w:color w:val="auto"/>
              </w:rPr>
            </w:pPr>
            <w:r>
              <w:rPr>
                <w:rFonts w:ascii="Arial" w:cs="Arial" w:eastAsia="Arial" w:hAnsi="Arial"/>
                <w:sz w:val="20"/>
                <w:szCs w:val="20"/>
                <w:color w:val="auto"/>
              </w:rPr>
              <w:t>Notice of Material Litigation</w:t>
            </w:r>
          </w:p>
        </w:tc>
        <w:tc>
          <w:tcPr>
            <w:tcW w:w="160" w:type="dxa"/>
            <w:vAlign w:val="bottom"/>
            <w:tcBorders>
              <w:bottom w:val="single" w:sz="8" w:color="0000FF"/>
            </w:tcBorders>
          </w:tcPr>
          <w:p>
            <w:pPr>
              <w:jc w:val="right"/>
              <w:spacing w:after="0"/>
              <w:rPr>
                <w:rFonts w:ascii="Arial" w:cs="Arial" w:eastAsia="Arial" w:hAnsi="Arial"/>
                <w:sz w:val="17"/>
                <w:szCs w:val="17"/>
                <w:color w:val="0000FF"/>
                <w:w w:val="73"/>
              </w:rPr>
            </w:pPr>
            <w:hyperlink w:anchor="page58">
              <w:r>
                <w:rPr>
                  <w:rFonts w:ascii="Arial" w:cs="Arial" w:eastAsia="Arial" w:hAnsi="Arial"/>
                  <w:sz w:val="17"/>
                  <w:szCs w:val="17"/>
                  <w:color w:val="0000FF"/>
                  <w:w w:val="73"/>
                </w:rPr>
                <w:t>47</w:t>
              </w:r>
            </w:hyperlink>
          </w:p>
        </w:tc>
        <w:tc>
          <w:tcPr>
            <w:tcW w:w="0" w:type="dxa"/>
            <w:vAlign w:val="bottom"/>
          </w:tcPr>
          <w:p>
            <w:pPr>
              <w:spacing w:after="0"/>
              <w:rPr>
                <w:sz w:val="1"/>
                <w:szCs w:val="1"/>
                <w:color w:val="auto"/>
              </w:rPr>
            </w:pPr>
          </w:p>
        </w:tc>
      </w:tr>
    </w:tbl>
    <w:p>
      <w:pPr>
        <w:spacing w:after="0" w:line="363"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ii</w:t>
      </w:r>
    </w:p>
    <w:p>
      <w:pPr>
        <w:sectPr>
          <w:pgSz w:w="11900" w:h="16838" w:orient="portrait"/>
          <w:cols w:equalWidth="0" w:num="1">
            <w:col w:w="10420"/>
          </w:cols>
          <w:pgMar w:left="280" w:top="123" w:right="119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17"/>
        </w:trPr>
        <w:tc>
          <w:tcPr>
            <w:tcW w:w="1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760" w:type="dxa"/>
            <w:vAlign w:val="bottom"/>
          </w:tcPr>
          <w:p>
            <w:pPr>
              <w:ind w:left="2280"/>
              <w:spacing w:after="0"/>
              <w:rPr>
                <w:sz w:val="20"/>
                <w:szCs w:val="20"/>
                <w:color w:val="auto"/>
              </w:rPr>
            </w:pPr>
            <w:r>
              <w:rPr>
                <w:rFonts w:ascii="Arial" w:cs="Arial" w:eastAsia="Arial" w:hAnsi="Arial"/>
                <w:sz w:val="17"/>
                <w:szCs w:val="17"/>
                <w:b w:val="1"/>
                <w:bCs w:val="1"/>
                <w:color w:val="auto"/>
              </w:rPr>
              <w:t>TABLE OF CONTENTS</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63"/>
        </w:trPr>
        <w:tc>
          <w:tcPr>
            <w:tcW w:w="1360" w:type="dxa"/>
            <w:vAlign w:val="bottom"/>
          </w:tcPr>
          <w:p>
            <w:pPr>
              <w:spacing w:after="0"/>
              <w:rPr>
                <w:sz w:val="20"/>
                <w:szCs w:val="20"/>
                <w:color w:val="auto"/>
              </w:rPr>
            </w:pPr>
            <w:r>
              <w:rPr>
                <w:rFonts w:ascii="Arial" w:cs="Arial" w:eastAsia="Arial" w:hAnsi="Arial"/>
                <w:sz w:val="20"/>
                <w:szCs w:val="20"/>
                <w:color w:val="auto"/>
              </w:rPr>
              <w:t>Section 6.3</w:t>
            </w:r>
          </w:p>
        </w:tc>
        <w:tc>
          <w:tcPr>
            <w:tcW w:w="8900" w:type="dxa"/>
            <w:vAlign w:val="bottom"/>
            <w:gridSpan w:val="2"/>
          </w:tcPr>
          <w:p>
            <w:pPr>
              <w:ind w:left="360"/>
              <w:spacing w:after="0"/>
              <w:rPr>
                <w:sz w:val="20"/>
                <w:szCs w:val="20"/>
                <w:color w:val="auto"/>
              </w:rPr>
            </w:pPr>
            <w:r>
              <w:rPr>
                <w:rFonts w:ascii="Arial" w:cs="Arial" w:eastAsia="Arial" w:hAnsi="Arial"/>
                <w:sz w:val="20"/>
                <w:szCs w:val="20"/>
                <w:color w:val="auto"/>
              </w:rPr>
              <w:t>Efforts to Close; Regulatory Clearances; Third-Party Consents</w:t>
            </w:r>
          </w:p>
        </w:tc>
        <w:tc>
          <w:tcPr>
            <w:tcW w:w="160" w:type="dxa"/>
            <w:vAlign w:val="bottom"/>
            <w:tcBorders>
              <w:bottom w:val="single" w:sz="8" w:color="0000FF"/>
            </w:tcBorders>
          </w:tcPr>
          <w:p>
            <w:pPr>
              <w:jc w:val="right"/>
              <w:spacing w:after="0"/>
              <w:rPr>
                <w:rFonts w:ascii="Arial" w:cs="Arial" w:eastAsia="Arial" w:hAnsi="Arial"/>
                <w:sz w:val="17"/>
                <w:szCs w:val="17"/>
                <w:color w:val="0000FF"/>
                <w:w w:val="73"/>
              </w:rPr>
            </w:pPr>
            <w:hyperlink w:anchor="page58">
              <w:r>
                <w:rPr>
                  <w:rFonts w:ascii="Arial" w:cs="Arial" w:eastAsia="Arial" w:hAnsi="Arial"/>
                  <w:sz w:val="17"/>
                  <w:szCs w:val="17"/>
                  <w:color w:val="0000FF"/>
                  <w:w w:val="73"/>
                </w:rPr>
                <w:t>47</w:t>
              </w:r>
            </w:hyperlink>
          </w:p>
        </w:tc>
        <w:tc>
          <w:tcPr>
            <w:tcW w:w="0" w:type="dxa"/>
            <w:vAlign w:val="bottom"/>
          </w:tcPr>
          <w:p>
            <w:pPr>
              <w:spacing w:after="0"/>
              <w:rPr>
                <w:sz w:val="1"/>
                <w:szCs w:val="1"/>
                <w:color w:val="auto"/>
              </w:rPr>
            </w:pPr>
          </w:p>
        </w:tc>
      </w:tr>
      <w:tr>
        <w:trPr>
          <w:trHeight w:val="255"/>
        </w:trPr>
        <w:tc>
          <w:tcPr>
            <w:tcW w:w="1360" w:type="dxa"/>
            <w:vAlign w:val="bottom"/>
          </w:tcPr>
          <w:p>
            <w:pPr>
              <w:spacing w:after="0"/>
              <w:rPr>
                <w:sz w:val="20"/>
                <w:szCs w:val="20"/>
                <w:color w:val="auto"/>
              </w:rPr>
            </w:pPr>
            <w:r>
              <w:rPr>
                <w:rFonts w:ascii="Arial" w:cs="Arial" w:eastAsia="Arial" w:hAnsi="Arial"/>
                <w:sz w:val="20"/>
                <w:szCs w:val="20"/>
                <w:color w:val="auto"/>
              </w:rPr>
              <w:t>Section 6.4</w:t>
            </w:r>
          </w:p>
        </w:tc>
        <w:tc>
          <w:tcPr>
            <w:tcW w:w="8900" w:type="dxa"/>
            <w:vAlign w:val="bottom"/>
            <w:gridSpan w:val="2"/>
          </w:tcPr>
          <w:p>
            <w:pPr>
              <w:ind w:left="360"/>
              <w:spacing w:after="0"/>
              <w:rPr>
                <w:sz w:val="20"/>
                <w:szCs w:val="20"/>
                <w:color w:val="auto"/>
              </w:rPr>
            </w:pPr>
            <w:r>
              <w:rPr>
                <w:rFonts w:ascii="Arial" w:cs="Arial" w:eastAsia="Arial" w:hAnsi="Arial"/>
                <w:sz w:val="20"/>
                <w:szCs w:val="20"/>
                <w:color w:val="auto"/>
              </w:rPr>
              <w:t>Public Announcements; SEC Filings</w:t>
            </w:r>
          </w:p>
        </w:tc>
        <w:tc>
          <w:tcPr>
            <w:tcW w:w="160" w:type="dxa"/>
            <w:vAlign w:val="bottom"/>
            <w:tcBorders>
              <w:bottom w:val="single" w:sz="8" w:color="0000FF"/>
            </w:tcBorders>
          </w:tcPr>
          <w:p>
            <w:pPr>
              <w:jc w:val="right"/>
              <w:spacing w:after="0"/>
              <w:rPr>
                <w:rFonts w:ascii="Arial" w:cs="Arial" w:eastAsia="Arial" w:hAnsi="Arial"/>
                <w:sz w:val="17"/>
                <w:szCs w:val="17"/>
                <w:color w:val="0000FF"/>
                <w:w w:val="73"/>
              </w:rPr>
            </w:pPr>
            <w:hyperlink w:anchor="page59">
              <w:r>
                <w:rPr>
                  <w:rFonts w:ascii="Arial" w:cs="Arial" w:eastAsia="Arial" w:hAnsi="Arial"/>
                  <w:sz w:val="17"/>
                  <w:szCs w:val="17"/>
                  <w:color w:val="0000FF"/>
                  <w:w w:val="73"/>
                </w:rPr>
                <w:t>48</w:t>
              </w:r>
            </w:hyperlink>
          </w:p>
        </w:tc>
        <w:tc>
          <w:tcPr>
            <w:tcW w:w="0" w:type="dxa"/>
            <w:vAlign w:val="bottom"/>
          </w:tcPr>
          <w:p>
            <w:pPr>
              <w:spacing w:after="0"/>
              <w:rPr>
                <w:sz w:val="1"/>
                <w:szCs w:val="1"/>
                <w:color w:val="auto"/>
              </w:rPr>
            </w:pPr>
          </w:p>
        </w:tc>
      </w:tr>
      <w:tr>
        <w:trPr>
          <w:trHeight w:val="255"/>
        </w:trPr>
        <w:tc>
          <w:tcPr>
            <w:tcW w:w="1360" w:type="dxa"/>
            <w:vAlign w:val="bottom"/>
          </w:tcPr>
          <w:p>
            <w:pPr>
              <w:spacing w:after="0"/>
              <w:rPr>
                <w:sz w:val="20"/>
                <w:szCs w:val="20"/>
                <w:color w:val="auto"/>
              </w:rPr>
            </w:pPr>
            <w:r>
              <w:rPr>
                <w:rFonts w:ascii="Arial" w:cs="Arial" w:eastAsia="Arial" w:hAnsi="Arial"/>
                <w:sz w:val="20"/>
                <w:szCs w:val="20"/>
                <w:color w:val="auto"/>
              </w:rPr>
              <w:t>Section 6.5</w:t>
            </w:r>
          </w:p>
        </w:tc>
        <w:tc>
          <w:tcPr>
            <w:tcW w:w="8900" w:type="dxa"/>
            <w:vAlign w:val="bottom"/>
            <w:gridSpan w:val="2"/>
          </w:tcPr>
          <w:p>
            <w:pPr>
              <w:ind w:left="360"/>
              <w:spacing w:after="0"/>
              <w:rPr>
                <w:sz w:val="20"/>
                <w:szCs w:val="20"/>
                <w:color w:val="auto"/>
              </w:rPr>
            </w:pPr>
            <w:r>
              <w:rPr>
                <w:rFonts w:ascii="Arial" w:cs="Arial" w:eastAsia="Arial" w:hAnsi="Arial"/>
                <w:sz w:val="20"/>
                <w:szCs w:val="20"/>
                <w:color w:val="auto"/>
              </w:rPr>
              <w:t>Notification of Certain Matters</w:t>
            </w:r>
          </w:p>
        </w:tc>
        <w:tc>
          <w:tcPr>
            <w:tcW w:w="160" w:type="dxa"/>
            <w:vAlign w:val="bottom"/>
            <w:tcBorders>
              <w:bottom w:val="single" w:sz="8" w:color="0000FF"/>
            </w:tcBorders>
          </w:tcPr>
          <w:p>
            <w:pPr>
              <w:jc w:val="right"/>
              <w:spacing w:after="0"/>
              <w:rPr>
                <w:rFonts w:ascii="Arial" w:cs="Arial" w:eastAsia="Arial" w:hAnsi="Arial"/>
                <w:sz w:val="17"/>
                <w:szCs w:val="17"/>
                <w:color w:val="0000FF"/>
                <w:w w:val="73"/>
              </w:rPr>
            </w:pPr>
            <w:hyperlink w:anchor="page60">
              <w:r>
                <w:rPr>
                  <w:rFonts w:ascii="Arial" w:cs="Arial" w:eastAsia="Arial" w:hAnsi="Arial"/>
                  <w:sz w:val="17"/>
                  <w:szCs w:val="17"/>
                  <w:color w:val="0000FF"/>
                  <w:w w:val="73"/>
                </w:rPr>
                <w:t>49</w:t>
              </w:r>
            </w:hyperlink>
          </w:p>
        </w:tc>
        <w:tc>
          <w:tcPr>
            <w:tcW w:w="0" w:type="dxa"/>
            <w:vAlign w:val="bottom"/>
          </w:tcPr>
          <w:p>
            <w:pPr>
              <w:spacing w:after="0"/>
              <w:rPr>
                <w:sz w:val="1"/>
                <w:szCs w:val="1"/>
                <w:color w:val="auto"/>
              </w:rPr>
            </w:pPr>
          </w:p>
        </w:tc>
      </w:tr>
      <w:tr>
        <w:trPr>
          <w:trHeight w:val="272"/>
        </w:trPr>
        <w:tc>
          <w:tcPr>
            <w:tcW w:w="1360" w:type="dxa"/>
            <w:vAlign w:val="bottom"/>
          </w:tcPr>
          <w:p>
            <w:pPr>
              <w:spacing w:after="0"/>
              <w:rPr>
                <w:sz w:val="20"/>
                <w:szCs w:val="20"/>
                <w:color w:val="auto"/>
              </w:rPr>
            </w:pPr>
            <w:r>
              <w:rPr>
                <w:rFonts w:ascii="Arial" w:cs="Arial" w:eastAsia="Arial" w:hAnsi="Arial"/>
                <w:sz w:val="20"/>
                <w:szCs w:val="20"/>
                <w:color w:val="auto"/>
              </w:rPr>
              <w:t>Section 6.6</w:t>
            </w:r>
          </w:p>
        </w:tc>
        <w:tc>
          <w:tcPr>
            <w:tcW w:w="8900" w:type="dxa"/>
            <w:vAlign w:val="bottom"/>
            <w:gridSpan w:val="2"/>
          </w:tcPr>
          <w:p>
            <w:pPr>
              <w:ind w:left="360"/>
              <w:spacing w:after="0"/>
              <w:rPr>
                <w:sz w:val="20"/>
                <w:szCs w:val="20"/>
                <w:color w:val="auto"/>
              </w:rPr>
            </w:pPr>
            <w:r>
              <w:rPr>
                <w:rFonts w:ascii="Arial" w:cs="Arial" w:eastAsia="Arial" w:hAnsi="Arial"/>
                <w:sz w:val="20"/>
                <w:szCs w:val="20"/>
                <w:color w:val="auto"/>
              </w:rPr>
              <w:t>Calculation and Adjustment of Insurer RBC Ratio; Projected Parent Liquidity Position; Liquidity</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1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7760" w:type="dxa"/>
            <w:vAlign w:val="bottom"/>
          </w:tcPr>
          <w:p>
            <w:pPr>
              <w:ind w:left="420"/>
              <w:spacing w:after="0"/>
              <w:rPr>
                <w:sz w:val="20"/>
                <w:szCs w:val="20"/>
                <w:color w:val="auto"/>
              </w:rPr>
            </w:pPr>
            <w:r>
              <w:rPr>
                <w:rFonts w:ascii="Arial" w:cs="Arial" w:eastAsia="Arial" w:hAnsi="Arial"/>
                <w:sz w:val="20"/>
                <w:szCs w:val="20"/>
                <w:color w:val="auto"/>
              </w:rPr>
              <w:t>Requirement; Liquidity Cap</w:t>
            </w:r>
          </w:p>
        </w:tc>
        <w:tc>
          <w:tcPr>
            <w:tcW w:w="160" w:type="dxa"/>
            <w:vAlign w:val="bottom"/>
            <w:vMerge w:val="restart"/>
          </w:tcPr>
          <w:p>
            <w:pPr>
              <w:jc w:val="right"/>
              <w:spacing w:after="0"/>
              <w:rPr>
                <w:rFonts w:ascii="Arial" w:cs="Arial" w:eastAsia="Arial" w:hAnsi="Arial"/>
                <w:sz w:val="17"/>
                <w:szCs w:val="17"/>
                <w:color w:val="0000FF"/>
                <w:w w:val="73"/>
              </w:rPr>
            </w:pPr>
            <w:hyperlink w:anchor="page61">
              <w:r>
                <w:rPr>
                  <w:rFonts w:ascii="Arial" w:cs="Arial" w:eastAsia="Arial" w:hAnsi="Arial"/>
                  <w:sz w:val="17"/>
                  <w:szCs w:val="17"/>
                  <w:color w:val="0000FF"/>
                  <w:w w:val="73"/>
                </w:rPr>
                <w:t>50</w:t>
              </w:r>
            </w:hyperlink>
          </w:p>
        </w:tc>
        <w:tc>
          <w:tcPr>
            <w:tcW w:w="0" w:type="dxa"/>
            <w:vAlign w:val="bottom"/>
          </w:tcPr>
          <w:p>
            <w:pPr>
              <w:spacing w:after="0"/>
              <w:rPr>
                <w:sz w:val="1"/>
                <w:szCs w:val="1"/>
                <w:color w:val="auto"/>
              </w:rPr>
            </w:pPr>
          </w:p>
        </w:tc>
      </w:tr>
      <w:tr>
        <w:trPr>
          <w:trHeight w:val="58"/>
        </w:trPr>
        <w:tc>
          <w:tcPr>
            <w:tcW w:w="13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760" w:type="dxa"/>
            <w:vAlign w:val="bottom"/>
          </w:tcPr>
          <w:p>
            <w:pPr>
              <w:spacing w:after="0"/>
              <w:rPr>
                <w:sz w:val="4"/>
                <w:szCs w:val="4"/>
                <w:color w:val="auto"/>
              </w:rPr>
            </w:pPr>
          </w:p>
        </w:tc>
        <w:tc>
          <w:tcPr>
            <w:tcW w:w="160" w:type="dxa"/>
            <w:vAlign w:val="bottom"/>
            <w:tcBorders>
              <w:bottom w:val="single" w:sz="8" w:color="0000FF"/>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1360" w:type="dxa"/>
            <w:vAlign w:val="bottom"/>
          </w:tcPr>
          <w:p>
            <w:pPr>
              <w:spacing w:after="0"/>
              <w:rPr>
                <w:sz w:val="20"/>
                <w:szCs w:val="20"/>
                <w:color w:val="auto"/>
              </w:rPr>
            </w:pPr>
            <w:r>
              <w:rPr>
                <w:rFonts w:ascii="Arial" w:cs="Arial" w:eastAsia="Arial" w:hAnsi="Arial"/>
                <w:sz w:val="20"/>
                <w:szCs w:val="20"/>
                <w:color w:val="auto"/>
              </w:rPr>
              <w:t>Section 6.7</w:t>
            </w:r>
          </w:p>
        </w:tc>
        <w:tc>
          <w:tcPr>
            <w:tcW w:w="8900" w:type="dxa"/>
            <w:vAlign w:val="bottom"/>
            <w:gridSpan w:val="2"/>
          </w:tcPr>
          <w:p>
            <w:pPr>
              <w:ind w:left="360"/>
              <w:spacing w:after="0"/>
              <w:rPr>
                <w:sz w:val="20"/>
                <w:szCs w:val="20"/>
                <w:color w:val="auto"/>
              </w:rPr>
            </w:pPr>
            <w:r>
              <w:rPr>
                <w:rFonts w:ascii="Arial" w:cs="Arial" w:eastAsia="Arial" w:hAnsi="Arial"/>
                <w:sz w:val="20"/>
                <w:szCs w:val="20"/>
                <w:color w:val="auto"/>
              </w:rPr>
              <w:t>Administrative Transition Process</w:t>
            </w:r>
          </w:p>
        </w:tc>
        <w:tc>
          <w:tcPr>
            <w:tcW w:w="160" w:type="dxa"/>
            <w:vAlign w:val="bottom"/>
            <w:tcBorders>
              <w:bottom w:val="single" w:sz="8" w:color="0000FF"/>
            </w:tcBorders>
          </w:tcPr>
          <w:p>
            <w:pPr>
              <w:jc w:val="right"/>
              <w:spacing w:after="0"/>
              <w:rPr>
                <w:rFonts w:ascii="Arial" w:cs="Arial" w:eastAsia="Arial" w:hAnsi="Arial"/>
                <w:sz w:val="17"/>
                <w:szCs w:val="17"/>
                <w:color w:val="0000FF"/>
                <w:w w:val="73"/>
              </w:rPr>
            </w:pPr>
            <w:hyperlink w:anchor="page62">
              <w:r>
                <w:rPr>
                  <w:rFonts w:ascii="Arial" w:cs="Arial" w:eastAsia="Arial" w:hAnsi="Arial"/>
                  <w:sz w:val="17"/>
                  <w:szCs w:val="17"/>
                  <w:color w:val="0000FF"/>
                  <w:w w:val="73"/>
                </w:rPr>
                <w:t>51</w:t>
              </w:r>
            </w:hyperlink>
          </w:p>
        </w:tc>
        <w:tc>
          <w:tcPr>
            <w:tcW w:w="0" w:type="dxa"/>
            <w:vAlign w:val="bottom"/>
          </w:tcPr>
          <w:p>
            <w:pPr>
              <w:spacing w:after="0"/>
              <w:rPr>
                <w:sz w:val="1"/>
                <w:szCs w:val="1"/>
                <w:color w:val="auto"/>
              </w:rPr>
            </w:pPr>
          </w:p>
        </w:tc>
      </w:tr>
      <w:tr>
        <w:trPr>
          <w:trHeight w:val="255"/>
        </w:trPr>
        <w:tc>
          <w:tcPr>
            <w:tcW w:w="1360" w:type="dxa"/>
            <w:vAlign w:val="bottom"/>
          </w:tcPr>
          <w:p>
            <w:pPr>
              <w:spacing w:after="0"/>
              <w:rPr>
                <w:sz w:val="20"/>
                <w:szCs w:val="20"/>
                <w:color w:val="auto"/>
              </w:rPr>
            </w:pPr>
            <w:r>
              <w:rPr>
                <w:rFonts w:ascii="Arial" w:cs="Arial" w:eastAsia="Arial" w:hAnsi="Arial"/>
                <w:sz w:val="20"/>
                <w:szCs w:val="20"/>
                <w:color w:val="auto"/>
              </w:rPr>
              <w:t>Section 6.8</w:t>
            </w:r>
          </w:p>
        </w:tc>
        <w:tc>
          <w:tcPr>
            <w:tcW w:w="8900" w:type="dxa"/>
            <w:vAlign w:val="bottom"/>
            <w:gridSpan w:val="2"/>
          </w:tcPr>
          <w:p>
            <w:pPr>
              <w:ind w:left="360"/>
              <w:spacing w:after="0"/>
              <w:rPr>
                <w:sz w:val="20"/>
                <w:szCs w:val="20"/>
                <w:color w:val="auto"/>
              </w:rPr>
            </w:pPr>
            <w:r>
              <w:rPr>
                <w:rFonts w:ascii="Arial" w:cs="Arial" w:eastAsia="Arial" w:hAnsi="Arial"/>
                <w:sz w:val="20"/>
                <w:szCs w:val="20"/>
                <w:color w:val="auto"/>
              </w:rPr>
              <w:t>Compliance with Prohibited Transaction Class Exemption 84-24</w:t>
            </w:r>
          </w:p>
        </w:tc>
        <w:tc>
          <w:tcPr>
            <w:tcW w:w="160" w:type="dxa"/>
            <w:vAlign w:val="bottom"/>
            <w:tcBorders>
              <w:bottom w:val="single" w:sz="8" w:color="0000FF"/>
            </w:tcBorders>
          </w:tcPr>
          <w:p>
            <w:pPr>
              <w:jc w:val="right"/>
              <w:spacing w:after="0"/>
              <w:rPr>
                <w:rFonts w:ascii="Arial" w:cs="Arial" w:eastAsia="Arial" w:hAnsi="Arial"/>
                <w:sz w:val="17"/>
                <w:szCs w:val="17"/>
                <w:color w:val="0000FF"/>
                <w:w w:val="73"/>
              </w:rPr>
            </w:pPr>
            <w:hyperlink w:anchor="page62">
              <w:r>
                <w:rPr>
                  <w:rFonts w:ascii="Arial" w:cs="Arial" w:eastAsia="Arial" w:hAnsi="Arial"/>
                  <w:sz w:val="17"/>
                  <w:szCs w:val="17"/>
                  <w:color w:val="0000FF"/>
                  <w:w w:val="73"/>
                </w:rPr>
                <w:t>51</w:t>
              </w:r>
            </w:hyperlink>
          </w:p>
        </w:tc>
        <w:tc>
          <w:tcPr>
            <w:tcW w:w="0" w:type="dxa"/>
            <w:vAlign w:val="bottom"/>
          </w:tcPr>
          <w:p>
            <w:pPr>
              <w:spacing w:after="0"/>
              <w:rPr>
                <w:sz w:val="1"/>
                <w:szCs w:val="1"/>
                <w:color w:val="auto"/>
              </w:rPr>
            </w:pPr>
          </w:p>
        </w:tc>
      </w:tr>
      <w:tr>
        <w:trPr>
          <w:trHeight w:val="255"/>
        </w:trPr>
        <w:tc>
          <w:tcPr>
            <w:tcW w:w="1360" w:type="dxa"/>
            <w:vAlign w:val="bottom"/>
          </w:tcPr>
          <w:p>
            <w:pPr>
              <w:spacing w:after="0"/>
              <w:rPr>
                <w:sz w:val="20"/>
                <w:szCs w:val="20"/>
                <w:color w:val="auto"/>
              </w:rPr>
            </w:pPr>
            <w:r>
              <w:rPr>
                <w:rFonts w:ascii="Arial" w:cs="Arial" w:eastAsia="Arial" w:hAnsi="Arial"/>
                <w:sz w:val="20"/>
                <w:szCs w:val="20"/>
                <w:color w:val="auto"/>
              </w:rPr>
              <w:t>Section 6.9</w:t>
            </w:r>
          </w:p>
        </w:tc>
        <w:tc>
          <w:tcPr>
            <w:tcW w:w="8900" w:type="dxa"/>
            <w:vAlign w:val="bottom"/>
            <w:gridSpan w:val="2"/>
          </w:tcPr>
          <w:p>
            <w:pPr>
              <w:ind w:left="360"/>
              <w:spacing w:after="0"/>
              <w:rPr>
                <w:sz w:val="20"/>
                <w:szCs w:val="20"/>
                <w:color w:val="auto"/>
              </w:rPr>
            </w:pPr>
            <w:r>
              <w:rPr>
                <w:rFonts w:ascii="Arial" w:cs="Arial" w:eastAsia="Arial" w:hAnsi="Arial"/>
                <w:sz w:val="20"/>
                <w:szCs w:val="20"/>
                <w:color w:val="auto"/>
              </w:rPr>
              <w:t>Pre-Closing Meeting</w:t>
            </w:r>
          </w:p>
        </w:tc>
        <w:tc>
          <w:tcPr>
            <w:tcW w:w="160" w:type="dxa"/>
            <w:vAlign w:val="bottom"/>
            <w:tcBorders>
              <w:bottom w:val="single" w:sz="8" w:color="0000FF"/>
            </w:tcBorders>
          </w:tcPr>
          <w:p>
            <w:pPr>
              <w:jc w:val="right"/>
              <w:spacing w:after="0"/>
              <w:rPr>
                <w:rFonts w:ascii="Arial" w:cs="Arial" w:eastAsia="Arial" w:hAnsi="Arial"/>
                <w:sz w:val="17"/>
                <w:szCs w:val="17"/>
                <w:color w:val="0000FF"/>
                <w:w w:val="73"/>
              </w:rPr>
            </w:pPr>
            <w:hyperlink w:anchor="page62">
              <w:r>
                <w:rPr>
                  <w:rFonts w:ascii="Arial" w:cs="Arial" w:eastAsia="Arial" w:hAnsi="Arial"/>
                  <w:sz w:val="17"/>
                  <w:szCs w:val="17"/>
                  <w:color w:val="0000FF"/>
                  <w:w w:val="73"/>
                </w:rPr>
                <w:t>51</w:t>
              </w:r>
            </w:hyperlink>
          </w:p>
        </w:tc>
        <w:tc>
          <w:tcPr>
            <w:tcW w:w="0" w:type="dxa"/>
            <w:vAlign w:val="bottom"/>
          </w:tcPr>
          <w:p>
            <w:pPr>
              <w:spacing w:after="0"/>
              <w:rPr>
                <w:sz w:val="1"/>
                <w:szCs w:val="1"/>
                <w:color w:val="auto"/>
              </w:rPr>
            </w:pPr>
          </w:p>
        </w:tc>
      </w:tr>
      <w:tr>
        <w:trPr>
          <w:trHeight w:val="255"/>
        </w:trPr>
        <w:tc>
          <w:tcPr>
            <w:tcW w:w="1360" w:type="dxa"/>
            <w:vAlign w:val="bottom"/>
          </w:tcPr>
          <w:p>
            <w:pPr>
              <w:spacing w:after="0"/>
              <w:rPr>
                <w:sz w:val="20"/>
                <w:szCs w:val="20"/>
                <w:color w:val="auto"/>
              </w:rPr>
            </w:pPr>
            <w:r>
              <w:rPr>
                <w:rFonts w:ascii="Arial" w:cs="Arial" w:eastAsia="Arial" w:hAnsi="Arial"/>
                <w:sz w:val="20"/>
                <w:szCs w:val="20"/>
                <w:color w:val="auto"/>
              </w:rPr>
              <w:t>Section 6.10</w:t>
            </w:r>
          </w:p>
        </w:tc>
        <w:tc>
          <w:tcPr>
            <w:tcW w:w="8900" w:type="dxa"/>
            <w:vAlign w:val="bottom"/>
            <w:gridSpan w:val="2"/>
          </w:tcPr>
          <w:p>
            <w:pPr>
              <w:ind w:left="360"/>
              <w:spacing w:after="0"/>
              <w:rPr>
                <w:sz w:val="20"/>
                <w:szCs w:val="20"/>
                <w:color w:val="auto"/>
              </w:rPr>
            </w:pPr>
            <w:r>
              <w:rPr>
                <w:rFonts w:ascii="Arial" w:cs="Arial" w:eastAsia="Arial" w:hAnsi="Arial"/>
                <w:sz w:val="20"/>
                <w:szCs w:val="20"/>
                <w:color w:val="auto"/>
              </w:rPr>
              <w:t>Non-Solicitation</w:t>
            </w:r>
          </w:p>
        </w:tc>
        <w:tc>
          <w:tcPr>
            <w:tcW w:w="160" w:type="dxa"/>
            <w:vAlign w:val="bottom"/>
            <w:tcBorders>
              <w:bottom w:val="single" w:sz="8" w:color="0000FF"/>
            </w:tcBorders>
          </w:tcPr>
          <w:p>
            <w:pPr>
              <w:jc w:val="right"/>
              <w:spacing w:after="0"/>
              <w:rPr>
                <w:rFonts w:ascii="Arial" w:cs="Arial" w:eastAsia="Arial" w:hAnsi="Arial"/>
                <w:sz w:val="17"/>
                <w:szCs w:val="17"/>
                <w:color w:val="0000FF"/>
                <w:w w:val="73"/>
              </w:rPr>
            </w:pPr>
            <w:hyperlink w:anchor="page62">
              <w:r>
                <w:rPr>
                  <w:rFonts w:ascii="Arial" w:cs="Arial" w:eastAsia="Arial" w:hAnsi="Arial"/>
                  <w:sz w:val="17"/>
                  <w:szCs w:val="17"/>
                  <w:color w:val="0000FF"/>
                  <w:w w:val="73"/>
                </w:rPr>
                <w:t>51</w:t>
              </w:r>
            </w:hyperlink>
          </w:p>
        </w:tc>
        <w:tc>
          <w:tcPr>
            <w:tcW w:w="0" w:type="dxa"/>
            <w:vAlign w:val="bottom"/>
          </w:tcPr>
          <w:p>
            <w:pPr>
              <w:spacing w:after="0"/>
              <w:rPr>
                <w:sz w:val="1"/>
                <w:szCs w:val="1"/>
                <w:color w:val="auto"/>
              </w:rPr>
            </w:pPr>
          </w:p>
        </w:tc>
      </w:tr>
      <w:tr>
        <w:trPr>
          <w:trHeight w:val="255"/>
        </w:trPr>
        <w:tc>
          <w:tcPr>
            <w:tcW w:w="1360" w:type="dxa"/>
            <w:vAlign w:val="bottom"/>
          </w:tcPr>
          <w:p>
            <w:pPr>
              <w:spacing w:after="0"/>
              <w:rPr>
                <w:sz w:val="20"/>
                <w:szCs w:val="20"/>
                <w:color w:val="auto"/>
              </w:rPr>
            </w:pPr>
            <w:r>
              <w:rPr>
                <w:rFonts w:ascii="Arial" w:cs="Arial" w:eastAsia="Arial" w:hAnsi="Arial"/>
                <w:sz w:val="20"/>
                <w:szCs w:val="20"/>
                <w:color w:val="auto"/>
              </w:rPr>
              <w:t>Section 6.11</w:t>
            </w:r>
          </w:p>
        </w:tc>
        <w:tc>
          <w:tcPr>
            <w:tcW w:w="8900" w:type="dxa"/>
            <w:vAlign w:val="bottom"/>
            <w:gridSpan w:val="2"/>
          </w:tcPr>
          <w:p>
            <w:pPr>
              <w:ind w:left="360"/>
              <w:spacing w:after="0"/>
              <w:rPr>
                <w:sz w:val="20"/>
                <w:szCs w:val="20"/>
                <w:color w:val="auto"/>
              </w:rPr>
            </w:pPr>
            <w:r>
              <w:rPr>
                <w:rFonts w:ascii="Arial" w:cs="Arial" w:eastAsia="Arial" w:hAnsi="Arial"/>
                <w:sz w:val="20"/>
                <w:szCs w:val="20"/>
                <w:color w:val="auto"/>
              </w:rPr>
              <w:t>Information Provided To The Independent Fiduciary</w:t>
            </w:r>
          </w:p>
        </w:tc>
        <w:tc>
          <w:tcPr>
            <w:tcW w:w="160" w:type="dxa"/>
            <w:vAlign w:val="bottom"/>
            <w:tcBorders>
              <w:bottom w:val="single" w:sz="8" w:color="0000FF"/>
            </w:tcBorders>
          </w:tcPr>
          <w:p>
            <w:pPr>
              <w:jc w:val="right"/>
              <w:spacing w:after="0"/>
              <w:rPr>
                <w:rFonts w:ascii="Arial" w:cs="Arial" w:eastAsia="Arial" w:hAnsi="Arial"/>
                <w:sz w:val="17"/>
                <w:szCs w:val="17"/>
                <w:color w:val="0000FF"/>
                <w:w w:val="73"/>
              </w:rPr>
            </w:pPr>
            <w:hyperlink w:anchor="page63">
              <w:r>
                <w:rPr>
                  <w:rFonts w:ascii="Arial" w:cs="Arial" w:eastAsia="Arial" w:hAnsi="Arial"/>
                  <w:sz w:val="17"/>
                  <w:szCs w:val="17"/>
                  <w:color w:val="0000FF"/>
                  <w:w w:val="73"/>
                </w:rPr>
                <w:t>52</w:t>
              </w:r>
            </w:hyperlink>
          </w:p>
        </w:tc>
        <w:tc>
          <w:tcPr>
            <w:tcW w:w="0" w:type="dxa"/>
            <w:vAlign w:val="bottom"/>
          </w:tcPr>
          <w:p>
            <w:pPr>
              <w:spacing w:after="0"/>
              <w:rPr>
                <w:sz w:val="1"/>
                <w:szCs w:val="1"/>
                <w:color w:val="auto"/>
              </w:rPr>
            </w:pPr>
          </w:p>
        </w:tc>
      </w:tr>
      <w:tr>
        <w:trPr>
          <w:trHeight w:val="255"/>
        </w:trPr>
        <w:tc>
          <w:tcPr>
            <w:tcW w:w="1360" w:type="dxa"/>
            <w:vAlign w:val="bottom"/>
          </w:tcPr>
          <w:p>
            <w:pPr>
              <w:spacing w:after="0"/>
              <w:rPr>
                <w:sz w:val="20"/>
                <w:szCs w:val="20"/>
                <w:color w:val="auto"/>
              </w:rPr>
            </w:pPr>
            <w:r>
              <w:rPr>
                <w:rFonts w:ascii="Arial" w:cs="Arial" w:eastAsia="Arial" w:hAnsi="Arial"/>
                <w:sz w:val="20"/>
                <w:szCs w:val="20"/>
                <w:color w:val="auto"/>
              </w:rPr>
              <w:t>Section 6.12</w:t>
            </w:r>
          </w:p>
        </w:tc>
        <w:tc>
          <w:tcPr>
            <w:tcW w:w="1140" w:type="dxa"/>
            <w:vAlign w:val="bottom"/>
          </w:tcPr>
          <w:p>
            <w:pPr>
              <w:ind w:left="360"/>
              <w:spacing w:after="0"/>
              <w:rPr>
                <w:sz w:val="20"/>
                <w:szCs w:val="20"/>
                <w:color w:val="auto"/>
              </w:rPr>
            </w:pPr>
            <w:r>
              <w:rPr>
                <w:rFonts w:ascii="Arial" w:cs="Arial" w:eastAsia="Arial" w:hAnsi="Arial"/>
                <w:sz w:val="20"/>
                <w:szCs w:val="20"/>
                <w:color w:val="auto"/>
              </w:rPr>
              <w:t>[   ***</w:t>
            </w:r>
          </w:p>
        </w:tc>
        <w:tc>
          <w:tcPr>
            <w:tcW w:w="7760" w:type="dxa"/>
            <w:vAlign w:val="bottom"/>
          </w:tcPr>
          <w:p>
            <w:pPr>
              <w:ind w:left="180"/>
              <w:spacing w:after="0"/>
              <w:rPr>
                <w:sz w:val="20"/>
                <w:szCs w:val="20"/>
                <w:color w:val="auto"/>
              </w:rPr>
            </w:pPr>
            <w:r>
              <w:rPr>
                <w:rFonts w:ascii="Arial" w:cs="Arial" w:eastAsia="Arial" w:hAnsi="Arial"/>
                <w:sz w:val="20"/>
                <w:szCs w:val="20"/>
                <w:color w:val="auto"/>
              </w:rPr>
              <w:t>] Diligence</w:t>
            </w:r>
          </w:p>
        </w:tc>
        <w:tc>
          <w:tcPr>
            <w:tcW w:w="160" w:type="dxa"/>
            <w:vAlign w:val="bottom"/>
            <w:tcBorders>
              <w:bottom w:val="single" w:sz="8" w:color="0000FF"/>
            </w:tcBorders>
          </w:tcPr>
          <w:p>
            <w:pPr>
              <w:jc w:val="right"/>
              <w:spacing w:after="0"/>
              <w:rPr>
                <w:rFonts w:ascii="Arial" w:cs="Arial" w:eastAsia="Arial" w:hAnsi="Arial"/>
                <w:sz w:val="17"/>
                <w:szCs w:val="17"/>
                <w:color w:val="0000FF"/>
                <w:w w:val="73"/>
              </w:rPr>
            </w:pPr>
            <w:hyperlink w:anchor="page63">
              <w:r>
                <w:rPr>
                  <w:rFonts w:ascii="Arial" w:cs="Arial" w:eastAsia="Arial" w:hAnsi="Arial"/>
                  <w:sz w:val="17"/>
                  <w:szCs w:val="17"/>
                  <w:color w:val="0000FF"/>
                  <w:w w:val="73"/>
                </w:rPr>
                <w:t>52</w:t>
              </w:r>
            </w:hyperlink>
          </w:p>
        </w:tc>
        <w:tc>
          <w:tcPr>
            <w:tcW w:w="0" w:type="dxa"/>
            <w:vAlign w:val="bottom"/>
          </w:tcPr>
          <w:p>
            <w:pPr>
              <w:spacing w:after="0"/>
              <w:rPr>
                <w:sz w:val="1"/>
                <w:szCs w:val="1"/>
                <w:color w:val="auto"/>
              </w:rPr>
            </w:pPr>
          </w:p>
        </w:tc>
      </w:tr>
      <w:tr>
        <w:trPr>
          <w:trHeight w:val="255"/>
        </w:trPr>
        <w:tc>
          <w:tcPr>
            <w:tcW w:w="1360" w:type="dxa"/>
            <w:vAlign w:val="bottom"/>
          </w:tcPr>
          <w:p>
            <w:pPr>
              <w:spacing w:after="0"/>
              <w:rPr>
                <w:sz w:val="20"/>
                <w:szCs w:val="20"/>
                <w:color w:val="auto"/>
              </w:rPr>
            </w:pPr>
            <w:r>
              <w:rPr>
                <w:rFonts w:ascii="Arial" w:cs="Arial" w:eastAsia="Arial" w:hAnsi="Arial"/>
                <w:sz w:val="20"/>
                <w:szCs w:val="20"/>
                <w:color w:val="auto"/>
              </w:rPr>
              <w:t>Section 6.13</w:t>
            </w:r>
          </w:p>
        </w:tc>
        <w:tc>
          <w:tcPr>
            <w:tcW w:w="1140" w:type="dxa"/>
            <w:vAlign w:val="bottom"/>
          </w:tcPr>
          <w:p>
            <w:pPr>
              <w:ind w:left="360"/>
              <w:spacing w:after="0"/>
              <w:rPr>
                <w:sz w:val="20"/>
                <w:szCs w:val="20"/>
                <w:color w:val="auto"/>
              </w:rPr>
            </w:pPr>
            <w:r>
              <w:rPr>
                <w:rFonts w:ascii="Arial" w:cs="Arial" w:eastAsia="Arial" w:hAnsi="Arial"/>
                <w:sz w:val="20"/>
                <w:szCs w:val="20"/>
                <w:color w:val="auto"/>
              </w:rPr>
              <w:t>Newco</w:t>
            </w:r>
          </w:p>
        </w:tc>
        <w:tc>
          <w:tcPr>
            <w:tcW w:w="7760" w:type="dxa"/>
            <w:vAlign w:val="bottom"/>
          </w:tcPr>
          <w:p>
            <w:pPr>
              <w:spacing w:after="0"/>
              <w:rPr>
                <w:sz w:val="22"/>
                <w:szCs w:val="22"/>
                <w:color w:val="auto"/>
              </w:rPr>
            </w:pPr>
          </w:p>
        </w:tc>
        <w:tc>
          <w:tcPr>
            <w:tcW w:w="160" w:type="dxa"/>
            <w:vAlign w:val="bottom"/>
            <w:tcBorders>
              <w:bottom w:val="single" w:sz="8" w:color="0000FF"/>
            </w:tcBorders>
          </w:tcPr>
          <w:p>
            <w:pPr>
              <w:jc w:val="right"/>
              <w:spacing w:after="0"/>
              <w:rPr>
                <w:rFonts w:ascii="Arial" w:cs="Arial" w:eastAsia="Arial" w:hAnsi="Arial"/>
                <w:sz w:val="17"/>
                <w:szCs w:val="17"/>
                <w:color w:val="0000FF"/>
                <w:w w:val="73"/>
              </w:rPr>
            </w:pPr>
            <w:hyperlink w:anchor="page63">
              <w:r>
                <w:rPr>
                  <w:rFonts w:ascii="Arial" w:cs="Arial" w:eastAsia="Arial" w:hAnsi="Arial"/>
                  <w:sz w:val="17"/>
                  <w:szCs w:val="17"/>
                  <w:color w:val="0000FF"/>
                  <w:w w:val="73"/>
                </w:rPr>
                <w:t>52</w:t>
              </w:r>
            </w:hyperlink>
          </w:p>
        </w:tc>
        <w:tc>
          <w:tcPr>
            <w:tcW w:w="0" w:type="dxa"/>
            <w:vAlign w:val="bottom"/>
          </w:tcPr>
          <w:p>
            <w:pPr>
              <w:spacing w:after="0"/>
              <w:rPr>
                <w:sz w:val="1"/>
                <w:szCs w:val="1"/>
                <w:color w:val="auto"/>
              </w:rPr>
            </w:pPr>
          </w:p>
        </w:tc>
      </w:tr>
      <w:tr>
        <w:trPr>
          <w:trHeight w:val="255"/>
        </w:trPr>
        <w:tc>
          <w:tcPr>
            <w:tcW w:w="1360" w:type="dxa"/>
            <w:vAlign w:val="bottom"/>
          </w:tcPr>
          <w:p>
            <w:pPr>
              <w:spacing w:after="0"/>
              <w:rPr>
                <w:sz w:val="20"/>
                <w:szCs w:val="20"/>
                <w:color w:val="auto"/>
              </w:rPr>
            </w:pPr>
            <w:r>
              <w:rPr>
                <w:rFonts w:ascii="Arial" w:cs="Arial" w:eastAsia="Arial" w:hAnsi="Arial"/>
                <w:sz w:val="20"/>
                <w:szCs w:val="20"/>
                <w:color w:val="auto"/>
              </w:rPr>
              <w:t>Section 6.14</w:t>
            </w:r>
          </w:p>
        </w:tc>
        <w:tc>
          <w:tcPr>
            <w:tcW w:w="8900" w:type="dxa"/>
            <w:vAlign w:val="bottom"/>
            <w:gridSpan w:val="2"/>
          </w:tcPr>
          <w:p>
            <w:pPr>
              <w:ind w:left="360"/>
              <w:spacing w:after="0"/>
              <w:rPr>
                <w:sz w:val="20"/>
                <w:szCs w:val="20"/>
                <w:color w:val="auto"/>
              </w:rPr>
            </w:pPr>
            <w:r>
              <w:rPr>
                <w:rFonts w:ascii="Arial" w:cs="Arial" w:eastAsia="Arial" w:hAnsi="Arial"/>
                <w:sz w:val="20"/>
                <w:szCs w:val="20"/>
                <w:color w:val="auto"/>
              </w:rPr>
              <w:t>Recoupment</w:t>
            </w:r>
          </w:p>
        </w:tc>
        <w:tc>
          <w:tcPr>
            <w:tcW w:w="160" w:type="dxa"/>
            <w:vAlign w:val="bottom"/>
            <w:tcBorders>
              <w:bottom w:val="single" w:sz="8" w:color="0000FF"/>
            </w:tcBorders>
          </w:tcPr>
          <w:p>
            <w:pPr>
              <w:jc w:val="right"/>
              <w:spacing w:after="0"/>
              <w:rPr>
                <w:rFonts w:ascii="Arial" w:cs="Arial" w:eastAsia="Arial" w:hAnsi="Arial"/>
                <w:sz w:val="17"/>
                <w:szCs w:val="17"/>
                <w:color w:val="0000FF"/>
                <w:w w:val="73"/>
              </w:rPr>
            </w:pPr>
            <w:hyperlink w:anchor="page64">
              <w:r>
                <w:rPr>
                  <w:rFonts w:ascii="Arial" w:cs="Arial" w:eastAsia="Arial" w:hAnsi="Arial"/>
                  <w:sz w:val="17"/>
                  <w:szCs w:val="17"/>
                  <w:color w:val="0000FF"/>
                  <w:w w:val="73"/>
                </w:rPr>
                <w:t>53</w:t>
              </w:r>
            </w:hyperlink>
          </w:p>
        </w:tc>
        <w:tc>
          <w:tcPr>
            <w:tcW w:w="0" w:type="dxa"/>
            <w:vAlign w:val="bottom"/>
          </w:tcPr>
          <w:p>
            <w:pPr>
              <w:spacing w:after="0"/>
              <w:rPr>
                <w:sz w:val="1"/>
                <w:szCs w:val="1"/>
                <w:color w:val="auto"/>
              </w:rPr>
            </w:pPr>
          </w:p>
        </w:tc>
      </w:tr>
      <w:tr>
        <w:trPr>
          <w:trHeight w:val="666"/>
        </w:trPr>
        <w:tc>
          <w:tcPr>
            <w:tcW w:w="1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760" w:type="dxa"/>
            <w:vAlign w:val="bottom"/>
          </w:tcPr>
          <w:p>
            <w:pPr>
              <w:jc w:val="center"/>
              <w:ind w:right="742"/>
              <w:spacing w:after="0"/>
              <w:rPr>
                <w:sz w:val="20"/>
                <w:szCs w:val="20"/>
                <w:color w:val="auto"/>
              </w:rPr>
            </w:pPr>
            <w:r>
              <w:rPr>
                <w:rFonts w:ascii="Arial" w:cs="Arial" w:eastAsia="Arial" w:hAnsi="Arial"/>
                <w:sz w:val="20"/>
                <w:szCs w:val="20"/>
                <w:color w:val="auto"/>
              </w:rPr>
              <w:t>ARTICLE VII</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13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7760" w:type="dxa"/>
            <w:vAlign w:val="bottom"/>
          </w:tcPr>
          <w:p>
            <w:pPr>
              <w:jc w:val="center"/>
              <w:ind w:right="742"/>
              <w:spacing w:after="0"/>
              <w:rPr>
                <w:sz w:val="20"/>
                <w:szCs w:val="20"/>
                <w:color w:val="auto"/>
              </w:rPr>
            </w:pPr>
            <w:r>
              <w:rPr>
                <w:rFonts w:ascii="Arial" w:cs="Arial" w:eastAsia="Arial" w:hAnsi="Arial"/>
                <w:sz w:val="20"/>
                <w:szCs w:val="20"/>
                <w:color w:val="auto"/>
                <w:w w:val="95"/>
              </w:rPr>
              <w:t>OTHER COVENANTS</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8"/>
        </w:trPr>
        <w:tc>
          <w:tcPr>
            <w:tcW w:w="1360" w:type="dxa"/>
            <w:vAlign w:val="bottom"/>
          </w:tcPr>
          <w:p>
            <w:pPr>
              <w:spacing w:after="0" w:line="228" w:lineRule="exact"/>
              <w:rPr>
                <w:sz w:val="20"/>
                <w:szCs w:val="20"/>
                <w:color w:val="auto"/>
              </w:rPr>
            </w:pPr>
            <w:r>
              <w:rPr>
                <w:rFonts w:ascii="Arial" w:cs="Arial" w:eastAsia="Arial" w:hAnsi="Arial"/>
                <w:sz w:val="20"/>
                <w:szCs w:val="20"/>
                <w:color w:val="auto"/>
              </w:rPr>
              <w:t>Section 7.1</w:t>
            </w:r>
          </w:p>
        </w:tc>
        <w:tc>
          <w:tcPr>
            <w:tcW w:w="8900" w:type="dxa"/>
            <w:vAlign w:val="bottom"/>
            <w:gridSpan w:val="2"/>
          </w:tcPr>
          <w:p>
            <w:pPr>
              <w:ind w:left="360"/>
              <w:spacing w:after="0" w:line="228" w:lineRule="exact"/>
              <w:rPr>
                <w:sz w:val="20"/>
                <w:szCs w:val="20"/>
                <w:color w:val="auto"/>
              </w:rPr>
            </w:pPr>
            <w:r>
              <w:rPr>
                <w:rFonts w:ascii="Arial" w:cs="Arial" w:eastAsia="Arial" w:hAnsi="Arial"/>
                <w:sz w:val="20"/>
                <w:szCs w:val="20"/>
                <w:color w:val="auto"/>
              </w:rPr>
              <w:t>Company Actions</w:t>
            </w:r>
          </w:p>
        </w:tc>
        <w:tc>
          <w:tcPr>
            <w:tcW w:w="160" w:type="dxa"/>
            <w:vAlign w:val="bottom"/>
            <w:tcBorders>
              <w:bottom w:val="single" w:sz="8" w:color="0000FF"/>
            </w:tcBorders>
          </w:tcPr>
          <w:p>
            <w:pPr>
              <w:jc w:val="right"/>
              <w:spacing w:after="0"/>
              <w:rPr>
                <w:rFonts w:ascii="Arial" w:cs="Arial" w:eastAsia="Arial" w:hAnsi="Arial"/>
                <w:sz w:val="17"/>
                <w:szCs w:val="17"/>
                <w:color w:val="0000FF"/>
                <w:w w:val="73"/>
              </w:rPr>
            </w:pPr>
            <w:hyperlink w:anchor="page64">
              <w:r>
                <w:rPr>
                  <w:rFonts w:ascii="Arial" w:cs="Arial" w:eastAsia="Arial" w:hAnsi="Arial"/>
                  <w:sz w:val="17"/>
                  <w:szCs w:val="17"/>
                  <w:color w:val="0000FF"/>
                  <w:w w:val="73"/>
                </w:rPr>
                <w:t>53</w:t>
              </w:r>
            </w:hyperlink>
          </w:p>
        </w:tc>
        <w:tc>
          <w:tcPr>
            <w:tcW w:w="0" w:type="dxa"/>
            <w:vAlign w:val="bottom"/>
          </w:tcPr>
          <w:p>
            <w:pPr>
              <w:spacing w:after="0"/>
              <w:rPr>
                <w:sz w:val="1"/>
                <w:szCs w:val="1"/>
                <w:color w:val="auto"/>
              </w:rPr>
            </w:pPr>
          </w:p>
        </w:tc>
      </w:tr>
      <w:tr>
        <w:trPr>
          <w:trHeight w:val="255"/>
        </w:trPr>
        <w:tc>
          <w:tcPr>
            <w:tcW w:w="1360" w:type="dxa"/>
            <w:vAlign w:val="bottom"/>
          </w:tcPr>
          <w:p>
            <w:pPr>
              <w:spacing w:after="0"/>
              <w:rPr>
                <w:sz w:val="20"/>
                <w:szCs w:val="20"/>
                <w:color w:val="auto"/>
              </w:rPr>
            </w:pPr>
            <w:r>
              <w:rPr>
                <w:rFonts w:ascii="Arial" w:cs="Arial" w:eastAsia="Arial" w:hAnsi="Arial"/>
                <w:sz w:val="20"/>
                <w:szCs w:val="20"/>
                <w:color w:val="auto"/>
              </w:rPr>
              <w:t>Section 7.2</w:t>
            </w:r>
          </w:p>
        </w:tc>
        <w:tc>
          <w:tcPr>
            <w:tcW w:w="8900" w:type="dxa"/>
            <w:vAlign w:val="bottom"/>
            <w:gridSpan w:val="2"/>
          </w:tcPr>
          <w:p>
            <w:pPr>
              <w:ind w:left="360"/>
              <w:spacing w:after="0"/>
              <w:rPr>
                <w:sz w:val="20"/>
                <w:szCs w:val="20"/>
                <w:color w:val="auto"/>
              </w:rPr>
            </w:pPr>
            <w:r>
              <w:rPr>
                <w:rFonts w:ascii="Arial" w:cs="Arial" w:eastAsia="Arial" w:hAnsi="Arial"/>
                <w:sz w:val="20"/>
                <w:szCs w:val="20"/>
                <w:color w:val="auto"/>
              </w:rPr>
              <w:t>Insurer Actions</w:t>
            </w:r>
          </w:p>
        </w:tc>
        <w:tc>
          <w:tcPr>
            <w:tcW w:w="160" w:type="dxa"/>
            <w:vAlign w:val="bottom"/>
            <w:tcBorders>
              <w:bottom w:val="single" w:sz="8" w:color="0000FF"/>
            </w:tcBorders>
          </w:tcPr>
          <w:p>
            <w:pPr>
              <w:jc w:val="right"/>
              <w:spacing w:after="0"/>
              <w:rPr>
                <w:rFonts w:ascii="Arial" w:cs="Arial" w:eastAsia="Arial" w:hAnsi="Arial"/>
                <w:sz w:val="17"/>
                <w:szCs w:val="17"/>
                <w:color w:val="0000FF"/>
                <w:w w:val="73"/>
              </w:rPr>
            </w:pPr>
            <w:hyperlink w:anchor="page64">
              <w:r>
                <w:rPr>
                  <w:rFonts w:ascii="Arial" w:cs="Arial" w:eastAsia="Arial" w:hAnsi="Arial"/>
                  <w:sz w:val="17"/>
                  <w:szCs w:val="17"/>
                  <w:color w:val="0000FF"/>
                  <w:w w:val="73"/>
                </w:rPr>
                <w:t>53</w:t>
              </w:r>
            </w:hyperlink>
          </w:p>
        </w:tc>
        <w:tc>
          <w:tcPr>
            <w:tcW w:w="0" w:type="dxa"/>
            <w:vAlign w:val="bottom"/>
          </w:tcPr>
          <w:p>
            <w:pPr>
              <w:spacing w:after="0"/>
              <w:rPr>
                <w:sz w:val="1"/>
                <w:szCs w:val="1"/>
                <w:color w:val="auto"/>
              </w:rPr>
            </w:pPr>
          </w:p>
        </w:tc>
      </w:tr>
      <w:tr>
        <w:trPr>
          <w:trHeight w:val="255"/>
        </w:trPr>
        <w:tc>
          <w:tcPr>
            <w:tcW w:w="1360" w:type="dxa"/>
            <w:vAlign w:val="bottom"/>
          </w:tcPr>
          <w:p>
            <w:pPr>
              <w:spacing w:after="0"/>
              <w:rPr>
                <w:sz w:val="20"/>
                <w:szCs w:val="20"/>
                <w:color w:val="auto"/>
              </w:rPr>
            </w:pPr>
            <w:r>
              <w:rPr>
                <w:rFonts w:ascii="Arial" w:cs="Arial" w:eastAsia="Arial" w:hAnsi="Arial"/>
                <w:sz w:val="20"/>
                <w:szCs w:val="20"/>
                <w:color w:val="auto"/>
              </w:rPr>
              <w:t>Section 7.3</w:t>
            </w:r>
          </w:p>
        </w:tc>
        <w:tc>
          <w:tcPr>
            <w:tcW w:w="8900" w:type="dxa"/>
            <w:vAlign w:val="bottom"/>
            <w:gridSpan w:val="2"/>
          </w:tcPr>
          <w:p>
            <w:pPr>
              <w:ind w:left="360"/>
              <w:spacing w:after="0"/>
              <w:rPr>
                <w:sz w:val="20"/>
                <w:szCs w:val="20"/>
                <w:color w:val="auto"/>
              </w:rPr>
            </w:pPr>
            <w:r>
              <w:rPr>
                <w:rFonts w:ascii="Arial" w:cs="Arial" w:eastAsia="Arial" w:hAnsi="Arial"/>
                <w:sz w:val="20"/>
                <w:szCs w:val="20"/>
                <w:color w:val="auto"/>
              </w:rPr>
              <w:t>Cooperation with Independent Third Party</w:t>
            </w:r>
          </w:p>
        </w:tc>
        <w:tc>
          <w:tcPr>
            <w:tcW w:w="160" w:type="dxa"/>
            <w:vAlign w:val="bottom"/>
            <w:tcBorders>
              <w:bottom w:val="single" w:sz="8" w:color="0000FF"/>
            </w:tcBorders>
          </w:tcPr>
          <w:p>
            <w:pPr>
              <w:jc w:val="right"/>
              <w:spacing w:after="0"/>
              <w:rPr>
                <w:rFonts w:ascii="Arial" w:cs="Arial" w:eastAsia="Arial" w:hAnsi="Arial"/>
                <w:sz w:val="17"/>
                <w:szCs w:val="17"/>
                <w:color w:val="0000FF"/>
                <w:w w:val="73"/>
              </w:rPr>
            </w:pPr>
            <w:hyperlink w:anchor="page65">
              <w:r>
                <w:rPr>
                  <w:rFonts w:ascii="Arial" w:cs="Arial" w:eastAsia="Arial" w:hAnsi="Arial"/>
                  <w:sz w:val="17"/>
                  <w:szCs w:val="17"/>
                  <w:color w:val="0000FF"/>
                  <w:w w:val="73"/>
                </w:rPr>
                <w:t>54</w:t>
              </w:r>
            </w:hyperlink>
          </w:p>
        </w:tc>
        <w:tc>
          <w:tcPr>
            <w:tcW w:w="0" w:type="dxa"/>
            <w:vAlign w:val="bottom"/>
          </w:tcPr>
          <w:p>
            <w:pPr>
              <w:spacing w:after="0"/>
              <w:rPr>
                <w:sz w:val="1"/>
                <w:szCs w:val="1"/>
                <w:color w:val="auto"/>
              </w:rPr>
            </w:pPr>
          </w:p>
        </w:tc>
      </w:tr>
      <w:tr>
        <w:trPr>
          <w:trHeight w:val="255"/>
        </w:trPr>
        <w:tc>
          <w:tcPr>
            <w:tcW w:w="1360" w:type="dxa"/>
            <w:vAlign w:val="bottom"/>
          </w:tcPr>
          <w:p>
            <w:pPr>
              <w:spacing w:after="0"/>
              <w:rPr>
                <w:sz w:val="20"/>
                <w:szCs w:val="20"/>
                <w:color w:val="auto"/>
              </w:rPr>
            </w:pPr>
            <w:r>
              <w:rPr>
                <w:rFonts w:ascii="Arial" w:cs="Arial" w:eastAsia="Arial" w:hAnsi="Arial"/>
                <w:sz w:val="20"/>
                <w:szCs w:val="20"/>
                <w:color w:val="auto"/>
              </w:rPr>
              <w:t>Section 7.4</w:t>
            </w:r>
          </w:p>
        </w:tc>
        <w:tc>
          <w:tcPr>
            <w:tcW w:w="8900" w:type="dxa"/>
            <w:vAlign w:val="bottom"/>
            <w:gridSpan w:val="2"/>
          </w:tcPr>
          <w:p>
            <w:pPr>
              <w:ind w:left="360"/>
              <w:spacing w:after="0"/>
              <w:rPr>
                <w:sz w:val="20"/>
                <w:szCs w:val="20"/>
                <w:color w:val="auto"/>
              </w:rPr>
            </w:pPr>
            <w:r>
              <w:rPr>
                <w:rFonts w:ascii="Arial" w:cs="Arial" w:eastAsia="Arial" w:hAnsi="Arial"/>
                <w:sz w:val="20"/>
                <w:szCs w:val="20"/>
                <w:color w:val="auto"/>
              </w:rPr>
              <w:t>Administrative Services</w:t>
            </w:r>
          </w:p>
        </w:tc>
        <w:tc>
          <w:tcPr>
            <w:tcW w:w="160" w:type="dxa"/>
            <w:vAlign w:val="bottom"/>
            <w:tcBorders>
              <w:bottom w:val="single" w:sz="8" w:color="0000FF"/>
            </w:tcBorders>
          </w:tcPr>
          <w:p>
            <w:pPr>
              <w:jc w:val="right"/>
              <w:spacing w:after="0"/>
              <w:rPr>
                <w:rFonts w:ascii="Arial" w:cs="Arial" w:eastAsia="Arial" w:hAnsi="Arial"/>
                <w:sz w:val="17"/>
                <w:szCs w:val="17"/>
                <w:color w:val="0000FF"/>
                <w:w w:val="73"/>
              </w:rPr>
            </w:pPr>
            <w:hyperlink w:anchor="page65">
              <w:r>
                <w:rPr>
                  <w:rFonts w:ascii="Arial" w:cs="Arial" w:eastAsia="Arial" w:hAnsi="Arial"/>
                  <w:sz w:val="17"/>
                  <w:szCs w:val="17"/>
                  <w:color w:val="0000FF"/>
                  <w:w w:val="73"/>
                </w:rPr>
                <w:t>54</w:t>
              </w:r>
            </w:hyperlink>
          </w:p>
        </w:tc>
        <w:tc>
          <w:tcPr>
            <w:tcW w:w="0" w:type="dxa"/>
            <w:vAlign w:val="bottom"/>
          </w:tcPr>
          <w:p>
            <w:pPr>
              <w:spacing w:after="0"/>
              <w:rPr>
                <w:sz w:val="1"/>
                <w:szCs w:val="1"/>
                <w:color w:val="auto"/>
              </w:rPr>
            </w:pPr>
          </w:p>
        </w:tc>
      </w:tr>
      <w:tr>
        <w:trPr>
          <w:trHeight w:val="255"/>
        </w:trPr>
        <w:tc>
          <w:tcPr>
            <w:tcW w:w="1360" w:type="dxa"/>
            <w:vAlign w:val="bottom"/>
          </w:tcPr>
          <w:p>
            <w:pPr>
              <w:spacing w:after="0"/>
              <w:rPr>
                <w:sz w:val="20"/>
                <w:szCs w:val="20"/>
                <w:color w:val="auto"/>
              </w:rPr>
            </w:pPr>
            <w:r>
              <w:rPr>
                <w:rFonts w:ascii="Arial" w:cs="Arial" w:eastAsia="Arial" w:hAnsi="Arial"/>
                <w:sz w:val="20"/>
                <w:szCs w:val="20"/>
                <w:color w:val="auto"/>
              </w:rPr>
              <w:t>Section 7.5</w:t>
            </w:r>
          </w:p>
        </w:tc>
        <w:tc>
          <w:tcPr>
            <w:tcW w:w="8900" w:type="dxa"/>
            <w:vAlign w:val="bottom"/>
            <w:gridSpan w:val="2"/>
          </w:tcPr>
          <w:p>
            <w:pPr>
              <w:ind w:left="360"/>
              <w:spacing w:after="0"/>
              <w:rPr>
                <w:sz w:val="20"/>
                <w:szCs w:val="20"/>
                <w:color w:val="auto"/>
              </w:rPr>
            </w:pPr>
            <w:r>
              <w:rPr>
                <w:rFonts w:ascii="Arial" w:cs="Arial" w:eastAsia="Arial" w:hAnsi="Arial"/>
                <w:sz w:val="20"/>
                <w:szCs w:val="20"/>
                <w:color w:val="auto"/>
              </w:rPr>
              <w:t>Transferred Asset True-Ups</w:t>
            </w:r>
          </w:p>
        </w:tc>
        <w:tc>
          <w:tcPr>
            <w:tcW w:w="160" w:type="dxa"/>
            <w:vAlign w:val="bottom"/>
            <w:tcBorders>
              <w:bottom w:val="single" w:sz="8" w:color="0000FF"/>
            </w:tcBorders>
          </w:tcPr>
          <w:p>
            <w:pPr>
              <w:jc w:val="right"/>
              <w:spacing w:after="0"/>
              <w:rPr>
                <w:rFonts w:ascii="Arial" w:cs="Arial" w:eastAsia="Arial" w:hAnsi="Arial"/>
                <w:sz w:val="17"/>
                <w:szCs w:val="17"/>
                <w:color w:val="0000FF"/>
                <w:w w:val="73"/>
              </w:rPr>
            </w:pPr>
            <w:hyperlink w:anchor="page65">
              <w:r>
                <w:rPr>
                  <w:rFonts w:ascii="Arial" w:cs="Arial" w:eastAsia="Arial" w:hAnsi="Arial"/>
                  <w:sz w:val="17"/>
                  <w:szCs w:val="17"/>
                  <w:color w:val="0000FF"/>
                  <w:w w:val="73"/>
                </w:rPr>
                <w:t>54</w:t>
              </w:r>
            </w:hyperlink>
          </w:p>
        </w:tc>
        <w:tc>
          <w:tcPr>
            <w:tcW w:w="0" w:type="dxa"/>
            <w:vAlign w:val="bottom"/>
          </w:tcPr>
          <w:p>
            <w:pPr>
              <w:spacing w:after="0"/>
              <w:rPr>
                <w:sz w:val="1"/>
                <w:szCs w:val="1"/>
                <w:color w:val="auto"/>
              </w:rPr>
            </w:pPr>
          </w:p>
        </w:tc>
      </w:tr>
      <w:tr>
        <w:trPr>
          <w:trHeight w:val="255"/>
        </w:trPr>
        <w:tc>
          <w:tcPr>
            <w:tcW w:w="1360" w:type="dxa"/>
            <w:vAlign w:val="bottom"/>
          </w:tcPr>
          <w:p>
            <w:pPr>
              <w:spacing w:after="0"/>
              <w:rPr>
                <w:sz w:val="20"/>
                <w:szCs w:val="20"/>
                <w:color w:val="auto"/>
              </w:rPr>
            </w:pPr>
            <w:r>
              <w:rPr>
                <w:rFonts w:ascii="Arial" w:cs="Arial" w:eastAsia="Arial" w:hAnsi="Arial"/>
                <w:sz w:val="20"/>
                <w:szCs w:val="20"/>
                <w:color w:val="auto"/>
              </w:rPr>
              <w:t>Section 7.6</w:t>
            </w:r>
          </w:p>
        </w:tc>
        <w:tc>
          <w:tcPr>
            <w:tcW w:w="8900" w:type="dxa"/>
            <w:vAlign w:val="bottom"/>
            <w:gridSpan w:val="2"/>
          </w:tcPr>
          <w:p>
            <w:pPr>
              <w:ind w:left="360"/>
              <w:spacing w:after="0"/>
              <w:rPr>
                <w:sz w:val="20"/>
                <w:szCs w:val="20"/>
                <w:color w:val="auto"/>
              </w:rPr>
            </w:pPr>
            <w:r>
              <w:rPr>
                <w:rFonts w:ascii="Arial" w:cs="Arial" w:eastAsia="Arial" w:hAnsi="Arial"/>
                <w:sz w:val="20"/>
                <w:szCs w:val="20"/>
                <w:color w:val="auto"/>
              </w:rPr>
              <w:t>Correspondence Center</w:t>
            </w:r>
          </w:p>
        </w:tc>
        <w:tc>
          <w:tcPr>
            <w:tcW w:w="160" w:type="dxa"/>
            <w:vAlign w:val="bottom"/>
            <w:tcBorders>
              <w:bottom w:val="single" w:sz="8" w:color="0000FF"/>
            </w:tcBorders>
          </w:tcPr>
          <w:p>
            <w:pPr>
              <w:jc w:val="right"/>
              <w:spacing w:after="0"/>
              <w:rPr>
                <w:rFonts w:ascii="Arial" w:cs="Arial" w:eastAsia="Arial" w:hAnsi="Arial"/>
                <w:sz w:val="17"/>
                <w:szCs w:val="17"/>
                <w:color w:val="0000FF"/>
                <w:w w:val="73"/>
              </w:rPr>
            </w:pPr>
            <w:hyperlink w:anchor="page65">
              <w:r>
                <w:rPr>
                  <w:rFonts w:ascii="Arial" w:cs="Arial" w:eastAsia="Arial" w:hAnsi="Arial"/>
                  <w:sz w:val="17"/>
                  <w:szCs w:val="17"/>
                  <w:color w:val="0000FF"/>
                  <w:w w:val="73"/>
                </w:rPr>
                <w:t>54</w:t>
              </w:r>
            </w:hyperlink>
          </w:p>
        </w:tc>
        <w:tc>
          <w:tcPr>
            <w:tcW w:w="0" w:type="dxa"/>
            <w:vAlign w:val="bottom"/>
          </w:tcPr>
          <w:p>
            <w:pPr>
              <w:spacing w:after="0"/>
              <w:rPr>
                <w:sz w:val="1"/>
                <w:szCs w:val="1"/>
                <w:color w:val="auto"/>
              </w:rPr>
            </w:pPr>
          </w:p>
        </w:tc>
      </w:tr>
      <w:tr>
        <w:trPr>
          <w:trHeight w:val="666"/>
        </w:trPr>
        <w:tc>
          <w:tcPr>
            <w:tcW w:w="1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760" w:type="dxa"/>
            <w:vAlign w:val="bottom"/>
          </w:tcPr>
          <w:p>
            <w:pPr>
              <w:jc w:val="center"/>
              <w:ind w:right="742"/>
              <w:spacing w:after="0"/>
              <w:rPr>
                <w:sz w:val="20"/>
                <w:szCs w:val="20"/>
                <w:color w:val="auto"/>
              </w:rPr>
            </w:pPr>
            <w:r>
              <w:rPr>
                <w:rFonts w:ascii="Arial" w:cs="Arial" w:eastAsia="Arial" w:hAnsi="Arial"/>
                <w:sz w:val="20"/>
                <w:szCs w:val="20"/>
                <w:color w:val="auto"/>
              </w:rPr>
              <w:t>ARTICLE VIII</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13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7760" w:type="dxa"/>
            <w:vAlign w:val="bottom"/>
          </w:tcPr>
          <w:p>
            <w:pPr>
              <w:jc w:val="center"/>
              <w:ind w:right="742"/>
              <w:spacing w:after="0"/>
              <w:rPr>
                <w:sz w:val="20"/>
                <w:szCs w:val="20"/>
                <w:color w:val="auto"/>
              </w:rPr>
            </w:pPr>
            <w:r>
              <w:rPr>
                <w:rFonts w:ascii="Arial" w:cs="Arial" w:eastAsia="Arial" w:hAnsi="Arial"/>
                <w:sz w:val="20"/>
                <w:szCs w:val="20"/>
                <w:color w:val="auto"/>
                <w:w w:val="96"/>
              </w:rPr>
              <w:t>CONDITIONS TO OBLIGATION TO CLOSE</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8"/>
        </w:trPr>
        <w:tc>
          <w:tcPr>
            <w:tcW w:w="1360" w:type="dxa"/>
            <w:vAlign w:val="bottom"/>
          </w:tcPr>
          <w:p>
            <w:pPr>
              <w:spacing w:after="0" w:line="228" w:lineRule="exact"/>
              <w:rPr>
                <w:sz w:val="20"/>
                <w:szCs w:val="20"/>
                <w:color w:val="auto"/>
              </w:rPr>
            </w:pPr>
            <w:r>
              <w:rPr>
                <w:rFonts w:ascii="Arial" w:cs="Arial" w:eastAsia="Arial" w:hAnsi="Arial"/>
                <w:sz w:val="20"/>
                <w:szCs w:val="20"/>
                <w:color w:val="auto"/>
              </w:rPr>
              <w:t>Section 8.1</w:t>
            </w:r>
          </w:p>
        </w:tc>
        <w:tc>
          <w:tcPr>
            <w:tcW w:w="8900" w:type="dxa"/>
            <w:vAlign w:val="bottom"/>
            <w:gridSpan w:val="2"/>
          </w:tcPr>
          <w:p>
            <w:pPr>
              <w:ind w:left="360"/>
              <w:spacing w:after="0" w:line="228" w:lineRule="exact"/>
              <w:rPr>
                <w:sz w:val="20"/>
                <w:szCs w:val="20"/>
                <w:color w:val="auto"/>
              </w:rPr>
            </w:pPr>
            <w:r>
              <w:rPr>
                <w:rFonts w:ascii="Arial" w:cs="Arial" w:eastAsia="Arial" w:hAnsi="Arial"/>
                <w:sz w:val="20"/>
                <w:szCs w:val="20"/>
                <w:color w:val="auto"/>
              </w:rPr>
              <w:t>Conditions to the Independent Fiduciary's Obligations</w:t>
            </w:r>
          </w:p>
        </w:tc>
        <w:tc>
          <w:tcPr>
            <w:tcW w:w="160" w:type="dxa"/>
            <w:vAlign w:val="bottom"/>
            <w:tcBorders>
              <w:bottom w:val="single" w:sz="8" w:color="0000FF"/>
            </w:tcBorders>
          </w:tcPr>
          <w:p>
            <w:pPr>
              <w:jc w:val="right"/>
              <w:spacing w:after="0"/>
              <w:rPr>
                <w:rFonts w:ascii="Arial" w:cs="Arial" w:eastAsia="Arial" w:hAnsi="Arial"/>
                <w:sz w:val="17"/>
                <w:szCs w:val="17"/>
                <w:color w:val="0000FF"/>
                <w:w w:val="73"/>
              </w:rPr>
            </w:pPr>
            <w:hyperlink w:anchor="page65">
              <w:r>
                <w:rPr>
                  <w:rFonts w:ascii="Arial" w:cs="Arial" w:eastAsia="Arial" w:hAnsi="Arial"/>
                  <w:sz w:val="17"/>
                  <w:szCs w:val="17"/>
                  <w:color w:val="0000FF"/>
                  <w:w w:val="73"/>
                </w:rPr>
                <w:t>54</w:t>
              </w:r>
            </w:hyperlink>
          </w:p>
        </w:tc>
        <w:tc>
          <w:tcPr>
            <w:tcW w:w="0" w:type="dxa"/>
            <w:vAlign w:val="bottom"/>
          </w:tcPr>
          <w:p>
            <w:pPr>
              <w:spacing w:after="0"/>
              <w:rPr>
                <w:sz w:val="1"/>
                <w:szCs w:val="1"/>
                <w:color w:val="auto"/>
              </w:rPr>
            </w:pPr>
          </w:p>
        </w:tc>
      </w:tr>
      <w:tr>
        <w:trPr>
          <w:trHeight w:val="255"/>
        </w:trPr>
        <w:tc>
          <w:tcPr>
            <w:tcW w:w="1360" w:type="dxa"/>
            <w:vAlign w:val="bottom"/>
          </w:tcPr>
          <w:p>
            <w:pPr>
              <w:spacing w:after="0"/>
              <w:rPr>
                <w:sz w:val="20"/>
                <w:szCs w:val="20"/>
                <w:color w:val="auto"/>
              </w:rPr>
            </w:pPr>
            <w:r>
              <w:rPr>
                <w:rFonts w:ascii="Arial" w:cs="Arial" w:eastAsia="Arial" w:hAnsi="Arial"/>
                <w:sz w:val="20"/>
                <w:szCs w:val="20"/>
                <w:color w:val="auto"/>
              </w:rPr>
              <w:t>Section 8.2</w:t>
            </w:r>
          </w:p>
        </w:tc>
        <w:tc>
          <w:tcPr>
            <w:tcW w:w="8900" w:type="dxa"/>
            <w:vAlign w:val="bottom"/>
            <w:gridSpan w:val="2"/>
          </w:tcPr>
          <w:p>
            <w:pPr>
              <w:ind w:left="360"/>
              <w:spacing w:after="0"/>
              <w:rPr>
                <w:sz w:val="20"/>
                <w:szCs w:val="20"/>
                <w:color w:val="auto"/>
              </w:rPr>
            </w:pPr>
            <w:r>
              <w:rPr>
                <w:rFonts w:ascii="Arial" w:cs="Arial" w:eastAsia="Arial" w:hAnsi="Arial"/>
                <w:sz w:val="20"/>
                <w:szCs w:val="20"/>
                <w:color w:val="auto"/>
              </w:rPr>
              <w:t>Conditions to the Company's Obligations</w:t>
            </w:r>
          </w:p>
        </w:tc>
        <w:tc>
          <w:tcPr>
            <w:tcW w:w="160" w:type="dxa"/>
            <w:vAlign w:val="bottom"/>
            <w:tcBorders>
              <w:bottom w:val="single" w:sz="8" w:color="0000FF"/>
            </w:tcBorders>
          </w:tcPr>
          <w:p>
            <w:pPr>
              <w:jc w:val="right"/>
              <w:spacing w:after="0"/>
              <w:rPr>
                <w:rFonts w:ascii="Arial" w:cs="Arial" w:eastAsia="Arial" w:hAnsi="Arial"/>
                <w:sz w:val="17"/>
                <w:szCs w:val="17"/>
                <w:color w:val="0000FF"/>
                <w:w w:val="73"/>
              </w:rPr>
            </w:pPr>
            <w:hyperlink w:anchor="page66">
              <w:r>
                <w:rPr>
                  <w:rFonts w:ascii="Arial" w:cs="Arial" w:eastAsia="Arial" w:hAnsi="Arial"/>
                  <w:sz w:val="17"/>
                  <w:szCs w:val="17"/>
                  <w:color w:val="0000FF"/>
                  <w:w w:val="73"/>
                </w:rPr>
                <w:t>55</w:t>
              </w:r>
            </w:hyperlink>
          </w:p>
        </w:tc>
        <w:tc>
          <w:tcPr>
            <w:tcW w:w="0" w:type="dxa"/>
            <w:vAlign w:val="bottom"/>
          </w:tcPr>
          <w:p>
            <w:pPr>
              <w:spacing w:after="0"/>
              <w:rPr>
                <w:sz w:val="1"/>
                <w:szCs w:val="1"/>
                <w:color w:val="auto"/>
              </w:rPr>
            </w:pPr>
          </w:p>
        </w:tc>
      </w:tr>
      <w:tr>
        <w:trPr>
          <w:trHeight w:val="255"/>
        </w:trPr>
        <w:tc>
          <w:tcPr>
            <w:tcW w:w="1360" w:type="dxa"/>
            <w:vAlign w:val="bottom"/>
          </w:tcPr>
          <w:p>
            <w:pPr>
              <w:spacing w:after="0"/>
              <w:rPr>
                <w:sz w:val="20"/>
                <w:szCs w:val="20"/>
                <w:color w:val="auto"/>
              </w:rPr>
            </w:pPr>
            <w:r>
              <w:rPr>
                <w:rFonts w:ascii="Arial" w:cs="Arial" w:eastAsia="Arial" w:hAnsi="Arial"/>
                <w:sz w:val="20"/>
                <w:szCs w:val="20"/>
                <w:color w:val="auto"/>
              </w:rPr>
              <w:t>Section 8.3</w:t>
            </w:r>
          </w:p>
        </w:tc>
        <w:tc>
          <w:tcPr>
            <w:tcW w:w="8900" w:type="dxa"/>
            <w:vAlign w:val="bottom"/>
            <w:gridSpan w:val="2"/>
          </w:tcPr>
          <w:p>
            <w:pPr>
              <w:ind w:left="360"/>
              <w:spacing w:after="0"/>
              <w:rPr>
                <w:sz w:val="20"/>
                <w:szCs w:val="20"/>
                <w:color w:val="auto"/>
              </w:rPr>
            </w:pPr>
            <w:r>
              <w:rPr>
                <w:rFonts w:ascii="Arial" w:cs="Arial" w:eastAsia="Arial" w:hAnsi="Arial"/>
                <w:sz w:val="20"/>
                <w:szCs w:val="20"/>
                <w:color w:val="auto"/>
              </w:rPr>
              <w:t>Conditions to the Insurer's Obligations</w:t>
            </w:r>
          </w:p>
        </w:tc>
        <w:tc>
          <w:tcPr>
            <w:tcW w:w="160" w:type="dxa"/>
            <w:vAlign w:val="bottom"/>
            <w:tcBorders>
              <w:bottom w:val="single" w:sz="8" w:color="0000FF"/>
            </w:tcBorders>
          </w:tcPr>
          <w:p>
            <w:pPr>
              <w:jc w:val="right"/>
              <w:spacing w:after="0"/>
              <w:rPr>
                <w:rFonts w:ascii="Arial" w:cs="Arial" w:eastAsia="Arial" w:hAnsi="Arial"/>
                <w:sz w:val="17"/>
                <w:szCs w:val="17"/>
                <w:color w:val="0000FF"/>
                <w:w w:val="73"/>
              </w:rPr>
            </w:pPr>
            <w:hyperlink w:anchor="page67">
              <w:r>
                <w:rPr>
                  <w:rFonts w:ascii="Arial" w:cs="Arial" w:eastAsia="Arial" w:hAnsi="Arial"/>
                  <w:sz w:val="17"/>
                  <w:szCs w:val="17"/>
                  <w:color w:val="0000FF"/>
                  <w:w w:val="73"/>
                </w:rPr>
                <w:t>56</w:t>
              </w:r>
            </w:hyperlink>
          </w:p>
        </w:tc>
        <w:tc>
          <w:tcPr>
            <w:tcW w:w="0" w:type="dxa"/>
            <w:vAlign w:val="bottom"/>
          </w:tcPr>
          <w:p>
            <w:pPr>
              <w:spacing w:after="0"/>
              <w:rPr>
                <w:sz w:val="1"/>
                <w:szCs w:val="1"/>
                <w:color w:val="auto"/>
              </w:rPr>
            </w:pPr>
          </w:p>
        </w:tc>
      </w:tr>
      <w:tr>
        <w:trPr>
          <w:trHeight w:val="255"/>
        </w:trPr>
        <w:tc>
          <w:tcPr>
            <w:tcW w:w="1360" w:type="dxa"/>
            <w:vAlign w:val="bottom"/>
          </w:tcPr>
          <w:p>
            <w:pPr>
              <w:spacing w:after="0"/>
              <w:rPr>
                <w:sz w:val="20"/>
                <w:szCs w:val="20"/>
                <w:color w:val="auto"/>
              </w:rPr>
            </w:pPr>
            <w:r>
              <w:rPr>
                <w:rFonts w:ascii="Arial" w:cs="Arial" w:eastAsia="Arial" w:hAnsi="Arial"/>
                <w:sz w:val="20"/>
                <w:szCs w:val="20"/>
                <w:color w:val="auto"/>
              </w:rPr>
              <w:t>Section 8.4</w:t>
            </w:r>
          </w:p>
        </w:tc>
        <w:tc>
          <w:tcPr>
            <w:tcW w:w="8900" w:type="dxa"/>
            <w:vAlign w:val="bottom"/>
            <w:gridSpan w:val="2"/>
          </w:tcPr>
          <w:p>
            <w:pPr>
              <w:ind w:left="360"/>
              <w:spacing w:after="0"/>
              <w:rPr>
                <w:sz w:val="20"/>
                <w:szCs w:val="20"/>
                <w:color w:val="auto"/>
              </w:rPr>
            </w:pPr>
            <w:r>
              <w:rPr>
                <w:rFonts w:ascii="Arial" w:cs="Arial" w:eastAsia="Arial" w:hAnsi="Arial"/>
                <w:sz w:val="20"/>
                <w:szCs w:val="20"/>
                <w:color w:val="auto"/>
              </w:rPr>
              <w:t>No Frustration of Closing Conditions</w:t>
            </w:r>
          </w:p>
        </w:tc>
        <w:tc>
          <w:tcPr>
            <w:tcW w:w="160" w:type="dxa"/>
            <w:vAlign w:val="bottom"/>
            <w:tcBorders>
              <w:bottom w:val="single" w:sz="8" w:color="0000FF"/>
            </w:tcBorders>
          </w:tcPr>
          <w:p>
            <w:pPr>
              <w:jc w:val="right"/>
              <w:spacing w:after="0"/>
              <w:rPr>
                <w:rFonts w:ascii="Arial" w:cs="Arial" w:eastAsia="Arial" w:hAnsi="Arial"/>
                <w:sz w:val="17"/>
                <w:szCs w:val="17"/>
                <w:color w:val="0000FF"/>
                <w:w w:val="73"/>
              </w:rPr>
            </w:pPr>
            <w:hyperlink w:anchor="page67">
              <w:r>
                <w:rPr>
                  <w:rFonts w:ascii="Arial" w:cs="Arial" w:eastAsia="Arial" w:hAnsi="Arial"/>
                  <w:sz w:val="17"/>
                  <w:szCs w:val="17"/>
                  <w:color w:val="0000FF"/>
                  <w:w w:val="73"/>
                </w:rPr>
                <w:t>56</w:t>
              </w:r>
            </w:hyperlink>
          </w:p>
        </w:tc>
        <w:tc>
          <w:tcPr>
            <w:tcW w:w="0" w:type="dxa"/>
            <w:vAlign w:val="bottom"/>
          </w:tcPr>
          <w:p>
            <w:pPr>
              <w:spacing w:after="0"/>
              <w:rPr>
                <w:sz w:val="1"/>
                <w:szCs w:val="1"/>
                <w:color w:val="auto"/>
              </w:rPr>
            </w:pPr>
          </w:p>
        </w:tc>
      </w:tr>
      <w:tr>
        <w:trPr>
          <w:trHeight w:val="666"/>
        </w:trPr>
        <w:tc>
          <w:tcPr>
            <w:tcW w:w="1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760" w:type="dxa"/>
            <w:vAlign w:val="bottom"/>
          </w:tcPr>
          <w:p>
            <w:pPr>
              <w:jc w:val="center"/>
              <w:ind w:right="742"/>
              <w:spacing w:after="0"/>
              <w:rPr>
                <w:sz w:val="20"/>
                <w:szCs w:val="20"/>
                <w:color w:val="auto"/>
              </w:rPr>
            </w:pPr>
            <w:r>
              <w:rPr>
                <w:rFonts w:ascii="Arial" w:cs="Arial" w:eastAsia="Arial" w:hAnsi="Arial"/>
                <w:sz w:val="20"/>
                <w:szCs w:val="20"/>
                <w:color w:val="auto"/>
                <w:w w:val="99"/>
              </w:rPr>
              <w:t>ARTICLE IX</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13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7760" w:type="dxa"/>
            <w:vAlign w:val="bottom"/>
          </w:tcPr>
          <w:p>
            <w:pPr>
              <w:jc w:val="center"/>
              <w:ind w:right="742"/>
              <w:spacing w:after="0"/>
              <w:rPr>
                <w:sz w:val="20"/>
                <w:szCs w:val="20"/>
                <w:color w:val="auto"/>
              </w:rPr>
            </w:pPr>
            <w:r>
              <w:rPr>
                <w:rFonts w:ascii="Arial" w:cs="Arial" w:eastAsia="Arial" w:hAnsi="Arial"/>
                <w:sz w:val="20"/>
                <w:szCs w:val="20"/>
                <w:color w:val="auto"/>
                <w:w w:val="98"/>
              </w:rPr>
              <w:t>INDEMNIFICATION FOR THIRD PARTY CLAIMS</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8"/>
        </w:trPr>
        <w:tc>
          <w:tcPr>
            <w:tcW w:w="1360" w:type="dxa"/>
            <w:vAlign w:val="bottom"/>
          </w:tcPr>
          <w:p>
            <w:pPr>
              <w:spacing w:after="0" w:line="228" w:lineRule="exact"/>
              <w:rPr>
                <w:sz w:val="20"/>
                <w:szCs w:val="20"/>
                <w:color w:val="auto"/>
              </w:rPr>
            </w:pPr>
            <w:r>
              <w:rPr>
                <w:rFonts w:ascii="Arial" w:cs="Arial" w:eastAsia="Arial" w:hAnsi="Arial"/>
                <w:sz w:val="20"/>
                <w:szCs w:val="20"/>
                <w:color w:val="auto"/>
              </w:rPr>
              <w:t>Section 9.1</w:t>
            </w:r>
          </w:p>
        </w:tc>
        <w:tc>
          <w:tcPr>
            <w:tcW w:w="8900" w:type="dxa"/>
            <w:vAlign w:val="bottom"/>
            <w:gridSpan w:val="2"/>
          </w:tcPr>
          <w:p>
            <w:pPr>
              <w:ind w:left="360"/>
              <w:spacing w:after="0" w:line="228" w:lineRule="exact"/>
              <w:rPr>
                <w:sz w:val="20"/>
                <w:szCs w:val="20"/>
                <w:color w:val="auto"/>
              </w:rPr>
            </w:pPr>
            <w:r>
              <w:rPr>
                <w:rFonts w:ascii="Arial" w:cs="Arial" w:eastAsia="Arial" w:hAnsi="Arial"/>
                <w:sz w:val="20"/>
                <w:szCs w:val="20"/>
                <w:color w:val="auto"/>
              </w:rPr>
              <w:t>Indemnification by the Insurer</w:t>
            </w:r>
          </w:p>
        </w:tc>
        <w:tc>
          <w:tcPr>
            <w:tcW w:w="160" w:type="dxa"/>
            <w:vAlign w:val="bottom"/>
            <w:tcBorders>
              <w:bottom w:val="single" w:sz="8" w:color="0000FF"/>
            </w:tcBorders>
          </w:tcPr>
          <w:p>
            <w:pPr>
              <w:jc w:val="right"/>
              <w:spacing w:after="0"/>
              <w:rPr>
                <w:rFonts w:ascii="Arial" w:cs="Arial" w:eastAsia="Arial" w:hAnsi="Arial"/>
                <w:sz w:val="17"/>
                <w:szCs w:val="17"/>
                <w:color w:val="0000FF"/>
                <w:w w:val="73"/>
              </w:rPr>
            </w:pPr>
            <w:hyperlink w:anchor="page67">
              <w:r>
                <w:rPr>
                  <w:rFonts w:ascii="Arial" w:cs="Arial" w:eastAsia="Arial" w:hAnsi="Arial"/>
                  <w:sz w:val="17"/>
                  <w:szCs w:val="17"/>
                  <w:color w:val="0000FF"/>
                  <w:w w:val="73"/>
                </w:rPr>
                <w:t>56</w:t>
              </w:r>
            </w:hyperlink>
          </w:p>
        </w:tc>
        <w:tc>
          <w:tcPr>
            <w:tcW w:w="0" w:type="dxa"/>
            <w:vAlign w:val="bottom"/>
          </w:tcPr>
          <w:p>
            <w:pPr>
              <w:spacing w:after="0"/>
              <w:rPr>
                <w:sz w:val="1"/>
                <w:szCs w:val="1"/>
                <w:color w:val="auto"/>
              </w:rPr>
            </w:pPr>
          </w:p>
        </w:tc>
      </w:tr>
      <w:tr>
        <w:trPr>
          <w:trHeight w:val="255"/>
        </w:trPr>
        <w:tc>
          <w:tcPr>
            <w:tcW w:w="1360" w:type="dxa"/>
            <w:vAlign w:val="bottom"/>
          </w:tcPr>
          <w:p>
            <w:pPr>
              <w:spacing w:after="0"/>
              <w:rPr>
                <w:sz w:val="20"/>
                <w:szCs w:val="20"/>
                <w:color w:val="auto"/>
              </w:rPr>
            </w:pPr>
            <w:r>
              <w:rPr>
                <w:rFonts w:ascii="Arial" w:cs="Arial" w:eastAsia="Arial" w:hAnsi="Arial"/>
                <w:sz w:val="20"/>
                <w:szCs w:val="20"/>
                <w:color w:val="auto"/>
              </w:rPr>
              <w:t>Section 9.2</w:t>
            </w:r>
          </w:p>
        </w:tc>
        <w:tc>
          <w:tcPr>
            <w:tcW w:w="8900" w:type="dxa"/>
            <w:vAlign w:val="bottom"/>
            <w:gridSpan w:val="2"/>
          </w:tcPr>
          <w:p>
            <w:pPr>
              <w:ind w:left="360"/>
              <w:spacing w:after="0"/>
              <w:rPr>
                <w:sz w:val="20"/>
                <w:szCs w:val="20"/>
                <w:color w:val="auto"/>
              </w:rPr>
            </w:pPr>
            <w:r>
              <w:rPr>
                <w:rFonts w:ascii="Arial" w:cs="Arial" w:eastAsia="Arial" w:hAnsi="Arial"/>
                <w:sz w:val="20"/>
                <w:szCs w:val="20"/>
                <w:color w:val="auto"/>
              </w:rPr>
              <w:t>Procedures For Indemnification Claims</w:t>
            </w:r>
          </w:p>
        </w:tc>
        <w:tc>
          <w:tcPr>
            <w:tcW w:w="160" w:type="dxa"/>
            <w:vAlign w:val="bottom"/>
            <w:tcBorders>
              <w:bottom w:val="single" w:sz="8" w:color="0000FF"/>
            </w:tcBorders>
          </w:tcPr>
          <w:p>
            <w:pPr>
              <w:jc w:val="right"/>
              <w:spacing w:after="0"/>
              <w:rPr>
                <w:rFonts w:ascii="Arial" w:cs="Arial" w:eastAsia="Arial" w:hAnsi="Arial"/>
                <w:sz w:val="17"/>
                <w:szCs w:val="17"/>
                <w:color w:val="0000FF"/>
                <w:w w:val="73"/>
              </w:rPr>
            </w:pPr>
            <w:hyperlink w:anchor="page68">
              <w:r>
                <w:rPr>
                  <w:rFonts w:ascii="Arial" w:cs="Arial" w:eastAsia="Arial" w:hAnsi="Arial"/>
                  <w:sz w:val="17"/>
                  <w:szCs w:val="17"/>
                  <w:color w:val="0000FF"/>
                  <w:w w:val="73"/>
                </w:rPr>
                <w:t>57</w:t>
              </w:r>
            </w:hyperlink>
          </w:p>
        </w:tc>
        <w:tc>
          <w:tcPr>
            <w:tcW w:w="0" w:type="dxa"/>
            <w:vAlign w:val="bottom"/>
          </w:tcPr>
          <w:p>
            <w:pPr>
              <w:spacing w:after="0"/>
              <w:rPr>
                <w:sz w:val="1"/>
                <w:szCs w:val="1"/>
                <w:color w:val="auto"/>
              </w:rPr>
            </w:pPr>
          </w:p>
        </w:tc>
      </w:tr>
      <w:tr>
        <w:trPr>
          <w:trHeight w:val="303"/>
        </w:trPr>
        <w:tc>
          <w:tcPr>
            <w:tcW w:w="1360" w:type="dxa"/>
            <w:vAlign w:val="bottom"/>
            <w:vMerge w:val="restart"/>
          </w:tcPr>
          <w:p>
            <w:pPr>
              <w:spacing w:after="0"/>
              <w:rPr>
                <w:sz w:val="20"/>
                <w:szCs w:val="20"/>
                <w:color w:val="auto"/>
              </w:rPr>
            </w:pPr>
            <w:r>
              <w:rPr>
                <w:rFonts w:ascii="Arial" w:cs="Arial" w:eastAsia="Arial" w:hAnsi="Arial"/>
                <w:sz w:val="20"/>
                <w:szCs w:val="20"/>
                <w:color w:val="auto"/>
              </w:rPr>
              <w:t>Section 9.3</w:t>
            </w:r>
          </w:p>
        </w:tc>
        <w:tc>
          <w:tcPr>
            <w:tcW w:w="8900" w:type="dxa"/>
            <w:vAlign w:val="bottom"/>
            <w:gridSpan w:val="2"/>
          </w:tcPr>
          <w:p>
            <w:pPr>
              <w:ind w:left="360"/>
              <w:spacing w:after="0"/>
              <w:rPr>
                <w:sz w:val="20"/>
                <w:szCs w:val="20"/>
                <w:color w:val="auto"/>
              </w:rPr>
            </w:pPr>
            <w:r>
              <w:rPr>
                <w:rFonts w:ascii="Arial" w:cs="Arial" w:eastAsia="Arial" w:hAnsi="Arial"/>
                <w:sz w:val="20"/>
                <w:szCs w:val="20"/>
                <w:color w:val="auto"/>
              </w:rPr>
              <w:t>Claims and Payment; Treatment of Payments</w:t>
            </w:r>
          </w:p>
        </w:tc>
        <w:tc>
          <w:tcPr>
            <w:tcW w:w="160" w:type="dxa"/>
            <w:vAlign w:val="bottom"/>
            <w:vMerge w:val="restart"/>
          </w:tcPr>
          <w:p>
            <w:pPr>
              <w:jc w:val="right"/>
              <w:spacing w:after="0"/>
              <w:rPr>
                <w:rFonts w:ascii="Arial" w:cs="Arial" w:eastAsia="Arial" w:hAnsi="Arial"/>
                <w:sz w:val="17"/>
                <w:szCs w:val="17"/>
                <w:color w:val="0000FF"/>
                <w:w w:val="73"/>
              </w:rPr>
            </w:pPr>
            <w:hyperlink w:anchor="page69">
              <w:r>
                <w:rPr>
                  <w:rFonts w:ascii="Arial" w:cs="Arial" w:eastAsia="Arial" w:hAnsi="Arial"/>
                  <w:sz w:val="17"/>
                  <w:szCs w:val="17"/>
                  <w:color w:val="0000FF"/>
                  <w:w w:val="73"/>
                </w:rPr>
                <w:t>58</w:t>
              </w:r>
            </w:hyperlink>
          </w:p>
        </w:tc>
        <w:tc>
          <w:tcPr>
            <w:tcW w:w="0" w:type="dxa"/>
            <w:vAlign w:val="bottom"/>
          </w:tcPr>
          <w:p>
            <w:pPr>
              <w:spacing w:after="0"/>
              <w:rPr>
                <w:sz w:val="1"/>
                <w:szCs w:val="1"/>
                <w:color w:val="auto"/>
              </w:rPr>
            </w:pPr>
          </w:p>
        </w:tc>
      </w:tr>
      <w:tr>
        <w:trPr>
          <w:trHeight w:val="58"/>
        </w:trPr>
        <w:tc>
          <w:tcPr>
            <w:tcW w:w="1360" w:type="dxa"/>
            <w:vAlign w:val="bottom"/>
            <w:vMerge w:val="continue"/>
          </w:tcPr>
          <w:p>
            <w:pPr>
              <w:spacing w:after="0"/>
              <w:rPr>
                <w:sz w:val="4"/>
                <w:szCs w:val="4"/>
                <w:color w:val="auto"/>
              </w:rPr>
            </w:pPr>
          </w:p>
        </w:tc>
        <w:tc>
          <w:tcPr>
            <w:tcW w:w="1140" w:type="dxa"/>
            <w:vAlign w:val="bottom"/>
          </w:tcPr>
          <w:p>
            <w:pPr>
              <w:spacing w:after="0"/>
              <w:rPr>
                <w:sz w:val="4"/>
                <w:szCs w:val="4"/>
                <w:color w:val="auto"/>
              </w:rPr>
            </w:pPr>
          </w:p>
        </w:tc>
        <w:tc>
          <w:tcPr>
            <w:tcW w:w="7760" w:type="dxa"/>
            <w:vAlign w:val="bottom"/>
          </w:tcPr>
          <w:p>
            <w:pPr>
              <w:spacing w:after="0"/>
              <w:rPr>
                <w:sz w:val="4"/>
                <w:szCs w:val="4"/>
                <w:color w:val="auto"/>
              </w:rPr>
            </w:pPr>
          </w:p>
        </w:tc>
        <w:tc>
          <w:tcPr>
            <w:tcW w:w="160" w:type="dxa"/>
            <w:vAlign w:val="bottom"/>
            <w:tcBorders>
              <w:bottom w:val="single" w:sz="8" w:color="0000FF"/>
            </w:tcBorders>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iii</w:t>
      </w:r>
    </w:p>
    <w:p>
      <w:pPr>
        <w:sectPr>
          <w:pgSz w:w="11900" w:h="16838" w:orient="portrait"/>
          <w:cols w:equalWidth="0" w:num="1">
            <w:col w:w="10420"/>
          </w:cols>
          <w:pgMar w:left="280" w:top="123" w:right="119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17"/>
        </w:trPr>
        <w:tc>
          <w:tcPr>
            <w:tcW w:w="1400" w:type="dxa"/>
            <w:vAlign w:val="bottom"/>
          </w:tcPr>
          <w:p>
            <w:pPr>
              <w:spacing w:after="0"/>
              <w:rPr>
                <w:sz w:val="18"/>
                <w:szCs w:val="18"/>
                <w:color w:val="auto"/>
              </w:rPr>
            </w:pPr>
          </w:p>
        </w:tc>
        <w:tc>
          <w:tcPr>
            <w:tcW w:w="8860" w:type="dxa"/>
            <w:vAlign w:val="bottom"/>
          </w:tcPr>
          <w:p>
            <w:pPr>
              <w:ind w:left="3380"/>
              <w:spacing w:after="0"/>
              <w:rPr>
                <w:sz w:val="20"/>
                <w:szCs w:val="20"/>
                <w:color w:val="auto"/>
              </w:rPr>
            </w:pPr>
            <w:r>
              <w:rPr>
                <w:rFonts w:ascii="Arial" w:cs="Arial" w:eastAsia="Arial" w:hAnsi="Arial"/>
                <w:sz w:val="17"/>
                <w:szCs w:val="17"/>
                <w:b w:val="1"/>
                <w:bCs w:val="1"/>
                <w:color w:val="auto"/>
              </w:rPr>
              <w:t>TABLE OF CONTENTS</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11"/>
        </w:trPr>
        <w:tc>
          <w:tcPr>
            <w:tcW w:w="1400" w:type="dxa"/>
            <w:vAlign w:val="bottom"/>
          </w:tcPr>
          <w:p>
            <w:pPr>
              <w:spacing w:after="0"/>
              <w:rPr>
                <w:sz w:val="24"/>
                <w:szCs w:val="24"/>
                <w:color w:val="auto"/>
              </w:rPr>
            </w:pPr>
          </w:p>
        </w:tc>
        <w:tc>
          <w:tcPr>
            <w:tcW w:w="8860" w:type="dxa"/>
            <w:vAlign w:val="bottom"/>
          </w:tcPr>
          <w:p>
            <w:pPr>
              <w:jc w:val="center"/>
              <w:ind w:left="161"/>
              <w:spacing w:after="0"/>
              <w:rPr>
                <w:sz w:val="20"/>
                <w:szCs w:val="20"/>
                <w:color w:val="auto"/>
              </w:rPr>
            </w:pPr>
            <w:r>
              <w:rPr>
                <w:rFonts w:ascii="Arial" w:cs="Arial" w:eastAsia="Arial" w:hAnsi="Arial"/>
                <w:sz w:val="20"/>
                <w:szCs w:val="20"/>
                <w:color w:val="auto"/>
              </w:rPr>
              <w:t>ARTICLE X</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1400" w:type="dxa"/>
            <w:vAlign w:val="bottom"/>
          </w:tcPr>
          <w:p>
            <w:pPr>
              <w:spacing w:after="0"/>
              <w:rPr>
                <w:sz w:val="23"/>
                <w:szCs w:val="23"/>
                <w:color w:val="auto"/>
              </w:rPr>
            </w:pPr>
          </w:p>
        </w:tc>
        <w:tc>
          <w:tcPr>
            <w:tcW w:w="8860" w:type="dxa"/>
            <w:vAlign w:val="bottom"/>
          </w:tcPr>
          <w:p>
            <w:pPr>
              <w:jc w:val="center"/>
              <w:ind w:left="161"/>
              <w:spacing w:after="0"/>
              <w:rPr>
                <w:sz w:val="20"/>
                <w:szCs w:val="20"/>
                <w:color w:val="auto"/>
              </w:rPr>
            </w:pPr>
            <w:r>
              <w:rPr>
                <w:rFonts w:ascii="Arial" w:cs="Arial" w:eastAsia="Arial" w:hAnsi="Arial"/>
                <w:sz w:val="20"/>
                <w:szCs w:val="20"/>
                <w:color w:val="auto"/>
                <w:w w:val="98"/>
              </w:rPr>
              <w:t>TERMINATION</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8"/>
        </w:trPr>
        <w:tc>
          <w:tcPr>
            <w:tcW w:w="1400" w:type="dxa"/>
            <w:vAlign w:val="bottom"/>
          </w:tcPr>
          <w:p>
            <w:pPr>
              <w:spacing w:after="0" w:line="228" w:lineRule="exact"/>
              <w:rPr>
                <w:sz w:val="20"/>
                <w:szCs w:val="20"/>
                <w:color w:val="auto"/>
              </w:rPr>
            </w:pPr>
            <w:r>
              <w:rPr>
                <w:rFonts w:ascii="Arial" w:cs="Arial" w:eastAsia="Arial" w:hAnsi="Arial"/>
                <w:sz w:val="20"/>
                <w:szCs w:val="20"/>
                <w:color w:val="auto"/>
              </w:rPr>
              <w:t>Section 10.1</w:t>
            </w:r>
          </w:p>
        </w:tc>
        <w:tc>
          <w:tcPr>
            <w:tcW w:w="8860" w:type="dxa"/>
            <w:vAlign w:val="bottom"/>
          </w:tcPr>
          <w:p>
            <w:pPr>
              <w:ind w:left="320"/>
              <w:spacing w:after="0" w:line="228" w:lineRule="exact"/>
              <w:rPr>
                <w:sz w:val="20"/>
                <w:szCs w:val="20"/>
                <w:color w:val="auto"/>
              </w:rPr>
            </w:pPr>
            <w:r>
              <w:rPr>
                <w:rFonts w:ascii="Arial" w:cs="Arial" w:eastAsia="Arial" w:hAnsi="Arial"/>
                <w:sz w:val="20"/>
                <w:szCs w:val="20"/>
                <w:color w:val="auto"/>
              </w:rPr>
              <w:t>Termination of Agreement</w:t>
            </w:r>
          </w:p>
        </w:tc>
        <w:tc>
          <w:tcPr>
            <w:tcW w:w="160" w:type="dxa"/>
            <w:vAlign w:val="bottom"/>
            <w:tcBorders>
              <w:bottom w:val="single" w:sz="8" w:color="0000FF"/>
            </w:tcBorders>
          </w:tcPr>
          <w:p>
            <w:pPr>
              <w:jc w:val="right"/>
              <w:spacing w:after="0"/>
              <w:rPr>
                <w:rFonts w:ascii="Arial" w:cs="Arial" w:eastAsia="Arial" w:hAnsi="Arial"/>
                <w:sz w:val="17"/>
                <w:szCs w:val="17"/>
                <w:color w:val="0000FF"/>
                <w:w w:val="73"/>
              </w:rPr>
            </w:pPr>
            <w:hyperlink w:anchor="page69">
              <w:r>
                <w:rPr>
                  <w:rFonts w:ascii="Arial" w:cs="Arial" w:eastAsia="Arial" w:hAnsi="Arial"/>
                  <w:sz w:val="17"/>
                  <w:szCs w:val="17"/>
                  <w:color w:val="0000FF"/>
                  <w:w w:val="73"/>
                </w:rPr>
                <w:t>58</w:t>
              </w:r>
            </w:hyperlink>
          </w:p>
        </w:tc>
        <w:tc>
          <w:tcPr>
            <w:tcW w:w="0" w:type="dxa"/>
            <w:vAlign w:val="bottom"/>
          </w:tcPr>
          <w:p>
            <w:pPr>
              <w:spacing w:after="0"/>
              <w:rPr>
                <w:sz w:val="1"/>
                <w:szCs w:val="1"/>
                <w:color w:val="auto"/>
              </w:rPr>
            </w:pPr>
          </w:p>
        </w:tc>
      </w:tr>
      <w:tr>
        <w:trPr>
          <w:trHeight w:val="255"/>
        </w:trPr>
        <w:tc>
          <w:tcPr>
            <w:tcW w:w="1400" w:type="dxa"/>
            <w:vAlign w:val="bottom"/>
          </w:tcPr>
          <w:p>
            <w:pPr>
              <w:spacing w:after="0"/>
              <w:rPr>
                <w:sz w:val="20"/>
                <w:szCs w:val="20"/>
                <w:color w:val="auto"/>
              </w:rPr>
            </w:pPr>
            <w:r>
              <w:rPr>
                <w:rFonts w:ascii="Arial" w:cs="Arial" w:eastAsia="Arial" w:hAnsi="Arial"/>
                <w:sz w:val="20"/>
                <w:szCs w:val="20"/>
                <w:color w:val="auto"/>
              </w:rPr>
              <w:t>Section 10.2</w:t>
            </w:r>
          </w:p>
        </w:tc>
        <w:tc>
          <w:tcPr>
            <w:tcW w:w="8860" w:type="dxa"/>
            <w:vAlign w:val="bottom"/>
          </w:tcPr>
          <w:p>
            <w:pPr>
              <w:ind w:left="320"/>
              <w:spacing w:after="0"/>
              <w:rPr>
                <w:sz w:val="20"/>
                <w:szCs w:val="20"/>
                <w:color w:val="auto"/>
              </w:rPr>
            </w:pPr>
            <w:r>
              <w:rPr>
                <w:rFonts w:ascii="Arial" w:cs="Arial" w:eastAsia="Arial" w:hAnsi="Arial"/>
                <w:sz w:val="20"/>
                <w:szCs w:val="20"/>
                <w:color w:val="auto"/>
              </w:rPr>
              <w:t>Effect of Termination</w:t>
            </w:r>
          </w:p>
        </w:tc>
        <w:tc>
          <w:tcPr>
            <w:tcW w:w="160" w:type="dxa"/>
            <w:vAlign w:val="bottom"/>
            <w:tcBorders>
              <w:bottom w:val="single" w:sz="8" w:color="0000FF"/>
            </w:tcBorders>
          </w:tcPr>
          <w:p>
            <w:pPr>
              <w:jc w:val="right"/>
              <w:spacing w:after="0"/>
              <w:rPr>
                <w:rFonts w:ascii="Arial" w:cs="Arial" w:eastAsia="Arial" w:hAnsi="Arial"/>
                <w:sz w:val="17"/>
                <w:szCs w:val="17"/>
                <w:color w:val="0000FF"/>
                <w:w w:val="73"/>
              </w:rPr>
            </w:pPr>
            <w:hyperlink w:anchor="page70">
              <w:r>
                <w:rPr>
                  <w:rFonts w:ascii="Arial" w:cs="Arial" w:eastAsia="Arial" w:hAnsi="Arial"/>
                  <w:sz w:val="17"/>
                  <w:szCs w:val="17"/>
                  <w:color w:val="0000FF"/>
                  <w:w w:val="73"/>
                </w:rPr>
                <w:t>59</w:t>
              </w:r>
            </w:hyperlink>
          </w:p>
        </w:tc>
        <w:tc>
          <w:tcPr>
            <w:tcW w:w="0" w:type="dxa"/>
            <w:vAlign w:val="bottom"/>
          </w:tcPr>
          <w:p>
            <w:pPr>
              <w:spacing w:after="0"/>
              <w:rPr>
                <w:sz w:val="1"/>
                <w:szCs w:val="1"/>
                <w:color w:val="auto"/>
              </w:rPr>
            </w:pPr>
          </w:p>
        </w:tc>
      </w:tr>
      <w:tr>
        <w:trPr>
          <w:trHeight w:val="666"/>
        </w:trPr>
        <w:tc>
          <w:tcPr>
            <w:tcW w:w="1400" w:type="dxa"/>
            <w:vAlign w:val="bottom"/>
          </w:tcPr>
          <w:p>
            <w:pPr>
              <w:spacing w:after="0"/>
              <w:rPr>
                <w:sz w:val="24"/>
                <w:szCs w:val="24"/>
                <w:color w:val="auto"/>
              </w:rPr>
            </w:pPr>
          </w:p>
        </w:tc>
        <w:tc>
          <w:tcPr>
            <w:tcW w:w="8860" w:type="dxa"/>
            <w:vAlign w:val="bottom"/>
          </w:tcPr>
          <w:p>
            <w:pPr>
              <w:jc w:val="center"/>
              <w:ind w:left="161"/>
              <w:spacing w:after="0"/>
              <w:rPr>
                <w:sz w:val="20"/>
                <w:szCs w:val="20"/>
                <w:color w:val="auto"/>
              </w:rPr>
            </w:pPr>
            <w:r>
              <w:rPr>
                <w:rFonts w:ascii="Arial" w:cs="Arial" w:eastAsia="Arial" w:hAnsi="Arial"/>
                <w:sz w:val="20"/>
                <w:szCs w:val="20"/>
                <w:color w:val="auto"/>
                <w:w w:val="99"/>
              </w:rPr>
              <w:t>ARTICLE XI</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1400" w:type="dxa"/>
            <w:vAlign w:val="bottom"/>
          </w:tcPr>
          <w:p>
            <w:pPr>
              <w:spacing w:after="0"/>
              <w:rPr>
                <w:sz w:val="23"/>
                <w:szCs w:val="23"/>
                <w:color w:val="auto"/>
              </w:rPr>
            </w:pPr>
          </w:p>
        </w:tc>
        <w:tc>
          <w:tcPr>
            <w:tcW w:w="8860" w:type="dxa"/>
            <w:vAlign w:val="bottom"/>
          </w:tcPr>
          <w:p>
            <w:pPr>
              <w:jc w:val="center"/>
              <w:ind w:left="161"/>
              <w:spacing w:after="0"/>
              <w:rPr>
                <w:sz w:val="20"/>
                <w:szCs w:val="20"/>
                <w:color w:val="auto"/>
              </w:rPr>
            </w:pPr>
            <w:r>
              <w:rPr>
                <w:rFonts w:ascii="Arial" w:cs="Arial" w:eastAsia="Arial" w:hAnsi="Arial"/>
                <w:sz w:val="20"/>
                <w:szCs w:val="20"/>
                <w:color w:val="auto"/>
                <w:w w:val="98"/>
              </w:rPr>
              <w:t>MISCELLANEOUS</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8"/>
        </w:trPr>
        <w:tc>
          <w:tcPr>
            <w:tcW w:w="1400" w:type="dxa"/>
            <w:vAlign w:val="bottom"/>
          </w:tcPr>
          <w:p>
            <w:pPr>
              <w:spacing w:after="0" w:line="228" w:lineRule="exact"/>
              <w:rPr>
                <w:sz w:val="20"/>
                <w:szCs w:val="20"/>
                <w:color w:val="auto"/>
              </w:rPr>
            </w:pPr>
            <w:r>
              <w:rPr>
                <w:rFonts w:ascii="Arial" w:cs="Arial" w:eastAsia="Arial" w:hAnsi="Arial"/>
                <w:sz w:val="20"/>
                <w:szCs w:val="20"/>
                <w:color w:val="auto"/>
              </w:rPr>
              <w:t>Section 11.1</w:t>
            </w:r>
          </w:p>
        </w:tc>
        <w:tc>
          <w:tcPr>
            <w:tcW w:w="8860" w:type="dxa"/>
            <w:vAlign w:val="bottom"/>
          </w:tcPr>
          <w:p>
            <w:pPr>
              <w:ind w:left="320"/>
              <w:spacing w:after="0" w:line="228" w:lineRule="exact"/>
              <w:rPr>
                <w:sz w:val="20"/>
                <w:szCs w:val="20"/>
                <w:color w:val="auto"/>
              </w:rPr>
            </w:pPr>
            <w:r>
              <w:rPr>
                <w:rFonts w:ascii="Arial" w:cs="Arial" w:eastAsia="Arial" w:hAnsi="Arial"/>
                <w:sz w:val="20"/>
                <w:szCs w:val="20"/>
                <w:color w:val="auto"/>
              </w:rPr>
              <w:t>Expenses</w:t>
            </w:r>
          </w:p>
        </w:tc>
        <w:tc>
          <w:tcPr>
            <w:tcW w:w="160" w:type="dxa"/>
            <w:vAlign w:val="bottom"/>
            <w:tcBorders>
              <w:bottom w:val="single" w:sz="8" w:color="0000FF"/>
            </w:tcBorders>
          </w:tcPr>
          <w:p>
            <w:pPr>
              <w:jc w:val="right"/>
              <w:spacing w:after="0"/>
              <w:rPr>
                <w:rFonts w:ascii="Arial" w:cs="Arial" w:eastAsia="Arial" w:hAnsi="Arial"/>
                <w:sz w:val="17"/>
                <w:szCs w:val="17"/>
                <w:color w:val="0000FF"/>
                <w:w w:val="73"/>
              </w:rPr>
            </w:pPr>
            <w:hyperlink w:anchor="page72">
              <w:r>
                <w:rPr>
                  <w:rFonts w:ascii="Arial" w:cs="Arial" w:eastAsia="Arial" w:hAnsi="Arial"/>
                  <w:sz w:val="17"/>
                  <w:szCs w:val="17"/>
                  <w:color w:val="0000FF"/>
                  <w:w w:val="73"/>
                </w:rPr>
                <w:t>61</w:t>
              </w:r>
            </w:hyperlink>
          </w:p>
        </w:tc>
        <w:tc>
          <w:tcPr>
            <w:tcW w:w="0" w:type="dxa"/>
            <w:vAlign w:val="bottom"/>
          </w:tcPr>
          <w:p>
            <w:pPr>
              <w:spacing w:after="0"/>
              <w:rPr>
                <w:sz w:val="1"/>
                <w:szCs w:val="1"/>
                <w:color w:val="auto"/>
              </w:rPr>
            </w:pPr>
          </w:p>
        </w:tc>
      </w:tr>
      <w:tr>
        <w:trPr>
          <w:trHeight w:val="255"/>
        </w:trPr>
        <w:tc>
          <w:tcPr>
            <w:tcW w:w="1400" w:type="dxa"/>
            <w:vAlign w:val="bottom"/>
          </w:tcPr>
          <w:p>
            <w:pPr>
              <w:spacing w:after="0"/>
              <w:rPr>
                <w:sz w:val="20"/>
                <w:szCs w:val="20"/>
                <w:color w:val="auto"/>
              </w:rPr>
            </w:pPr>
            <w:r>
              <w:rPr>
                <w:rFonts w:ascii="Arial" w:cs="Arial" w:eastAsia="Arial" w:hAnsi="Arial"/>
                <w:sz w:val="20"/>
                <w:szCs w:val="20"/>
                <w:color w:val="auto"/>
              </w:rPr>
              <w:t>Section 11.2</w:t>
            </w:r>
          </w:p>
        </w:tc>
        <w:tc>
          <w:tcPr>
            <w:tcW w:w="8860" w:type="dxa"/>
            <w:vAlign w:val="bottom"/>
          </w:tcPr>
          <w:p>
            <w:pPr>
              <w:ind w:left="320"/>
              <w:spacing w:after="0"/>
              <w:rPr>
                <w:sz w:val="20"/>
                <w:szCs w:val="20"/>
                <w:color w:val="auto"/>
              </w:rPr>
            </w:pPr>
            <w:r>
              <w:rPr>
                <w:rFonts w:ascii="Arial" w:cs="Arial" w:eastAsia="Arial" w:hAnsi="Arial"/>
                <w:sz w:val="20"/>
                <w:szCs w:val="20"/>
                <w:color w:val="auto"/>
              </w:rPr>
              <w:t>Entire Agreement</w:t>
            </w:r>
          </w:p>
        </w:tc>
        <w:tc>
          <w:tcPr>
            <w:tcW w:w="160" w:type="dxa"/>
            <w:vAlign w:val="bottom"/>
            <w:tcBorders>
              <w:bottom w:val="single" w:sz="8" w:color="0000FF"/>
            </w:tcBorders>
          </w:tcPr>
          <w:p>
            <w:pPr>
              <w:jc w:val="right"/>
              <w:spacing w:after="0"/>
              <w:rPr>
                <w:rFonts w:ascii="Arial" w:cs="Arial" w:eastAsia="Arial" w:hAnsi="Arial"/>
                <w:sz w:val="17"/>
                <w:szCs w:val="17"/>
                <w:color w:val="0000FF"/>
                <w:w w:val="73"/>
              </w:rPr>
            </w:pPr>
            <w:hyperlink w:anchor="page72">
              <w:r>
                <w:rPr>
                  <w:rFonts w:ascii="Arial" w:cs="Arial" w:eastAsia="Arial" w:hAnsi="Arial"/>
                  <w:sz w:val="17"/>
                  <w:szCs w:val="17"/>
                  <w:color w:val="0000FF"/>
                  <w:w w:val="73"/>
                </w:rPr>
                <w:t>61</w:t>
              </w:r>
            </w:hyperlink>
          </w:p>
        </w:tc>
        <w:tc>
          <w:tcPr>
            <w:tcW w:w="0" w:type="dxa"/>
            <w:vAlign w:val="bottom"/>
          </w:tcPr>
          <w:p>
            <w:pPr>
              <w:spacing w:after="0"/>
              <w:rPr>
                <w:sz w:val="1"/>
                <w:szCs w:val="1"/>
                <w:color w:val="auto"/>
              </w:rPr>
            </w:pPr>
          </w:p>
        </w:tc>
      </w:tr>
      <w:tr>
        <w:trPr>
          <w:trHeight w:val="255"/>
        </w:trPr>
        <w:tc>
          <w:tcPr>
            <w:tcW w:w="1400" w:type="dxa"/>
            <w:vAlign w:val="bottom"/>
          </w:tcPr>
          <w:p>
            <w:pPr>
              <w:spacing w:after="0"/>
              <w:rPr>
                <w:sz w:val="20"/>
                <w:szCs w:val="20"/>
                <w:color w:val="auto"/>
              </w:rPr>
            </w:pPr>
            <w:r>
              <w:rPr>
                <w:rFonts w:ascii="Arial" w:cs="Arial" w:eastAsia="Arial" w:hAnsi="Arial"/>
                <w:sz w:val="20"/>
                <w:szCs w:val="20"/>
                <w:color w:val="auto"/>
              </w:rPr>
              <w:t>Section 11.3</w:t>
            </w:r>
          </w:p>
        </w:tc>
        <w:tc>
          <w:tcPr>
            <w:tcW w:w="8860" w:type="dxa"/>
            <w:vAlign w:val="bottom"/>
          </w:tcPr>
          <w:p>
            <w:pPr>
              <w:ind w:left="320"/>
              <w:spacing w:after="0"/>
              <w:rPr>
                <w:sz w:val="20"/>
                <w:szCs w:val="20"/>
                <w:color w:val="auto"/>
              </w:rPr>
            </w:pPr>
            <w:r>
              <w:rPr>
                <w:rFonts w:ascii="Arial" w:cs="Arial" w:eastAsia="Arial" w:hAnsi="Arial"/>
                <w:sz w:val="20"/>
                <w:szCs w:val="20"/>
                <w:color w:val="auto"/>
              </w:rPr>
              <w:t>Amendments and Waivers</w:t>
            </w:r>
          </w:p>
        </w:tc>
        <w:tc>
          <w:tcPr>
            <w:tcW w:w="160" w:type="dxa"/>
            <w:vAlign w:val="bottom"/>
            <w:tcBorders>
              <w:bottom w:val="single" w:sz="8" w:color="0000FF"/>
            </w:tcBorders>
          </w:tcPr>
          <w:p>
            <w:pPr>
              <w:jc w:val="right"/>
              <w:spacing w:after="0"/>
              <w:rPr>
                <w:rFonts w:ascii="Arial" w:cs="Arial" w:eastAsia="Arial" w:hAnsi="Arial"/>
                <w:sz w:val="17"/>
                <w:szCs w:val="17"/>
                <w:color w:val="0000FF"/>
                <w:w w:val="73"/>
              </w:rPr>
            </w:pPr>
            <w:hyperlink w:anchor="page72">
              <w:r>
                <w:rPr>
                  <w:rFonts w:ascii="Arial" w:cs="Arial" w:eastAsia="Arial" w:hAnsi="Arial"/>
                  <w:sz w:val="17"/>
                  <w:szCs w:val="17"/>
                  <w:color w:val="0000FF"/>
                  <w:w w:val="73"/>
                </w:rPr>
                <w:t>61</w:t>
              </w:r>
            </w:hyperlink>
          </w:p>
        </w:tc>
        <w:tc>
          <w:tcPr>
            <w:tcW w:w="0" w:type="dxa"/>
            <w:vAlign w:val="bottom"/>
          </w:tcPr>
          <w:p>
            <w:pPr>
              <w:spacing w:after="0"/>
              <w:rPr>
                <w:sz w:val="1"/>
                <w:szCs w:val="1"/>
                <w:color w:val="auto"/>
              </w:rPr>
            </w:pPr>
          </w:p>
        </w:tc>
      </w:tr>
      <w:tr>
        <w:trPr>
          <w:trHeight w:val="255"/>
        </w:trPr>
        <w:tc>
          <w:tcPr>
            <w:tcW w:w="1400" w:type="dxa"/>
            <w:vAlign w:val="bottom"/>
          </w:tcPr>
          <w:p>
            <w:pPr>
              <w:spacing w:after="0"/>
              <w:rPr>
                <w:sz w:val="20"/>
                <w:szCs w:val="20"/>
                <w:color w:val="auto"/>
              </w:rPr>
            </w:pPr>
            <w:r>
              <w:rPr>
                <w:rFonts w:ascii="Arial" w:cs="Arial" w:eastAsia="Arial" w:hAnsi="Arial"/>
                <w:sz w:val="20"/>
                <w:szCs w:val="20"/>
                <w:color w:val="auto"/>
              </w:rPr>
              <w:t>Section 11.4</w:t>
            </w:r>
          </w:p>
        </w:tc>
        <w:tc>
          <w:tcPr>
            <w:tcW w:w="8860" w:type="dxa"/>
            <w:vAlign w:val="bottom"/>
          </w:tcPr>
          <w:p>
            <w:pPr>
              <w:ind w:left="320"/>
              <w:spacing w:after="0"/>
              <w:rPr>
                <w:sz w:val="20"/>
                <w:szCs w:val="20"/>
                <w:color w:val="auto"/>
              </w:rPr>
            </w:pPr>
            <w:r>
              <w:rPr>
                <w:rFonts w:ascii="Arial" w:cs="Arial" w:eastAsia="Arial" w:hAnsi="Arial"/>
                <w:sz w:val="20"/>
                <w:szCs w:val="20"/>
                <w:color w:val="auto"/>
              </w:rPr>
              <w:t>Succession and Assignment</w:t>
            </w:r>
          </w:p>
        </w:tc>
        <w:tc>
          <w:tcPr>
            <w:tcW w:w="160" w:type="dxa"/>
            <w:vAlign w:val="bottom"/>
            <w:tcBorders>
              <w:bottom w:val="single" w:sz="8" w:color="0000FF"/>
            </w:tcBorders>
          </w:tcPr>
          <w:p>
            <w:pPr>
              <w:jc w:val="right"/>
              <w:spacing w:after="0"/>
              <w:rPr>
                <w:rFonts w:ascii="Arial" w:cs="Arial" w:eastAsia="Arial" w:hAnsi="Arial"/>
                <w:sz w:val="17"/>
                <w:szCs w:val="17"/>
                <w:color w:val="0000FF"/>
                <w:w w:val="73"/>
              </w:rPr>
            </w:pPr>
            <w:hyperlink w:anchor="page73">
              <w:r>
                <w:rPr>
                  <w:rFonts w:ascii="Arial" w:cs="Arial" w:eastAsia="Arial" w:hAnsi="Arial"/>
                  <w:sz w:val="17"/>
                  <w:szCs w:val="17"/>
                  <w:color w:val="0000FF"/>
                  <w:w w:val="73"/>
                </w:rPr>
                <w:t>62</w:t>
              </w:r>
            </w:hyperlink>
          </w:p>
        </w:tc>
        <w:tc>
          <w:tcPr>
            <w:tcW w:w="0" w:type="dxa"/>
            <w:vAlign w:val="bottom"/>
          </w:tcPr>
          <w:p>
            <w:pPr>
              <w:spacing w:after="0"/>
              <w:rPr>
                <w:sz w:val="1"/>
                <w:szCs w:val="1"/>
                <w:color w:val="auto"/>
              </w:rPr>
            </w:pPr>
          </w:p>
        </w:tc>
      </w:tr>
      <w:tr>
        <w:trPr>
          <w:trHeight w:val="255"/>
        </w:trPr>
        <w:tc>
          <w:tcPr>
            <w:tcW w:w="1400" w:type="dxa"/>
            <w:vAlign w:val="bottom"/>
          </w:tcPr>
          <w:p>
            <w:pPr>
              <w:spacing w:after="0"/>
              <w:rPr>
                <w:sz w:val="20"/>
                <w:szCs w:val="20"/>
                <w:color w:val="auto"/>
              </w:rPr>
            </w:pPr>
            <w:r>
              <w:rPr>
                <w:rFonts w:ascii="Arial" w:cs="Arial" w:eastAsia="Arial" w:hAnsi="Arial"/>
                <w:sz w:val="20"/>
                <w:szCs w:val="20"/>
                <w:color w:val="auto"/>
              </w:rPr>
              <w:t>Section 11.5</w:t>
            </w:r>
          </w:p>
        </w:tc>
        <w:tc>
          <w:tcPr>
            <w:tcW w:w="8860" w:type="dxa"/>
            <w:vAlign w:val="bottom"/>
          </w:tcPr>
          <w:p>
            <w:pPr>
              <w:ind w:left="320"/>
              <w:spacing w:after="0"/>
              <w:rPr>
                <w:sz w:val="20"/>
                <w:szCs w:val="20"/>
                <w:color w:val="auto"/>
              </w:rPr>
            </w:pPr>
            <w:r>
              <w:rPr>
                <w:rFonts w:ascii="Arial" w:cs="Arial" w:eastAsia="Arial" w:hAnsi="Arial"/>
                <w:sz w:val="20"/>
                <w:szCs w:val="20"/>
                <w:color w:val="auto"/>
              </w:rPr>
              <w:t>Notices</w:t>
            </w:r>
          </w:p>
        </w:tc>
        <w:tc>
          <w:tcPr>
            <w:tcW w:w="160" w:type="dxa"/>
            <w:vAlign w:val="bottom"/>
            <w:tcBorders>
              <w:bottom w:val="single" w:sz="8" w:color="0000FF"/>
            </w:tcBorders>
          </w:tcPr>
          <w:p>
            <w:pPr>
              <w:jc w:val="right"/>
              <w:spacing w:after="0"/>
              <w:rPr>
                <w:rFonts w:ascii="Arial" w:cs="Arial" w:eastAsia="Arial" w:hAnsi="Arial"/>
                <w:sz w:val="17"/>
                <w:szCs w:val="17"/>
                <w:color w:val="0000FF"/>
                <w:w w:val="73"/>
              </w:rPr>
            </w:pPr>
            <w:hyperlink w:anchor="page73">
              <w:r>
                <w:rPr>
                  <w:rFonts w:ascii="Arial" w:cs="Arial" w:eastAsia="Arial" w:hAnsi="Arial"/>
                  <w:sz w:val="17"/>
                  <w:szCs w:val="17"/>
                  <w:color w:val="0000FF"/>
                  <w:w w:val="73"/>
                </w:rPr>
                <w:t>62</w:t>
              </w:r>
            </w:hyperlink>
          </w:p>
        </w:tc>
        <w:tc>
          <w:tcPr>
            <w:tcW w:w="0" w:type="dxa"/>
            <w:vAlign w:val="bottom"/>
          </w:tcPr>
          <w:p>
            <w:pPr>
              <w:spacing w:after="0"/>
              <w:rPr>
                <w:sz w:val="1"/>
                <w:szCs w:val="1"/>
                <w:color w:val="auto"/>
              </w:rPr>
            </w:pPr>
          </w:p>
        </w:tc>
      </w:tr>
      <w:tr>
        <w:trPr>
          <w:trHeight w:val="255"/>
        </w:trPr>
        <w:tc>
          <w:tcPr>
            <w:tcW w:w="1400" w:type="dxa"/>
            <w:vAlign w:val="bottom"/>
          </w:tcPr>
          <w:p>
            <w:pPr>
              <w:spacing w:after="0"/>
              <w:rPr>
                <w:sz w:val="20"/>
                <w:szCs w:val="20"/>
                <w:color w:val="auto"/>
              </w:rPr>
            </w:pPr>
            <w:r>
              <w:rPr>
                <w:rFonts w:ascii="Arial" w:cs="Arial" w:eastAsia="Arial" w:hAnsi="Arial"/>
                <w:sz w:val="20"/>
                <w:szCs w:val="20"/>
                <w:color w:val="auto"/>
              </w:rPr>
              <w:t>Section 11.6</w:t>
            </w:r>
          </w:p>
        </w:tc>
        <w:tc>
          <w:tcPr>
            <w:tcW w:w="8860" w:type="dxa"/>
            <w:vAlign w:val="bottom"/>
          </w:tcPr>
          <w:p>
            <w:pPr>
              <w:ind w:left="320"/>
              <w:spacing w:after="0"/>
              <w:rPr>
                <w:sz w:val="20"/>
                <w:szCs w:val="20"/>
                <w:color w:val="auto"/>
              </w:rPr>
            </w:pPr>
            <w:r>
              <w:rPr>
                <w:rFonts w:ascii="Arial" w:cs="Arial" w:eastAsia="Arial" w:hAnsi="Arial"/>
                <w:sz w:val="20"/>
                <w:szCs w:val="20"/>
                <w:color w:val="auto"/>
              </w:rPr>
              <w:t>Governing Law</w:t>
            </w:r>
          </w:p>
        </w:tc>
        <w:tc>
          <w:tcPr>
            <w:tcW w:w="160" w:type="dxa"/>
            <w:vAlign w:val="bottom"/>
            <w:tcBorders>
              <w:bottom w:val="single" w:sz="8" w:color="0000FF"/>
            </w:tcBorders>
          </w:tcPr>
          <w:p>
            <w:pPr>
              <w:jc w:val="right"/>
              <w:spacing w:after="0"/>
              <w:rPr>
                <w:rFonts w:ascii="Arial" w:cs="Arial" w:eastAsia="Arial" w:hAnsi="Arial"/>
                <w:sz w:val="17"/>
                <w:szCs w:val="17"/>
                <w:color w:val="0000FF"/>
                <w:w w:val="73"/>
              </w:rPr>
            </w:pPr>
            <w:hyperlink w:anchor="page75">
              <w:r>
                <w:rPr>
                  <w:rFonts w:ascii="Arial" w:cs="Arial" w:eastAsia="Arial" w:hAnsi="Arial"/>
                  <w:sz w:val="17"/>
                  <w:szCs w:val="17"/>
                  <w:color w:val="0000FF"/>
                  <w:w w:val="73"/>
                </w:rPr>
                <w:t>64</w:t>
              </w:r>
            </w:hyperlink>
          </w:p>
        </w:tc>
        <w:tc>
          <w:tcPr>
            <w:tcW w:w="0" w:type="dxa"/>
            <w:vAlign w:val="bottom"/>
          </w:tcPr>
          <w:p>
            <w:pPr>
              <w:spacing w:after="0"/>
              <w:rPr>
                <w:sz w:val="1"/>
                <w:szCs w:val="1"/>
                <w:color w:val="auto"/>
              </w:rPr>
            </w:pPr>
          </w:p>
        </w:tc>
      </w:tr>
      <w:tr>
        <w:trPr>
          <w:trHeight w:val="255"/>
        </w:trPr>
        <w:tc>
          <w:tcPr>
            <w:tcW w:w="1400" w:type="dxa"/>
            <w:vAlign w:val="bottom"/>
          </w:tcPr>
          <w:p>
            <w:pPr>
              <w:spacing w:after="0"/>
              <w:rPr>
                <w:sz w:val="20"/>
                <w:szCs w:val="20"/>
                <w:color w:val="auto"/>
              </w:rPr>
            </w:pPr>
            <w:r>
              <w:rPr>
                <w:rFonts w:ascii="Arial" w:cs="Arial" w:eastAsia="Arial" w:hAnsi="Arial"/>
                <w:sz w:val="20"/>
                <w:szCs w:val="20"/>
                <w:color w:val="auto"/>
              </w:rPr>
              <w:t>Section 11.7</w:t>
            </w:r>
          </w:p>
        </w:tc>
        <w:tc>
          <w:tcPr>
            <w:tcW w:w="8860" w:type="dxa"/>
            <w:vAlign w:val="bottom"/>
          </w:tcPr>
          <w:p>
            <w:pPr>
              <w:ind w:left="320"/>
              <w:spacing w:after="0"/>
              <w:rPr>
                <w:sz w:val="20"/>
                <w:szCs w:val="20"/>
                <w:color w:val="auto"/>
              </w:rPr>
            </w:pPr>
            <w:r>
              <w:rPr>
                <w:rFonts w:ascii="Arial" w:cs="Arial" w:eastAsia="Arial" w:hAnsi="Arial"/>
                <w:sz w:val="20"/>
                <w:szCs w:val="20"/>
                <w:color w:val="auto"/>
              </w:rPr>
              <w:t>Submission to Jurisdiction; Service of Process</w:t>
            </w:r>
          </w:p>
        </w:tc>
        <w:tc>
          <w:tcPr>
            <w:tcW w:w="160" w:type="dxa"/>
            <w:vAlign w:val="bottom"/>
            <w:tcBorders>
              <w:bottom w:val="single" w:sz="8" w:color="0000FF"/>
            </w:tcBorders>
          </w:tcPr>
          <w:p>
            <w:pPr>
              <w:jc w:val="right"/>
              <w:spacing w:after="0"/>
              <w:rPr>
                <w:rFonts w:ascii="Arial" w:cs="Arial" w:eastAsia="Arial" w:hAnsi="Arial"/>
                <w:sz w:val="17"/>
                <w:szCs w:val="17"/>
                <w:color w:val="0000FF"/>
                <w:w w:val="73"/>
              </w:rPr>
            </w:pPr>
            <w:hyperlink w:anchor="page75">
              <w:r>
                <w:rPr>
                  <w:rFonts w:ascii="Arial" w:cs="Arial" w:eastAsia="Arial" w:hAnsi="Arial"/>
                  <w:sz w:val="17"/>
                  <w:szCs w:val="17"/>
                  <w:color w:val="0000FF"/>
                  <w:w w:val="73"/>
                </w:rPr>
                <w:t>64</w:t>
              </w:r>
            </w:hyperlink>
          </w:p>
        </w:tc>
        <w:tc>
          <w:tcPr>
            <w:tcW w:w="0" w:type="dxa"/>
            <w:vAlign w:val="bottom"/>
          </w:tcPr>
          <w:p>
            <w:pPr>
              <w:spacing w:after="0"/>
              <w:rPr>
                <w:sz w:val="1"/>
                <w:szCs w:val="1"/>
                <w:color w:val="auto"/>
              </w:rPr>
            </w:pPr>
          </w:p>
        </w:tc>
      </w:tr>
      <w:tr>
        <w:trPr>
          <w:trHeight w:val="255"/>
        </w:trPr>
        <w:tc>
          <w:tcPr>
            <w:tcW w:w="1400" w:type="dxa"/>
            <w:vAlign w:val="bottom"/>
          </w:tcPr>
          <w:p>
            <w:pPr>
              <w:spacing w:after="0"/>
              <w:rPr>
                <w:sz w:val="20"/>
                <w:szCs w:val="20"/>
                <w:color w:val="auto"/>
              </w:rPr>
            </w:pPr>
            <w:r>
              <w:rPr>
                <w:rFonts w:ascii="Arial" w:cs="Arial" w:eastAsia="Arial" w:hAnsi="Arial"/>
                <w:sz w:val="20"/>
                <w:szCs w:val="20"/>
                <w:color w:val="auto"/>
              </w:rPr>
              <w:t>Section 11.8</w:t>
            </w:r>
          </w:p>
        </w:tc>
        <w:tc>
          <w:tcPr>
            <w:tcW w:w="8860" w:type="dxa"/>
            <w:vAlign w:val="bottom"/>
          </w:tcPr>
          <w:p>
            <w:pPr>
              <w:ind w:left="320"/>
              <w:spacing w:after="0"/>
              <w:rPr>
                <w:sz w:val="20"/>
                <w:szCs w:val="20"/>
                <w:color w:val="auto"/>
              </w:rPr>
            </w:pPr>
            <w:r>
              <w:rPr>
                <w:rFonts w:ascii="Arial" w:cs="Arial" w:eastAsia="Arial" w:hAnsi="Arial"/>
                <w:sz w:val="20"/>
                <w:szCs w:val="20"/>
                <w:color w:val="auto"/>
              </w:rPr>
              <w:t>Waivers of Jury Trial</w:t>
            </w:r>
          </w:p>
        </w:tc>
        <w:tc>
          <w:tcPr>
            <w:tcW w:w="160" w:type="dxa"/>
            <w:vAlign w:val="bottom"/>
            <w:tcBorders>
              <w:bottom w:val="single" w:sz="8" w:color="0000FF"/>
            </w:tcBorders>
          </w:tcPr>
          <w:p>
            <w:pPr>
              <w:jc w:val="right"/>
              <w:spacing w:after="0"/>
              <w:rPr>
                <w:rFonts w:ascii="Arial" w:cs="Arial" w:eastAsia="Arial" w:hAnsi="Arial"/>
                <w:sz w:val="17"/>
                <w:szCs w:val="17"/>
                <w:color w:val="0000FF"/>
                <w:w w:val="73"/>
              </w:rPr>
            </w:pPr>
            <w:hyperlink w:anchor="page76">
              <w:r>
                <w:rPr>
                  <w:rFonts w:ascii="Arial" w:cs="Arial" w:eastAsia="Arial" w:hAnsi="Arial"/>
                  <w:sz w:val="17"/>
                  <w:szCs w:val="17"/>
                  <w:color w:val="0000FF"/>
                  <w:w w:val="73"/>
                </w:rPr>
                <w:t>65</w:t>
              </w:r>
            </w:hyperlink>
          </w:p>
        </w:tc>
        <w:tc>
          <w:tcPr>
            <w:tcW w:w="0" w:type="dxa"/>
            <w:vAlign w:val="bottom"/>
          </w:tcPr>
          <w:p>
            <w:pPr>
              <w:spacing w:after="0"/>
              <w:rPr>
                <w:sz w:val="1"/>
                <w:szCs w:val="1"/>
                <w:color w:val="auto"/>
              </w:rPr>
            </w:pPr>
          </w:p>
        </w:tc>
      </w:tr>
      <w:tr>
        <w:trPr>
          <w:trHeight w:val="255"/>
        </w:trPr>
        <w:tc>
          <w:tcPr>
            <w:tcW w:w="1400" w:type="dxa"/>
            <w:vAlign w:val="bottom"/>
          </w:tcPr>
          <w:p>
            <w:pPr>
              <w:spacing w:after="0"/>
              <w:rPr>
                <w:sz w:val="20"/>
                <w:szCs w:val="20"/>
                <w:color w:val="auto"/>
              </w:rPr>
            </w:pPr>
            <w:r>
              <w:rPr>
                <w:rFonts w:ascii="Arial" w:cs="Arial" w:eastAsia="Arial" w:hAnsi="Arial"/>
                <w:sz w:val="20"/>
                <w:szCs w:val="20"/>
                <w:color w:val="auto"/>
              </w:rPr>
              <w:t>Section 11.9</w:t>
            </w:r>
          </w:p>
        </w:tc>
        <w:tc>
          <w:tcPr>
            <w:tcW w:w="8860" w:type="dxa"/>
            <w:vAlign w:val="bottom"/>
          </w:tcPr>
          <w:p>
            <w:pPr>
              <w:ind w:left="320"/>
              <w:spacing w:after="0"/>
              <w:rPr>
                <w:sz w:val="20"/>
                <w:szCs w:val="20"/>
                <w:color w:val="auto"/>
              </w:rPr>
            </w:pPr>
            <w:r>
              <w:rPr>
                <w:rFonts w:ascii="Arial" w:cs="Arial" w:eastAsia="Arial" w:hAnsi="Arial"/>
                <w:sz w:val="20"/>
                <w:szCs w:val="20"/>
                <w:color w:val="auto"/>
              </w:rPr>
              <w:t>Specific Performance</w:t>
            </w:r>
          </w:p>
        </w:tc>
        <w:tc>
          <w:tcPr>
            <w:tcW w:w="160" w:type="dxa"/>
            <w:vAlign w:val="bottom"/>
            <w:tcBorders>
              <w:bottom w:val="single" w:sz="8" w:color="0000FF"/>
            </w:tcBorders>
          </w:tcPr>
          <w:p>
            <w:pPr>
              <w:jc w:val="right"/>
              <w:spacing w:after="0"/>
              <w:rPr>
                <w:rFonts w:ascii="Arial" w:cs="Arial" w:eastAsia="Arial" w:hAnsi="Arial"/>
                <w:sz w:val="17"/>
                <w:szCs w:val="17"/>
                <w:color w:val="0000FF"/>
                <w:w w:val="73"/>
              </w:rPr>
            </w:pPr>
            <w:hyperlink w:anchor="page76">
              <w:r>
                <w:rPr>
                  <w:rFonts w:ascii="Arial" w:cs="Arial" w:eastAsia="Arial" w:hAnsi="Arial"/>
                  <w:sz w:val="17"/>
                  <w:szCs w:val="17"/>
                  <w:color w:val="0000FF"/>
                  <w:w w:val="73"/>
                </w:rPr>
                <w:t>65</w:t>
              </w:r>
            </w:hyperlink>
          </w:p>
        </w:tc>
        <w:tc>
          <w:tcPr>
            <w:tcW w:w="0" w:type="dxa"/>
            <w:vAlign w:val="bottom"/>
          </w:tcPr>
          <w:p>
            <w:pPr>
              <w:spacing w:after="0"/>
              <w:rPr>
                <w:sz w:val="1"/>
                <w:szCs w:val="1"/>
                <w:color w:val="auto"/>
              </w:rPr>
            </w:pPr>
          </w:p>
        </w:tc>
      </w:tr>
      <w:tr>
        <w:trPr>
          <w:trHeight w:val="255"/>
        </w:trPr>
        <w:tc>
          <w:tcPr>
            <w:tcW w:w="1400" w:type="dxa"/>
            <w:vAlign w:val="bottom"/>
          </w:tcPr>
          <w:p>
            <w:pPr>
              <w:spacing w:after="0"/>
              <w:rPr>
                <w:sz w:val="20"/>
                <w:szCs w:val="20"/>
                <w:color w:val="auto"/>
              </w:rPr>
            </w:pPr>
            <w:r>
              <w:rPr>
                <w:rFonts w:ascii="Arial" w:cs="Arial" w:eastAsia="Arial" w:hAnsi="Arial"/>
                <w:sz w:val="20"/>
                <w:szCs w:val="20"/>
                <w:color w:val="auto"/>
              </w:rPr>
              <w:t>Section 11.10</w:t>
            </w:r>
          </w:p>
        </w:tc>
        <w:tc>
          <w:tcPr>
            <w:tcW w:w="8860" w:type="dxa"/>
            <w:vAlign w:val="bottom"/>
          </w:tcPr>
          <w:p>
            <w:pPr>
              <w:ind w:left="320"/>
              <w:spacing w:after="0"/>
              <w:rPr>
                <w:sz w:val="20"/>
                <w:szCs w:val="20"/>
                <w:color w:val="auto"/>
              </w:rPr>
            </w:pPr>
            <w:r>
              <w:rPr>
                <w:rFonts w:ascii="Arial" w:cs="Arial" w:eastAsia="Arial" w:hAnsi="Arial"/>
                <w:sz w:val="20"/>
                <w:szCs w:val="20"/>
                <w:color w:val="auto"/>
              </w:rPr>
              <w:t>Severability</w:t>
            </w:r>
          </w:p>
        </w:tc>
        <w:tc>
          <w:tcPr>
            <w:tcW w:w="160" w:type="dxa"/>
            <w:vAlign w:val="bottom"/>
            <w:tcBorders>
              <w:bottom w:val="single" w:sz="8" w:color="0000FF"/>
            </w:tcBorders>
          </w:tcPr>
          <w:p>
            <w:pPr>
              <w:jc w:val="right"/>
              <w:spacing w:after="0"/>
              <w:rPr>
                <w:rFonts w:ascii="Arial" w:cs="Arial" w:eastAsia="Arial" w:hAnsi="Arial"/>
                <w:sz w:val="17"/>
                <w:szCs w:val="17"/>
                <w:color w:val="0000FF"/>
                <w:w w:val="73"/>
              </w:rPr>
            </w:pPr>
            <w:hyperlink w:anchor="page76">
              <w:r>
                <w:rPr>
                  <w:rFonts w:ascii="Arial" w:cs="Arial" w:eastAsia="Arial" w:hAnsi="Arial"/>
                  <w:sz w:val="17"/>
                  <w:szCs w:val="17"/>
                  <w:color w:val="0000FF"/>
                  <w:w w:val="73"/>
                </w:rPr>
                <w:t>65</w:t>
              </w:r>
            </w:hyperlink>
          </w:p>
        </w:tc>
        <w:tc>
          <w:tcPr>
            <w:tcW w:w="0" w:type="dxa"/>
            <w:vAlign w:val="bottom"/>
          </w:tcPr>
          <w:p>
            <w:pPr>
              <w:spacing w:after="0"/>
              <w:rPr>
                <w:sz w:val="1"/>
                <w:szCs w:val="1"/>
                <w:color w:val="auto"/>
              </w:rPr>
            </w:pPr>
          </w:p>
        </w:tc>
      </w:tr>
      <w:tr>
        <w:trPr>
          <w:trHeight w:val="255"/>
        </w:trPr>
        <w:tc>
          <w:tcPr>
            <w:tcW w:w="1400" w:type="dxa"/>
            <w:vAlign w:val="bottom"/>
          </w:tcPr>
          <w:p>
            <w:pPr>
              <w:spacing w:after="0"/>
              <w:rPr>
                <w:sz w:val="20"/>
                <w:szCs w:val="20"/>
                <w:color w:val="auto"/>
              </w:rPr>
            </w:pPr>
            <w:r>
              <w:rPr>
                <w:rFonts w:ascii="Arial" w:cs="Arial" w:eastAsia="Arial" w:hAnsi="Arial"/>
                <w:sz w:val="20"/>
                <w:szCs w:val="20"/>
                <w:color w:val="auto"/>
              </w:rPr>
              <w:t>Section 11.11</w:t>
            </w:r>
          </w:p>
        </w:tc>
        <w:tc>
          <w:tcPr>
            <w:tcW w:w="8860" w:type="dxa"/>
            <w:vAlign w:val="bottom"/>
          </w:tcPr>
          <w:p>
            <w:pPr>
              <w:ind w:left="320"/>
              <w:spacing w:after="0"/>
              <w:rPr>
                <w:sz w:val="20"/>
                <w:szCs w:val="20"/>
                <w:color w:val="auto"/>
              </w:rPr>
            </w:pPr>
            <w:r>
              <w:rPr>
                <w:rFonts w:ascii="Arial" w:cs="Arial" w:eastAsia="Arial" w:hAnsi="Arial"/>
                <w:sz w:val="20"/>
                <w:szCs w:val="20"/>
                <w:color w:val="auto"/>
              </w:rPr>
              <w:t>No Third Party Beneficiaries</w:t>
            </w:r>
          </w:p>
        </w:tc>
        <w:tc>
          <w:tcPr>
            <w:tcW w:w="160" w:type="dxa"/>
            <w:vAlign w:val="bottom"/>
            <w:tcBorders>
              <w:bottom w:val="single" w:sz="8" w:color="0000FF"/>
            </w:tcBorders>
          </w:tcPr>
          <w:p>
            <w:pPr>
              <w:jc w:val="right"/>
              <w:spacing w:after="0"/>
              <w:rPr>
                <w:rFonts w:ascii="Arial" w:cs="Arial" w:eastAsia="Arial" w:hAnsi="Arial"/>
                <w:sz w:val="17"/>
                <w:szCs w:val="17"/>
                <w:color w:val="0000FF"/>
                <w:w w:val="73"/>
              </w:rPr>
            </w:pPr>
            <w:hyperlink w:anchor="page76">
              <w:r>
                <w:rPr>
                  <w:rFonts w:ascii="Arial" w:cs="Arial" w:eastAsia="Arial" w:hAnsi="Arial"/>
                  <w:sz w:val="17"/>
                  <w:szCs w:val="17"/>
                  <w:color w:val="0000FF"/>
                  <w:w w:val="73"/>
                </w:rPr>
                <w:t>65</w:t>
              </w:r>
            </w:hyperlink>
          </w:p>
        </w:tc>
        <w:tc>
          <w:tcPr>
            <w:tcW w:w="0" w:type="dxa"/>
            <w:vAlign w:val="bottom"/>
          </w:tcPr>
          <w:p>
            <w:pPr>
              <w:spacing w:after="0"/>
              <w:rPr>
                <w:sz w:val="1"/>
                <w:szCs w:val="1"/>
                <w:color w:val="auto"/>
              </w:rPr>
            </w:pPr>
          </w:p>
        </w:tc>
      </w:tr>
      <w:tr>
        <w:trPr>
          <w:trHeight w:val="255"/>
        </w:trPr>
        <w:tc>
          <w:tcPr>
            <w:tcW w:w="1400" w:type="dxa"/>
            <w:vAlign w:val="bottom"/>
          </w:tcPr>
          <w:p>
            <w:pPr>
              <w:spacing w:after="0"/>
              <w:rPr>
                <w:sz w:val="20"/>
                <w:szCs w:val="20"/>
                <w:color w:val="auto"/>
              </w:rPr>
            </w:pPr>
            <w:r>
              <w:rPr>
                <w:rFonts w:ascii="Arial" w:cs="Arial" w:eastAsia="Arial" w:hAnsi="Arial"/>
                <w:sz w:val="20"/>
                <w:szCs w:val="20"/>
                <w:color w:val="auto"/>
              </w:rPr>
              <w:t>Section 11.12</w:t>
            </w:r>
          </w:p>
        </w:tc>
        <w:tc>
          <w:tcPr>
            <w:tcW w:w="8860" w:type="dxa"/>
            <w:vAlign w:val="bottom"/>
          </w:tcPr>
          <w:p>
            <w:pPr>
              <w:ind w:left="320"/>
              <w:spacing w:after="0"/>
              <w:rPr>
                <w:sz w:val="20"/>
                <w:szCs w:val="20"/>
                <w:color w:val="auto"/>
              </w:rPr>
            </w:pPr>
            <w:r>
              <w:rPr>
                <w:rFonts w:ascii="Arial" w:cs="Arial" w:eastAsia="Arial" w:hAnsi="Arial"/>
                <w:sz w:val="20"/>
                <w:szCs w:val="20"/>
                <w:color w:val="auto"/>
              </w:rPr>
              <w:t>Counterparts; Facsimile and Electronic Signatures</w:t>
            </w:r>
          </w:p>
        </w:tc>
        <w:tc>
          <w:tcPr>
            <w:tcW w:w="160" w:type="dxa"/>
            <w:vAlign w:val="bottom"/>
            <w:tcBorders>
              <w:bottom w:val="single" w:sz="8" w:color="0000FF"/>
            </w:tcBorders>
          </w:tcPr>
          <w:p>
            <w:pPr>
              <w:jc w:val="right"/>
              <w:spacing w:after="0"/>
              <w:rPr>
                <w:rFonts w:ascii="Arial" w:cs="Arial" w:eastAsia="Arial" w:hAnsi="Arial"/>
                <w:sz w:val="17"/>
                <w:szCs w:val="17"/>
                <w:color w:val="0000FF"/>
                <w:w w:val="73"/>
              </w:rPr>
            </w:pPr>
            <w:hyperlink w:anchor="page76">
              <w:r>
                <w:rPr>
                  <w:rFonts w:ascii="Arial" w:cs="Arial" w:eastAsia="Arial" w:hAnsi="Arial"/>
                  <w:sz w:val="17"/>
                  <w:szCs w:val="17"/>
                  <w:color w:val="0000FF"/>
                  <w:w w:val="73"/>
                </w:rPr>
                <w:t>65</w:t>
              </w:r>
            </w:hyperlink>
          </w:p>
        </w:tc>
        <w:tc>
          <w:tcPr>
            <w:tcW w:w="0" w:type="dxa"/>
            <w:vAlign w:val="bottom"/>
          </w:tcPr>
          <w:p>
            <w:pPr>
              <w:spacing w:after="0"/>
              <w:rPr>
                <w:sz w:val="1"/>
                <w:szCs w:val="1"/>
                <w:color w:val="auto"/>
              </w:rPr>
            </w:pPr>
          </w:p>
        </w:tc>
      </w:tr>
      <w:tr>
        <w:trPr>
          <w:trHeight w:val="303"/>
        </w:trPr>
        <w:tc>
          <w:tcPr>
            <w:tcW w:w="1400" w:type="dxa"/>
            <w:vAlign w:val="bottom"/>
            <w:vMerge w:val="restart"/>
          </w:tcPr>
          <w:p>
            <w:pPr>
              <w:spacing w:after="0"/>
              <w:rPr>
                <w:sz w:val="20"/>
                <w:szCs w:val="20"/>
                <w:color w:val="auto"/>
              </w:rPr>
            </w:pPr>
            <w:r>
              <w:rPr>
                <w:rFonts w:ascii="Arial" w:cs="Arial" w:eastAsia="Arial" w:hAnsi="Arial"/>
                <w:sz w:val="20"/>
                <w:szCs w:val="20"/>
                <w:color w:val="auto"/>
              </w:rPr>
              <w:t>Section 11.13</w:t>
            </w:r>
          </w:p>
        </w:tc>
        <w:tc>
          <w:tcPr>
            <w:tcW w:w="8860" w:type="dxa"/>
            <w:vAlign w:val="bottom"/>
          </w:tcPr>
          <w:p>
            <w:pPr>
              <w:ind w:left="320"/>
              <w:spacing w:after="0"/>
              <w:rPr>
                <w:sz w:val="20"/>
                <w:szCs w:val="20"/>
                <w:color w:val="auto"/>
              </w:rPr>
            </w:pPr>
            <w:r>
              <w:rPr>
                <w:rFonts w:ascii="Arial" w:cs="Arial" w:eastAsia="Arial" w:hAnsi="Arial"/>
                <w:sz w:val="20"/>
                <w:szCs w:val="20"/>
                <w:color w:val="auto"/>
              </w:rPr>
              <w:t>Survival of Representations and Warranties</w:t>
            </w:r>
          </w:p>
        </w:tc>
        <w:tc>
          <w:tcPr>
            <w:tcW w:w="160" w:type="dxa"/>
            <w:vAlign w:val="bottom"/>
            <w:vMerge w:val="restart"/>
          </w:tcPr>
          <w:p>
            <w:pPr>
              <w:jc w:val="right"/>
              <w:spacing w:after="0"/>
              <w:rPr>
                <w:rFonts w:ascii="Arial" w:cs="Arial" w:eastAsia="Arial" w:hAnsi="Arial"/>
                <w:sz w:val="17"/>
                <w:szCs w:val="17"/>
                <w:color w:val="0000FF"/>
                <w:w w:val="73"/>
              </w:rPr>
            </w:pPr>
            <w:hyperlink w:anchor="page77">
              <w:r>
                <w:rPr>
                  <w:rFonts w:ascii="Arial" w:cs="Arial" w:eastAsia="Arial" w:hAnsi="Arial"/>
                  <w:sz w:val="17"/>
                  <w:szCs w:val="17"/>
                  <w:color w:val="0000FF"/>
                  <w:w w:val="73"/>
                </w:rPr>
                <w:t>66</w:t>
              </w:r>
            </w:hyperlink>
          </w:p>
        </w:tc>
        <w:tc>
          <w:tcPr>
            <w:tcW w:w="0" w:type="dxa"/>
            <w:vAlign w:val="bottom"/>
          </w:tcPr>
          <w:p>
            <w:pPr>
              <w:spacing w:after="0"/>
              <w:rPr>
                <w:sz w:val="1"/>
                <w:szCs w:val="1"/>
                <w:color w:val="auto"/>
              </w:rPr>
            </w:pPr>
          </w:p>
        </w:tc>
      </w:tr>
      <w:tr>
        <w:trPr>
          <w:trHeight w:val="58"/>
        </w:trPr>
        <w:tc>
          <w:tcPr>
            <w:tcW w:w="1400" w:type="dxa"/>
            <w:vAlign w:val="bottom"/>
            <w:vMerge w:val="continue"/>
          </w:tcPr>
          <w:p>
            <w:pPr>
              <w:spacing w:after="0"/>
              <w:rPr>
                <w:sz w:val="4"/>
                <w:szCs w:val="4"/>
                <w:color w:val="auto"/>
              </w:rPr>
            </w:pPr>
          </w:p>
        </w:tc>
        <w:tc>
          <w:tcPr>
            <w:tcW w:w="8860" w:type="dxa"/>
            <w:vAlign w:val="bottom"/>
          </w:tcPr>
          <w:p>
            <w:pPr>
              <w:spacing w:after="0"/>
              <w:rPr>
                <w:sz w:val="4"/>
                <w:szCs w:val="4"/>
                <w:color w:val="auto"/>
              </w:rPr>
            </w:pPr>
          </w:p>
        </w:tc>
        <w:tc>
          <w:tcPr>
            <w:tcW w:w="160" w:type="dxa"/>
            <w:vAlign w:val="bottom"/>
            <w:tcBorders>
              <w:bottom w:val="single" w:sz="8" w:color="0000FF"/>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1400" w:type="dxa"/>
            <w:vAlign w:val="bottom"/>
          </w:tcPr>
          <w:p>
            <w:pPr>
              <w:spacing w:after="0"/>
              <w:rPr>
                <w:sz w:val="20"/>
                <w:szCs w:val="20"/>
                <w:color w:val="auto"/>
              </w:rPr>
            </w:pPr>
            <w:r>
              <w:rPr>
                <w:rFonts w:ascii="Arial" w:cs="Arial" w:eastAsia="Arial" w:hAnsi="Arial"/>
                <w:sz w:val="20"/>
                <w:szCs w:val="20"/>
                <w:color w:val="auto"/>
              </w:rPr>
              <w:t>Section 11.14</w:t>
            </w:r>
          </w:p>
        </w:tc>
        <w:tc>
          <w:tcPr>
            <w:tcW w:w="8860" w:type="dxa"/>
            <w:vAlign w:val="bottom"/>
          </w:tcPr>
          <w:p>
            <w:pPr>
              <w:ind w:left="320"/>
              <w:spacing w:after="0"/>
              <w:rPr>
                <w:sz w:val="20"/>
                <w:szCs w:val="20"/>
                <w:color w:val="auto"/>
              </w:rPr>
            </w:pPr>
            <w:r>
              <w:rPr>
                <w:rFonts w:ascii="Arial" w:cs="Arial" w:eastAsia="Arial" w:hAnsi="Arial"/>
                <w:sz w:val="20"/>
                <w:szCs w:val="20"/>
                <w:color w:val="auto"/>
              </w:rPr>
              <w:t>Confidentiality; Intellectual Property</w:t>
            </w:r>
          </w:p>
        </w:tc>
        <w:tc>
          <w:tcPr>
            <w:tcW w:w="160" w:type="dxa"/>
            <w:vAlign w:val="bottom"/>
            <w:tcBorders>
              <w:bottom w:val="single" w:sz="8" w:color="0000FF"/>
            </w:tcBorders>
          </w:tcPr>
          <w:p>
            <w:pPr>
              <w:jc w:val="right"/>
              <w:spacing w:after="0"/>
              <w:rPr>
                <w:rFonts w:ascii="Arial" w:cs="Arial" w:eastAsia="Arial" w:hAnsi="Arial"/>
                <w:sz w:val="17"/>
                <w:szCs w:val="17"/>
                <w:color w:val="0000FF"/>
                <w:w w:val="73"/>
              </w:rPr>
            </w:pPr>
            <w:hyperlink w:anchor="page77">
              <w:r>
                <w:rPr>
                  <w:rFonts w:ascii="Arial" w:cs="Arial" w:eastAsia="Arial" w:hAnsi="Arial"/>
                  <w:sz w:val="17"/>
                  <w:szCs w:val="17"/>
                  <w:color w:val="0000FF"/>
                  <w:w w:val="73"/>
                </w:rPr>
                <w:t>66</w:t>
              </w:r>
            </w:hyperlink>
          </w:p>
        </w:tc>
        <w:tc>
          <w:tcPr>
            <w:tcW w:w="0" w:type="dxa"/>
            <w:vAlign w:val="bottom"/>
          </w:tcPr>
          <w:p>
            <w:pPr>
              <w:spacing w:after="0"/>
              <w:rPr>
                <w:sz w:val="1"/>
                <w:szCs w:val="1"/>
                <w:color w:val="auto"/>
              </w:rPr>
            </w:pPr>
          </w:p>
        </w:tc>
      </w:tr>
      <w:tr>
        <w:trPr>
          <w:trHeight w:val="255"/>
        </w:trPr>
        <w:tc>
          <w:tcPr>
            <w:tcW w:w="1400" w:type="dxa"/>
            <w:vAlign w:val="bottom"/>
          </w:tcPr>
          <w:p>
            <w:pPr>
              <w:spacing w:after="0"/>
              <w:rPr>
                <w:sz w:val="20"/>
                <w:szCs w:val="20"/>
                <w:color w:val="auto"/>
              </w:rPr>
            </w:pPr>
            <w:r>
              <w:rPr>
                <w:rFonts w:ascii="Arial" w:cs="Arial" w:eastAsia="Arial" w:hAnsi="Arial"/>
                <w:sz w:val="20"/>
                <w:szCs w:val="20"/>
                <w:color w:val="auto"/>
              </w:rPr>
              <w:t>Section 11.15</w:t>
            </w:r>
          </w:p>
        </w:tc>
        <w:tc>
          <w:tcPr>
            <w:tcW w:w="8860" w:type="dxa"/>
            <w:vAlign w:val="bottom"/>
          </w:tcPr>
          <w:p>
            <w:pPr>
              <w:ind w:left="320"/>
              <w:spacing w:after="0"/>
              <w:rPr>
                <w:sz w:val="20"/>
                <w:szCs w:val="20"/>
                <w:color w:val="auto"/>
              </w:rPr>
            </w:pPr>
            <w:r>
              <w:rPr>
                <w:rFonts w:ascii="Arial" w:cs="Arial" w:eastAsia="Arial" w:hAnsi="Arial"/>
                <w:sz w:val="20"/>
                <w:szCs w:val="20"/>
                <w:color w:val="auto"/>
              </w:rPr>
              <w:t>Waiver of Punitive Damages</w:t>
            </w:r>
          </w:p>
        </w:tc>
        <w:tc>
          <w:tcPr>
            <w:tcW w:w="160" w:type="dxa"/>
            <w:vAlign w:val="bottom"/>
            <w:tcBorders>
              <w:bottom w:val="single" w:sz="8" w:color="0000FF"/>
            </w:tcBorders>
          </w:tcPr>
          <w:p>
            <w:pPr>
              <w:jc w:val="right"/>
              <w:spacing w:after="0"/>
              <w:rPr>
                <w:rFonts w:ascii="Arial" w:cs="Arial" w:eastAsia="Arial" w:hAnsi="Arial"/>
                <w:sz w:val="17"/>
                <w:szCs w:val="17"/>
                <w:color w:val="0000FF"/>
                <w:w w:val="73"/>
              </w:rPr>
            </w:pPr>
            <w:hyperlink w:anchor="page78">
              <w:r>
                <w:rPr>
                  <w:rFonts w:ascii="Arial" w:cs="Arial" w:eastAsia="Arial" w:hAnsi="Arial"/>
                  <w:sz w:val="17"/>
                  <w:szCs w:val="17"/>
                  <w:color w:val="0000FF"/>
                  <w:w w:val="73"/>
                </w:rPr>
                <w:t>67</w:t>
              </w:r>
            </w:hyperlink>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20"/>
          <w:szCs w:val="20"/>
          <w:color w:val="auto"/>
        </w:rPr>
        <w:t>APPENDICES</w:t>
      </w:r>
    </w:p>
    <w:tbl>
      <w:tblPr>
        <w:tblLayout w:type="fixed"/>
        <w:tblInd w:w="0" w:type="dxa"/>
        <w:tblCellMar>
          <w:top w:w="0" w:type="dxa"/>
          <w:left w:w="0" w:type="dxa"/>
          <w:bottom w:w="0" w:type="dxa"/>
          <w:right w:w="0" w:type="dxa"/>
        </w:tblCellMar>
      </w:tblPr>
      <w:tr>
        <w:trPr>
          <w:trHeight w:val="247"/>
        </w:trPr>
        <w:tc>
          <w:tcPr>
            <w:tcW w:w="1220" w:type="dxa"/>
            <w:vAlign w:val="bottom"/>
            <w:tcBorders>
              <w:top w:val="single" w:sz="8" w:color="auto"/>
            </w:tcBorders>
          </w:tcPr>
          <w:p>
            <w:pPr>
              <w:spacing w:after="0"/>
              <w:rPr>
                <w:sz w:val="21"/>
                <w:szCs w:val="21"/>
                <w:color w:val="auto"/>
              </w:rPr>
            </w:pPr>
          </w:p>
        </w:tc>
        <w:tc>
          <w:tcPr>
            <w:tcW w:w="1860" w:type="dxa"/>
            <w:vAlign w:val="bottom"/>
          </w:tcPr>
          <w:p>
            <w:pPr>
              <w:spacing w:after="0"/>
              <w:rPr>
                <w:sz w:val="21"/>
                <w:szCs w:val="21"/>
                <w:color w:val="auto"/>
              </w:rPr>
            </w:pPr>
          </w:p>
        </w:tc>
        <w:tc>
          <w:tcPr>
            <w:tcW w:w="2680" w:type="dxa"/>
            <w:vAlign w:val="bottom"/>
          </w:tcPr>
          <w:p>
            <w:pPr>
              <w:ind w:left="1480"/>
              <w:spacing w:after="0"/>
              <w:rPr>
                <w:sz w:val="20"/>
                <w:szCs w:val="20"/>
                <w:color w:val="auto"/>
              </w:rPr>
            </w:pPr>
            <w:r>
              <w:rPr>
                <w:rFonts w:ascii="Arial" w:cs="Arial" w:eastAsia="Arial" w:hAnsi="Arial"/>
                <w:sz w:val="20"/>
                <w:szCs w:val="20"/>
                <w:color w:val="auto"/>
              </w:rPr>
              <w:t>Title</w:t>
            </w:r>
          </w:p>
        </w:tc>
        <w:tc>
          <w:tcPr>
            <w:tcW w:w="1240" w:type="dxa"/>
            <w:vAlign w:val="bottom"/>
          </w:tcPr>
          <w:p>
            <w:pPr>
              <w:spacing w:after="0"/>
              <w:rPr>
                <w:sz w:val="21"/>
                <w:szCs w:val="21"/>
                <w:color w:val="auto"/>
              </w:rPr>
            </w:pPr>
          </w:p>
        </w:tc>
        <w:tc>
          <w:tcPr>
            <w:tcW w:w="4280" w:type="dxa"/>
            <w:vAlign w:val="bottom"/>
          </w:tcPr>
          <w:p>
            <w:pPr>
              <w:spacing w:after="0"/>
              <w:rPr>
                <w:sz w:val="21"/>
                <w:szCs w:val="21"/>
                <w:color w:val="auto"/>
              </w:rPr>
            </w:pPr>
          </w:p>
        </w:tc>
      </w:tr>
      <w:tr>
        <w:trPr>
          <w:trHeight w:val="256"/>
        </w:trPr>
        <w:tc>
          <w:tcPr>
            <w:tcW w:w="3080" w:type="dxa"/>
            <w:vAlign w:val="bottom"/>
            <w:gridSpan w:val="2"/>
          </w:tcPr>
          <w:p>
            <w:pPr>
              <w:spacing w:after="0"/>
              <w:rPr>
                <w:sz w:val="20"/>
                <w:szCs w:val="20"/>
                <w:color w:val="auto"/>
              </w:rPr>
            </w:pPr>
            <w:r>
              <w:rPr>
                <w:rFonts w:ascii="Arial" w:cs="Arial" w:eastAsia="Arial" w:hAnsi="Arial"/>
                <w:sz w:val="20"/>
                <w:szCs w:val="20"/>
                <w:color w:val="auto"/>
              </w:rPr>
              <w:t>Appendix 1.1-A</w:t>
            </w:r>
          </w:p>
        </w:tc>
        <w:tc>
          <w:tcPr>
            <w:tcW w:w="8200" w:type="dxa"/>
            <w:vAlign w:val="bottom"/>
            <w:gridSpan w:val="3"/>
          </w:tcPr>
          <w:p>
            <w:pPr>
              <w:ind w:left="1480"/>
              <w:spacing w:after="0"/>
              <w:rPr>
                <w:sz w:val="20"/>
                <w:szCs w:val="20"/>
                <w:color w:val="auto"/>
              </w:rPr>
            </w:pPr>
            <w:r>
              <w:rPr>
                <w:rFonts w:ascii="Arial" w:cs="Arial" w:eastAsia="Arial" w:hAnsi="Arial"/>
                <w:sz w:val="20"/>
                <w:szCs w:val="20"/>
                <w:color w:val="auto"/>
              </w:rPr>
              <w:t>Form of Group Annuity Contract</w:t>
            </w:r>
          </w:p>
        </w:tc>
      </w:tr>
      <w:tr>
        <w:trPr>
          <w:trHeight w:val="275"/>
        </w:trPr>
        <w:tc>
          <w:tcPr>
            <w:tcW w:w="3080" w:type="dxa"/>
            <w:vAlign w:val="bottom"/>
            <w:gridSpan w:val="2"/>
          </w:tcPr>
          <w:p>
            <w:pPr>
              <w:spacing w:after="0"/>
              <w:rPr>
                <w:sz w:val="20"/>
                <w:szCs w:val="20"/>
                <w:color w:val="auto"/>
              </w:rPr>
            </w:pPr>
            <w:r>
              <w:rPr>
                <w:rFonts w:ascii="Arial" w:cs="Arial" w:eastAsia="Arial" w:hAnsi="Arial"/>
                <w:sz w:val="20"/>
                <w:szCs w:val="20"/>
                <w:color w:val="auto"/>
              </w:rPr>
              <w:t>Appendix 1.1-B</w:t>
            </w:r>
          </w:p>
        </w:tc>
        <w:tc>
          <w:tcPr>
            <w:tcW w:w="8200" w:type="dxa"/>
            <w:vAlign w:val="bottom"/>
            <w:gridSpan w:val="3"/>
          </w:tcPr>
          <w:p>
            <w:pPr>
              <w:ind w:left="1480"/>
              <w:spacing w:after="0"/>
              <w:rPr>
                <w:sz w:val="20"/>
                <w:szCs w:val="20"/>
                <w:color w:val="auto"/>
              </w:rPr>
            </w:pPr>
            <w:r>
              <w:rPr>
                <w:rFonts w:ascii="Arial" w:cs="Arial" w:eastAsia="Arial" w:hAnsi="Arial"/>
                <w:sz w:val="20"/>
                <w:szCs w:val="20"/>
                <w:color w:val="auto"/>
              </w:rPr>
              <w:t>Form of GA 300 True-Up Amendment</w:t>
            </w:r>
          </w:p>
        </w:tc>
      </w:tr>
      <w:tr>
        <w:trPr>
          <w:trHeight w:val="275"/>
        </w:trPr>
        <w:tc>
          <w:tcPr>
            <w:tcW w:w="3080" w:type="dxa"/>
            <w:vAlign w:val="bottom"/>
            <w:gridSpan w:val="2"/>
          </w:tcPr>
          <w:p>
            <w:pPr>
              <w:spacing w:after="0"/>
              <w:rPr>
                <w:sz w:val="20"/>
                <w:szCs w:val="20"/>
                <w:color w:val="auto"/>
              </w:rPr>
            </w:pPr>
            <w:r>
              <w:rPr>
                <w:rFonts w:ascii="Arial" w:cs="Arial" w:eastAsia="Arial" w:hAnsi="Arial"/>
                <w:sz w:val="20"/>
                <w:szCs w:val="20"/>
                <w:color w:val="auto"/>
              </w:rPr>
              <w:t>Appendix 1.2</w:t>
            </w:r>
          </w:p>
        </w:tc>
        <w:tc>
          <w:tcPr>
            <w:tcW w:w="2680" w:type="dxa"/>
            <w:vAlign w:val="bottom"/>
          </w:tcPr>
          <w:p>
            <w:pPr>
              <w:ind w:left="1480"/>
              <w:spacing w:after="0"/>
              <w:rPr>
                <w:sz w:val="20"/>
                <w:szCs w:val="20"/>
                <w:color w:val="auto"/>
              </w:rPr>
            </w:pPr>
            <w:r>
              <w:rPr>
                <w:rFonts w:ascii="Arial" w:cs="Arial" w:eastAsia="Arial" w:hAnsi="Arial"/>
                <w:sz w:val="20"/>
                <w:szCs w:val="20"/>
                <w:color w:val="auto"/>
              </w:rPr>
              <w:t>Priced Lives</w:t>
            </w:r>
          </w:p>
        </w:tc>
        <w:tc>
          <w:tcPr>
            <w:tcW w:w="1240" w:type="dxa"/>
            <w:vAlign w:val="bottom"/>
          </w:tcPr>
          <w:p>
            <w:pPr>
              <w:spacing w:after="0"/>
              <w:rPr>
                <w:sz w:val="23"/>
                <w:szCs w:val="23"/>
                <w:color w:val="auto"/>
              </w:rPr>
            </w:pPr>
          </w:p>
        </w:tc>
        <w:tc>
          <w:tcPr>
            <w:tcW w:w="4280" w:type="dxa"/>
            <w:vAlign w:val="bottom"/>
          </w:tcPr>
          <w:p>
            <w:pPr>
              <w:spacing w:after="0"/>
              <w:rPr>
                <w:sz w:val="23"/>
                <w:szCs w:val="23"/>
                <w:color w:val="auto"/>
              </w:rPr>
            </w:pPr>
          </w:p>
        </w:tc>
      </w:tr>
      <w:tr>
        <w:trPr>
          <w:trHeight w:val="275"/>
        </w:trPr>
        <w:tc>
          <w:tcPr>
            <w:tcW w:w="3080" w:type="dxa"/>
            <w:vAlign w:val="bottom"/>
            <w:gridSpan w:val="2"/>
          </w:tcPr>
          <w:p>
            <w:pPr>
              <w:spacing w:after="0"/>
              <w:rPr>
                <w:sz w:val="20"/>
                <w:szCs w:val="20"/>
                <w:color w:val="auto"/>
              </w:rPr>
            </w:pPr>
            <w:r>
              <w:rPr>
                <w:rFonts w:ascii="Arial" w:cs="Arial" w:eastAsia="Arial" w:hAnsi="Arial"/>
                <w:sz w:val="20"/>
                <w:szCs w:val="20"/>
                <w:color w:val="auto"/>
              </w:rPr>
              <w:t>Appendix 1.3</w:t>
            </w:r>
          </w:p>
        </w:tc>
        <w:tc>
          <w:tcPr>
            <w:tcW w:w="3920" w:type="dxa"/>
            <w:vAlign w:val="bottom"/>
            <w:gridSpan w:val="2"/>
          </w:tcPr>
          <w:p>
            <w:pPr>
              <w:ind w:left="1480"/>
              <w:spacing w:after="0"/>
              <w:rPr>
                <w:sz w:val="20"/>
                <w:szCs w:val="20"/>
                <w:color w:val="auto"/>
              </w:rPr>
            </w:pPr>
            <w:r>
              <w:rPr>
                <w:rFonts w:ascii="Arial" w:cs="Arial" w:eastAsia="Arial" w:hAnsi="Arial"/>
                <w:sz w:val="20"/>
                <w:szCs w:val="20"/>
                <w:color w:val="auto"/>
                <w:w w:val="94"/>
              </w:rPr>
              <w:t>Forms of Annuity Certificates</w:t>
            </w:r>
          </w:p>
        </w:tc>
        <w:tc>
          <w:tcPr>
            <w:tcW w:w="4280" w:type="dxa"/>
            <w:vAlign w:val="bottom"/>
          </w:tcPr>
          <w:p>
            <w:pPr>
              <w:spacing w:after="0"/>
              <w:rPr>
                <w:sz w:val="23"/>
                <w:szCs w:val="23"/>
                <w:color w:val="auto"/>
              </w:rPr>
            </w:pPr>
          </w:p>
        </w:tc>
      </w:tr>
      <w:tr>
        <w:trPr>
          <w:trHeight w:val="275"/>
        </w:trPr>
        <w:tc>
          <w:tcPr>
            <w:tcW w:w="3080" w:type="dxa"/>
            <w:vAlign w:val="bottom"/>
            <w:gridSpan w:val="2"/>
          </w:tcPr>
          <w:p>
            <w:pPr>
              <w:spacing w:after="0"/>
              <w:rPr>
                <w:sz w:val="20"/>
                <w:szCs w:val="20"/>
                <w:color w:val="auto"/>
              </w:rPr>
            </w:pPr>
            <w:r>
              <w:rPr>
                <w:rFonts w:ascii="Arial" w:cs="Arial" w:eastAsia="Arial" w:hAnsi="Arial"/>
                <w:sz w:val="20"/>
                <w:szCs w:val="20"/>
                <w:color w:val="auto"/>
              </w:rPr>
              <w:t>Appendix 2.1-A</w:t>
            </w:r>
          </w:p>
        </w:tc>
        <w:tc>
          <w:tcPr>
            <w:tcW w:w="8200" w:type="dxa"/>
            <w:vAlign w:val="bottom"/>
            <w:gridSpan w:val="3"/>
          </w:tcPr>
          <w:p>
            <w:pPr>
              <w:ind w:left="1480"/>
              <w:spacing w:after="0"/>
              <w:rPr>
                <w:sz w:val="20"/>
                <w:szCs w:val="20"/>
                <w:color w:val="auto"/>
              </w:rPr>
            </w:pPr>
            <w:r>
              <w:rPr>
                <w:rFonts w:ascii="Arial" w:cs="Arial" w:eastAsia="Arial" w:hAnsi="Arial"/>
                <w:sz w:val="20"/>
                <w:szCs w:val="20"/>
                <w:color w:val="auto"/>
              </w:rPr>
              <w:t>Mechanics for Transfer of Final Plan Portfolio</w:t>
            </w:r>
          </w:p>
        </w:tc>
      </w:tr>
      <w:tr>
        <w:trPr>
          <w:trHeight w:val="275"/>
        </w:trPr>
        <w:tc>
          <w:tcPr>
            <w:tcW w:w="3080" w:type="dxa"/>
            <w:vAlign w:val="bottom"/>
            <w:gridSpan w:val="2"/>
          </w:tcPr>
          <w:p>
            <w:pPr>
              <w:spacing w:after="0"/>
              <w:rPr>
                <w:sz w:val="20"/>
                <w:szCs w:val="20"/>
                <w:color w:val="auto"/>
              </w:rPr>
            </w:pPr>
            <w:r>
              <w:rPr>
                <w:rFonts w:ascii="Arial" w:cs="Arial" w:eastAsia="Arial" w:hAnsi="Arial"/>
                <w:sz w:val="20"/>
                <w:szCs w:val="20"/>
                <w:color w:val="auto"/>
              </w:rPr>
              <w:t>Appendix 2.1-B</w:t>
            </w:r>
          </w:p>
        </w:tc>
        <w:tc>
          <w:tcPr>
            <w:tcW w:w="8200" w:type="dxa"/>
            <w:vAlign w:val="bottom"/>
            <w:gridSpan w:val="3"/>
          </w:tcPr>
          <w:p>
            <w:pPr>
              <w:ind w:left="1480"/>
              <w:spacing w:after="0"/>
              <w:rPr>
                <w:sz w:val="20"/>
                <w:szCs w:val="20"/>
                <w:color w:val="auto"/>
              </w:rPr>
            </w:pPr>
            <w:r>
              <w:rPr>
                <w:rFonts w:ascii="Arial" w:cs="Arial" w:eastAsia="Arial" w:hAnsi="Arial"/>
                <w:sz w:val="20"/>
                <w:szCs w:val="20"/>
                <w:color w:val="auto"/>
              </w:rPr>
              <w:t>Final Plan Portfolio Transfer Instrument</w:t>
            </w:r>
          </w:p>
        </w:tc>
      </w:tr>
      <w:tr>
        <w:trPr>
          <w:trHeight w:val="275"/>
        </w:trPr>
        <w:tc>
          <w:tcPr>
            <w:tcW w:w="3080" w:type="dxa"/>
            <w:vAlign w:val="bottom"/>
            <w:gridSpan w:val="2"/>
          </w:tcPr>
          <w:p>
            <w:pPr>
              <w:spacing w:after="0"/>
              <w:rPr>
                <w:sz w:val="20"/>
                <w:szCs w:val="20"/>
                <w:color w:val="auto"/>
              </w:rPr>
            </w:pPr>
            <w:r>
              <w:rPr>
                <w:rFonts w:ascii="Arial" w:cs="Arial" w:eastAsia="Arial" w:hAnsi="Arial"/>
                <w:sz w:val="20"/>
                <w:szCs w:val="20"/>
                <w:color w:val="auto"/>
              </w:rPr>
              <w:t>Appendix 2.6</w:t>
            </w:r>
          </w:p>
        </w:tc>
        <w:tc>
          <w:tcPr>
            <w:tcW w:w="8200" w:type="dxa"/>
            <w:vAlign w:val="bottom"/>
            <w:gridSpan w:val="3"/>
          </w:tcPr>
          <w:p>
            <w:pPr>
              <w:ind w:left="1480"/>
              <w:spacing w:after="0"/>
              <w:rPr>
                <w:sz w:val="20"/>
                <w:szCs w:val="20"/>
                <w:color w:val="auto"/>
              </w:rPr>
            </w:pPr>
            <w:r>
              <w:rPr>
                <w:rFonts w:ascii="Arial" w:cs="Arial" w:eastAsia="Arial" w:hAnsi="Arial"/>
                <w:sz w:val="20"/>
                <w:szCs w:val="20"/>
                <w:color w:val="auto"/>
              </w:rPr>
              <w:t>Asset Valuation Formulas and Methods</w:t>
            </w:r>
          </w:p>
        </w:tc>
      </w:tr>
      <w:tr>
        <w:trPr>
          <w:trHeight w:val="275"/>
        </w:trPr>
        <w:tc>
          <w:tcPr>
            <w:tcW w:w="3080" w:type="dxa"/>
            <w:vAlign w:val="bottom"/>
            <w:gridSpan w:val="2"/>
          </w:tcPr>
          <w:p>
            <w:pPr>
              <w:spacing w:after="0"/>
              <w:rPr>
                <w:sz w:val="20"/>
                <w:szCs w:val="20"/>
                <w:color w:val="auto"/>
              </w:rPr>
            </w:pPr>
            <w:r>
              <w:rPr>
                <w:rFonts w:ascii="Arial" w:cs="Arial" w:eastAsia="Arial" w:hAnsi="Arial"/>
                <w:sz w:val="20"/>
                <w:szCs w:val="20"/>
                <w:color w:val="auto"/>
              </w:rPr>
              <w:t>Appendix 2.6(d)(I)</w:t>
            </w:r>
          </w:p>
        </w:tc>
        <w:tc>
          <w:tcPr>
            <w:tcW w:w="2680" w:type="dxa"/>
            <w:vAlign w:val="bottom"/>
          </w:tcPr>
          <w:p>
            <w:pPr>
              <w:ind w:left="1480"/>
              <w:spacing w:after="0"/>
              <w:rPr>
                <w:sz w:val="20"/>
                <w:szCs w:val="20"/>
                <w:color w:val="auto"/>
              </w:rPr>
            </w:pPr>
            <w:r>
              <w:rPr>
                <w:rFonts w:ascii="Arial" w:cs="Arial" w:eastAsia="Arial" w:hAnsi="Arial"/>
                <w:sz w:val="20"/>
                <w:szCs w:val="20"/>
                <w:color w:val="auto"/>
              </w:rPr>
              <w:t>List of [   ***</w:t>
            </w:r>
          </w:p>
        </w:tc>
        <w:tc>
          <w:tcPr>
            <w:tcW w:w="5520" w:type="dxa"/>
            <w:vAlign w:val="bottom"/>
            <w:gridSpan w:val="2"/>
          </w:tcPr>
          <w:p>
            <w:pPr>
              <w:ind w:left="360"/>
              <w:spacing w:after="0"/>
              <w:rPr>
                <w:sz w:val="20"/>
                <w:szCs w:val="20"/>
                <w:color w:val="auto"/>
              </w:rPr>
            </w:pPr>
            <w:r>
              <w:rPr>
                <w:rFonts w:ascii="Arial" w:cs="Arial" w:eastAsia="Arial" w:hAnsi="Arial"/>
                <w:sz w:val="20"/>
                <w:szCs w:val="20"/>
                <w:color w:val="auto"/>
              </w:rPr>
              <w:t>] that Plan Trustee Intends to Transfer at Closing</w:t>
            </w:r>
          </w:p>
        </w:tc>
      </w:tr>
      <w:tr>
        <w:trPr>
          <w:trHeight w:val="344"/>
        </w:trPr>
        <w:tc>
          <w:tcPr>
            <w:tcW w:w="3080" w:type="dxa"/>
            <w:vAlign w:val="bottom"/>
            <w:gridSpan w:val="2"/>
          </w:tcPr>
          <w:p>
            <w:pPr>
              <w:spacing w:after="0"/>
              <w:rPr>
                <w:sz w:val="20"/>
                <w:szCs w:val="20"/>
                <w:color w:val="auto"/>
              </w:rPr>
            </w:pPr>
            <w:r>
              <w:rPr>
                <w:rFonts w:ascii="Arial" w:cs="Arial" w:eastAsia="Arial" w:hAnsi="Arial"/>
                <w:sz w:val="20"/>
                <w:szCs w:val="20"/>
                <w:color w:val="auto"/>
              </w:rPr>
              <w:t>Appendix 2.6(d)(II)</w:t>
            </w:r>
          </w:p>
        </w:tc>
        <w:tc>
          <w:tcPr>
            <w:tcW w:w="3920" w:type="dxa"/>
            <w:vAlign w:val="bottom"/>
            <w:gridSpan w:val="2"/>
          </w:tcPr>
          <w:p>
            <w:pPr>
              <w:ind w:left="1480"/>
              <w:spacing w:after="0"/>
              <w:rPr>
                <w:sz w:val="20"/>
                <w:szCs w:val="20"/>
                <w:color w:val="auto"/>
              </w:rPr>
            </w:pPr>
            <w:r>
              <w:rPr>
                <w:rFonts w:ascii="Arial" w:cs="Arial" w:eastAsia="Arial" w:hAnsi="Arial"/>
                <w:sz w:val="20"/>
                <w:szCs w:val="20"/>
                <w:color w:val="auto"/>
              </w:rPr>
              <w:t>List of Additional [   ***</w:t>
            </w:r>
          </w:p>
        </w:tc>
        <w:tc>
          <w:tcPr>
            <w:tcW w:w="4280" w:type="dxa"/>
            <w:vAlign w:val="bottom"/>
          </w:tcPr>
          <w:p>
            <w:pPr>
              <w:ind w:left="20"/>
              <w:spacing w:after="0"/>
              <w:rPr>
                <w:sz w:val="20"/>
                <w:szCs w:val="20"/>
                <w:color w:val="auto"/>
              </w:rPr>
            </w:pPr>
            <w:r>
              <w:rPr>
                <w:rFonts w:ascii="Arial" w:cs="Arial" w:eastAsia="Arial" w:hAnsi="Arial"/>
                <w:sz w:val="20"/>
                <w:szCs w:val="20"/>
                <w:color w:val="auto"/>
                <w:w w:val="91"/>
              </w:rPr>
              <w:t>] that Plan Trustee May Include, in Ranking Order of</w:t>
            </w:r>
          </w:p>
        </w:tc>
      </w:tr>
      <w:tr>
        <w:trPr>
          <w:trHeight w:val="256"/>
        </w:trPr>
        <w:tc>
          <w:tcPr>
            <w:tcW w:w="122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2680" w:type="dxa"/>
            <w:vAlign w:val="bottom"/>
          </w:tcPr>
          <w:p>
            <w:pPr>
              <w:spacing w:after="0"/>
              <w:rPr>
                <w:sz w:val="22"/>
                <w:szCs w:val="22"/>
                <w:color w:val="auto"/>
              </w:rPr>
            </w:pPr>
          </w:p>
        </w:tc>
        <w:tc>
          <w:tcPr>
            <w:tcW w:w="1240" w:type="dxa"/>
            <w:vAlign w:val="bottom"/>
          </w:tcPr>
          <w:p>
            <w:pPr>
              <w:spacing w:after="0"/>
              <w:rPr>
                <w:sz w:val="20"/>
                <w:szCs w:val="20"/>
                <w:color w:val="auto"/>
              </w:rPr>
            </w:pPr>
            <w:r>
              <w:rPr>
                <w:rFonts w:ascii="Arial" w:cs="Arial" w:eastAsia="Arial" w:hAnsi="Arial"/>
                <w:sz w:val="20"/>
                <w:szCs w:val="20"/>
                <w:color w:val="auto"/>
              </w:rPr>
              <w:t>Preference</w:t>
            </w:r>
          </w:p>
        </w:tc>
        <w:tc>
          <w:tcPr>
            <w:tcW w:w="4280" w:type="dxa"/>
            <w:vAlign w:val="bottom"/>
          </w:tcPr>
          <w:p>
            <w:pPr>
              <w:spacing w:after="0"/>
              <w:rPr>
                <w:sz w:val="22"/>
                <w:szCs w:val="22"/>
                <w:color w:val="auto"/>
              </w:rPr>
            </w:pPr>
          </w:p>
        </w:tc>
      </w:tr>
      <w:tr>
        <w:trPr>
          <w:trHeight w:val="376"/>
        </w:trPr>
        <w:tc>
          <w:tcPr>
            <w:tcW w:w="3080" w:type="dxa"/>
            <w:vAlign w:val="bottom"/>
            <w:gridSpan w:val="2"/>
          </w:tcPr>
          <w:p>
            <w:pPr>
              <w:spacing w:after="0"/>
              <w:rPr>
                <w:sz w:val="20"/>
                <w:szCs w:val="20"/>
                <w:color w:val="auto"/>
              </w:rPr>
            </w:pPr>
            <w:r>
              <w:rPr>
                <w:rFonts w:ascii="Arial" w:cs="Arial" w:eastAsia="Arial" w:hAnsi="Arial"/>
                <w:sz w:val="20"/>
                <w:szCs w:val="20"/>
                <w:color w:val="auto"/>
              </w:rPr>
              <w:t>Appendix 2.7</w:t>
            </w:r>
          </w:p>
        </w:tc>
        <w:tc>
          <w:tcPr>
            <w:tcW w:w="3920" w:type="dxa"/>
            <w:vAlign w:val="bottom"/>
            <w:gridSpan w:val="2"/>
          </w:tcPr>
          <w:p>
            <w:pPr>
              <w:ind w:left="1480"/>
              <w:spacing w:after="0"/>
              <w:rPr>
                <w:sz w:val="20"/>
                <w:szCs w:val="20"/>
                <w:color w:val="auto"/>
              </w:rPr>
            </w:pPr>
            <w:r>
              <w:rPr>
                <w:rFonts w:ascii="Arial" w:cs="Arial" w:eastAsia="Arial" w:hAnsi="Arial"/>
                <w:sz w:val="20"/>
                <w:szCs w:val="20"/>
                <w:color w:val="auto"/>
                <w:w w:val="93"/>
              </w:rPr>
              <w:t>Form of Premium Calculation</w:t>
            </w:r>
          </w:p>
        </w:tc>
        <w:tc>
          <w:tcPr>
            <w:tcW w:w="4280" w:type="dxa"/>
            <w:vAlign w:val="bottom"/>
          </w:tcPr>
          <w:p>
            <w:pPr>
              <w:spacing w:after="0"/>
              <w:rPr>
                <w:sz w:val="24"/>
                <w:szCs w:val="24"/>
                <w:color w:val="auto"/>
              </w:rPr>
            </w:pPr>
          </w:p>
        </w:tc>
      </w:tr>
      <w:tr>
        <w:trPr>
          <w:trHeight w:val="275"/>
        </w:trPr>
        <w:tc>
          <w:tcPr>
            <w:tcW w:w="3080" w:type="dxa"/>
            <w:vAlign w:val="bottom"/>
            <w:gridSpan w:val="2"/>
          </w:tcPr>
          <w:p>
            <w:pPr>
              <w:spacing w:after="0"/>
              <w:rPr>
                <w:sz w:val="20"/>
                <w:szCs w:val="20"/>
                <w:color w:val="auto"/>
              </w:rPr>
            </w:pPr>
            <w:r>
              <w:rPr>
                <w:rFonts w:ascii="Arial" w:cs="Arial" w:eastAsia="Arial" w:hAnsi="Arial"/>
                <w:sz w:val="20"/>
                <w:szCs w:val="20"/>
                <w:color w:val="auto"/>
              </w:rPr>
              <w:t>Appendix 2.12</w:t>
            </w:r>
          </w:p>
        </w:tc>
        <w:tc>
          <w:tcPr>
            <w:tcW w:w="3920" w:type="dxa"/>
            <w:vAlign w:val="bottom"/>
            <w:gridSpan w:val="2"/>
          </w:tcPr>
          <w:p>
            <w:pPr>
              <w:ind w:left="1480"/>
              <w:spacing w:after="0"/>
              <w:rPr>
                <w:sz w:val="20"/>
                <w:szCs w:val="20"/>
                <w:color w:val="auto"/>
              </w:rPr>
            </w:pPr>
            <w:r>
              <w:rPr>
                <w:rFonts w:ascii="Arial" w:cs="Arial" w:eastAsia="Arial" w:hAnsi="Arial"/>
                <w:sz w:val="20"/>
                <w:szCs w:val="20"/>
                <w:color w:val="auto"/>
              </w:rPr>
              <w:t>Dispute Resolution</w:t>
            </w:r>
          </w:p>
        </w:tc>
        <w:tc>
          <w:tcPr>
            <w:tcW w:w="4280" w:type="dxa"/>
            <w:vAlign w:val="bottom"/>
          </w:tcPr>
          <w:p>
            <w:pPr>
              <w:spacing w:after="0"/>
              <w:rPr>
                <w:sz w:val="23"/>
                <w:szCs w:val="23"/>
                <w:color w:val="auto"/>
              </w:rPr>
            </w:pPr>
          </w:p>
        </w:tc>
      </w:tr>
    </w:tbl>
    <w:p>
      <w:pPr>
        <w:spacing w:after="0" w:line="32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iv</w:t>
      </w:r>
    </w:p>
    <w:p>
      <w:pPr>
        <w:sectPr>
          <w:pgSz w:w="11900" w:h="16838" w:orient="portrait"/>
          <w:cols w:equalWidth="0" w:num="1">
            <w:col w:w="11280"/>
          </w:cols>
          <w:pgMar w:left="280" w:top="123"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17"/>
        </w:trPr>
        <w:tc>
          <w:tcPr>
            <w:tcW w:w="9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3480" w:type="dxa"/>
            <w:vAlign w:val="bottom"/>
          </w:tcPr>
          <w:p>
            <w:pPr>
              <w:ind w:left="360"/>
              <w:spacing w:after="0"/>
              <w:rPr>
                <w:sz w:val="20"/>
                <w:szCs w:val="20"/>
                <w:color w:val="auto"/>
              </w:rPr>
            </w:pPr>
            <w:r>
              <w:rPr>
                <w:rFonts w:ascii="Arial" w:cs="Arial" w:eastAsia="Arial" w:hAnsi="Arial"/>
                <w:sz w:val="17"/>
                <w:szCs w:val="17"/>
                <w:b w:val="1"/>
                <w:bCs w:val="1"/>
                <w:color w:val="auto"/>
              </w:rPr>
              <w:t>TABLE OF CONTENTS</w:t>
            </w:r>
          </w:p>
        </w:tc>
      </w:tr>
      <w:tr>
        <w:trPr>
          <w:trHeight w:val="611"/>
        </w:trPr>
        <w:tc>
          <w:tcPr>
            <w:tcW w:w="1520" w:type="dxa"/>
            <w:vAlign w:val="bottom"/>
            <w:gridSpan w:val="2"/>
          </w:tcPr>
          <w:p>
            <w:pPr>
              <w:spacing w:after="0"/>
              <w:rPr>
                <w:sz w:val="20"/>
                <w:szCs w:val="20"/>
                <w:color w:val="auto"/>
              </w:rPr>
            </w:pPr>
            <w:r>
              <w:rPr>
                <w:rFonts w:ascii="Arial" w:cs="Arial" w:eastAsia="Arial" w:hAnsi="Arial"/>
                <w:sz w:val="20"/>
                <w:szCs w:val="20"/>
                <w:color w:val="auto"/>
              </w:rPr>
              <w:t>Appendix 6.6</w:t>
            </w:r>
          </w:p>
        </w:tc>
        <w:tc>
          <w:tcPr>
            <w:tcW w:w="2900" w:type="dxa"/>
            <w:vAlign w:val="bottom"/>
          </w:tcPr>
          <w:p>
            <w:pPr>
              <w:spacing w:after="0"/>
              <w:rPr>
                <w:sz w:val="24"/>
                <w:szCs w:val="24"/>
                <w:color w:val="auto"/>
              </w:rPr>
            </w:pPr>
          </w:p>
        </w:tc>
        <w:tc>
          <w:tcPr>
            <w:tcW w:w="3480" w:type="dxa"/>
            <w:vAlign w:val="bottom"/>
          </w:tcPr>
          <w:p>
            <w:pPr>
              <w:ind w:left="140"/>
              <w:spacing w:after="0"/>
              <w:rPr>
                <w:sz w:val="20"/>
                <w:szCs w:val="20"/>
                <w:color w:val="auto"/>
              </w:rPr>
            </w:pPr>
            <w:r>
              <w:rPr>
                <w:rFonts w:ascii="Arial" w:cs="Arial" w:eastAsia="Arial" w:hAnsi="Arial"/>
                <w:sz w:val="20"/>
                <w:szCs w:val="20"/>
                <w:color w:val="auto"/>
                <w:w w:val="91"/>
              </w:rPr>
              <w:t>Projected RBC Ratio Calculation Method</w:t>
            </w:r>
          </w:p>
        </w:tc>
      </w:tr>
      <w:tr>
        <w:trPr>
          <w:trHeight w:val="275"/>
        </w:trPr>
        <w:tc>
          <w:tcPr>
            <w:tcW w:w="1520" w:type="dxa"/>
            <w:vAlign w:val="bottom"/>
            <w:gridSpan w:val="2"/>
          </w:tcPr>
          <w:p>
            <w:pPr>
              <w:spacing w:after="0"/>
              <w:rPr>
                <w:sz w:val="20"/>
                <w:szCs w:val="20"/>
                <w:color w:val="auto"/>
              </w:rPr>
            </w:pPr>
            <w:r>
              <w:rPr>
                <w:rFonts w:ascii="Arial" w:cs="Arial" w:eastAsia="Arial" w:hAnsi="Arial"/>
                <w:sz w:val="20"/>
                <w:szCs w:val="20"/>
                <w:color w:val="auto"/>
              </w:rPr>
              <w:t>Appendix 6.7</w:t>
            </w:r>
          </w:p>
        </w:tc>
        <w:tc>
          <w:tcPr>
            <w:tcW w:w="2900" w:type="dxa"/>
            <w:vAlign w:val="bottom"/>
          </w:tcPr>
          <w:p>
            <w:pPr>
              <w:spacing w:after="0"/>
              <w:rPr>
                <w:sz w:val="23"/>
                <w:szCs w:val="23"/>
                <w:color w:val="auto"/>
              </w:rPr>
            </w:pPr>
          </w:p>
        </w:tc>
        <w:tc>
          <w:tcPr>
            <w:tcW w:w="3480" w:type="dxa"/>
            <w:vAlign w:val="bottom"/>
          </w:tcPr>
          <w:p>
            <w:pPr>
              <w:ind w:left="140"/>
              <w:spacing w:after="0"/>
              <w:rPr>
                <w:sz w:val="20"/>
                <w:szCs w:val="20"/>
                <w:color w:val="auto"/>
              </w:rPr>
            </w:pPr>
            <w:r>
              <w:rPr>
                <w:rFonts w:ascii="Arial" w:cs="Arial" w:eastAsia="Arial" w:hAnsi="Arial"/>
                <w:sz w:val="20"/>
                <w:szCs w:val="20"/>
                <w:color w:val="auto"/>
              </w:rPr>
              <w:t>Administrative Transition Process</w:t>
            </w:r>
          </w:p>
        </w:tc>
      </w:tr>
      <w:tr>
        <w:trPr>
          <w:trHeight w:val="275"/>
        </w:trPr>
        <w:tc>
          <w:tcPr>
            <w:tcW w:w="1520" w:type="dxa"/>
            <w:vAlign w:val="bottom"/>
            <w:gridSpan w:val="2"/>
          </w:tcPr>
          <w:p>
            <w:pPr>
              <w:spacing w:after="0"/>
              <w:rPr>
                <w:sz w:val="20"/>
                <w:szCs w:val="20"/>
                <w:color w:val="auto"/>
              </w:rPr>
            </w:pPr>
            <w:r>
              <w:rPr>
                <w:rFonts w:ascii="Arial" w:cs="Arial" w:eastAsia="Arial" w:hAnsi="Arial"/>
                <w:sz w:val="20"/>
                <w:szCs w:val="20"/>
                <w:color w:val="auto"/>
              </w:rPr>
              <w:t>Appendix 8.2(d)</w:t>
            </w:r>
          </w:p>
        </w:tc>
        <w:tc>
          <w:tcPr>
            <w:tcW w:w="2900" w:type="dxa"/>
            <w:vAlign w:val="bottom"/>
          </w:tcPr>
          <w:p>
            <w:pPr>
              <w:spacing w:after="0"/>
              <w:rPr>
                <w:sz w:val="23"/>
                <w:szCs w:val="23"/>
                <w:color w:val="auto"/>
              </w:rPr>
            </w:pPr>
          </w:p>
        </w:tc>
        <w:tc>
          <w:tcPr>
            <w:tcW w:w="3480" w:type="dxa"/>
            <w:vAlign w:val="bottom"/>
          </w:tcPr>
          <w:p>
            <w:pPr>
              <w:ind w:left="140"/>
              <w:spacing w:after="0"/>
              <w:rPr>
                <w:sz w:val="20"/>
                <w:szCs w:val="20"/>
                <w:color w:val="auto"/>
              </w:rPr>
            </w:pPr>
            <w:r>
              <w:rPr>
                <w:rFonts w:ascii="Arial" w:cs="Arial" w:eastAsia="Arial" w:hAnsi="Arial"/>
                <w:sz w:val="20"/>
                <w:szCs w:val="20"/>
                <w:color w:val="auto"/>
              </w:rPr>
              <w:t>Insurer Governmental Approvals</w:t>
            </w:r>
          </w:p>
        </w:tc>
      </w:tr>
      <w:tr>
        <w:trPr>
          <w:trHeight w:val="275"/>
        </w:trPr>
        <w:tc>
          <w:tcPr>
            <w:tcW w:w="1520" w:type="dxa"/>
            <w:vAlign w:val="bottom"/>
            <w:gridSpan w:val="2"/>
          </w:tcPr>
          <w:p>
            <w:pPr>
              <w:spacing w:after="0"/>
              <w:rPr>
                <w:sz w:val="20"/>
                <w:szCs w:val="20"/>
                <w:color w:val="auto"/>
              </w:rPr>
            </w:pPr>
            <w:r>
              <w:rPr>
                <w:rFonts w:ascii="Arial" w:cs="Arial" w:eastAsia="Arial" w:hAnsi="Arial"/>
                <w:sz w:val="20"/>
                <w:szCs w:val="20"/>
                <w:color w:val="auto"/>
              </w:rPr>
              <w:t>Appendix 8.2(e)</w:t>
            </w:r>
          </w:p>
        </w:tc>
        <w:tc>
          <w:tcPr>
            <w:tcW w:w="2900" w:type="dxa"/>
            <w:vAlign w:val="bottom"/>
          </w:tcPr>
          <w:p>
            <w:pPr>
              <w:spacing w:after="0"/>
              <w:rPr>
                <w:sz w:val="23"/>
                <w:szCs w:val="23"/>
                <w:color w:val="auto"/>
              </w:rPr>
            </w:pPr>
          </w:p>
        </w:tc>
        <w:tc>
          <w:tcPr>
            <w:tcW w:w="3480" w:type="dxa"/>
            <w:vAlign w:val="bottom"/>
          </w:tcPr>
          <w:p>
            <w:pPr>
              <w:ind w:left="140"/>
              <w:spacing w:after="0"/>
              <w:rPr>
                <w:sz w:val="20"/>
                <w:szCs w:val="20"/>
                <w:color w:val="auto"/>
              </w:rPr>
            </w:pPr>
            <w:r>
              <w:rPr>
                <w:rFonts w:ascii="Arial" w:cs="Arial" w:eastAsia="Arial" w:hAnsi="Arial"/>
                <w:sz w:val="20"/>
                <w:szCs w:val="20"/>
                <w:color w:val="auto"/>
              </w:rPr>
              <w:t>Plan Governmental Approvals</w:t>
            </w:r>
          </w:p>
        </w:tc>
      </w:tr>
      <w:tr>
        <w:trPr>
          <w:trHeight w:val="791"/>
        </w:trPr>
        <w:tc>
          <w:tcPr>
            <w:tcW w:w="1520" w:type="dxa"/>
            <w:vAlign w:val="bottom"/>
            <w:gridSpan w:val="2"/>
          </w:tcPr>
          <w:p>
            <w:pPr>
              <w:spacing w:after="0"/>
              <w:rPr>
                <w:sz w:val="20"/>
                <w:szCs w:val="20"/>
                <w:color w:val="auto"/>
              </w:rPr>
            </w:pPr>
            <w:r>
              <w:rPr>
                <w:rFonts w:ascii="Arial" w:cs="Arial" w:eastAsia="Arial" w:hAnsi="Arial"/>
                <w:sz w:val="20"/>
                <w:szCs w:val="20"/>
                <w:color w:val="auto"/>
              </w:rPr>
              <w:t>EXHIBITS</w:t>
            </w:r>
          </w:p>
        </w:tc>
        <w:tc>
          <w:tcPr>
            <w:tcW w:w="290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503"/>
        </w:trPr>
        <w:tc>
          <w:tcPr>
            <w:tcW w:w="900" w:type="dxa"/>
            <w:vAlign w:val="bottom"/>
            <w:tcBorders>
              <w:top w:val="single" w:sz="8" w:color="auto"/>
            </w:tcBorders>
          </w:tcPr>
          <w:p>
            <w:pPr>
              <w:spacing w:after="0"/>
              <w:rPr>
                <w:sz w:val="20"/>
                <w:szCs w:val="20"/>
                <w:color w:val="auto"/>
              </w:rPr>
            </w:pPr>
            <w:r>
              <w:rPr>
                <w:rFonts w:ascii="Arial" w:cs="Arial" w:eastAsia="Arial" w:hAnsi="Arial"/>
                <w:sz w:val="20"/>
                <w:szCs w:val="20"/>
                <w:color w:val="auto"/>
              </w:rPr>
              <w:t>Exhibit A</w:t>
            </w:r>
          </w:p>
        </w:tc>
        <w:tc>
          <w:tcPr>
            <w:tcW w:w="620" w:type="dxa"/>
            <w:vAlign w:val="bottom"/>
          </w:tcPr>
          <w:p>
            <w:pPr>
              <w:spacing w:after="0"/>
              <w:rPr>
                <w:sz w:val="24"/>
                <w:szCs w:val="24"/>
                <w:color w:val="auto"/>
              </w:rPr>
            </w:pPr>
          </w:p>
        </w:tc>
        <w:tc>
          <w:tcPr>
            <w:tcW w:w="6380" w:type="dxa"/>
            <w:vAlign w:val="bottom"/>
            <w:gridSpan w:val="2"/>
          </w:tcPr>
          <w:p>
            <w:pPr>
              <w:ind w:left="200"/>
              <w:spacing w:after="0"/>
              <w:rPr>
                <w:sz w:val="20"/>
                <w:szCs w:val="20"/>
                <w:color w:val="auto"/>
              </w:rPr>
            </w:pPr>
            <w:r>
              <w:rPr>
                <w:rFonts w:ascii="Arial" w:cs="Arial" w:eastAsia="Arial" w:hAnsi="Arial"/>
                <w:sz w:val="20"/>
                <w:szCs w:val="20"/>
                <w:color w:val="auto"/>
              </w:rPr>
              <w:t>Form of Transferred Assets Schedules</w:t>
            </w:r>
          </w:p>
        </w:tc>
      </w:tr>
      <w:tr>
        <w:trPr>
          <w:trHeight w:val="275"/>
        </w:trPr>
        <w:tc>
          <w:tcPr>
            <w:tcW w:w="1520" w:type="dxa"/>
            <w:vAlign w:val="bottom"/>
            <w:gridSpan w:val="2"/>
          </w:tcPr>
          <w:p>
            <w:pPr>
              <w:spacing w:after="0"/>
              <w:rPr>
                <w:sz w:val="20"/>
                <w:szCs w:val="20"/>
                <w:color w:val="auto"/>
              </w:rPr>
            </w:pPr>
            <w:r>
              <w:rPr>
                <w:rFonts w:ascii="Arial" w:cs="Arial" w:eastAsia="Arial" w:hAnsi="Arial"/>
                <w:sz w:val="20"/>
                <w:szCs w:val="20"/>
                <w:color w:val="auto"/>
              </w:rPr>
              <w:t>Exhibit B</w:t>
            </w:r>
          </w:p>
        </w:tc>
        <w:tc>
          <w:tcPr>
            <w:tcW w:w="2900" w:type="dxa"/>
            <w:vAlign w:val="bottom"/>
          </w:tcPr>
          <w:p>
            <w:pPr>
              <w:ind w:left="200"/>
              <w:spacing w:after="0"/>
              <w:rPr>
                <w:sz w:val="20"/>
                <w:szCs w:val="20"/>
                <w:color w:val="auto"/>
              </w:rPr>
            </w:pPr>
            <w:r>
              <w:rPr>
                <w:rFonts w:ascii="Arial" w:cs="Arial" w:eastAsia="Arial" w:hAnsi="Arial"/>
                <w:sz w:val="20"/>
                <w:szCs w:val="20"/>
                <w:color w:val="auto"/>
                <w:w w:val="92"/>
              </w:rPr>
              <w:t>Form of Plan Trustee Agreement</w:t>
            </w:r>
          </w:p>
        </w:tc>
        <w:tc>
          <w:tcPr>
            <w:tcW w:w="3480" w:type="dxa"/>
            <w:vAlign w:val="bottom"/>
          </w:tcPr>
          <w:p>
            <w:pPr>
              <w:spacing w:after="0"/>
              <w:rPr>
                <w:sz w:val="23"/>
                <w:szCs w:val="23"/>
                <w:color w:val="auto"/>
              </w:rPr>
            </w:pPr>
          </w:p>
        </w:tc>
      </w:tr>
      <w:tr>
        <w:trPr>
          <w:trHeight w:val="275"/>
        </w:trPr>
        <w:tc>
          <w:tcPr>
            <w:tcW w:w="1520" w:type="dxa"/>
            <w:vAlign w:val="bottom"/>
            <w:gridSpan w:val="2"/>
          </w:tcPr>
          <w:p>
            <w:pPr>
              <w:spacing w:after="0"/>
              <w:rPr>
                <w:sz w:val="20"/>
                <w:szCs w:val="20"/>
                <w:color w:val="auto"/>
              </w:rPr>
            </w:pPr>
            <w:r>
              <w:rPr>
                <w:rFonts w:ascii="Arial" w:cs="Arial" w:eastAsia="Arial" w:hAnsi="Arial"/>
                <w:sz w:val="20"/>
                <w:szCs w:val="20"/>
                <w:color w:val="auto"/>
              </w:rPr>
              <w:t>Exhibit C</w:t>
            </w:r>
          </w:p>
        </w:tc>
        <w:tc>
          <w:tcPr>
            <w:tcW w:w="2900" w:type="dxa"/>
            <w:vAlign w:val="bottom"/>
          </w:tcPr>
          <w:p>
            <w:pPr>
              <w:ind w:left="200"/>
              <w:spacing w:after="0"/>
              <w:rPr>
                <w:sz w:val="20"/>
                <w:szCs w:val="20"/>
                <w:color w:val="auto"/>
              </w:rPr>
            </w:pPr>
            <w:r>
              <w:rPr>
                <w:rFonts w:ascii="Arial" w:cs="Arial" w:eastAsia="Arial" w:hAnsi="Arial"/>
                <w:sz w:val="20"/>
                <w:szCs w:val="20"/>
                <w:color w:val="auto"/>
                <w:w w:val="99"/>
              </w:rPr>
              <w:t>Form of Final Asset Statement</w:t>
            </w:r>
          </w:p>
        </w:tc>
        <w:tc>
          <w:tcPr>
            <w:tcW w:w="3480" w:type="dxa"/>
            <w:vAlign w:val="bottom"/>
          </w:tcPr>
          <w:p>
            <w:pPr>
              <w:spacing w:after="0"/>
              <w:rPr>
                <w:sz w:val="23"/>
                <w:szCs w:val="23"/>
                <w:color w:val="auto"/>
              </w:rPr>
            </w:pPr>
          </w:p>
        </w:tc>
      </w:tr>
      <w:tr>
        <w:trPr>
          <w:trHeight w:val="275"/>
        </w:trPr>
        <w:tc>
          <w:tcPr>
            <w:tcW w:w="1520" w:type="dxa"/>
            <w:vAlign w:val="bottom"/>
            <w:gridSpan w:val="2"/>
          </w:tcPr>
          <w:p>
            <w:pPr>
              <w:spacing w:after="0"/>
              <w:rPr>
                <w:sz w:val="20"/>
                <w:szCs w:val="20"/>
                <w:color w:val="auto"/>
              </w:rPr>
            </w:pPr>
            <w:r>
              <w:rPr>
                <w:rFonts w:ascii="Arial" w:cs="Arial" w:eastAsia="Arial" w:hAnsi="Arial"/>
                <w:sz w:val="20"/>
                <w:szCs w:val="20"/>
                <w:color w:val="auto"/>
              </w:rPr>
              <w:t>Exhibit D</w:t>
            </w:r>
          </w:p>
        </w:tc>
        <w:tc>
          <w:tcPr>
            <w:tcW w:w="2900" w:type="dxa"/>
            <w:vAlign w:val="bottom"/>
          </w:tcPr>
          <w:p>
            <w:pPr>
              <w:ind w:left="200"/>
              <w:spacing w:after="0"/>
              <w:rPr>
                <w:sz w:val="20"/>
                <w:szCs w:val="20"/>
                <w:color w:val="auto"/>
              </w:rPr>
            </w:pPr>
            <w:r>
              <w:rPr>
                <w:rFonts w:ascii="Arial" w:cs="Arial" w:eastAsia="Arial" w:hAnsi="Arial"/>
                <w:sz w:val="20"/>
                <w:szCs w:val="20"/>
                <w:color w:val="auto"/>
              </w:rPr>
              <w:t>Form of Instruction to [   ***</w:t>
            </w:r>
          </w:p>
        </w:tc>
        <w:tc>
          <w:tcPr>
            <w:tcW w:w="3480" w:type="dxa"/>
            <w:vAlign w:val="bottom"/>
          </w:tcPr>
          <w:p>
            <w:pPr>
              <w:ind w:left="80"/>
              <w:spacing w:after="0"/>
              <w:rPr>
                <w:sz w:val="20"/>
                <w:szCs w:val="20"/>
                <w:color w:val="auto"/>
              </w:rPr>
            </w:pPr>
            <w:r>
              <w:rPr>
                <w:rFonts w:ascii="Arial" w:cs="Arial" w:eastAsia="Arial" w:hAnsi="Arial"/>
                <w:sz w:val="20"/>
                <w:szCs w:val="20"/>
                <w:color w:val="auto"/>
              </w:rPr>
              <w:t>]</w:t>
            </w:r>
          </w:p>
        </w:tc>
      </w:tr>
    </w:tbl>
    <w:p>
      <w:pPr>
        <w:spacing w:after="0" w:line="382"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DISCLOSURE LETTERS</w:t>
      </w:r>
    </w:p>
    <w:p>
      <w:pPr>
        <w:spacing w:after="0" w:line="45" w:lineRule="exact"/>
        <w:rPr>
          <w:sz w:val="20"/>
          <w:szCs w:val="20"/>
          <w:color w:val="auto"/>
        </w:rPr>
      </w:pPr>
    </w:p>
    <w:p>
      <w:pPr>
        <w:spacing w:after="0"/>
        <w:rPr>
          <w:sz w:val="20"/>
          <w:szCs w:val="20"/>
          <w:color w:val="auto"/>
        </w:rPr>
      </w:pPr>
      <w:r>
        <w:rPr>
          <w:rFonts w:ascii="Arial" w:cs="Arial" w:eastAsia="Arial" w:hAnsi="Arial"/>
          <w:sz w:val="20"/>
          <w:szCs w:val="20"/>
          <w:color w:val="auto"/>
        </w:rPr>
        <w:t>Company Disclosure Letter</w:t>
      </w:r>
    </w:p>
    <w:p>
      <w:pPr>
        <w:spacing w:after="0" w:line="45" w:lineRule="exact"/>
        <w:rPr>
          <w:sz w:val="20"/>
          <w:szCs w:val="20"/>
          <w:color w:val="auto"/>
        </w:rPr>
      </w:pPr>
    </w:p>
    <w:p>
      <w:pPr>
        <w:spacing w:after="0"/>
        <w:rPr>
          <w:sz w:val="20"/>
          <w:szCs w:val="20"/>
          <w:color w:val="auto"/>
        </w:rPr>
      </w:pPr>
      <w:r>
        <w:rPr>
          <w:rFonts w:ascii="Arial" w:cs="Arial" w:eastAsia="Arial" w:hAnsi="Arial"/>
          <w:sz w:val="20"/>
          <w:szCs w:val="20"/>
          <w:color w:val="auto"/>
        </w:rPr>
        <w:t>Prudential Disclosure Letter</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v</w:t>
      </w:r>
    </w:p>
    <w:p>
      <w:pPr>
        <w:sectPr>
          <w:pgSz w:w="11900" w:h="16838" w:orient="portrait"/>
          <w:cols w:equalWidth="0" w:num="1">
            <w:col w:w="10179"/>
          </w:cols>
          <w:pgMar w:left="280" w:top="123" w:right="1440" w:bottom="1440" w:gutter="0" w:footer="0" w:header="0"/>
        </w:sectPr>
      </w:pPr>
    </w:p>
    <w:bookmarkStart w:id="11" w:name="page12"/>
    <w:bookmarkEnd w:id="11"/>
    <w:p>
      <w:pPr>
        <w:jc w:val="center"/>
        <w:spacing w:after="0"/>
        <w:rPr>
          <w:sz w:val="20"/>
          <w:szCs w:val="20"/>
          <w:color w:val="auto"/>
        </w:rPr>
      </w:pPr>
      <w:r>
        <w:rPr>
          <w:rFonts w:ascii="Arial" w:cs="Arial" w:eastAsia="Arial" w:hAnsi="Arial"/>
          <w:sz w:val="20"/>
          <w:szCs w:val="20"/>
          <w:b w:val="1"/>
          <w:bCs w:val="1"/>
          <w:color w:val="auto"/>
        </w:rPr>
        <w:t>DEFINITIVE TRANSACTION FRAMEWORK AGREEMENT</w:t>
      </w:r>
    </w:p>
    <w:p>
      <w:pPr>
        <w:spacing w:after="0" w:line="200" w:lineRule="exact"/>
        <w:rPr>
          <w:sz w:val="20"/>
          <w:szCs w:val="20"/>
          <w:color w:val="auto"/>
        </w:rPr>
      </w:pPr>
    </w:p>
    <w:p>
      <w:pPr>
        <w:spacing w:after="0" w:line="208" w:lineRule="exact"/>
        <w:rPr>
          <w:sz w:val="20"/>
          <w:szCs w:val="20"/>
          <w:color w:val="auto"/>
        </w:rPr>
      </w:pPr>
    </w:p>
    <w:p>
      <w:pPr>
        <w:jc w:val="both"/>
        <w:ind w:firstLine="601"/>
        <w:spacing w:after="0" w:line="267" w:lineRule="auto"/>
        <w:rPr>
          <w:sz w:val="20"/>
          <w:szCs w:val="20"/>
          <w:color w:val="auto"/>
        </w:rPr>
      </w:pPr>
      <w:r>
        <w:rPr>
          <w:rFonts w:ascii="Arial" w:cs="Arial" w:eastAsia="Arial" w:hAnsi="Arial"/>
          <w:sz w:val="19"/>
          <w:szCs w:val="19"/>
          <w:color w:val="auto"/>
        </w:rPr>
        <w:t xml:space="preserve">This </w:t>
      </w:r>
      <w:r>
        <w:rPr>
          <w:rFonts w:ascii="Arial" w:cs="Arial" w:eastAsia="Arial" w:hAnsi="Arial"/>
          <w:sz w:val="19"/>
          <w:szCs w:val="19"/>
          <w:b w:val="1"/>
          <w:bCs w:val="1"/>
          <w:color w:val="auto"/>
        </w:rPr>
        <w:t>DEFINITIVE TRANSACTION FRAMEWORK AGREEMENT</w:t>
      </w:r>
      <w:r>
        <w:rPr>
          <w:rFonts w:ascii="Arial" w:cs="Arial" w:eastAsia="Arial" w:hAnsi="Arial"/>
          <w:sz w:val="19"/>
          <w:szCs w:val="19"/>
          <w:color w:val="auto"/>
        </w:rPr>
        <w:t xml:space="preserve"> (this “</w:t>
      </w:r>
      <w:r>
        <w:rPr>
          <w:rFonts w:ascii="Arial" w:cs="Arial" w:eastAsia="Arial" w:hAnsi="Arial"/>
          <w:sz w:val="19"/>
          <w:szCs w:val="19"/>
          <w:u w:val="single" w:color="auto"/>
          <w:color w:val="auto"/>
        </w:rPr>
        <w:t>Agreement</w:t>
      </w:r>
      <w:r>
        <w:rPr>
          <w:rFonts w:ascii="Arial" w:cs="Arial" w:eastAsia="Arial" w:hAnsi="Arial"/>
          <w:sz w:val="19"/>
          <w:szCs w:val="19"/>
          <w:color w:val="auto"/>
        </w:rPr>
        <w:t>”) is entered into as of May 30, 2012 (the “</w:t>
      </w:r>
      <w:r>
        <w:rPr>
          <w:rFonts w:ascii="Arial" w:cs="Arial" w:eastAsia="Arial" w:hAnsi="Arial"/>
          <w:sz w:val="19"/>
          <w:szCs w:val="19"/>
          <w:u w:val="single" w:color="auto"/>
          <w:color w:val="auto"/>
        </w:rPr>
        <w:t>DTFA Execution Date</w:t>
      </w:r>
      <w:r>
        <w:rPr>
          <w:rFonts w:ascii="Arial" w:cs="Arial" w:eastAsia="Arial" w:hAnsi="Arial"/>
          <w:sz w:val="19"/>
          <w:szCs w:val="19"/>
          <w:color w:val="auto"/>
        </w:rPr>
        <w:t>”) by and among The Prudential Insurance Company of America, a New Jersey life insurance company (the “</w:t>
      </w:r>
      <w:r>
        <w:rPr>
          <w:rFonts w:ascii="Arial" w:cs="Arial" w:eastAsia="Arial" w:hAnsi="Arial"/>
          <w:sz w:val="19"/>
          <w:szCs w:val="19"/>
          <w:u w:val="single" w:color="auto"/>
          <w:color w:val="auto"/>
        </w:rPr>
        <w:t>Insurer</w:t>
      </w:r>
      <w:r>
        <w:rPr>
          <w:rFonts w:ascii="Arial" w:cs="Arial" w:eastAsia="Arial" w:hAnsi="Arial"/>
          <w:sz w:val="19"/>
          <w:szCs w:val="19"/>
          <w:color w:val="auto"/>
        </w:rPr>
        <w:t>”), Prudential Financial, Inc., a New Jersey corporation (“</w:t>
      </w:r>
      <w:r>
        <w:rPr>
          <w:rFonts w:ascii="Arial" w:cs="Arial" w:eastAsia="Arial" w:hAnsi="Arial"/>
          <w:sz w:val="19"/>
          <w:szCs w:val="19"/>
          <w:u w:val="single" w:color="auto"/>
          <w:color w:val="auto"/>
        </w:rPr>
        <w:t>Insurer Parent</w:t>
      </w:r>
      <w:r>
        <w:rPr>
          <w:rFonts w:ascii="Arial" w:cs="Arial" w:eastAsia="Arial" w:hAnsi="Arial"/>
          <w:sz w:val="19"/>
          <w:szCs w:val="19"/>
          <w:color w:val="auto"/>
        </w:rPr>
        <w:t>”), General Motors LLC, a Delaware limited liability company (acting in a non-fiduciary capacity as the sponsor of the Plan (the “</w:t>
      </w:r>
      <w:r>
        <w:rPr>
          <w:rFonts w:ascii="Arial" w:cs="Arial" w:eastAsia="Arial" w:hAnsi="Arial"/>
          <w:sz w:val="19"/>
          <w:szCs w:val="19"/>
          <w:u w:val="single" w:color="auto"/>
          <w:color w:val="auto"/>
        </w:rPr>
        <w:t>Company</w:t>
      </w:r>
      <w:r>
        <w:rPr>
          <w:rFonts w:ascii="Arial" w:cs="Arial" w:eastAsia="Arial" w:hAnsi="Arial"/>
          <w:sz w:val="19"/>
          <w:szCs w:val="19"/>
          <w:color w:val="auto"/>
        </w:rPr>
        <w:t>”), and State Street Bank and Trust Company, a Massachusetts trust company, solely in its capacity as the independent fiduciary of the General Motors Retirement Program for Salaried Employees (the “</w:t>
      </w:r>
      <w:r>
        <w:rPr>
          <w:rFonts w:ascii="Arial" w:cs="Arial" w:eastAsia="Arial" w:hAnsi="Arial"/>
          <w:sz w:val="19"/>
          <w:szCs w:val="19"/>
          <w:u w:val="single" w:color="auto"/>
          <w:color w:val="auto"/>
        </w:rPr>
        <w:t>Plan</w:t>
      </w:r>
      <w:r>
        <w:rPr>
          <w:rFonts w:ascii="Arial" w:cs="Arial" w:eastAsia="Arial" w:hAnsi="Arial"/>
          <w:sz w:val="19"/>
          <w:szCs w:val="19"/>
          <w:color w:val="auto"/>
        </w:rPr>
        <w:t>”) with authority and responsibility to represent the Plan and its Plan Participants and Plan Beneficiaries in regard to the transactions set forth herein (the “</w:t>
      </w:r>
      <w:r>
        <w:rPr>
          <w:rFonts w:ascii="Arial" w:cs="Arial" w:eastAsia="Arial" w:hAnsi="Arial"/>
          <w:sz w:val="19"/>
          <w:szCs w:val="19"/>
          <w:u w:val="single" w:color="auto"/>
          <w:color w:val="auto"/>
        </w:rPr>
        <w:t>Independent Fiduciary</w:t>
      </w:r>
      <w:r>
        <w:rPr>
          <w:rFonts w:ascii="Arial" w:cs="Arial" w:eastAsia="Arial" w:hAnsi="Arial"/>
          <w:sz w:val="19"/>
          <w:szCs w:val="19"/>
          <w:color w:val="auto"/>
        </w:rPr>
        <w:t>”). The Insurer, Insurer Parent, the Company, and the Independent Fiduciary as the representative of the Plan are referred to collectively herein as the “</w:t>
      </w:r>
      <w:r>
        <w:rPr>
          <w:rFonts w:ascii="Arial" w:cs="Arial" w:eastAsia="Arial" w:hAnsi="Arial"/>
          <w:sz w:val="19"/>
          <w:szCs w:val="19"/>
          <w:u w:val="single" w:color="auto"/>
          <w:color w:val="auto"/>
        </w:rPr>
        <w:t>Parties</w:t>
      </w:r>
      <w:r>
        <w:rPr>
          <w:rFonts w:ascii="Arial" w:cs="Arial" w:eastAsia="Arial" w:hAnsi="Arial"/>
          <w:sz w:val="19"/>
          <w:szCs w:val="19"/>
          <w:color w:val="auto"/>
        </w:rPr>
        <w:t>.”</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WITNESSETH</w:t>
      </w:r>
    </w:p>
    <w:p>
      <w:pPr>
        <w:spacing w:after="0" w:line="200" w:lineRule="exact"/>
        <w:rPr>
          <w:sz w:val="20"/>
          <w:szCs w:val="20"/>
          <w:color w:val="auto"/>
        </w:rPr>
      </w:pPr>
    </w:p>
    <w:p>
      <w:pPr>
        <w:spacing w:after="0" w:line="208" w:lineRule="exact"/>
        <w:rPr>
          <w:sz w:val="20"/>
          <w:szCs w:val="20"/>
          <w:color w:val="auto"/>
        </w:rPr>
      </w:pPr>
    </w:p>
    <w:p>
      <w:pPr>
        <w:jc w:val="both"/>
        <w:ind w:firstLine="601"/>
        <w:spacing w:after="0" w:line="284"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the Company wishes to spin off from the Plan various assets and liabilities attributable to active salaried employee</w:t>
      </w:r>
      <w:r>
        <w:rPr>
          <w:rFonts w:ascii="Arial" w:cs="Arial" w:eastAsia="Arial" w:hAnsi="Arial"/>
          <w:sz w:val="19"/>
          <w:szCs w:val="19"/>
          <w:b w:val="1"/>
          <w:bCs w:val="1"/>
          <w:color w:val="auto"/>
        </w:rPr>
        <w:t xml:space="preserve"> </w:t>
      </w:r>
      <w:r>
        <w:rPr>
          <w:rFonts w:ascii="Arial" w:cs="Arial" w:eastAsia="Arial" w:hAnsi="Arial"/>
          <w:sz w:val="19"/>
          <w:szCs w:val="19"/>
          <w:color w:val="auto"/>
        </w:rPr>
        <w:t>participants, deferred vested participants and certain other participants and transfer them to a New Plan, such that the remaining Plan Participants and Plan Beneficiaries in the Plan consist of Covered Lives, Contingent Lives and Beneficiaries (the “</w:t>
      </w:r>
      <w:r>
        <w:rPr>
          <w:rFonts w:ascii="Arial" w:cs="Arial" w:eastAsia="Arial" w:hAnsi="Arial"/>
          <w:sz w:val="19"/>
          <w:szCs w:val="19"/>
          <w:u w:val="single" w:color="auto"/>
          <w:color w:val="auto"/>
        </w:rPr>
        <w:t>Plan Spin-Off</w:t>
      </w:r>
      <w:r>
        <w:rPr>
          <w:rFonts w:ascii="Arial" w:cs="Arial" w:eastAsia="Arial" w:hAnsi="Arial"/>
          <w:sz w:val="19"/>
          <w:szCs w:val="19"/>
          <w:color w:val="auto"/>
        </w:rPr>
        <w:t>”);</w:t>
      </w:r>
    </w:p>
    <w:p>
      <w:pPr>
        <w:spacing w:after="0" w:line="338" w:lineRule="exact"/>
        <w:rPr>
          <w:sz w:val="20"/>
          <w:szCs w:val="20"/>
          <w:color w:val="auto"/>
        </w:rPr>
      </w:pPr>
    </w:p>
    <w:p>
      <w:pPr>
        <w:jc w:val="both"/>
        <w:ind w:firstLine="601"/>
        <w:spacing w:after="0" w:line="279"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the Company has amended the Plan to provide certain Plan Participants and Plan Beneficiaries in pay status with the</w:t>
      </w:r>
      <w:r>
        <w:rPr>
          <w:rFonts w:ascii="Arial" w:cs="Arial" w:eastAsia="Arial" w:hAnsi="Arial"/>
          <w:sz w:val="20"/>
          <w:szCs w:val="20"/>
          <w:b w:val="1"/>
          <w:bCs w:val="1"/>
          <w:color w:val="auto"/>
        </w:rPr>
        <w:t xml:space="preserve"> </w:t>
      </w:r>
      <w:r>
        <w:rPr>
          <w:rFonts w:ascii="Arial" w:cs="Arial" w:eastAsia="Arial" w:hAnsi="Arial"/>
          <w:sz w:val="20"/>
          <w:szCs w:val="20"/>
          <w:color w:val="auto"/>
        </w:rPr>
        <w:t>right to elect a Lump-Sum Payment;</w:t>
      </w:r>
    </w:p>
    <w:p>
      <w:pPr>
        <w:spacing w:after="0" w:line="341" w:lineRule="exact"/>
        <w:rPr>
          <w:sz w:val="20"/>
          <w:szCs w:val="20"/>
          <w:color w:val="auto"/>
        </w:rPr>
      </w:pPr>
    </w:p>
    <w:p>
      <w:pPr>
        <w:jc w:val="both"/>
        <w:ind w:firstLine="601"/>
        <w:spacing w:after="0" w:line="264"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the Company wishes to amend the Plan to provide for a Standard Termination of the Plan covering the remaining Plan</w:t>
      </w:r>
      <w:r>
        <w:rPr>
          <w:rFonts w:ascii="Arial" w:cs="Arial" w:eastAsia="Arial" w:hAnsi="Arial"/>
          <w:sz w:val="20"/>
          <w:szCs w:val="20"/>
          <w:b w:val="1"/>
          <w:bCs w:val="1"/>
          <w:color w:val="auto"/>
        </w:rPr>
        <w:t xml:space="preserve"> </w:t>
      </w:r>
      <w:r>
        <w:rPr>
          <w:rFonts w:ascii="Arial" w:cs="Arial" w:eastAsia="Arial" w:hAnsi="Arial"/>
          <w:sz w:val="20"/>
          <w:szCs w:val="20"/>
          <w:color w:val="auto"/>
        </w:rPr>
        <w:t>Participants and Plan Beneficiaries (the “</w:t>
      </w:r>
      <w:r>
        <w:rPr>
          <w:rFonts w:ascii="Arial" w:cs="Arial" w:eastAsia="Arial" w:hAnsi="Arial"/>
          <w:sz w:val="20"/>
          <w:szCs w:val="20"/>
          <w:u w:val="single" w:color="auto"/>
          <w:color w:val="auto"/>
        </w:rPr>
        <w:t>Plan Termination</w:t>
      </w:r>
      <w:r>
        <w:rPr>
          <w:rFonts w:ascii="Arial" w:cs="Arial" w:eastAsia="Arial" w:hAnsi="Arial"/>
          <w:sz w:val="20"/>
          <w:szCs w:val="20"/>
          <w:color w:val="auto"/>
        </w:rPr>
        <w:t>”), and intends to transfer to the Plan sufficient funding to meet the requirements for a Standard Termination;</w:t>
      </w:r>
    </w:p>
    <w:p>
      <w:pPr>
        <w:spacing w:after="0" w:line="355" w:lineRule="exact"/>
        <w:rPr>
          <w:sz w:val="20"/>
          <w:szCs w:val="20"/>
          <w:color w:val="auto"/>
        </w:rPr>
      </w:pPr>
    </w:p>
    <w:p>
      <w:pPr>
        <w:jc w:val="both"/>
        <w:ind w:firstLine="601"/>
        <w:spacing w:after="0" w:line="258" w:lineRule="auto"/>
        <w:rPr>
          <w:sz w:val="20"/>
          <w:szCs w:val="20"/>
          <w:color w:val="auto"/>
        </w:rPr>
      </w:pPr>
      <w:r>
        <w:rPr>
          <w:rFonts w:ascii="Arial" w:cs="Arial" w:eastAsia="Arial" w:hAnsi="Arial"/>
          <w:sz w:val="20"/>
          <w:szCs w:val="20"/>
          <w:b w:val="1"/>
          <w:bCs w:val="1"/>
          <w:color w:val="auto"/>
        </w:rPr>
        <w:t xml:space="preserve">WHEREAS </w:t>
      </w:r>
      <w:r>
        <w:rPr>
          <w:rFonts w:ascii="Arial" w:cs="Arial" w:eastAsia="Arial" w:hAnsi="Arial"/>
          <w:sz w:val="20"/>
          <w:szCs w:val="20"/>
          <w:color w:val="auto"/>
        </w:rPr>
        <w:t>, the Independent Fiduciary has been appointed to represent the Plan and its Plan Participants and Plan Beneficiaries in</w:t>
      </w:r>
      <w:r>
        <w:rPr>
          <w:rFonts w:ascii="Arial" w:cs="Arial" w:eastAsia="Arial" w:hAnsi="Arial"/>
          <w:sz w:val="20"/>
          <w:szCs w:val="20"/>
          <w:b w:val="1"/>
          <w:bCs w:val="1"/>
          <w:color w:val="auto"/>
        </w:rPr>
        <w:t xml:space="preserve"> </w:t>
      </w:r>
      <w:r>
        <w:rPr>
          <w:rFonts w:ascii="Arial" w:cs="Arial" w:eastAsia="Arial" w:hAnsi="Arial"/>
          <w:sz w:val="20"/>
          <w:szCs w:val="20"/>
          <w:color w:val="auto"/>
        </w:rPr>
        <w:t>connection with the purchase of one or more group annuity contracts and has been and will be responsible for the selection of the insurer to provide such annuity contract(s) for all Covered Lives, Contingent Lives and Beneficiaries in accordance with ERISA and applicable guidance, including Interpretive Bulletin 95-1;</w:t>
      </w:r>
    </w:p>
    <w:p>
      <w:pPr>
        <w:spacing w:after="0" w:line="363" w:lineRule="exact"/>
        <w:rPr>
          <w:sz w:val="20"/>
          <w:szCs w:val="20"/>
          <w:color w:val="auto"/>
        </w:rPr>
      </w:pPr>
    </w:p>
    <w:p>
      <w:pPr>
        <w:jc w:val="both"/>
        <w:ind w:firstLine="601"/>
        <w:spacing w:after="0" w:line="279"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the Insurer wishes to issue to the Plan the Group Annuity Contract on the terms and subject to the conditions set forth</w:t>
      </w:r>
      <w:r>
        <w:rPr>
          <w:rFonts w:ascii="Arial" w:cs="Arial" w:eastAsia="Arial" w:hAnsi="Arial"/>
          <w:sz w:val="20"/>
          <w:szCs w:val="20"/>
          <w:b w:val="1"/>
          <w:bCs w:val="1"/>
          <w:color w:val="auto"/>
        </w:rPr>
        <w:t xml:space="preserve"> </w:t>
      </w:r>
      <w:r>
        <w:rPr>
          <w:rFonts w:ascii="Arial" w:cs="Arial" w:eastAsia="Arial" w:hAnsi="Arial"/>
          <w:sz w:val="20"/>
          <w:szCs w:val="20"/>
          <w:color w:val="auto"/>
        </w:rPr>
        <w:t>herein and therein;</w:t>
      </w:r>
    </w:p>
    <w:p>
      <w:pPr>
        <w:spacing w:after="0" w:line="341" w:lineRule="exact"/>
        <w:rPr>
          <w:sz w:val="20"/>
          <w:szCs w:val="20"/>
          <w:color w:val="auto"/>
        </w:rPr>
      </w:pPr>
    </w:p>
    <w:p>
      <w:pPr>
        <w:jc w:val="both"/>
        <w:ind w:firstLine="601"/>
        <w:spacing w:after="0" w:line="279"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Insurer Parent expects to derive substantial benefit from the consummation of the transactions contemplated by this</w:t>
      </w:r>
      <w:r>
        <w:rPr>
          <w:rFonts w:ascii="Arial" w:cs="Arial" w:eastAsia="Arial" w:hAnsi="Arial"/>
          <w:sz w:val="20"/>
          <w:szCs w:val="20"/>
          <w:b w:val="1"/>
          <w:bCs w:val="1"/>
          <w:color w:val="auto"/>
        </w:rPr>
        <w:t xml:space="preserve"> </w:t>
      </w:r>
      <w:r>
        <w:rPr>
          <w:rFonts w:ascii="Arial" w:cs="Arial" w:eastAsia="Arial" w:hAnsi="Arial"/>
          <w:sz w:val="20"/>
          <w:szCs w:val="20"/>
          <w:color w:val="auto"/>
        </w:rPr>
        <w:t>Agreement and the Insurer's issuance of the Group Annuity Contract;</w:t>
      </w:r>
    </w:p>
    <w:p>
      <w:pPr>
        <w:spacing w:after="0" w:line="341" w:lineRule="exact"/>
        <w:rPr>
          <w:sz w:val="20"/>
          <w:szCs w:val="20"/>
          <w:color w:val="auto"/>
        </w:rPr>
      </w:pPr>
    </w:p>
    <w:p>
      <w:pPr>
        <w:jc w:val="both"/>
        <w:ind w:firstLine="601"/>
        <w:spacing w:after="0" w:line="284" w:lineRule="auto"/>
        <w:rPr>
          <w:sz w:val="20"/>
          <w:szCs w:val="20"/>
          <w:color w:val="auto"/>
        </w:rPr>
      </w:pPr>
      <w:r>
        <w:rPr>
          <w:rFonts w:ascii="Arial" w:cs="Arial" w:eastAsia="Arial" w:hAnsi="Arial"/>
          <w:sz w:val="19"/>
          <w:szCs w:val="19"/>
          <w:b w:val="1"/>
          <w:bCs w:val="1"/>
          <w:color w:val="auto"/>
        </w:rPr>
        <w:t xml:space="preserve">WHEREAS </w:t>
      </w:r>
      <w:r>
        <w:rPr>
          <w:rFonts w:ascii="Arial" w:cs="Arial" w:eastAsia="Arial" w:hAnsi="Arial"/>
          <w:sz w:val="19"/>
          <w:szCs w:val="19"/>
          <w:color w:val="auto"/>
        </w:rPr>
        <w:t>, the Company is desirous of proceeding with the Plan's purchase of the Group Annuity Contract from the Insurer in</w:t>
      </w:r>
      <w:r>
        <w:rPr>
          <w:rFonts w:ascii="Arial" w:cs="Arial" w:eastAsia="Arial" w:hAnsi="Arial"/>
          <w:sz w:val="19"/>
          <w:szCs w:val="19"/>
          <w:b w:val="1"/>
          <w:bCs w:val="1"/>
          <w:color w:val="auto"/>
        </w:rPr>
        <w:t xml:space="preserve"> </w:t>
      </w:r>
      <w:r>
        <w:rPr>
          <w:rFonts w:ascii="Arial" w:cs="Arial" w:eastAsia="Arial" w:hAnsi="Arial"/>
          <w:sz w:val="19"/>
          <w:szCs w:val="19"/>
          <w:color w:val="auto"/>
        </w:rPr>
        <w:t>connection with the Plan Termination, and is providing the Plan a commitment to contribute the additional funding necessary to enable the Plan to satisfy Plan benefits in accordance with 29 U.S.C. §4041(b), on the terms and subject to the conditions set forth herein;</w:t>
      </w:r>
    </w:p>
    <w:p>
      <w:pPr>
        <w:spacing w:after="0" w:line="338" w:lineRule="exact"/>
        <w:rPr>
          <w:sz w:val="20"/>
          <w:szCs w:val="20"/>
          <w:color w:val="auto"/>
        </w:rPr>
      </w:pPr>
    </w:p>
    <w:p>
      <w:pPr>
        <w:jc w:val="both"/>
        <w:ind w:firstLine="601"/>
        <w:spacing w:after="0" w:line="264"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the Independent Fiduciary has determined that the Insurer satisfies the requirements of Interpretive Bulletin 95-1 and</w:t>
      </w:r>
      <w:r>
        <w:rPr>
          <w:rFonts w:ascii="Arial" w:cs="Arial" w:eastAsia="Arial" w:hAnsi="Arial"/>
          <w:sz w:val="20"/>
          <w:szCs w:val="20"/>
          <w:b w:val="1"/>
          <w:bCs w:val="1"/>
          <w:color w:val="auto"/>
        </w:rPr>
        <w:t xml:space="preserve"> </w:t>
      </w:r>
      <w:r>
        <w:rPr>
          <w:rFonts w:ascii="Arial" w:cs="Arial" w:eastAsia="Arial" w:hAnsi="Arial"/>
          <w:sz w:val="20"/>
          <w:szCs w:val="20"/>
          <w:color w:val="auto"/>
        </w:rPr>
        <w:t>will direct the Plan to proceed to purchase the Group Annuity Contract from the Insurer in connection with the termination of the Plan on the terms and subject to the conditions set forth herein; and</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753" w:right="239" w:bottom="1440" w:gutter="0" w:footer="0" w:header="0"/>
        </w:sectPr>
      </w:pPr>
    </w:p>
    <w:bookmarkStart w:id="12" w:name="page13"/>
    <w:bookmarkEnd w:id="12"/>
    <w:p>
      <w:pPr>
        <w:jc w:val="both"/>
        <w:ind w:firstLine="601"/>
        <w:spacing w:after="0" w:line="264" w:lineRule="auto"/>
        <w:rPr>
          <w:sz w:val="20"/>
          <w:szCs w:val="20"/>
          <w:color w:val="auto"/>
        </w:rPr>
      </w:pPr>
      <w:r>
        <w:rPr>
          <w:rFonts w:ascii="Arial" w:cs="Arial" w:eastAsia="Arial" w:hAnsi="Arial"/>
          <w:sz w:val="20"/>
          <w:szCs w:val="20"/>
          <w:b w:val="1"/>
          <w:bCs w:val="1"/>
          <w:color w:val="auto"/>
        </w:rPr>
        <w:t xml:space="preserve">WHEREAS </w:t>
      </w:r>
      <w:r>
        <w:rPr>
          <w:rFonts w:ascii="Arial" w:cs="Arial" w:eastAsia="Arial" w:hAnsi="Arial"/>
          <w:sz w:val="20"/>
          <w:szCs w:val="20"/>
          <w:color w:val="auto"/>
        </w:rPr>
        <w:t>, prior to the execution of this Agreement, the Insurer has entered into a letter of understanding with Fidelity, which acts</w:t>
      </w:r>
      <w:r>
        <w:rPr>
          <w:rFonts w:ascii="Arial" w:cs="Arial" w:eastAsia="Arial" w:hAnsi="Arial"/>
          <w:sz w:val="20"/>
          <w:szCs w:val="20"/>
          <w:b w:val="1"/>
          <w:bCs w:val="1"/>
          <w:color w:val="auto"/>
        </w:rPr>
        <w:t xml:space="preserve"> </w:t>
      </w:r>
      <w:r>
        <w:rPr>
          <w:rFonts w:ascii="Arial" w:cs="Arial" w:eastAsia="Arial" w:hAnsi="Arial"/>
          <w:sz w:val="20"/>
          <w:szCs w:val="20"/>
          <w:color w:val="auto"/>
        </w:rPr>
        <w:t>as the recordkeeper and third party administrator for the Plan, setting forth the principal terms governing an Administration and Transition Services Agreement (“</w:t>
      </w:r>
      <w:r>
        <w:rPr>
          <w:rFonts w:ascii="Arial" w:cs="Arial" w:eastAsia="Arial" w:hAnsi="Arial"/>
          <w:sz w:val="20"/>
          <w:szCs w:val="20"/>
          <w:u w:val="single" w:color="auto"/>
          <w:color w:val="auto"/>
        </w:rPr>
        <w:t>ATSA</w:t>
      </w:r>
      <w:r>
        <w:rPr>
          <w:rFonts w:ascii="Arial" w:cs="Arial" w:eastAsia="Arial" w:hAnsi="Arial"/>
          <w:sz w:val="20"/>
          <w:szCs w:val="20"/>
          <w:color w:val="auto"/>
        </w:rPr>
        <w:t>”).</w:t>
      </w:r>
    </w:p>
    <w:p>
      <w:pPr>
        <w:spacing w:after="0" w:line="355" w:lineRule="exact"/>
        <w:rPr>
          <w:sz w:val="20"/>
          <w:szCs w:val="20"/>
          <w:color w:val="auto"/>
        </w:rPr>
      </w:pPr>
    </w:p>
    <w:p>
      <w:pPr>
        <w:jc w:val="both"/>
        <w:ind w:firstLine="601"/>
        <w:spacing w:after="0" w:line="279" w:lineRule="auto"/>
        <w:rPr>
          <w:sz w:val="20"/>
          <w:szCs w:val="20"/>
          <w:color w:val="auto"/>
        </w:rPr>
      </w:pPr>
      <w:r>
        <w:rPr>
          <w:rFonts w:ascii="Arial" w:cs="Arial" w:eastAsia="Arial" w:hAnsi="Arial"/>
          <w:sz w:val="20"/>
          <w:szCs w:val="20"/>
          <w:b w:val="1"/>
          <w:bCs w:val="1"/>
          <w:color w:val="auto"/>
        </w:rPr>
        <w:t>NOW</w:t>
      </w:r>
      <w:r>
        <w:rPr>
          <w:rFonts w:ascii="Arial" w:cs="Arial" w:eastAsia="Arial" w:hAnsi="Arial"/>
          <w:sz w:val="20"/>
          <w:szCs w:val="20"/>
          <w:color w:val="auto"/>
        </w:rPr>
        <w:t>,</w:t>
      </w:r>
      <w:r>
        <w:rPr>
          <w:rFonts w:ascii="Arial" w:cs="Arial" w:eastAsia="Arial" w:hAnsi="Arial"/>
          <w:sz w:val="20"/>
          <w:szCs w:val="20"/>
          <w:b w:val="1"/>
          <w:bCs w:val="1"/>
          <w:color w:val="auto"/>
        </w:rPr>
        <w:t xml:space="preserve"> THEREFORE</w:t>
      </w:r>
      <w:r>
        <w:rPr>
          <w:rFonts w:ascii="Arial" w:cs="Arial" w:eastAsia="Arial" w:hAnsi="Arial"/>
          <w:sz w:val="20"/>
          <w:szCs w:val="20"/>
          <w:color w:val="auto"/>
        </w:rPr>
        <w:t>, in consideration of the mutual promises herein made, and in consideration of the representations, warranties</w:t>
      </w:r>
      <w:r>
        <w:rPr>
          <w:rFonts w:ascii="Arial" w:cs="Arial" w:eastAsia="Arial" w:hAnsi="Arial"/>
          <w:sz w:val="20"/>
          <w:szCs w:val="20"/>
          <w:b w:val="1"/>
          <w:bCs w:val="1"/>
          <w:color w:val="auto"/>
        </w:rPr>
        <w:t xml:space="preserve"> </w:t>
      </w:r>
      <w:r>
        <w:rPr>
          <w:rFonts w:ascii="Arial" w:cs="Arial" w:eastAsia="Arial" w:hAnsi="Arial"/>
          <w:sz w:val="20"/>
          <w:szCs w:val="20"/>
          <w:color w:val="auto"/>
        </w:rPr>
        <w:t>and covenants herein contained, the Parties agree as follows:</w:t>
      </w:r>
    </w:p>
    <w:p>
      <w:pPr>
        <w:spacing w:after="0" w:line="200" w:lineRule="exact"/>
        <w:rPr>
          <w:sz w:val="20"/>
          <w:szCs w:val="20"/>
          <w:color w:val="auto"/>
        </w:rPr>
      </w:pPr>
    </w:p>
    <w:p>
      <w:pPr>
        <w:spacing w:after="0" w:line="279" w:lineRule="exact"/>
        <w:rPr>
          <w:sz w:val="20"/>
          <w:szCs w:val="20"/>
          <w:color w:val="auto"/>
        </w:rPr>
      </w:pPr>
    </w:p>
    <w:p>
      <w:pPr>
        <w:jc w:val="center"/>
        <w:ind w:left="620"/>
        <w:spacing w:after="0"/>
        <w:rPr>
          <w:sz w:val="20"/>
          <w:szCs w:val="20"/>
          <w:color w:val="auto"/>
        </w:rPr>
      </w:pPr>
      <w:r>
        <w:rPr>
          <w:rFonts w:ascii="Arial" w:cs="Arial" w:eastAsia="Arial" w:hAnsi="Arial"/>
          <w:sz w:val="20"/>
          <w:szCs w:val="20"/>
          <w:b w:val="1"/>
          <w:bCs w:val="1"/>
          <w:color w:val="auto"/>
        </w:rPr>
        <w:t>ARTICLE 1</w:t>
      </w:r>
    </w:p>
    <w:p>
      <w:pPr>
        <w:spacing w:after="0" w:line="49" w:lineRule="exact"/>
        <w:rPr>
          <w:sz w:val="20"/>
          <w:szCs w:val="20"/>
          <w:color w:val="auto"/>
        </w:rPr>
      </w:pPr>
    </w:p>
    <w:p>
      <w:pPr>
        <w:jc w:val="center"/>
        <w:ind w:left="620"/>
        <w:spacing w:after="0"/>
        <w:rPr>
          <w:sz w:val="20"/>
          <w:szCs w:val="20"/>
          <w:color w:val="auto"/>
        </w:rPr>
      </w:pPr>
      <w:r>
        <w:rPr>
          <w:rFonts w:ascii="Arial" w:cs="Arial" w:eastAsia="Arial" w:hAnsi="Arial"/>
          <w:sz w:val="20"/>
          <w:szCs w:val="20"/>
          <w:color w:val="auto"/>
        </w:rPr>
        <w:t>DEFINITIONS AND INTERPRETATION</w:t>
      </w:r>
    </w:p>
    <w:p>
      <w:pPr>
        <w:spacing w:after="0" w:line="33" w:lineRule="exact"/>
        <w:rPr>
          <w:sz w:val="20"/>
          <w:szCs w:val="20"/>
          <w:color w:val="auto"/>
        </w:rPr>
      </w:pPr>
    </w:p>
    <w:p>
      <w:pPr>
        <w:jc w:val="center"/>
        <w:ind w:left="600"/>
        <w:spacing w:after="0"/>
        <w:tabs>
          <w:tab w:leader="none" w:pos="180" w:val="left"/>
        </w:tabs>
        <w:rPr>
          <w:sz w:val="20"/>
          <w:szCs w:val="20"/>
          <w:color w:val="auto"/>
        </w:rPr>
      </w:pPr>
      <w:r>
        <w:rPr>
          <w:rFonts w:ascii="Arial" w:cs="Arial" w:eastAsia="Arial" w:hAnsi="Arial"/>
          <w:sz w:val="20"/>
          <w:szCs w:val="20"/>
          <w:color w:val="auto"/>
        </w:rPr>
        <w:t>Section 1.1</w:t>
      </w:r>
      <w:r>
        <w:rPr>
          <w:sz w:val="20"/>
          <w:szCs w:val="20"/>
          <w:color w:val="auto"/>
        </w:rPr>
        <w:tab/>
      </w:r>
      <w:r>
        <w:rPr>
          <w:rFonts w:ascii="Arial" w:cs="Arial" w:eastAsia="Arial" w:hAnsi="Arial"/>
          <w:sz w:val="18"/>
          <w:szCs w:val="18"/>
          <w:u w:val="single" w:color="auto"/>
          <w:color w:val="auto"/>
        </w:rPr>
        <w:t xml:space="preserve">Definitions. </w:t>
      </w:r>
      <w:r>
        <w:rPr>
          <w:rFonts w:ascii="Arial" w:cs="Arial" w:eastAsia="Arial" w:hAnsi="Arial"/>
          <w:sz w:val="18"/>
          <w:szCs w:val="18"/>
          <w:color w:val="auto"/>
        </w:rPr>
        <w:t>For purposes of this Agreement:</w:t>
      </w:r>
    </w:p>
    <w:p>
      <w:pPr>
        <w:spacing w:after="0" w:line="208"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10-Q</w:t>
      </w:r>
      <w:r>
        <w:rPr>
          <w:rFonts w:ascii="Arial" w:cs="Arial" w:eastAsia="Arial" w:hAnsi="Arial"/>
          <w:sz w:val="20"/>
          <w:szCs w:val="20"/>
          <w:color w:val="auto"/>
        </w:rPr>
        <w:t xml:space="preserve">” is defined in </w:t>
      </w:r>
      <w:r>
        <w:rPr>
          <w:rFonts w:ascii="Arial" w:cs="Arial" w:eastAsia="Arial" w:hAnsi="Arial"/>
          <w:sz w:val="20"/>
          <w:szCs w:val="20"/>
          <w:u w:val="single" w:color="auto"/>
          <w:color w:val="auto"/>
        </w:rPr>
        <w:t>Section 6.4(f)</w:t>
      </w:r>
      <w:r>
        <w:rPr>
          <w:rFonts w:ascii="Arial" w:cs="Arial" w:eastAsia="Arial" w:hAnsi="Arial"/>
          <w:sz w:val="20"/>
          <w:szCs w:val="20"/>
          <w:color w:val="auto"/>
        </w:rPr>
        <w:t>.</w:t>
      </w:r>
    </w:p>
    <w:p>
      <w:pPr>
        <w:spacing w:after="0" w:line="200" w:lineRule="exact"/>
        <w:rPr>
          <w:sz w:val="20"/>
          <w:szCs w:val="20"/>
          <w:color w:val="auto"/>
        </w:rPr>
      </w:pPr>
    </w:p>
    <w:p>
      <w:pPr>
        <w:spacing w:after="0" w:line="208" w:lineRule="exact"/>
        <w:rPr>
          <w:sz w:val="20"/>
          <w:szCs w:val="20"/>
          <w:color w:val="auto"/>
        </w:rPr>
      </w:pPr>
    </w:p>
    <w:p>
      <w:pPr>
        <w:jc w:val="both"/>
        <w:ind w:firstLine="601"/>
        <w:spacing w:after="0" w:line="27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Action</w:t>
      </w:r>
      <w:r>
        <w:rPr>
          <w:rFonts w:ascii="Arial" w:cs="Arial" w:eastAsia="Arial" w:hAnsi="Arial"/>
          <w:sz w:val="20"/>
          <w:szCs w:val="20"/>
          <w:color w:val="auto"/>
        </w:rPr>
        <w:t>” means any claim, action, suit, arbitration, complaint, charge, investigation, inquiry or proceeding by or before any Governmental Authority.</w:t>
      </w:r>
    </w:p>
    <w:p>
      <w:pPr>
        <w:spacing w:after="0" w:line="349" w:lineRule="exact"/>
        <w:rPr>
          <w:sz w:val="20"/>
          <w:szCs w:val="20"/>
          <w:color w:val="auto"/>
        </w:rPr>
      </w:pPr>
    </w:p>
    <w:p>
      <w:pPr>
        <w:jc w:val="both"/>
        <w:ind w:firstLine="601"/>
        <w:spacing w:after="0" w:line="25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Additional Classification Error Correction</w:t>
      </w:r>
      <w:r>
        <w:rPr>
          <w:rFonts w:ascii="Arial" w:cs="Arial" w:eastAsia="Arial" w:hAnsi="Arial"/>
          <w:sz w:val="20"/>
          <w:szCs w:val="20"/>
          <w:color w:val="auto"/>
        </w:rPr>
        <w:t>” means the amount of the adjustment to the Dry-Run Post-Solicitation Premiums, the Preliminary Post-Solicitation Premium, the Interim Post-Closing Post-Solicitation Premium or the Post-Closing Post-Solicitation Premium, as applicable, as determined by the Insurer and limited to the Additional Classification Errors in accordance with the methodologies that are applied by the Insurer in calculating the Non-Solicited Annuity Premium, the Solicited Annuity Premium and, if applicable, the Non-Electing Annuity Premium.</w:t>
      </w:r>
    </w:p>
    <w:p>
      <w:pPr>
        <w:spacing w:after="0" w:line="368" w:lineRule="exact"/>
        <w:rPr>
          <w:sz w:val="20"/>
          <w:szCs w:val="20"/>
          <w:color w:val="auto"/>
        </w:rPr>
      </w:pPr>
    </w:p>
    <w:p>
      <w:pPr>
        <w:jc w:val="both"/>
        <w:ind w:firstLine="601"/>
        <w:spacing w:after="0" w:line="261"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Additional Classification Errors</w:t>
      </w:r>
      <w:r>
        <w:rPr>
          <w:rFonts w:ascii="Arial" w:cs="Arial" w:eastAsia="Arial" w:hAnsi="Arial"/>
          <w:sz w:val="20"/>
          <w:szCs w:val="20"/>
          <w:color w:val="auto"/>
        </w:rPr>
        <w:t xml:space="preserve"> ” means only those Classification Errors (other than Signing Classification Errors) that the Company or its Affiliates or Fidelity reports to the Insurer in writing; </w:t>
      </w:r>
      <w:r>
        <w:rPr>
          <w:rFonts w:ascii="Arial" w:cs="Arial" w:eastAsia="Arial" w:hAnsi="Arial"/>
          <w:sz w:val="20"/>
          <w:szCs w:val="20"/>
          <w:u w:val="single" w:color="auto"/>
          <w:color w:val="auto"/>
        </w:rPr>
        <w:t>provided</w:t>
      </w:r>
      <w:r>
        <w:rPr>
          <w:rFonts w:ascii="Arial" w:cs="Arial" w:eastAsia="Arial" w:hAnsi="Arial"/>
          <w:sz w:val="20"/>
          <w:szCs w:val="20"/>
          <w:color w:val="auto"/>
        </w:rPr>
        <w:t>, that, in the case of any such report by Fidelity, the Company shall have the right to (a) review such report and (b) promptly correct any errors in such report.</w:t>
      </w:r>
    </w:p>
    <w:p>
      <w:pPr>
        <w:spacing w:after="0" w:line="364"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Adjusted Basis Amount</w:t>
      </w:r>
      <w:r>
        <w:rPr>
          <w:rFonts w:ascii="Arial" w:cs="Arial" w:eastAsia="Arial" w:hAnsi="Arial"/>
          <w:sz w:val="20"/>
          <w:szCs w:val="20"/>
          <w:color w:val="auto"/>
        </w:rPr>
        <w:t>” is defined in the Procedures Manual.</w:t>
      </w:r>
    </w:p>
    <w:p>
      <w:pPr>
        <w:spacing w:after="0" w:line="200" w:lineRule="exact"/>
        <w:rPr>
          <w:sz w:val="20"/>
          <w:szCs w:val="20"/>
          <w:color w:val="auto"/>
        </w:rPr>
      </w:pPr>
    </w:p>
    <w:p>
      <w:pPr>
        <w:spacing w:after="0" w:line="208" w:lineRule="exact"/>
        <w:rPr>
          <w:sz w:val="20"/>
          <w:szCs w:val="20"/>
          <w:color w:val="auto"/>
        </w:rPr>
      </w:pPr>
    </w:p>
    <w:p>
      <w:pPr>
        <w:jc w:val="both"/>
        <w:ind w:firstLine="601"/>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Affiliate</w:t>
      </w:r>
      <w:r>
        <w:rPr>
          <w:rFonts w:ascii="Arial" w:cs="Arial" w:eastAsia="Arial" w:hAnsi="Arial"/>
          <w:sz w:val="19"/>
          <w:szCs w:val="19"/>
          <w:color w:val="auto"/>
        </w:rPr>
        <w:t>” of any particular Person means any other Person controlling, controlled by or under common control with such particular Person. For the purposes of this definition, “controlling,” “controlled” and “control” means the possession, directly or indirectly, of the power to direct the management and policies of a Person whether through the ownership of voting securities, contract or otherwise; provided, however, that none of the United States, the U.S. Department of Treasury nor any Person controlled by the United States or the U.S. Department of Treasury shall be deemed to be an Affiliate of the Company solely because of the ownership, directly or indirectly, by the U.S. Department of Treasury of equity interests in the corporate parent of the Company.</w:t>
      </w:r>
    </w:p>
    <w:p>
      <w:pPr>
        <w:spacing w:after="0" w:line="358" w:lineRule="exact"/>
        <w:rPr>
          <w:sz w:val="20"/>
          <w:szCs w:val="20"/>
          <w:color w:val="auto"/>
        </w:rPr>
      </w:pPr>
    </w:p>
    <w:p>
      <w:pPr>
        <w:ind w:left="600"/>
        <w:spacing w:after="0"/>
        <w:tabs>
          <w:tab w:leader="none" w:pos="900" w:val="left"/>
          <w:tab w:leader="none" w:pos="1540" w:val="left"/>
        </w:tabs>
        <w:rPr>
          <w:sz w:val="20"/>
          <w:szCs w:val="20"/>
          <w:color w:val="auto"/>
        </w:rPr>
      </w:pPr>
      <w:r>
        <w:rPr>
          <w:rFonts w:ascii="Arial" w:cs="Arial" w:eastAsia="Arial" w:hAnsi="Arial"/>
          <w:sz w:val="20"/>
          <w:szCs w:val="20"/>
          <w:color w:val="auto"/>
        </w:rPr>
        <w:t>[</w:t>
        <w:tab/>
        <w:t>***</w:t>
      </w:r>
      <w:r>
        <w:rPr>
          <w:sz w:val="20"/>
          <w:szCs w:val="20"/>
          <w:color w:val="auto"/>
        </w:rPr>
        <w:tab/>
      </w:r>
      <w:r>
        <w:rPr>
          <w:rFonts w:ascii="Arial" w:cs="Arial" w:eastAsia="Arial" w:hAnsi="Arial"/>
          <w:sz w:val="20"/>
          <w:szCs w:val="20"/>
          <w:color w:val="auto"/>
        </w:rPr>
        <w:t>]</w:t>
      </w:r>
    </w:p>
    <w:p>
      <w:pPr>
        <w:spacing w:after="0" w:line="200" w:lineRule="exact"/>
        <w:rPr>
          <w:sz w:val="20"/>
          <w:szCs w:val="20"/>
          <w:color w:val="auto"/>
        </w:rPr>
      </w:pPr>
    </w:p>
    <w:p>
      <w:pPr>
        <w:spacing w:after="0" w:line="208"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Agreed Updates</w:t>
      </w:r>
      <w:r>
        <w:rPr>
          <w:rFonts w:ascii="Arial" w:cs="Arial" w:eastAsia="Arial" w:hAnsi="Arial"/>
          <w:sz w:val="20"/>
          <w:szCs w:val="20"/>
          <w:color w:val="auto"/>
        </w:rPr>
        <w:t>” is defined in Section K of the Procedures Manual.</w:t>
      </w:r>
    </w:p>
    <w:p>
      <w:pPr>
        <w:spacing w:after="0" w:line="200" w:lineRule="exact"/>
        <w:rPr>
          <w:sz w:val="20"/>
          <w:szCs w:val="20"/>
          <w:color w:val="auto"/>
        </w:rPr>
      </w:pPr>
    </w:p>
    <w:p>
      <w:pPr>
        <w:spacing w:after="0" w:line="208"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Agreement</w:t>
      </w:r>
      <w:r>
        <w:rPr>
          <w:rFonts w:ascii="Arial" w:cs="Arial" w:eastAsia="Arial" w:hAnsi="Arial"/>
          <w:sz w:val="20"/>
          <w:szCs w:val="20"/>
          <w:color w:val="auto"/>
        </w:rPr>
        <w:t>” is defined in the preamble.</w:t>
      </w:r>
    </w:p>
    <w:p>
      <w:pPr>
        <w:spacing w:after="0" w:line="200" w:lineRule="exact"/>
        <w:rPr>
          <w:sz w:val="20"/>
          <w:szCs w:val="20"/>
          <w:color w:val="auto"/>
        </w:rPr>
      </w:pPr>
    </w:p>
    <w:p>
      <w:pPr>
        <w:spacing w:after="0" w:line="208"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Alternative Arrangement</w:t>
      </w:r>
      <w:r>
        <w:rPr>
          <w:rFonts w:ascii="Arial" w:cs="Arial" w:eastAsia="Arial" w:hAnsi="Arial"/>
          <w:sz w:val="20"/>
          <w:szCs w:val="20"/>
          <w:color w:val="auto"/>
        </w:rPr>
        <w:t xml:space="preserve">” is defined in </w:t>
      </w:r>
      <w:r>
        <w:rPr>
          <w:rFonts w:ascii="Arial" w:cs="Arial" w:eastAsia="Arial" w:hAnsi="Arial"/>
          <w:sz w:val="20"/>
          <w:szCs w:val="20"/>
          <w:u w:val="single" w:color="auto"/>
          <w:color w:val="auto"/>
        </w:rPr>
        <w:t>Section 6.7</w:t>
      </w:r>
      <w:r>
        <w:rPr>
          <w:rFonts w:ascii="Arial" w:cs="Arial" w:eastAsia="Arial" w:hAnsi="Arial"/>
          <w:sz w:val="20"/>
          <w:szCs w:val="20"/>
          <w:color w:val="auto"/>
        </w:rPr>
        <w:t>.</w:t>
      </w:r>
    </w:p>
    <w:p>
      <w:pPr>
        <w:spacing w:after="0" w:line="200" w:lineRule="exact"/>
        <w:rPr>
          <w:sz w:val="20"/>
          <w:szCs w:val="20"/>
          <w:color w:val="auto"/>
        </w:rPr>
      </w:pPr>
    </w:p>
    <w:p>
      <w:pPr>
        <w:spacing w:after="0" w:line="208"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Alternative Transaction Proposal</w:t>
      </w:r>
      <w:r>
        <w:rPr>
          <w:rFonts w:ascii="Arial" w:cs="Arial" w:eastAsia="Arial" w:hAnsi="Arial"/>
          <w:sz w:val="20"/>
          <w:szCs w:val="20"/>
          <w:color w:val="auto"/>
        </w:rPr>
        <w:t xml:space="preserve">” is defined in </w:t>
      </w:r>
      <w:r>
        <w:rPr>
          <w:rFonts w:ascii="Arial" w:cs="Arial" w:eastAsia="Arial" w:hAnsi="Arial"/>
          <w:sz w:val="20"/>
          <w:szCs w:val="20"/>
          <w:u w:val="single" w:color="auto"/>
          <w:color w:val="auto"/>
        </w:rPr>
        <w:t>Section 6.10</w:t>
      </w:r>
      <w:r>
        <w:rPr>
          <w:rFonts w:ascii="Arial" w:cs="Arial" w:eastAsia="Arial" w:hAnsi="Arial"/>
          <w:sz w:val="20"/>
          <w:szCs w:val="20"/>
          <w:color w:val="auto"/>
        </w:rPr>
        <w:t>.</w:t>
      </w:r>
    </w:p>
    <w:p>
      <w:pPr>
        <w:sectPr>
          <w:pgSz w:w="11900" w:h="16838" w:orient="portrait"/>
          <w:cols w:equalWidth="0" w:num="1">
            <w:col w:w="11420"/>
          </w:cols>
          <w:pgMar w:left="240" w:top="753" w:right="23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420"/>
          </w:cols>
          <w:pgMar w:left="240" w:top="753" w:right="239" w:bottom="1440" w:gutter="0" w:footer="0" w:header="0"/>
          <w:type w:val="continuous"/>
        </w:sectPr>
      </w:pPr>
    </w:p>
    <w:bookmarkStart w:id="13" w:name="page14"/>
    <w:bookmarkEnd w:id="13"/>
    <w:p>
      <w:pPr>
        <w:jc w:val="both"/>
        <w:ind w:firstLine="601"/>
        <w:spacing w:after="0" w:line="30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Ancillary Agreements</w:t>
      </w:r>
      <w:r>
        <w:rPr>
          <w:rFonts w:ascii="Arial" w:cs="Arial" w:eastAsia="Arial" w:hAnsi="Arial"/>
          <w:sz w:val="18"/>
          <w:szCs w:val="18"/>
          <w:color w:val="auto"/>
        </w:rPr>
        <w:t>” means the Group Annuity Contract (after giving effect to the restatement of Contract 300 Article P and all exhibits thereto), the Plan Trustee Agreement, the Escrow Agreement, the Independent Third Party Agreement, and all other written agreements, documents or certificates to be delivered by a Party, the Plan, the Plan Trustee or the Plan Investment Fiduciary at the Closing.</w:t>
      </w:r>
    </w:p>
    <w:p>
      <w:pPr>
        <w:spacing w:after="0" w:line="327" w:lineRule="exact"/>
        <w:rPr>
          <w:sz w:val="20"/>
          <w:szCs w:val="20"/>
          <w:color w:val="auto"/>
        </w:rPr>
      </w:pPr>
    </w:p>
    <w:p>
      <w:pPr>
        <w:jc w:val="both"/>
        <w:ind w:firstLine="601"/>
        <w:spacing w:after="0" w:line="27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Annuitant</w:t>
      </w:r>
      <w:r>
        <w:rPr>
          <w:rFonts w:ascii="Arial" w:cs="Arial" w:eastAsia="Arial" w:hAnsi="Arial"/>
          <w:sz w:val="20"/>
          <w:szCs w:val="20"/>
          <w:color w:val="auto"/>
        </w:rPr>
        <w:t>” means a person to whom the Insurer is required to issue an Annuity Certificate pursuant to the terms of the Group Annuity Contract and this Agreement.</w:t>
      </w:r>
    </w:p>
    <w:p>
      <w:pPr>
        <w:spacing w:after="0" w:line="349" w:lineRule="exact"/>
        <w:rPr>
          <w:sz w:val="20"/>
          <w:szCs w:val="20"/>
          <w:color w:val="auto"/>
        </w:rPr>
      </w:pPr>
    </w:p>
    <w:p>
      <w:pPr>
        <w:jc w:val="both"/>
        <w:ind w:firstLine="601"/>
        <w:spacing w:after="0" w:line="27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Annuity Certificate</w:t>
      </w:r>
      <w:r>
        <w:rPr>
          <w:rFonts w:ascii="Arial" w:cs="Arial" w:eastAsia="Arial" w:hAnsi="Arial"/>
          <w:sz w:val="20"/>
          <w:szCs w:val="20"/>
          <w:color w:val="auto"/>
        </w:rPr>
        <w:t xml:space="preserve">” means an annuity certificate substantially in the applicable form set forth in </w:t>
      </w:r>
      <w:r>
        <w:rPr>
          <w:rFonts w:ascii="Arial" w:cs="Arial" w:eastAsia="Arial" w:hAnsi="Arial"/>
          <w:sz w:val="20"/>
          <w:szCs w:val="20"/>
          <w:u w:val="single" w:color="auto"/>
          <w:color w:val="auto"/>
        </w:rPr>
        <w:t>Appendix 1.3</w:t>
      </w:r>
      <w:r>
        <w:rPr>
          <w:rFonts w:ascii="Arial" w:cs="Arial" w:eastAsia="Arial" w:hAnsi="Arial"/>
          <w:sz w:val="20"/>
          <w:szCs w:val="20"/>
          <w:color w:val="auto"/>
        </w:rPr>
        <w:t>, with such modifications as may be made by the Insurer as required by, or permitted under, applicable Law.</w:t>
      </w:r>
    </w:p>
    <w:p>
      <w:pPr>
        <w:spacing w:after="0" w:line="349" w:lineRule="exact"/>
        <w:rPr>
          <w:sz w:val="20"/>
          <w:szCs w:val="20"/>
          <w:color w:val="auto"/>
        </w:rPr>
      </w:pPr>
    </w:p>
    <w:p>
      <w:pPr>
        <w:jc w:val="both"/>
        <w:ind w:firstLine="601"/>
        <w:spacing w:after="0" w:line="27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Annuity Commencement Date</w:t>
      </w:r>
      <w:r>
        <w:rPr>
          <w:rFonts w:ascii="Arial" w:cs="Arial" w:eastAsia="Arial" w:hAnsi="Arial"/>
          <w:sz w:val="20"/>
          <w:szCs w:val="20"/>
          <w:color w:val="auto"/>
        </w:rPr>
        <w:t>” means (</w:t>
      </w:r>
      <w:r>
        <w:rPr>
          <w:rFonts w:ascii="Arial" w:cs="Arial" w:eastAsia="Arial" w:hAnsi="Arial"/>
          <w:sz w:val="20"/>
          <w:szCs w:val="20"/>
          <w:u w:val="single" w:color="auto"/>
          <w:color w:val="auto"/>
        </w:rPr>
        <w:t>a</w:t>
      </w:r>
      <w:r>
        <w:rPr>
          <w:rFonts w:ascii="Arial" w:cs="Arial" w:eastAsia="Arial" w:hAnsi="Arial"/>
          <w:sz w:val="20"/>
          <w:szCs w:val="20"/>
          <w:color w:val="auto"/>
        </w:rPr>
        <w:t>) January 1, 2013; if the Closing occurs on or prior to the Outside Date or (</w:t>
      </w:r>
      <w:r>
        <w:rPr>
          <w:rFonts w:ascii="Arial" w:cs="Arial" w:eastAsia="Arial" w:hAnsi="Arial"/>
          <w:sz w:val="20"/>
          <w:szCs w:val="20"/>
          <w:u w:val="single" w:color="auto"/>
          <w:color w:val="auto"/>
        </w:rPr>
        <w:t>b</w:t>
      </w:r>
      <w:r>
        <w:rPr>
          <w:rFonts w:ascii="Arial" w:cs="Arial" w:eastAsia="Arial" w:hAnsi="Arial"/>
          <w:sz w:val="20"/>
          <w:szCs w:val="20"/>
          <w:color w:val="auto"/>
        </w:rPr>
        <w:t xml:space="preserve">) such other date, if applicable, as may be provided pursuant to </w:t>
      </w:r>
      <w:r>
        <w:rPr>
          <w:rFonts w:ascii="Arial" w:cs="Arial" w:eastAsia="Arial" w:hAnsi="Arial"/>
          <w:sz w:val="20"/>
          <w:szCs w:val="20"/>
          <w:u w:val="single" w:color="auto"/>
          <w:color w:val="auto"/>
        </w:rPr>
        <w:t>Section 10.2(d)</w:t>
      </w:r>
      <w:r>
        <w:rPr>
          <w:rFonts w:ascii="Arial" w:cs="Arial" w:eastAsia="Arial" w:hAnsi="Arial"/>
          <w:sz w:val="20"/>
          <w:szCs w:val="20"/>
          <w:color w:val="auto"/>
        </w:rPr>
        <w:t>.</w:t>
      </w:r>
    </w:p>
    <w:p>
      <w:pPr>
        <w:spacing w:after="0" w:line="349" w:lineRule="exact"/>
        <w:rPr>
          <w:sz w:val="20"/>
          <w:szCs w:val="20"/>
          <w:color w:val="auto"/>
        </w:rPr>
      </w:pPr>
    </w:p>
    <w:p>
      <w:pPr>
        <w:jc w:val="both"/>
        <w:ind w:firstLine="601"/>
        <w:spacing w:after="0" w:line="27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Annuity Committee</w:t>
      </w:r>
      <w:r>
        <w:rPr>
          <w:rFonts w:ascii="Arial" w:cs="Arial" w:eastAsia="Arial" w:hAnsi="Arial"/>
          <w:sz w:val="20"/>
          <w:szCs w:val="20"/>
          <w:color w:val="auto"/>
        </w:rPr>
        <w:t>” means the named fiduciary of the Plan which appointed and designated the Independent Fiduciary in connection with the transactions set forth in this Agreement.</w:t>
      </w:r>
    </w:p>
    <w:p>
      <w:pPr>
        <w:spacing w:after="0" w:line="349"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Annuity Exhibit</w:t>
      </w:r>
      <w:r>
        <w:rPr>
          <w:rFonts w:ascii="Arial" w:cs="Arial" w:eastAsia="Arial" w:hAnsi="Arial"/>
          <w:sz w:val="20"/>
          <w:szCs w:val="20"/>
          <w:color w:val="auto"/>
        </w:rPr>
        <w:t xml:space="preserve">” means Schedule 1 to the calculation of the Final Premium in the form of Schedule 1 to </w:t>
      </w:r>
      <w:r>
        <w:rPr>
          <w:rFonts w:ascii="Arial" w:cs="Arial" w:eastAsia="Arial" w:hAnsi="Arial"/>
          <w:sz w:val="20"/>
          <w:szCs w:val="20"/>
          <w:u w:val="single" w:color="auto"/>
          <w:color w:val="auto"/>
        </w:rPr>
        <w:t>Appendix 2.7</w:t>
      </w:r>
      <w:r>
        <w:rPr>
          <w:rFonts w:ascii="Arial" w:cs="Arial" w:eastAsia="Arial" w:hAnsi="Arial"/>
          <w:sz w:val="20"/>
          <w:szCs w:val="20"/>
          <w:color w:val="auto"/>
        </w:rPr>
        <w:t>.</w:t>
      </w:r>
    </w:p>
    <w:p>
      <w:pPr>
        <w:spacing w:after="0" w:line="200" w:lineRule="exact"/>
        <w:rPr>
          <w:sz w:val="20"/>
          <w:szCs w:val="20"/>
          <w:color w:val="auto"/>
        </w:rPr>
      </w:pPr>
    </w:p>
    <w:p>
      <w:pPr>
        <w:spacing w:after="0" w:line="208"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Annuity Payment</w:t>
      </w:r>
      <w:r>
        <w:rPr>
          <w:rFonts w:ascii="Arial" w:cs="Arial" w:eastAsia="Arial" w:hAnsi="Arial"/>
          <w:sz w:val="20"/>
          <w:szCs w:val="20"/>
          <w:color w:val="auto"/>
        </w:rPr>
        <w:t>” means the monthly payments payable to Annuitants pursuant to the Group Annuity Contract.</w:t>
      </w:r>
    </w:p>
    <w:p>
      <w:pPr>
        <w:spacing w:after="0" w:line="200" w:lineRule="exact"/>
        <w:rPr>
          <w:sz w:val="20"/>
          <w:szCs w:val="20"/>
          <w:color w:val="auto"/>
        </w:rPr>
      </w:pPr>
    </w:p>
    <w:p>
      <w:pPr>
        <w:spacing w:after="0" w:line="208" w:lineRule="exact"/>
        <w:rPr>
          <w:sz w:val="20"/>
          <w:szCs w:val="20"/>
          <w:color w:val="auto"/>
        </w:rPr>
      </w:pPr>
    </w:p>
    <w:p>
      <w:pPr>
        <w:ind w:left="600"/>
        <w:spacing w:after="0"/>
        <w:tabs>
          <w:tab w:leader="none" w:pos="900" w:val="left"/>
          <w:tab w:leader="none" w:pos="1540" w:val="left"/>
        </w:tabs>
        <w:rPr>
          <w:sz w:val="20"/>
          <w:szCs w:val="20"/>
          <w:color w:val="auto"/>
        </w:rPr>
      </w:pPr>
      <w:r>
        <w:rPr>
          <w:rFonts w:ascii="Arial" w:cs="Arial" w:eastAsia="Arial" w:hAnsi="Arial"/>
          <w:sz w:val="20"/>
          <w:szCs w:val="20"/>
          <w:color w:val="auto"/>
        </w:rPr>
        <w:t>[</w:t>
        <w:tab/>
        <w:t>***</w:t>
      </w:r>
      <w:r>
        <w:rPr>
          <w:sz w:val="20"/>
          <w:szCs w:val="20"/>
          <w:color w:val="auto"/>
        </w:rPr>
        <w:tab/>
      </w:r>
      <w:r>
        <w:rPr>
          <w:rFonts w:ascii="Arial" w:cs="Arial" w:eastAsia="Arial" w:hAnsi="Arial"/>
          <w:sz w:val="20"/>
          <w:szCs w:val="20"/>
          <w:color w:val="auto"/>
        </w:rPr>
        <w:t>]</w:t>
      </w:r>
    </w:p>
    <w:p>
      <w:pPr>
        <w:spacing w:after="0" w:line="200" w:lineRule="exact"/>
        <w:rPr>
          <w:sz w:val="20"/>
          <w:szCs w:val="20"/>
          <w:color w:val="auto"/>
        </w:rPr>
      </w:pPr>
    </w:p>
    <w:p>
      <w:pPr>
        <w:spacing w:after="0" w:line="208" w:lineRule="exact"/>
        <w:rPr>
          <w:sz w:val="20"/>
          <w:szCs w:val="20"/>
          <w:color w:val="auto"/>
        </w:rPr>
      </w:pPr>
    </w:p>
    <w:p>
      <w:pPr>
        <w:jc w:val="both"/>
        <w:ind w:firstLine="601"/>
        <w:spacing w:after="0" w:line="25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Approved Firm</w:t>
      </w:r>
      <w:r>
        <w:rPr>
          <w:rFonts w:ascii="Arial" w:cs="Arial" w:eastAsia="Arial" w:hAnsi="Arial"/>
          <w:sz w:val="20"/>
          <w:szCs w:val="20"/>
          <w:color w:val="auto"/>
        </w:rPr>
        <w:t xml:space="preserve">” means any of the firms listed in the letter agreement between the Company and the Insurer dated as of the date hereof, unless such entity, or any of its Affiliates, is subject to an agreement with any Party to this Agreement to provide audit, tax or other similar services to such Party or any of its Affiliates; </w:t>
      </w:r>
      <w:r>
        <w:rPr>
          <w:rFonts w:ascii="Arial" w:cs="Arial" w:eastAsia="Arial" w:hAnsi="Arial"/>
          <w:sz w:val="20"/>
          <w:szCs w:val="20"/>
          <w:u w:val="single" w:color="auto"/>
          <w:color w:val="auto"/>
        </w:rPr>
        <w:t>provided</w:t>
      </w:r>
      <w:r>
        <w:rPr>
          <w:rFonts w:ascii="Arial" w:cs="Arial" w:eastAsia="Arial" w:hAnsi="Arial"/>
          <w:sz w:val="20"/>
          <w:szCs w:val="20"/>
          <w:color w:val="auto"/>
        </w:rPr>
        <w:t>, that, if (</w:t>
      </w:r>
      <w:r>
        <w:rPr>
          <w:rFonts w:ascii="Arial" w:cs="Arial" w:eastAsia="Arial" w:hAnsi="Arial"/>
          <w:sz w:val="20"/>
          <w:szCs w:val="20"/>
          <w:u w:val="single" w:color="auto"/>
          <w:color w:val="auto"/>
        </w:rPr>
        <w:t>a</w:t>
      </w:r>
      <w:r>
        <w:rPr>
          <w:rFonts w:ascii="Arial" w:cs="Arial" w:eastAsia="Arial" w:hAnsi="Arial"/>
          <w:sz w:val="20"/>
          <w:szCs w:val="20"/>
          <w:color w:val="auto"/>
        </w:rPr>
        <w:t>) all of such entities are ineligible pursuant to the foregoing limitations or (</w:t>
      </w:r>
      <w:r>
        <w:rPr>
          <w:rFonts w:ascii="Arial" w:cs="Arial" w:eastAsia="Arial" w:hAnsi="Arial"/>
          <w:sz w:val="20"/>
          <w:szCs w:val="20"/>
          <w:u w:val="single" w:color="auto"/>
          <w:color w:val="auto"/>
        </w:rPr>
        <w:t>b</w:t>
      </w:r>
      <w:r>
        <w:rPr>
          <w:rFonts w:ascii="Arial" w:cs="Arial" w:eastAsia="Arial" w:hAnsi="Arial"/>
          <w:sz w:val="20"/>
          <w:szCs w:val="20"/>
          <w:color w:val="auto"/>
        </w:rPr>
        <w:t>) all of such entities are otherwise unavailable, such other nationally recognized independent accounting, actuarial or consulting firm as may be reasonably acceptable to the Company and the Insurer.</w:t>
      </w:r>
    </w:p>
    <w:p>
      <w:pPr>
        <w:spacing w:after="0" w:line="368"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Approved Firm-A</w:t>
      </w:r>
      <w:r>
        <w:rPr>
          <w:rFonts w:ascii="Arial" w:cs="Arial" w:eastAsia="Arial" w:hAnsi="Arial"/>
          <w:sz w:val="20"/>
          <w:szCs w:val="20"/>
          <w:color w:val="auto"/>
        </w:rPr>
        <w:t xml:space="preserve">” means any of the Approved Firms applicable to </w:t>
      </w:r>
      <w:r>
        <w:rPr>
          <w:rFonts w:ascii="Arial" w:cs="Arial" w:eastAsia="Arial" w:hAnsi="Arial"/>
          <w:sz w:val="20"/>
          <w:szCs w:val="20"/>
          <w:u w:val="single" w:color="auto"/>
          <w:color w:val="auto"/>
        </w:rPr>
        <w:t>Section 6.6(a)</w:t>
      </w:r>
      <w:r>
        <w:rPr>
          <w:rFonts w:ascii="Arial" w:cs="Arial" w:eastAsia="Arial" w:hAnsi="Arial"/>
          <w:sz w:val="20"/>
          <w:szCs w:val="20"/>
          <w:color w:val="auto"/>
        </w:rPr>
        <w:t>.</w:t>
      </w:r>
    </w:p>
    <w:p>
      <w:pPr>
        <w:spacing w:after="0" w:line="200" w:lineRule="exact"/>
        <w:rPr>
          <w:sz w:val="20"/>
          <w:szCs w:val="20"/>
          <w:color w:val="auto"/>
        </w:rPr>
      </w:pPr>
    </w:p>
    <w:p>
      <w:pPr>
        <w:spacing w:after="0" w:line="208"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Approved Firm-B</w:t>
      </w:r>
      <w:r>
        <w:rPr>
          <w:rFonts w:ascii="Arial" w:cs="Arial" w:eastAsia="Arial" w:hAnsi="Arial"/>
          <w:sz w:val="20"/>
          <w:szCs w:val="20"/>
          <w:color w:val="auto"/>
        </w:rPr>
        <w:t xml:space="preserve">” means any of the Approved Firms applicable to </w:t>
      </w:r>
      <w:r>
        <w:rPr>
          <w:rFonts w:ascii="Arial" w:cs="Arial" w:eastAsia="Arial" w:hAnsi="Arial"/>
          <w:sz w:val="20"/>
          <w:szCs w:val="20"/>
          <w:u w:val="single" w:color="auto"/>
          <w:color w:val="auto"/>
        </w:rPr>
        <w:t>Section 6.6(b)</w:t>
      </w:r>
      <w:r>
        <w:rPr>
          <w:rFonts w:ascii="Arial" w:cs="Arial" w:eastAsia="Arial" w:hAnsi="Arial"/>
          <w:sz w:val="20"/>
          <w:szCs w:val="20"/>
          <w:color w:val="auto"/>
        </w:rPr>
        <w:t>.</w:t>
      </w:r>
    </w:p>
    <w:p>
      <w:pPr>
        <w:spacing w:after="0" w:line="200" w:lineRule="exact"/>
        <w:rPr>
          <w:sz w:val="20"/>
          <w:szCs w:val="20"/>
          <w:color w:val="auto"/>
        </w:rPr>
      </w:pPr>
    </w:p>
    <w:p>
      <w:pPr>
        <w:spacing w:after="0" w:line="208"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Approved Firm-C</w:t>
      </w:r>
      <w:r>
        <w:rPr>
          <w:rFonts w:ascii="Arial" w:cs="Arial" w:eastAsia="Arial" w:hAnsi="Arial"/>
          <w:sz w:val="20"/>
          <w:szCs w:val="20"/>
          <w:color w:val="auto"/>
        </w:rPr>
        <w:t xml:space="preserve">” means any of the Approved Firms applicable to </w:t>
      </w:r>
      <w:r>
        <w:rPr>
          <w:rFonts w:ascii="Arial" w:cs="Arial" w:eastAsia="Arial" w:hAnsi="Arial"/>
          <w:sz w:val="20"/>
          <w:szCs w:val="20"/>
          <w:u w:val="single" w:color="auto"/>
          <w:color w:val="auto"/>
        </w:rPr>
        <w:t>Section 2.12</w:t>
      </w:r>
      <w:r>
        <w:rPr>
          <w:rFonts w:ascii="Arial" w:cs="Arial" w:eastAsia="Arial" w:hAnsi="Arial"/>
          <w:sz w:val="20"/>
          <w:szCs w:val="20"/>
          <w:color w:val="auto"/>
        </w:rPr>
        <w:t>.</w:t>
      </w:r>
    </w:p>
    <w:p>
      <w:pPr>
        <w:spacing w:after="0" w:line="200" w:lineRule="exact"/>
        <w:rPr>
          <w:sz w:val="20"/>
          <w:szCs w:val="20"/>
          <w:color w:val="auto"/>
        </w:rPr>
      </w:pPr>
    </w:p>
    <w:p>
      <w:pPr>
        <w:spacing w:after="0" w:line="208"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Arbitration Disputes</w:t>
      </w:r>
      <w:r>
        <w:rPr>
          <w:rFonts w:ascii="Arial" w:cs="Arial" w:eastAsia="Arial" w:hAnsi="Arial"/>
          <w:sz w:val="20"/>
          <w:szCs w:val="20"/>
          <w:color w:val="auto"/>
        </w:rPr>
        <w:t xml:space="preserve">” is defined in </w:t>
      </w:r>
      <w:r>
        <w:rPr>
          <w:rFonts w:ascii="Arial" w:cs="Arial" w:eastAsia="Arial" w:hAnsi="Arial"/>
          <w:sz w:val="20"/>
          <w:szCs w:val="20"/>
          <w:u w:val="single" w:color="auto"/>
          <w:color w:val="auto"/>
        </w:rPr>
        <w:t>Section 2.12(a)</w:t>
      </w:r>
      <w:r>
        <w:rPr>
          <w:rFonts w:ascii="Arial" w:cs="Arial" w:eastAsia="Arial" w:hAnsi="Arial"/>
          <w:sz w:val="20"/>
          <w:szCs w:val="20"/>
          <w:color w:val="auto"/>
        </w:rPr>
        <w:t>.</w:t>
      </w:r>
    </w:p>
    <w:p>
      <w:pPr>
        <w:spacing w:after="0" w:line="200" w:lineRule="exact"/>
        <w:rPr>
          <w:sz w:val="20"/>
          <w:szCs w:val="20"/>
          <w:color w:val="auto"/>
        </w:rPr>
      </w:pPr>
    </w:p>
    <w:p>
      <w:pPr>
        <w:spacing w:after="0" w:line="208"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ASC 715</w:t>
      </w:r>
      <w:r>
        <w:rPr>
          <w:rFonts w:ascii="Arial" w:cs="Arial" w:eastAsia="Arial" w:hAnsi="Arial"/>
          <w:sz w:val="20"/>
          <w:szCs w:val="20"/>
          <w:color w:val="auto"/>
        </w:rPr>
        <w:t>” means Accounting Standards Codification Section 715: Compensation-Retirement Benefits.</w:t>
      </w:r>
    </w:p>
    <w:p>
      <w:pPr>
        <w:spacing w:after="0" w:line="200" w:lineRule="exact"/>
        <w:rPr>
          <w:sz w:val="20"/>
          <w:szCs w:val="20"/>
          <w:color w:val="auto"/>
        </w:rPr>
      </w:pPr>
    </w:p>
    <w:p>
      <w:pPr>
        <w:spacing w:after="0" w:line="208"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Asset Class</w:t>
      </w:r>
      <w:r>
        <w:rPr>
          <w:rFonts w:ascii="Arial" w:cs="Arial" w:eastAsia="Arial" w:hAnsi="Arial"/>
          <w:sz w:val="20"/>
          <w:szCs w:val="20"/>
          <w:color w:val="auto"/>
        </w:rPr>
        <w:t>” means each asset class identified in Section I of the Procedures Manual.</w:t>
      </w:r>
    </w:p>
    <w:p>
      <w:pPr>
        <w:spacing w:after="0" w:line="200" w:lineRule="exact"/>
        <w:rPr>
          <w:sz w:val="20"/>
          <w:szCs w:val="20"/>
          <w:color w:val="auto"/>
        </w:rPr>
      </w:pPr>
    </w:p>
    <w:p>
      <w:pPr>
        <w:spacing w:after="0" w:line="208"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ATSA</w:t>
      </w:r>
      <w:r>
        <w:rPr>
          <w:rFonts w:ascii="Arial" w:cs="Arial" w:eastAsia="Arial" w:hAnsi="Arial"/>
          <w:sz w:val="20"/>
          <w:szCs w:val="20"/>
          <w:color w:val="auto"/>
        </w:rPr>
        <w:t>” is defined in the recitals.</w:t>
      </w:r>
    </w:p>
    <w:p>
      <w:pPr>
        <w:spacing w:after="0" w:line="200" w:lineRule="exact"/>
        <w:rPr>
          <w:sz w:val="20"/>
          <w:szCs w:val="20"/>
          <w:color w:val="auto"/>
        </w:rPr>
      </w:pPr>
    </w:p>
    <w:p>
      <w:pPr>
        <w:spacing w:after="0" w:line="208" w:lineRule="exact"/>
        <w:rPr>
          <w:sz w:val="20"/>
          <w:szCs w:val="20"/>
          <w:color w:val="auto"/>
        </w:rPr>
      </w:pPr>
    </w:p>
    <w:p>
      <w:pPr>
        <w:jc w:val="both"/>
        <w:ind w:firstLine="601"/>
        <w:spacing w:after="0" w:line="27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Authorized Control Level RBC</w:t>
      </w:r>
      <w:r>
        <w:rPr>
          <w:rFonts w:ascii="Arial" w:cs="Arial" w:eastAsia="Arial" w:hAnsi="Arial"/>
          <w:sz w:val="20"/>
          <w:szCs w:val="20"/>
          <w:color w:val="auto"/>
        </w:rPr>
        <w:t>” means the denominator determined under the risk-based capital formula in accordance with the RBC instructions.</w:t>
      </w:r>
    </w:p>
    <w:p>
      <w:pPr>
        <w:spacing w:after="0" w:line="349" w:lineRule="exact"/>
        <w:rPr>
          <w:sz w:val="20"/>
          <w:szCs w:val="20"/>
          <w:color w:val="auto"/>
        </w:rPr>
      </w:pPr>
    </w:p>
    <w:p>
      <w:pPr>
        <w:ind w:left="600"/>
        <w:spacing w:after="0"/>
        <w:tabs>
          <w:tab w:leader="none" w:pos="900" w:val="left"/>
          <w:tab w:leader="none" w:pos="1540" w:val="left"/>
        </w:tabs>
        <w:rPr>
          <w:sz w:val="20"/>
          <w:szCs w:val="20"/>
          <w:color w:val="auto"/>
        </w:rPr>
      </w:pPr>
      <w:r>
        <w:rPr>
          <w:rFonts w:ascii="Arial" w:cs="Arial" w:eastAsia="Arial" w:hAnsi="Arial"/>
          <w:sz w:val="20"/>
          <w:szCs w:val="20"/>
          <w:color w:val="auto"/>
        </w:rPr>
        <w:t>[</w:t>
        <w:tab/>
        <w:t>***</w:t>
      </w:r>
      <w:r>
        <w:rPr>
          <w:sz w:val="20"/>
          <w:szCs w:val="20"/>
          <w:color w:val="auto"/>
        </w:rPr>
        <w:tab/>
      </w:r>
      <w:r>
        <w:rPr>
          <w:rFonts w:ascii="Arial" w:cs="Arial" w:eastAsia="Arial" w:hAnsi="Arial"/>
          <w:sz w:val="20"/>
          <w:szCs w:val="20"/>
          <w:color w:val="auto"/>
        </w:rPr>
        <w:t>]</w:t>
      </w:r>
    </w:p>
    <w:p>
      <w:pPr>
        <w:sectPr>
          <w:pgSz w:w="11900" w:h="16838" w:orient="portrait"/>
          <w:cols w:equalWidth="0" w:num="1">
            <w:col w:w="11420"/>
          </w:cols>
          <w:pgMar w:left="240" w:top="757" w:right="23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420"/>
          </w:cols>
          <w:pgMar w:left="240" w:top="757" w:right="239" w:bottom="1440" w:gutter="0" w:footer="0" w:header="0"/>
          <w:type w:val="continuous"/>
        </w:sectPr>
      </w:pPr>
    </w:p>
    <w:bookmarkStart w:id="14" w:name="page15"/>
    <w:bookmarkEnd w:id="14"/>
    <w:tbl>
      <w:tblPr>
        <w:tblLayout w:type="fixed"/>
        <w:tblInd w:w="0" w:type="dxa"/>
        <w:tblCellMar>
          <w:top w:w="0" w:type="dxa"/>
          <w:left w:w="0" w:type="dxa"/>
          <w:bottom w:w="0" w:type="dxa"/>
          <w:right w:w="0" w:type="dxa"/>
        </w:tblCellMar>
      </w:tblPr>
      <w:tr>
        <w:trPr>
          <w:trHeight w:val="230"/>
        </w:trPr>
        <w:tc>
          <w:tcPr>
            <w:tcW w:w="1540" w:type="dxa"/>
            <w:vAlign w:val="bottom"/>
          </w:tcPr>
          <w:p>
            <w:pPr>
              <w:ind w:left="600"/>
              <w:spacing w:after="0"/>
              <w:rPr>
                <w:sz w:val="20"/>
                <w:szCs w:val="20"/>
                <w:color w:val="auto"/>
              </w:rPr>
            </w:pPr>
            <w:r>
              <w:rPr>
                <w:rFonts w:ascii="Arial" w:cs="Arial" w:eastAsia="Arial" w:hAnsi="Arial"/>
                <w:sz w:val="20"/>
                <w:szCs w:val="20"/>
                <w:color w:val="auto"/>
              </w:rPr>
              <w:t>“[   ***</w:t>
            </w:r>
          </w:p>
        </w:tc>
        <w:tc>
          <w:tcPr>
            <w:tcW w:w="9880" w:type="dxa"/>
            <w:vAlign w:val="bottom"/>
            <w:gridSpan w:val="4"/>
          </w:tcPr>
          <w:p>
            <w:pPr>
              <w:ind w:left="200"/>
              <w:spacing w:after="0"/>
              <w:rPr>
                <w:sz w:val="20"/>
                <w:szCs w:val="20"/>
                <w:color w:val="auto"/>
              </w:rPr>
            </w:pPr>
            <w:r>
              <w:rPr>
                <w:rFonts w:ascii="Arial" w:cs="Arial" w:eastAsia="Arial" w:hAnsi="Arial"/>
                <w:sz w:val="20"/>
                <w:szCs w:val="20"/>
                <w:color w:val="auto"/>
                <w:w w:val="90"/>
              </w:rPr>
              <w:t>] Transfer Documentation” means the assignment and assumption agreement(s) or similar transfer documents necessary</w:t>
            </w:r>
          </w:p>
        </w:tc>
      </w:tr>
      <w:tr>
        <w:trPr>
          <w:trHeight w:val="20"/>
        </w:trPr>
        <w:tc>
          <w:tcPr>
            <w:tcW w:w="1800" w:type="dxa"/>
            <w:vAlign w:val="bottom"/>
            <w:gridSpan w:val="2"/>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r>
      <w:tr>
        <w:trPr>
          <w:trHeight w:val="265"/>
        </w:trPr>
        <w:tc>
          <w:tcPr>
            <w:tcW w:w="2880" w:type="dxa"/>
            <w:vAlign w:val="bottom"/>
            <w:gridSpan w:val="3"/>
          </w:tcPr>
          <w:p>
            <w:pPr>
              <w:spacing w:after="0"/>
              <w:rPr>
                <w:sz w:val="20"/>
                <w:szCs w:val="20"/>
                <w:color w:val="auto"/>
              </w:rPr>
            </w:pPr>
            <w:r>
              <w:rPr>
                <w:rFonts w:ascii="Arial" w:cs="Arial" w:eastAsia="Arial" w:hAnsi="Arial"/>
                <w:sz w:val="20"/>
                <w:szCs w:val="20"/>
                <w:color w:val="auto"/>
              </w:rPr>
              <w:t>to permit the transfer of a [   ***</w:t>
            </w:r>
          </w:p>
        </w:tc>
        <w:tc>
          <w:tcPr>
            <w:tcW w:w="8540" w:type="dxa"/>
            <w:vAlign w:val="bottom"/>
            <w:gridSpan w:val="2"/>
          </w:tcPr>
          <w:p>
            <w:pPr>
              <w:ind w:left="180"/>
              <w:spacing w:after="0"/>
              <w:rPr>
                <w:sz w:val="20"/>
                <w:szCs w:val="20"/>
                <w:color w:val="auto"/>
              </w:rPr>
            </w:pPr>
            <w:r>
              <w:rPr>
                <w:rFonts w:ascii="Arial" w:cs="Arial" w:eastAsia="Arial" w:hAnsi="Arial"/>
                <w:sz w:val="20"/>
                <w:szCs w:val="20"/>
                <w:color w:val="auto"/>
              </w:rPr>
              <w:t>] to the Insurer.</w:t>
            </w:r>
          </w:p>
        </w:tc>
      </w:tr>
    </w:tbl>
    <w:p>
      <w:pPr>
        <w:spacing w:after="0" w:line="382"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Base Annuity Premium</w:t>
      </w:r>
      <w:r>
        <w:rPr>
          <w:rFonts w:ascii="Arial" w:cs="Arial" w:eastAsia="Arial" w:hAnsi="Arial"/>
          <w:sz w:val="20"/>
          <w:szCs w:val="20"/>
          <w:color w:val="auto"/>
        </w:rPr>
        <w:t>” means the sum of the Non-Solicited Annuity Premium and the Solicited Annuity Premium.</w:t>
      </w:r>
    </w:p>
    <w:p>
      <w:pPr>
        <w:spacing w:after="0" w:line="200" w:lineRule="exact"/>
        <w:rPr>
          <w:sz w:val="20"/>
          <w:szCs w:val="20"/>
          <w:color w:val="auto"/>
        </w:rPr>
      </w:pPr>
    </w:p>
    <w:p>
      <w:pPr>
        <w:spacing w:after="0" w:line="208"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Beneficiary</w:t>
      </w:r>
      <w:r>
        <w:rPr>
          <w:rFonts w:ascii="Arial" w:cs="Arial" w:eastAsia="Arial" w:hAnsi="Arial"/>
          <w:sz w:val="20"/>
          <w:szCs w:val="20"/>
          <w:color w:val="auto"/>
        </w:rPr>
        <w:t>” has the meaning ascribed to such term in the Group Annuity Contract.</w:t>
      </w:r>
    </w:p>
    <w:p>
      <w:pPr>
        <w:spacing w:after="0" w:line="200" w:lineRule="exact"/>
        <w:rPr>
          <w:sz w:val="20"/>
          <w:szCs w:val="20"/>
          <w:color w:val="auto"/>
        </w:rPr>
      </w:pPr>
    </w:p>
    <w:p>
      <w:pPr>
        <w:spacing w:after="0" w:line="208" w:lineRule="exact"/>
        <w:rPr>
          <w:sz w:val="20"/>
          <w:szCs w:val="20"/>
          <w:color w:val="auto"/>
        </w:rPr>
      </w:pPr>
    </w:p>
    <w:p>
      <w:pPr>
        <w:jc w:val="both"/>
        <w:ind w:firstLine="601"/>
        <w:spacing w:after="0" w:line="30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Benefit Amount Correction</w:t>
      </w:r>
      <w:r>
        <w:rPr>
          <w:rFonts w:ascii="Arial" w:cs="Arial" w:eastAsia="Arial" w:hAnsi="Arial"/>
          <w:sz w:val="18"/>
          <w:szCs w:val="18"/>
          <w:color w:val="auto"/>
        </w:rPr>
        <w:t>” means the adjustment to the Dry-Run Post-Solicitation Premiums, the Preliminary Post-Solicitation Premium, the Interim Post-Closing Post-Solicitation Premium or the Post-Closing Post-Solicitation Premium, as applicable, as calculated in accordance with the methodology and procedures set forth in Section B of the Procedures Manual, as a result of a Benefit Amount Increase.</w:t>
      </w:r>
    </w:p>
    <w:p>
      <w:pPr>
        <w:spacing w:after="0" w:line="327" w:lineRule="exact"/>
        <w:rPr>
          <w:sz w:val="20"/>
          <w:szCs w:val="20"/>
          <w:color w:val="auto"/>
        </w:rPr>
      </w:pPr>
    </w:p>
    <w:p>
      <w:pPr>
        <w:jc w:val="both"/>
        <w:ind w:firstLine="601"/>
        <w:spacing w:after="0" w:line="27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Benefit Amount Increase</w:t>
      </w:r>
      <w:r>
        <w:rPr>
          <w:rFonts w:ascii="Arial" w:cs="Arial" w:eastAsia="Arial" w:hAnsi="Arial"/>
          <w:sz w:val="20"/>
          <w:szCs w:val="20"/>
          <w:color w:val="auto"/>
        </w:rPr>
        <w:t>” means a data error that reflects an increase in the total monthly benefit under the Plan for any Priced Life, and only with respect to such Priced Life.</w:t>
      </w:r>
    </w:p>
    <w:p>
      <w:pPr>
        <w:spacing w:after="0" w:line="349"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Bill of Sale</w:t>
      </w:r>
      <w:r>
        <w:rPr>
          <w:rFonts w:ascii="Arial" w:cs="Arial" w:eastAsia="Arial" w:hAnsi="Arial"/>
          <w:sz w:val="20"/>
          <w:szCs w:val="20"/>
          <w:color w:val="auto"/>
        </w:rPr>
        <w:t xml:space="preserve">” is defined in </w:t>
      </w:r>
      <w:r>
        <w:rPr>
          <w:rFonts w:ascii="Arial" w:cs="Arial" w:eastAsia="Arial" w:hAnsi="Arial"/>
          <w:sz w:val="20"/>
          <w:szCs w:val="20"/>
          <w:u w:val="single" w:color="auto"/>
          <w:color w:val="auto"/>
        </w:rPr>
        <w:t>Appendix 2.1-B</w:t>
      </w:r>
      <w:r>
        <w:rPr>
          <w:rFonts w:ascii="Arial" w:cs="Arial" w:eastAsia="Arial" w:hAnsi="Arial"/>
          <w:sz w:val="20"/>
          <w:szCs w:val="20"/>
          <w:color w:val="auto"/>
        </w:rPr>
        <w:t>.</w:t>
      </w:r>
    </w:p>
    <w:p>
      <w:pPr>
        <w:spacing w:after="0" w:line="200" w:lineRule="exact"/>
        <w:rPr>
          <w:sz w:val="20"/>
          <w:szCs w:val="20"/>
          <w:color w:val="auto"/>
        </w:rPr>
      </w:pPr>
    </w:p>
    <w:p>
      <w:pPr>
        <w:spacing w:after="0" w:line="208" w:lineRule="exact"/>
        <w:rPr>
          <w:sz w:val="20"/>
          <w:szCs w:val="20"/>
          <w:color w:val="auto"/>
        </w:rPr>
      </w:pPr>
    </w:p>
    <w:p>
      <w:pPr>
        <w:jc w:val="both"/>
        <w:ind w:firstLine="601"/>
        <w:spacing w:after="0" w:line="261"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Broker-Quote</w:t>
      </w:r>
      <w:r>
        <w:rPr>
          <w:rFonts w:ascii="Arial" w:cs="Arial" w:eastAsia="Arial" w:hAnsi="Arial"/>
          <w:sz w:val="20"/>
          <w:szCs w:val="20"/>
          <w:color w:val="auto"/>
        </w:rPr>
        <w:t xml:space="preserve"> [ *** ]” means each [ *** ] which, as of the close of business on the second Business Day preceding the Target Closing Date, neither Reuters/LPC nor Markit Group is available as of such date or no fair market value is indicated by any such source as of such date.</w:t>
      </w:r>
    </w:p>
    <w:p>
      <w:pPr>
        <w:spacing w:after="0" w:line="364" w:lineRule="exact"/>
        <w:rPr>
          <w:sz w:val="20"/>
          <w:szCs w:val="20"/>
          <w:color w:val="auto"/>
        </w:rPr>
      </w:pPr>
    </w:p>
    <w:p>
      <w:pPr>
        <w:jc w:val="both"/>
        <w:ind w:firstLine="601"/>
        <w:spacing w:after="0" w:line="28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Broker-Quote Public Bond</w:t>
      </w:r>
      <w:r>
        <w:rPr>
          <w:rFonts w:ascii="Arial" w:cs="Arial" w:eastAsia="Arial" w:hAnsi="Arial"/>
          <w:sz w:val="19"/>
          <w:szCs w:val="19"/>
          <w:color w:val="auto"/>
        </w:rPr>
        <w:t xml:space="preserve">” means each Public Bond for which, as of the close of business on the second Business Day preceding the Target Closing Date, none of the primary pricing source, secondary pricing source or tertiary pricing source (if any) set forth in Table 1 on </w:t>
      </w:r>
      <w:r>
        <w:rPr>
          <w:rFonts w:ascii="Arial" w:cs="Arial" w:eastAsia="Arial" w:hAnsi="Arial"/>
          <w:sz w:val="19"/>
          <w:szCs w:val="19"/>
          <w:u w:val="single" w:color="auto"/>
          <w:color w:val="auto"/>
        </w:rPr>
        <w:t>Appendix 2.6</w:t>
      </w:r>
      <w:r>
        <w:rPr>
          <w:rFonts w:ascii="Arial" w:cs="Arial" w:eastAsia="Arial" w:hAnsi="Arial"/>
          <w:sz w:val="19"/>
          <w:szCs w:val="19"/>
          <w:color w:val="auto"/>
        </w:rPr>
        <w:t xml:space="preserve"> is available as of such date or no fair market value is indicated by any such source as of such date.</w:t>
      </w:r>
    </w:p>
    <w:p>
      <w:pPr>
        <w:spacing w:after="0" w:line="344" w:lineRule="exact"/>
        <w:rPr>
          <w:sz w:val="20"/>
          <w:szCs w:val="20"/>
          <w:color w:val="auto"/>
        </w:rPr>
      </w:pPr>
    </w:p>
    <w:p>
      <w:pPr>
        <w:jc w:val="both"/>
        <w:ind w:firstLine="601"/>
        <w:spacing w:after="0" w:line="27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Business Day</w:t>
      </w:r>
      <w:r>
        <w:rPr>
          <w:rFonts w:ascii="Arial" w:cs="Arial" w:eastAsia="Arial" w:hAnsi="Arial"/>
          <w:sz w:val="20"/>
          <w:szCs w:val="20"/>
          <w:color w:val="auto"/>
        </w:rPr>
        <w:t>” means any day other than a Saturday, a Sunday or a day on which banks located in New York, New York are authorized or required by Law to close.</w:t>
      </w:r>
    </w:p>
    <w:p>
      <w:pPr>
        <w:spacing w:after="0" w:line="349"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Calculating Party</w:t>
      </w:r>
      <w:r>
        <w:rPr>
          <w:rFonts w:ascii="Arial" w:cs="Arial" w:eastAsia="Arial" w:hAnsi="Arial"/>
          <w:sz w:val="20"/>
          <w:szCs w:val="20"/>
          <w:color w:val="auto"/>
        </w:rPr>
        <w:t xml:space="preserve">” is defined in </w:t>
      </w:r>
      <w:r>
        <w:rPr>
          <w:rFonts w:ascii="Arial" w:cs="Arial" w:eastAsia="Arial" w:hAnsi="Arial"/>
          <w:sz w:val="20"/>
          <w:szCs w:val="20"/>
          <w:u w:val="single" w:color="auto"/>
          <w:color w:val="auto"/>
        </w:rPr>
        <w:t>Section 6.6(c)</w:t>
      </w:r>
      <w:r>
        <w:rPr>
          <w:rFonts w:ascii="Arial" w:cs="Arial" w:eastAsia="Arial" w:hAnsi="Arial"/>
          <w:sz w:val="20"/>
          <w:szCs w:val="20"/>
          <w:color w:val="auto"/>
        </w:rPr>
        <w:t>.</w:t>
      </w:r>
    </w:p>
    <w:p>
      <w:pPr>
        <w:spacing w:after="0" w:line="200" w:lineRule="exact"/>
        <w:rPr>
          <w:sz w:val="20"/>
          <w:szCs w:val="20"/>
          <w:color w:val="auto"/>
        </w:rPr>
      </w:pPr>
    </w:p>
    <w:p>
      <w:pPr>
        <w:spacing w:after="0" w:line="208" w:lineRule="exact"/>
        <w:rPr>
          <w:sz w:val="20"/>
          <w:szCs w:val="20"/>
          <w:color w:val="auto"/>
        </w:rPr>
      </w:pPr>
    </w:p>
    <w:p>
      <w:pPr>
        <w:jc w:val="both"/>
        <w:ind w:firstLine="601"/>
        <w:spacing w:after="0" w:line="261"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Cash</w:t>
      </w:r>
      <w:r>
        <w:rPr>
          <w:rFonts w:ascii="Arial" w:cs="Arial" w:eastAsia="Arial" w:hAnsi="Arial"/>
          <w:sz w:val="20"/>
          <w:szCs w:val="20"/>
          <w:color w:val="auto"/>
        </w:rPr>
        <w:t>” means (</w:t>
      </w:r>
      <w:r>
        <w:rPr>
          <w:rFonts w:ascii="Arial" w:cs="Arial" w:eastAsia="Arial" w:hAnsi="Arial"/>
          <w:sz w:val="20"/>
          <w:szCs w:val="20"/>
          <w:u w:val="single" w:color="auto"/>
          <w:color w:val="auto"/>
        </w:rPr>
        <w:t>a</w:t>
      </w:r>
      <w:r>
        <w:rPr>
          <w:rFonts w:ascii="Arial" w:cs="Arial" w:eastAsia="Arial" w:hAnsi="Arial"/>
          <w:sz w:val="20"/>
          <w:szCs w:val="20"/>
          <w:color w:val="auto"/>
        </w:rPr>
        <w:t>) currency of the United States of America or wire transfers thereof that is legal tender for payment of all public and private debts and (</w:t>
      </w:r>
      <w:r>
        <w:rPr>
          <w:rFonts w:ascii="Arial" w:cs="Arial" w:eastAsia="Arial" w:hAnsi="Arial"/>
          <w:sz w:val="20"/>
          <w:szCs w:val="20"/>
          <w:u w:val="single" w:color="auto"/>
          <w:color w:val="auto"/>
        </w:rPr>
        <w:t>b</w:t>
      </w:r>
      <w:r>
        <w:rPr>
          <w:rFonts w:ascii="Arial" w:cs="Arial" w:eastAsia="Arial" w:hAnsi="Arial"/>
          <w:sz w:val="20"/>
          <w:szCs w:val="20"/>
          <w:color w:val="auto"/>
        </w:rPr>
        <w:t>) marketable direct obligations issued or unconditionally guaranteed by the United States of America, or issued by any agency thereof, maturing within one year from the date of acquisition thereof.</w:t>
      </w:r>
    </w:p>
    <w:p>
      <w:pPr>
        <w:spacing w:after="0" w:line="364"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Cash Closing Payment</w:t>
      </w:r>
      <w:r>
        <w:rPr>
          <w:rFonts w:ascii="Arial" w:cs="Arial" w:eastAsia="Arial" w:hAnsi="Arial"/>
          <w:sz w:val="20"/>
          <w:szCs w:val="20"/>
          <w:color w:val="auto"/>
        </w:rPr>
        <w:t xml:space="preserve">” is defined in </w:t>
      </w:r>
      <w:r>
        <w:rPr>
          <w:rFonts w:ascii="Arial" w:cs="Arial" w:eastAsia="Arial" w:hAnsi="Arial"/>
          <w:sz w:val="20"/>
          <w:szCs w:val="20"/>
          <w:u w:val="single" w:color="auto"/>
          <w:color w:val="auto"/>
        </w:rPr>
        <w:t>Section 2.1(a)</w:t>
      </w:r>
      <w:r>
        <w:rPr>
          <w:rFonts w:ascii="Arial" w:cs="Arial" w:eastAsia="Arial" w:hAnsi="Arial"/>
          <w:sz w:val="20"/>
          <w:szCs w:val="20"/>
          <w:color w:val="auto"/>
        </w:rPr>
        <w:t>.</w:t>
      </w:r>
    </w:p>
    <w:p>
      <w:pPr>
        <w:spacing w:after="0" w:line="200" w:lineRule="exact"/>
        <w:rPr>
          <w:sz w:val="20"/>
          <w:szCs w:val="20"/>
          <w:color w:val="auto"/>
        </w:rPr>
      </w:pPr>
    </w:p>
    <w:p>
      <w:pPr>
        <w:spacing w:after="0" w:line="208" w:lineRule="exact"/>
        <w:rPr>
          <w:sz w:val="20"/>
          <w:szCs w:val="20"/>
          <w:color w:val="auto"/>
        </w:rPr>
      </w:pPr>
    </w:p>
    <w:p>
      <w:pPr>
        <w:jc w:val="both"/>
        <w:ind w:firstLine="601"/>
        <w:spacing w:after="0" w:line="25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Classification Error</w:t>
      </w:r>
      <w:r>
        <w:rPr>
          <w:rFonts w:ascii="Arial" w:cs="Arial" w:eastAsia="Arial" w:hAnsi="Arial"/>
          <w:sz w:val="20"/>
          <w:szCs w:val="20"/>
          <w:color w:val="auto"/>
        </w:rPr>
        <w:t xml:space="preserve">” means as to Signing Classification Errors, an incorrect classification of a Priced Life or a Priced Life's benefits as to be solicited or to be non-solicited, and as to Additional Classification Errors, sending a Lump-Sum Solicitation to a Priced Life, in respect of such Priced Life's benefits, referenced in </w:t>
      </w:r>
      <w:r>
        <w:rPr>
          <w:rFonts w:ascii="Arial" w:cs="Arial" w:eastAsia="Arial" w:hAnsi="Arial"/>
          <w:sz w:val="20"/>
          <w:szCs w:val="20"/>
          <w:u w:val="single" w:color="auto"/>
          <w:color w:val="auto"/>
        </w:rPr>
        <w:t>Appendix 1.2</w:t>
      </w:r>
      <w:r>
        <w:rPr>
          <w:rFonts w:ascii="Arial" w:cs="Arial" w:eastAsia="Arial" w:hAnsi="Arial"/>
          <w:sz w:val="20"/>
          <w:szCs w:val="20"/>
          <w:color w:val="auto"/>
        </w:rPr>
        <w:t xml:space="preserve"> as a Non-Solicited Life, or not sending a Lump-Sum Solicitation to a Priced Life, in respect of such Priced Life's benefits, referenced in </w:t>
      </w:r>
      <w:r>
        <w:rPr>
          <w:rFonts w:ascii="Arial" w:cs="Arial" w:eastAsia="Arial" w:hAnsi="Arial"/>
          <w:sz w:val="20"/>
          <w:szCs w:val="20"/>
          <w:u w:val="single" w:color="auto"/>
          <w:color w:val="auto"/>
        </w:rPr>
        <w:t>Appendix 1.2</w:t>
      </w:r>
      <w:r>
        <w:rPr>
          <w:rFonts w:ascii="Arial" w:cs="Arial" w:eastAsia="Arial" w:hAnsi="Arial"/>
          <w:sz w:val="20"/>
          <w:szCs w:val="20"/>
          <w:color w:val="auto"/>
        </w:rPr>
        <w:t xml:space="preserve"> as a Solicited Life.</w:t>
      </w:r>
    </w:p>
    <w:p>
      <w:pPr>
        <w:spacing w:after="0" w:line="367"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Closing Asset Transfers</w:t>
      </w:r>
      <w:r>
        <w:rPr>
          <w:rFonts w:ascii="Arial" w:cs="Arial" w:eastAsia="Arial" w:hAnsi="Arial"/>
          <w:sz w:val="20"/>
          <w:szCs w:val="20"/>
          <w:color w:val="auto"/>
        </w:rPr>
        <w:t xml:space="preserve">” is defined in </w:t>
      </w:r>
      <w:r>
        <w:rPr>
          <w:rFonts w:ascii="Arial" w:cs="Arial" w:eastAsia="Arial" w:hAnsi="Arial"/>
          <w:sz w:val="20"/>
          <w:szCs w:val="20"/>
          <w:u w:val="single" w:color="auto"/>
          <w:color w:val="auto"/>
        </w:rPr>
        <w:t>Section 2.1(a)</w:t>
      </w:r>
      <w:r>
        <w:rPr>
          <w:rFonts w:ascii="Arial" w:cs="Arial" w:eastAsia="Arial" w:hAnsi="Arial"/>
          <w:sz w:val="20"/>
          <w:szCs w:val="20"/>
          <w:color w:val="auto"/>
        </w:rPr>
        <w:t>.</w:t>
      </w:r>
    </w:p>
    <w:p>
      <w:pPr>
        <w:spacing w:after="0" w:line="200" w:lineRule="exact"/>
        <w:rPr>
          <w:sz w:val="20"/>
          <w:szCs w:val="20"/>
          <w:color w:val="auto"/>
        </w:rPr>
      </w:pPr>
    </w:p>
    <w:p>
      <w:pPr>
        <w:spacing w:after="0" w:line="208"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Closing Asset Valuation</w:t>
      </w:r>
      <w:r>
        <w:rPr>
          <w:rFonts w:ascii="Arial" w:cs="Arial" w:eastAsia="Arial" w:hAnsi="Arial"/>
          <w:sz w:val="20"/>
          <w:szCs w:val="20"/>
          <w:color w:val="auto"/>
        </w:rPr>
        <w:t xml:space="preserve">” is defined in </w:t>
      </w:r>
      <w:r>
        <w:rPr>
          <w:rFonts w:ascii="Arial" w:cs="Arial" w:eastAsia="Arial" w:hAnsi="Arial"/>
          <w:sz w:val="20"/>
          <w:szCs w:val="20"/>
          <w:u w:val="single" w:color="auto"/>
          <w:color w:val="auto"/>
        </w:rPr>
        <w:t>Section 2.11(a)</w:t>
      </w:r>
      <w:r>
        <w:rPr>
          <w:rFonts w:ascii="Arial" w:cs="Arial" w:eastAsia="Arial" w:hAnsi="Arial"/>
          <w:sz w:val="20"/>
          <w:szCs w:val="20"/>
          <w:color w:val="auto"/>
        </w:rPr>
        <w:t>.</w:t>
      </w:r>
    </w:p>
    <w:p>
      <w:pPr>
        <w:spacing w:after="0" w:line="200" w:lineRule="exact"/>
        <w:rPr>
          <w:sz w:val="20"/>
          <w:szCs w:val="20"/>
          <w:color w:val="auto"/>
        </w:rPr>
      </w:pPr>
    </w:p>
    <w:p>
      <w:pPr>
        <w:spacing w:after="0" w:line="208"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Closing Broker-Quote Valuations</w:t>
      </w:r>
      <w:r>
        <w:rPr>
          <w:rFonts w:ascii="Arial" w:cs="Arial" w:eastAsia="Arial" w:hAnsi="Arial"/>
          <w:sz w:val="20"/>
          <w:szCs w:val="20"/>
          <w:color w:val="auto"/>
        </w:rPr>
        <w:t xml:space="preserve">” is defined in </w:t>
      </w:r>
      <w:r>
        <w:rPr>
          <w:rFonts w:ascii="Arial" w:cs="Arial" w:eastAsia="Arial" w:hAnsi="Arial"/>
          <w:sz w:val="20"/>
          <w:szCs w:val="20"/>
          <w:u w:val="single" w:color="auto"/>
          <w:color w:val="auto"/>
        </w:rPr>
        <w:t>Section 2.10(a)</w:t>
      </w:r>
      <w:r>
        <w:rPr>
          <w:rFonts w:ascii="Arial" w:cs="Arial" w:eastAsia="Arial" w:hAnsi="Arial"/>
          <w:sz w:val="20"/>
          <w:szCs w:val="20"/>
          <w:color w:val="auto"/>
        </w:rPr>
        <w:t>.</w:t>
      </w:r>
    </w:p>
    <w:p>
      <w:pPr>
        <w:sectPr>
          <w:pgSz w:w="11900" w:h="16838" w:orient="portrait"/>
          <w:cols w:equalWidth="0" w:num="1">
            <w:col w:w="11420"/>
          </w:cols>
          <w:pgMar w:left="240" w:top="736" w:right="23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420"/>
          </w:cols>
          <w:pgMar w:left="240" w:top="736" w:right="239" w:bottom="1440" w:gutter="0" w:footer="0" w:header="0"/>
          <w:type w:val="continuous"/>
        </w:sectPr>
      </w:pPr>
    </w:p>
    <w:bookmarkStart w:id="15" w:name="page16"/>
    <w:bookmarkEnd w:id="15"/>
    <w:p>
      <w:pPr>
        <w:jc w:val="both"/>
        <w:ind w:firstLine="601"/>
        <w:spacing w:after="0" w:line="25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Closing CMA Adjustment</w:t>
      </w:r>
      <w:r>
        <w:rPr>
          <w:rFonts w:ascii="Arial" w:cs="Arial" w:eastAsia="Arial" w:hAnsi="Arial"/>
          <w:sz w:val="20"/>
          <w:szCs w:val="20"/>
          <w:color w:val="auto"/>
        </w:rPr>
        <w:t>” means the adjustment applied to the Closing Final Premium, the Interim Post-Closing Final Premium and the Post-Closing Final Premium with respect to the period from the DTFA Pricing Date through the close of business on the last Business Day prior to the Closing Date, stated as a percentage and calculated in accordance with the methodology and procedures set forth in Section F of the Procedures Manual.</w:t>
      </w:r>
    </w:p>
    <w:p>
      <w:pPr>
        <w:spacing w:after="0" w:line="367"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Closing</w:t>
      </w:r>
      <w:r>
        <w:rPr>
          <w:rFonts w:ascii="Arial" w:cs="Arial" w:eastAsia="Arial" w:hAnsi="Arial"/>
          <w:sz w:val="20"/>
          <w:szCs w:val="20"/>
          <w:color w:val="auto"/>
        </w:rPr>
        <w:t xml:space="preserve">” is defined in </w:t>
      </w:r>
      <w:r>
        <w:rPr>
          <w:rFonts w:ascii="Arial" w:cs="Arial" w:eastAsia="Arial" w:hAnsi="Arial"/>
          <w:sz w:val="20"/>
          <w:szCs w:val="20"/>
          <w:u w:val="single" w:color="auto"/>
          <w:color w:val="auto"/>
        </w:rPr>
        <w:t>Section 2.1(b)</w:t>
      </w:r>
      <w:r>
        <w:rPr>
          <w:rFonts w:ascii="Arial" w:cs="Arial" w:eastAsia="Arial" w:hAnsi="Arial"/>
          <w:sz w:val="20"/>
          <w:szCs w:val="20"/>
          <w:color w:val="auto"/>
        </w:rPr>
        <w:t>.</w:t>
      </w:r>
    </w:p>
    <w:p>
      <w:pPr>
        <w:spacing w:after="0" w:line="200" w:lineRule="exact"/>
        <w:rPr>
          <w:sz w:val="20"/>
          <w:szCs w:val="20"/>
          <w:color w:val="auto"/>
        </w:rPr>
      </w:pPr>
    </w:p>
    <w:p>
      <w:pPr>
        <w:spacing w:after="0" w:line="208"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Closing Date</w:t>
      </w:r>
      <w:r>
        <w:rPr>
          <w:rFonts w:ascii="Arial" w:cs="Arial" w:eastAsia="Arial" w:hAnsi="Arial"/>
          <w:sz w:val="20"/>
          <w:szCs w:val="20"/>
          <w:color w:val="auto"/>
        </w:rPr>
        <w:t xml:space="preserve">” is defined in </w:t>
      </w:r>
      <w:r>
        <w:rPr>
          <w:rFonts w:ascii="Arial" w:cs="Arial" w:eastAsia="Arial" w:hAnsi="Arial"/>
          <w:sz w:val="20"/>
          <w:szCs w:val="20"/>
          <w:u w:val="single" w:color="auto"/>
          <w:color w:val="auto"/>
        </w:rPr>
        <w:t>Section 2.1(b)</w:t>
      </w:r>
      <w:r>
        <w:rPr>
          <w:rFonts w:ascii="Arial" w:cs="Arial" w:eastAsia="Arial" w:hAnsi="Arial"/>
          <w:sz w:val="20"/>
          <w:szCs w:val="20"/>
          <w:color w:val="auto"/>
        </w:rPr>
        <w:t>.</w:t>
      </w:r>
    </w:p>
    <w:p>
      <w:pPr>
        <w:spacing w:after="0" w:line="200" w:lineRule="exact"/>
        <w:rPr>
          <w:sz w:val="20"/>
          <w:szCs w:val="20"/>
          <w:color w:val="auto"/>
        </w:rPr>
      </w:pPr>
    </w:p>
    <w:p>
      <w:pPr>
        <w:spacing w:after="0" w:line="208" w:lineRule="exact"/>
        <w:rPr>
          <w:sz w:val="20"/>
          <w:szCs w:val="20"/>
          <w:color w:val="auto"/>
        </w:rPr>
      </w:pPr>
    </w:p>
    <w:p>
      <w:pPr>
        <w:jc w:val="both"/>
        <w:ind w:firstLine="601"/>
        <w:spacing w:after="0" w:line="261"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Closing Date Adjustment</w:t>
      </w:r>
      <w:r>
        <w:rPr>
          <w:rFonts w:ascii="Arial" w:cs="Arial" w:eastAsia="Arial" w:hAnsi="Arial"/>
          <w:sz w:val="20"/>
          <w:szCs w:val="20"/>
          <w:color w:val="auto"/>
        </w:rPr>
        <w:t>” means the adjustment applied to the Closing Final Premium, the Interim Post-Closing Final Premium and the Post-Closing Final Premium, stated as a percentage and calculated in accordance with the methodology and procedures set forth in Section E of the Procedures Manual.</w:t>
      </w:r>
    </w:p>
    <w:p>
      <w:pPr>
        <w:spacing w:after="0" w:line="364"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Closing Final Premium</w:t>
      </w:r>
      <w:r>
        <w:rPr>
          <w:rFonts w:ascii="Arial" w:cs="Arial" w:eastAsia="Arial" w:hAnsi="Arial"/>
          <w:sz w:val="20"/>
          <w:szCs w:val="20"/>
          <w:color w:val="auto"/>
        </w:rPr>
        <w:t xml:space="preserve">” is defined in </w:t>
      </w:r>
      <w:r>
        <w:rPr>
          <w:rFonts w:ascii="Arial" w:cs="Arial" w:eastAsia="Arial" w:hAnsi="Arial"/>
          <w:sz w:val="20"/>
          <w:szCs w:val="20"/>
          <w:u w:val="single" w:color="auto"/>
          <w:color w:val="auto"/>
        </w:rPr>
        <w:t>Section 2.9(c)</w:t>
      </w:r>
      <w:r>
        <w:rPr>
          <w:rFonts w:ascii="Arial" w:cs="Arial" w:eastAsia="Arial" w:hAnsi="Arial"/>
          <w:sz w:val="20"/>
          <w:szCs w:val="20"/>
          <w:color w:val="auto"/>
        </w:rPr>
        <w:t>.</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40" w:type="dxa"/>
            <w:vAlign w:val="bottom"/>
            <w:gridSpan w:val="3"/>
          </w:tcPr>
          <w:p>
            <w:pPr>
              <w:ind w:left="600"/>
              <w:spacing w:after="0"/>
              <w:rPr>
                <w:sz w:val="20"/>
                <w:szCs w:val="20"/>
                <w:color w:val="auto"/>
              </w:rPr>
            </w:pPr>
            <w:r>
              <w:rPr>
                <w:rFonts w:ascii="Arial" w:cs="Arial" w:eastAsia="Arial" w:hAnsi="Arial"/>
                <w:sz w:val="20"/>
                <w:szCs w:val="20"/>
                <w:color w:val="auto"/>
              </w:rPr>
              <w:t>“Closing [    ***</w:t>
            </w:r>
          </w:p>
        </w:tc>
        <w:tc>
          <w:tcPr>
            <w:tcW w:w="9180" w:type="dxa"/>
            <w:vAlign w:val="bottom"/>
            <w:gridSpan w:val="4"/>
          </w:tcPr>
          <w:p>
            <w:pPr>
              <w:jc w:val="right"/>
              <w:spacing w:after="0"/>
              <w:rPr>
                <w:sz w:val="20"/>
                <w:szCs w:val="20"/>
                <w:color w:val="auto"/>
              </w:rPr>
            </w:pPr>
            <w:r>
              <w:rPr>
                <w:rFonts w:ascii="Arial" w:cs="Arial" w:eastAsia="Arial" w:hAnsi="Arial"/>
                <w:sz w:val="20"/>
                <w:szCs w:val="20"/>
                <w:color w:val="auto"/>
                <w:w w:val="96"/>
              </w:rPr>
              <w:t>] Adjustment” means the total dollar price adjustment to the Closing Final Premium, the Interim Post-Closing</w:t>
            </w:r>
          </w:p>
        </w:tc>
      </w:tr>
      <w:tr>
        <w:trPr>
          <w:trHeight w:val="20"/>
        </w:trPr>
        <w:tc>
          <w:tcPr>
            <w:tcW w:w="6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r>
      <w:tr>
        <w:trPr>
          <w:trHeight w:val="265"/>
        </w:trPr>
        <w:tc>
          <w:tcPr>
            <w:tcW w:w="5980" w:type="dxa"/>
            <w:vAlign w:val="bottom"/>
            <w:gridSpan w:val="6"/>
          </w:tcPr>
          <w:p>
            <w:pPr>
              <w:spacing w:after="0"/>
              <w:rPr>
                <w:sz w:val="20"/>
                <w:szCs w:val="20"/>
                <w:color w:val="auto"/>
              </w:rPr>
            </w:pPr>
            <w:r>
              <w:rPr>
                <w:rFonts w:ascii="Arial" w:cs="Arial" w:eastAsia="Arial" w:hAnsi="Arial"/>
                <w:sz w:val="20"/>
                <w:szCs w:val="20"/>
                <w:color w:val="auto"/>
                <w:w w:val="99"/>
              </w:rPr>
              <w:t>Final Premium and the Post-Closing Final Premium relating to [   ***</w:t>
            </w:r>
          </w:p>
        </w:tc>
        <w:tc>
          <w:tcPr>
            <w:tcW w:w="5440" w:type="dxa"/>
            <w:vAlign w:val="bottom"/>
          </w:tcPr>
          <w:p>
            <w:pPr>
              <w:jc w:val="right"/>
              <w:spacing w:after="0"/>
              <w:rPr>
                <w:sz w:val="20"/>
                <w:szCs w:val="20"/>
                <w:color w:val="auto"/>
              </w:rPr>
            </w:pPr>
            <w:r>
              <w:rPr>
                <w:rFonts w:ascii="Arial" w:cs="Arial" w:eastAsia="Arial" w:hAnsi="Arial"/>
                <w:sz w:val="20"/>
                <w:szCs w:val="20"/>
                <w:color w:val="auto"/>
                <w:w w:val="94"/>
              </w:rPr>
              <w:t>] as of the close of business on the last Business Day prior to the</w:t>
            </w:r>
          </w:p>
        </w:tc>
      </w:tr>
    </w:tbl>
    <w:p>
      <w:pPr>
        <w:spacing w:after="0"/>
        <w:rPr>
          <w:sz w:val="20"/>
          <w:szCs w:val="20"/>
          <w:color w:val="auto"/>
        </w:rPr>
      </w:pPr>
      <w:r>
        <w:rPr>
          <w:rFonts w:ascii="Arial" w:cs="Arial" w:eastAsia="Arial" w:hAnsi="Arial"/>
          <w:sz w:val="20"/>
          <w:szCs w:val="20"/>
          <w:color w:val="auto"/>
        </w:rPr>
        <w:t>Closing Date, as calculated in accordance with the methodology and procedures set forth in Section I of the Procedures Manual.</w:t>
      </w:r>
    </w:p>
    <w:p>
      <w:pPr>
        <w:spacing w:after="0" w:line="390" w:lineRule="exact"/>
        <w:rPr>
          <w:sz w:val="20"/>
          <w:szCs w:val="20"/>
          <w:color w:val="auto"/>
        </w:rPr>
      </w:pPr>
    </w:p>
    <w:p>
      <w:pPr>
        <w:jc w:val="both"/>
        <w:ind w:firstLine="601"/>
        <w:spacing w:after="0" w:line="28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Closing PFS Adjustment</w:t>
      </w:r>
      <w:r>
        <w:rPr>
          <w:rFonts w:ascii="Arial" w:cs="Arial" w:eastAsia="Arial" w:hAnsi="Arial"/>
          <w:sz w:val="19"/>
          <w:szCs w:val="19"/>
          <w:color w:val="auto"/>
        </w:rPr>
        <w:t>” means the adjustment applied to the Closing Final Premium, the Interim Post-Closing Final Premium, and the Post-Closing Final Premium determined as of the close of business on the last Business Day prior to the Closing Date, stated as a percentage and calculated in accordance with the methodology and procedures set forth in Section H of the Procedures Manual.</w:t>
      </w:r>
    </w:p>
    <w:p>
      <w:pPr>
        <w:spacing w:after="0" w:line="344" w:lineRule="exact"/>
        <w:rPr>
          <w:sz w:val="20"/>
          <w:szCs w:val="20"/>
          <w:color w:val="auto"/>
        </w:rPr>
      </w:pPr>
    </w:p>
    <w:p>
      <w:pPr>
        <w:jc w:val="both"/>
        <w:ind w:firstLine="601"/>
        <w:spacing w:after="0" w:line="25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Closing SCA Adjustment</w:t>
      </w:r>
      <w:r>
        <w:rPr>
          <w:rFonts w:ascii="Arial" w:cs="Arial" w:eastAsia="Arial" w:hAnsi="Arial"/>
          <w:sz w:val="20"/>
          <w:szCs w:val="20"/>
          <w:color w:val="auto"/>
        </w:rPr>
        <w:t>” means the adjustment applied to the Closing Final Premium, the Interim Post-Closing Final Premium and the Post-Closing Final Premium with respect to the period from the DTFA Pricing Date through the close of business on the last Business Day prior to the Closing Date, stated as a percentage and calculated in accordance with the methodology and procedures set forth in Section G of the Procedures Manual.</w:t>
      </w:r>
    </w:p>
    <w:p>
      <w:pPr>
        <w:spacing w:after="0" w:line="367" w:lineRule="exact"/>
        <w:rPr>
          <w:sz w:val="20"/>
          <w:szCs w:val="20"/>
          <w:color w:val="auto"/>
        </w:rPr>
      </w:pPr>
    </w:p>
    <w:p>
      <w:pPr>
        <w:jc w:val="both"/>
        <w:ind w:firstLine="601"/>
        <w:spacing w:after="0" w:line="25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CMA Adjustment</w:t>
      </w:r>
      <w:r>
        <w:rPr>
          <w:rFonts w:ascii="Arial" w:cs="Arial" w:eastAsia="Arial" w:hAnsi="Arial"/>
          <w:sz w:val="20"/>
          <w:szCs w:val="20"/>
          <w:color w:val="auto"/>
        </w:rPr>
        <w:t>” means, as of the dates as provided in this Agreement, the adjustment that would be applied to the Closing Final Premium if the Closing were to occur on such date, with respect to the period from the DTFA Pricing Date through the close of business on the last Business Day prior to such date, stated as a percentage and calculated in accordance with the methodology and procedures set forth in Section F of the Procedures Manual.</w:t>
      </w:r>
    </w:p>
    <w:p>
      <w:pPr>
        <w:spacing w:after="0" w:line="367"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Code</w:t>
      </w:r>
      <w:r>
        <w:rPr>
          <w:rFonts w:ascii="Arial" w:cs="Arial" w:eastAsia="Arial" w:hAnsi="Arial"/>
          <w:sz w:val="20"/>
          <w:szCs w:val="20"/>
          <w:color w:val="auto"/>
        </w:rPr>
        <w:t>” means the Internal Revenue Code of 1986.</w:t>
      </w:r>
    </w:p>
    <w:p>
      <w:pPr>
        <w:spacing w:after="0" w:line="200" w:lineRule="exact"/>
        <w:rPr>
          <w:sz w:val="20"/>
          <w:szCs w:val="20"/>
          <w:color w:val="auto"/>
        </w:rPr>
      </w:pPr>
    </w:p>
    <w:p>
      <w:pPr>
        <w:spacing w:after="0" w:line="208"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Company</w:t>
      </w:r>
      <w:r>
        <w:rPr>
          <w:rFonts w:ascii="Arial" w:cs="Arial" w:eastAsia="Arial" w:hAnsi="Arial"/>
          <w:sz w:val="20"/>
          <w:szCs w:val="20"/>
          <w:color w:val="auto"/>
        </w:rPr>
        <w:t>” is defined in the preamble.</w:t>
      </w:r>
    </w:p>
    <w:p>
      <w:pPr>
        <w:spacing w:after="0" w:line="200" w:lineRule="exact"/>
        <w:rPr>
          <w:sz w:val="20"/>
          <w:szCs w:val="20"/>
          <w:color w:val="auto"/>
        </w:rPr>
      </w:pPr>
    </w:p>
    <w:p>
      <w:pPr>
        <w:spacing w:after="0" w:line="20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Action Level Risk-Based Capital</w:t>
      </w:r>
      <w:r>
        <w:rPr>
          <w:rFonts w:ascii="Arial" w:cs="Arial" w:eastAsia="Arial" w:hAnsi="Arial"/>
          <w:sz w:val="18"/>
          <w:szCs w:val="18"/>
          <w:color w:val="auto"/>
        </w:rPr>
        <w:t>” means, with respect to any insurer, the product of 2.0 and its Authorized Control Level</w:t>
      </w:r>
    </w:p>
    <w:p>
      <w:pPr>
        <w:spacing w:after="0" w:line="49" w:lineRule="exact"/>
        <w:rPr>
          <w:sz w:val="20"/>
          <w:szCs w:val="20"/>
          <w:color w:val="auto"/>
        </w:rPr>
      </w:pPr>
    </w:p>
    <w:p>
      <w:pPr>
        <w:spacing w:after="0"/>
        <w:rPr>
          <w:sz w:val="20"/>
          <w:szCs w:val="20"/>
          <w:color w:val="auto"/>
        </w:rPr>
      </w:pPr>
      <w:r>
        <w:rPr>
          <w:rFonts w:ascii="Arial" w:cs="Arial" w:eastAsia="Arial" w:hAnsi="Arial"/>
          <w:sz w:val="20"/>
          <w:szCs w:val="20"/>
          <w:color w:val="auto"/>
        </w:rPr>
        <w:t>RBC.</w:t>
      </w:r>
    </w:p>
    <w:p>
      <w:pPr>
        <w:spacing w:after="0" w:line="390"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Company Controlled Group</w:t>
      </w:r>
      <w:r>
        <w:rPr>
          <w:rFonts w:ascii="Arial" w:cs="Arial" w:eastAsia="Arial" w:hAnsi="Arial"/>
          <w:sz w:val="20"/>
          <w:szCs w:val="20"/>
          <w:color w:val="auto"/>
        </w:rPr>
        <w:t>” means the Company and its Affiliates.</w:t>
      </w:r>
    </w:p>
    <w:p>
      <w:pPr>
        <w:spacing w:after="0" w:line="200" w:lineRule="exact"/>
        <w:rPr>
          <w:sz w:val="20"/>
          <w:szCs w:val="20"/>
          <w:color w:val="auto"/>
        </w:rPr>
      </w:pPr>
    </w:p>
    <w:p>
      <w:pPr>
        <w:spacing w:after="0" w:line="208" w:lineRule="exact"/>
        <w:rPr>
          <w:sz w:val="20"/>
          <w:szCs w:val="20"/>
          <w:color w:val="auto"/>
        </w:rPr>
      </w:pPr>
    </w:p>
    <w:p>
      <w:pPr>
        <w:jc w:val="both"/>
        <w:ind w:firstLine="601"/>
        <w:spacing w:after="0" w:line="27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Company Disclosure Letter</w:t>
      </w:r>
      <w:r>
        <w:rPr>
          <w:rFonts w:ascii="Arial" w:cs="Arial" w:eastAsia="Arial" w:hAnsi="Arial"/>
          <w:sz w:val="20"/>
          <w:szCs w:val="20"/>
          <w:color w:val="auto"/>
        </w:rPr>
        <w:t>” means the disclosure letter as delivered by the Company to the other Parties immediately prior to the execution of this Agreement.</w:t>
      </w:r>
    </w:p>
    <w:p>
      <w:pPr>
        <w:sectPr>
          <w:pgSz w:w="11900" w:h="16838" w:orient="portrait"/>
          <w:cols w:equalWidth="0" w:num="1">
            <w:col w:w="11420"/>
          </w:cols>
          <w:pgMar w:left="240" w:top="757" w:right="239" w:bottom="1440" w:gutter="0" w:footer="0" w:header="0"/>
        </w:sect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420"/>
          </w:cols>
          <w:pgMar w:left="240" w:top="757" w:right="239" w:bottom="1440" w:gutter="0" w:footer="0" w:header="0"/>
          <w:type w:val="continuous"/>
        </w:sectPr>
      </w:pPr>
    </w:p>
    <w:bookmarkStart w:id="16" w:name="page17"/>
    <w:bookmarkEnd w:id="16"/>
    <w:p>
      <w:pPr>
        <w:jc w:val="both"/>
        <w:ind w:firstLine="601"/>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Company's Knowledge</w:t>
      </w:r>
      <w:r>
        <w:rPr>
          <w:rFonts w:ascii="Arial" w:cs="Arial" w:eastAsia="Arial" w:hAnsi="Arial"/>
          <w:sz w:val="20"/>
          <w:szCs w:val="20"/>
          <w:color w:val="auto"/>
        </w:rPr>
        <w:t>” means the actual knowledge of any officer of the Company responsible for the day to day administration or oversight of the Plan or directly involved in the negotiation of this Agreement or the transactions contemplated hereby, in each case, (</w:t>
      </w:r>
      <w:r>
        <w:rPr>
          <w:rFonts w:ascii="Arial" w:cs="Arial" w:eastAsia="Arial" w:hAnsi="Arial"/>
          <w:sz w:val="20"/>
          <w:szCs w:val="20"/>
          <w:u w:val="single" w:color="auto"/>
          <w:color w:val="auto"/>
        </w:rPr>
        <w:t>a</w:t>
      </w:r>
      <w:r>
        <w:rPr>
          <w:rFonts w:ascii="Arial" w:cs="Arial" w:eastAsia="Arial" w:hAnsi="Arial"/>
          <w:sz w:val="20"/>
          <w:szCs w:val="20"/>
          <w:color w:val="auto"/>
        </w:rPr>
        <w:t>) after making appropriate inquiry of those people reporting directly to such officer who have substantial responsibility for the relevant subject matter, and (</w:t>
      </w:r>
      <w:r>
        <w:rPr>
          <w:rFonts w:ascii="Arial" w:cs="Arial" w:eastAsia="Arial" w:hAnsi="Arial"/>
          <w:sz w:val="20"/>
          <w:szCs w:val="20"/>
          <w:u w:val="single" w:color="auto"/>
          <w:color w:val="auto"/>
        </w:rPr>
        <w:t>b</w:t>
      </w:r>
      <w:r>
        <w:rPr>
          <w:rFonts w:ascii="Arial" w:cs="Arial" w:eastAsia="Arial" w:hAnsi="Arial"/>
          <w:sz w:val="20"/>
          <w:szCs w:val="20"/>
          <w:color w:val="auto"/>
        </w:rPr>
        <w:t>) if none of such officers or people reporting directly to them have substantial responsibility for the subject matter that is the subject of the relevant representation, after making appropriate inquiry of an officer of the Company that has substantial responsibility for such subject matter.</w:t>
      </w:r>
    </w:p>
    <w:p>
      <w:pPr>
        <w:spacing w:after="0" w:line="373" w:lineRule="exact"/>
        <w:rPr>
          <w:sz w:val="20"/>
          <w:szCs w:val="20"/>
          <w:color w:val="auto"/>
        </w:rPr>
      </w:pPr>
    </w:p>
    <w:p>
      <w:pPr>
        <w:jc w:val="both"/>
        <w:ind w:firstLine="601"/>
        <w:spacing w:after="0" w:line="27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Company MAC</w:t>
      </w:r>
      <w:r>
        <w:rPr>
          <w:rFonts w:ascii="Arial" w:cs="Arial" w:eastAsia="Arial" w:hAnsi="Arial"/>
          <w:sz w:val="20"/>
          <w:szCs w:val="20"/>
          <w:color w:val="auto"/>
        </w:rPr>
        <w:t>” means the occurrence or existence of any fact, circumstance, change, development, condition or event subsequent to the DTFA Execution Date that individually or in the aggregate would, or would reasonably be expected to, [ *** ].</w:t>
      </w:r>
    </w:p>
    <w:p>
      <w:pPr>
        <w:spacing w:after="0" w:line="349"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Company Provided Life-by-Life Information</w:t>
      </w:r>
      <w:r>
        <w:rPr>
          <w:rFonts w:ascii="Arial" w:cs="Arial" w:eastAsia="Arial" w:hAnsi="Arial"/>
          <w:sz w:val="20"/>
          <w:szCs w:val="20"/>
          <w:color w:val="auto"/>
        </w:rPr>
        <w:t>” is defined in the Procedures Manual.</w:t>
      </w:r>
    </w:p>
    <w:p>
      <w:pPr>
        <w:spacing w:after="0" w:line="200" w:lineRule="exact"/>
        <w:rPr>
          <w:sz w:val="20"/>
          <w:szCs w:val="20"/>
          <w:color w:val="auto"/>
        </w:rPr>
      </w:pPr>
    </w:p>
    <w:p>
      <w:pPr>
        <w:spacing w:after="0" w:line="208"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Compelled Disclosing Party</w:t>
      </w:r>
      <w:r>
        <w:rPr>
          <w:rFonts w:ascii="Arial" w:cs="Arial" w:eastAsia="Arial" w:hAnsi="Arial"/>
          <w:sz w:val="20"/>
          <w:szCs w:val="20"/>
          <w:color w:val="auto"/>
        </w:rPr>
        <w:t xml:space="preserve">” is defined in </w:t>
      </w:r>
      <w:r>
        <w:rPr>
          <w:rFonts w:ascii="Arial" w:cs="Arial" w:eastAsia="Arial" w:hAnsi="Arial"/>
          <w:sz w:val="20"/>
          <w:szCs w:val="20"/>
          <w:u w:val="single" w:color="auto"/>
          <w:color w:val="auto"/>
        </w:rPr>
        <w:t>Section 11.14(d)</w:t>
      </w:r>
      <w:r>
        <w:rPr>
          <w:rFonts w:ascii="Arial" w:cs="Arial" w:eastAsia="Arial" w:hAnsi="Arial"/>
          <w:sz w:val="20"/>
          <w:szCs w:val="20"/>
          <w:color w:val="auto"/>
        </w:rPr>
        <w:t>.</w:t>
      </w:r>
    </w:p>
    <w:p>
      <w:pPr>
        <w:spacing w:after="0" w:line="200" w:lineRule="exact"/>
        <w:rPr>
          <w:sz w:val="20"/>
          <w:szCs w:val="20"/>
          <w:color w:val="auto"/>
        </w:rPr>
      </w:pPr>
    </w:p>
    <w:p>
      <w:pPr>
        <w:spacing w:after="0" w:line="208" w:lineRule="exact"/>
        <w:rPr>
          <w:sz w:val="20"/>
          <w:szCs w:val="20"/>
          <w:color w:val="auto"/>
        </w:rPr>
      </w:pPr>
    </w:p>
    <w:p>
      <w:pPr>
        <w:jc w:val="both"/>
        <w:ind w:firstLine="601"/>
        <w:spacing w:after="0" w:line="26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Confidential Information</w:t>
      </w:r>
      <w:r>
        <w:rPr>
          <w:rFonts w:ascii="Arial" w:cs="Arial" w:eastAsia="Arial" w:hAnsi="Arial"/>
          <w:sz w:val="19"/>
          <w:szCs w:val="19"/>
          <w:color w:val="auto"/>
        </w:rPr>
        <w:t>” means all business and technical information or processes, stored in any medium, to the extent the same is reasonably construed or generally accepted as containing a trade secret, proprietary or confidential information of or belonging to any Party, its Representatives, its Affiliates or its Affiliates' Representatives, including know-how and trade secrets, customer or client requirements and lists, Insurer Provided Life-by-Life Information, the Company Provided Life-by-Life Information, the Procedures Manual, the Identified CD-ROM, technology, software and data processing procedures, insurance, actuarial, accounting and financial data, management systems, records and any other information that is designated as confidential, and the portions of any reports or other documents prepared by the Independent Third Party, the Approved Firms or any arbitrator or staff thereof or any other professional engaged in connection with this Agreement and any report or other document prepared by a receiving Party that contains or incorporates Confidential Information of a disclosing Party. Confidential Information includes information communicated orally, in writing or in any other recorded or tangible form, includes information supplied by the disclosing Party and includes information delivered prior to the date hereof pursuant to the Confidentiality Agreements. Information received by the receiving Party containing trade secrets or proprietary or confidential information constitutes Confidential Information.</w:t>
      </w:r>
    </w:p>
    <w:p>
      <w:pPr>
        <w:spacing w:after="0" w:line="359" w:lineRule="exact"/>
        <w:rPr>
          <w:sz w:val="20"/>
          <w:szCs w:val="20"/>
          <w:color w:val="auto"/>
        </w:rPr>
      </w:pPr>
    </w:p>
    <w:p>
      <w:pPr>
        <w:jc w:val="both"/>
        <w:ind w:firstLine="601"/>
        <w:spacing w:after="0" w:line="29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Confidentiality Agreements</w:t>
      </w:r>
      <w:r>
        <w:rPr>
          <w:rFonts w:ascii="Arial" w:cs="Arial" w:eastAsia="Arial" w:hAnsi="Arial"/>
          <w:sz w:val="18"/>
          <w:szCs w:val="18"/>
          <w:color w:val="auto"/>
        </w:rPr>
        <w:t>” means, collectively, (</w:t>
      </w:r>
      <w:r>
        <w:rPr>
          <w:rFonts w:ascii="Arial" w:cs="Arial" w:eastAsia="Arial" w:hAnsi="Arial"/>
          <w:sz w:val="18"/>
          <w:szCs w:val="18"/>
          <w:u w:val="single" w:color="auto"/>
          <w:color w:val="auto"/>
        </w:rPr>
        <w:t>i</w:t>
      </w:r>
      <w:r>
        <w:rPr>
          <w:rFonts w:ascii="Arial" w:cs="Arial" w:eastAsia="Arial" w:hAnsi="Arial"/>
          <w:sz w:val="18"/>
          <w:szCs w:val="18"/>
          <w:color w:val="auto"/>
        </w:rPr>
        <w:t>) the Confidentiality Agreement, dated September 9, 2011, between the Insurer and the Company, as amended, (</w:t>
      </w:r>
      <w:r>
        <w:rPr>
          <w:rFonts w:ascii="Arial" w:cs="Arial" w:eastAsia="Arial" w:hAnsi="Arial"/>
          <w:sz w:val="18"/>
          <w:szCs w:val="18"/>
          <w:u w:val="single" w:color="auto"/>
          <w:color w:val="auto"/>
        </w:rPr>
        <w:t>ii</w:t>
      </w:r>
      <w:r>
        <w:rPr>
          <w:rFonts w:ascii="Arial" w:cs="Arial" w:eastAsia="Arial" w:hAnsi="Arial"/>
          <w:sz w:val="18"/>
          <w:szCs w:val="18"/>
          <w:color w:val="auto"/>
        </w:rPr>
        <w:t>) the confidentiality provisions set forth in the Independent Fiduciary's engagement agreement dated March 16, 2012, (</w:t>
      </w:r>
      <w:r>
        <w:rPr>
          <w:rFonts w:ascii="Arial" w:cs="Arial" w:eastAsia="Arial" w:hAnsi="Arial"/>
          <w:sz w:val="18"/>
          <w:szCs w:val="18"/>
          <w:u w:val="single" w:color="auto"/>
          <w:color w:val="auto"/>
        </w:rPr>
        <w:t>iii</w:t>
      </w:r>
      <w:r>
        <w:rPr>
          <w:rFonts w:ascii="Arial" w:cs="Arial" w:eastAsia="Arial" w:hAnsi="Arial"/>
          <w:sz w:val="18"/>
          <w:szCs w:val="18"/>
          <w:color w:val="auto"/>
        </w:rPr>
        <w:t>) the Confidentiality Agreement, dated February 23, 2012, between the Company, the Independent Fiduciary and the Annuity Committee, and (</w:t>
      </w:r>
      <w:r>
        <w:rPr>
          <w:rFonts w:ascii="Arial" w:cs="Arial" w:eastAsia="Arial" w:hAnsi="Arial"/>
          <w:sz w:val="18"/>
          <w:szCs w:val="18"/>
          <w:u w:val="single" w:color="auto"/>
          <w:color w:val="auto"/>
        </w:rPr>
        <w:t>iv</w:t>
      </w:r>
      <w:r>
        <w:rPr>
          <w:rFonts w:ascii="Arial" w:cs="Arial" w:eastAsia="Arial" w:hAnsi="Arial"/>
          <w:sz w:val="18"/>
          <w:szCs w:val="18"/>
          <w:color w:val="auto"/>
        </w:rPr>
        <w:t>) the Confidentiality Agreement, entered into in March, 2012, between the Insurer and the Independent Fiduciary.</w:t>
      </w:r>
    </w:p>
    <w:p>
      <w:pPr>
        <w:spacing w:after="0" w:line="338" w:lineRule="exact"/>
        <w:rPr>
          <w:sz w:val="20"/>
          <w:szCs w:val="20"/>
          <w:color w:val="auto"/>
        </w:rPr>
      </w:pPr>
    </w:p>
    <w:p>
      <w:pPr>
        <w:jc w:val="both"/>
        <w:ind w:firstLine="601"/>
        <w:spacing w:after="0" w:line="275" w:lineRule="auto"/>
        <w:rPr>
          <w:sz w:val="20"/>
          <w:szCs w:val="20"/>
          <w:color w:val="auto"/>
        </w:rPr>
      </w:pPr>
      <w:r>
        <w:rPr>
          <w:rFonts w:ascii="Arial" w:cs="Arial" w:eastAsia="Arial" w:hAnsi="Arial"/>
          <w:sz w:val="20"/>
          <w:szCs w:val="20"/>
          <w:color w:val="auto"/>
        </w:rPr>
        <w:t xml:space="preserve">“[ *** ] </w:t>
      </w:r>
      <w:r>
        <w:rPr>
          <w:rFonts w:ascii="Arial" w:cs="Arial" w:eastAsia="Arial" w:hAnsi="Arial"/>
          <w:sz w:val="20"/>
          <w:szCs w:val="20"/>
          <w:u w:val="single" w:color="auto"/>
          <w:color w:val="auto"/>
        </w:rPr>
        <w:t>Asset</w:t>
      </w:r>
      <w:r>
        <w:rPr>
          <w:rFonts w:ascii="Arial" w:cs="Arial" w:eastAsia="Arial" w:hAnsi="Arial"/>
          <w:sz w:val="20"/>
          <w:szCs w:val="20"/>
          <w:color w:val="auto"/>
        </w:rPr>
        <w:t>” means any [ *** ] in the Final Plan Portfolio that is within the In-Kind Asset Tolerances set forth and described in Section I of the Procedures Manual.</w:t>
      </w:r>
    </w:p>
    <w:p>
      <w:pPr>
        <w:spacing w:after="0" w:line="349" w:lineRule="exact"/>
        <w:rPr>
          <w:sz w:val="20"/>
          <w:szCs w:val="20"/>
          <w:color w:val="auto"/>
        </w:rPr>
      </w:pPr>
    </w:p>
    <w:p>
      <w:pPr>
        <w:jc w:val="both"/>
        <w:ind w:firstLine="601"/>
        <w:spacing w:after="0" w:line="27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Consents</w:t>
      </w:r>
      <w:r>
        <w:rPr>
          <w:rFonts w:ascii="Arial" w:cs="Arial" w:eastAsia="Arial" w:hAnsi="Arial"/>
          <w:sz w:val="20"/>
          <w:szCs w:val="20"/>
          <w:color w:val="auto"/>
        </w:rPr>
        <w:t>” means any consent, approval (or deemed approval after the expiry of all appropriate waiting periods), authorization, notice, permission or waiver.</w:t>
      </w:r>
    </w:p>
    <w:p>
      <w:pPr>
        <w:spacing w:after="0" w:line="349"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Contingent Lives</w:t>
      </w:r>
      <w:r>
        <w:rPr>
          <w:rFonts w:ascii="Arial" w:cs="Arial" w:eastAsia="Arial" w:hAnsi="Arial"/>
          <w:sz w:val="20"/>
          <w:szCs w:val="20"/>
          <w:color w:val="auto"/>
        </w:rPr>
        <w:t>” has the meaning ascribed to such term in the Group Annuity Contract.</w:t>
      </w:r>
    </w:p>
    <w:p>
      <w:pPr>
        <w:spacing w:after="0" w:line="200" w:lineRule="exact"/>
        <w:rPr>
          <w:sz w:val="20"/>
          <w:szCs w:val="20"/>
          <w:color w:val="auto"/>
        </w:rPr>
      </w:pPr>
    </w:p>
    <w:p>
      <w:pPr>
        <w:spacing w:after="0" w:line="208" w:lineRule="exact"/>
        <w:rPr>
          <w:sz w:val="20"/>
          <w:szCs w:val="20"/>
          <w:color w:val="auto"/>
        </w:rPr>
      </w:pPr>
    </w:p>
    <w:p>
      <w:pPr>
        <w:jc w:val="both"/>
        <w:ind w:firstLine="601"/>
        <w:spacing w:after="0" w:line="27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Contract</w:t>
      </w:r>
      <w:r>
        <w:rPr>
          <w:rFonts w:ascii="Arial" w:cs="Arial" w:eastAsia="Arial" w:hAnsi="Arial"/>
          <w:sz w:val="20"/>
          <w:szCs w:val="20"/>
          <w:color w:val="auto"/>
        </w:rPr>
        <w:t>” means any legally enforceable agreement, contract, commitment, instrument, undertaking, lease, note, mortgage, indenture, license or arrangement, whether written or oral.</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757" w:right="239" w:bottom="1440" w:gutter="0" w:footer="0" w:header="0"/>
        </w:sectPr>
      </w:pPr>
    </w:p>
    <w:bookmarkStart w:id="17" w:name="page18"/>
    <w:bookmarkEnd w:id="17"/>
    <w:p>
      <w:pPr>
        <w:jc w:val="both"/>
        <w:ind w:firstLine="601"/>
        <w:spacing w:after="0" w:line="27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Contract 300</w:t>
      </w:r>
      <w:r>
        <w:rPr>
          <w:rFonts w:ascii="Arial" w:cs="Arial" w:eastAsia="Arial" w:hAnsi="Arial"/>
          <w:sz w:val="20"/>
          <w:szCs w:val="20"/>
          <w:color w:val="auto"/>
        </w:rPr>
        <w:t>” means Group Annuity Contract No. 300, as amended, including Contract 300 Article A, Contract 300 Article M and Contract 300 Article P.</w:t>
      </w:r>
    </w:p>
    <w:p>
      <w:pPr>
        <w:spacing w:after="0" w:line="34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Contract 300 Article A</w:t>
      </w:r>
      <w:r>
        <w:rPr>
          <w:rFonts w:ascii="Arial" w:cs="Arial" w:eastAsia="Arial" w:hAnsi="Arial"/>
          <w:sz w:val="18"/>
          <w:szCs w:val="18"/>
          <w:color w:val="auto"/>
        </w:rPr>
        <w:t>” means Article A of Group Annuity Contract No. 300, as amended, issued by Aetna Life Insurance Company.</w:t>
      </w:r>
    </w:p>
    <w:p>
      <w:pPr>
        <w:spacing w:after="0" w:line="200" w:lineRule="exact"/>
        <w:rPr>
          <w:sz w:val="20"/>
          <w:szCs w:val="20"/>
          <w:color w:val="auto"/>
        </w:rPr>
      </w:pPr>
    </w:p>
    <w:p>
      <w:pPr>
        <w:spacing w:after="0" w:line="231" w:lineRule="exact"/>
        <w:rPr>
          <w:sz w:val="20"/>
          <w:szCs w:val="20"/>
          <w:color w:val="auto"/>
        </w:rPr>
      </w:pPr>
    </w:p>
    <w:p>
      <w:pPr>
        <w:jc w:val="both"/>
        <w:ind w:firstLine="601"/>
        <w:spacing w:after="0" w:line="27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Contract 300 Article M</w:t>
      </w:r>
      <w:r>
        <w:rPr>
          <w:rFonts w:ascii="Arial" w:cs="Arial" w:eastAsia="Arial" w:hAnsi="Arial"/>
          <w:sz w:val="20"/>
          <w:szCs w:val="20"/>
          <w:color w:val="auto"/>
        </w:rPr>
        <w:t>” means Article M of Group Annuity Contract No. 300, as amended, issued by Metropolitan Life Insurance Company.</w:t>
      </w:r>
    </w:p>
    <w:p>
      <w:pPr>
        <w:spacing w:after="0" w:line="349"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Contract 300 Article P</w:t>
      </w:r>
      <w:r>
        <w:rPr>
          <w:rFonts w:ascii="Arial" w:cs="Arial" w:eastAsia="Arial" w:hAnsi="Arial"/>
          <w:sz w:val="20"/>
          <w:szCs w:val="20"/>
          <w:color w:val="auto"/>
        </w:rPr>
        <w:t>” means, prior to Closing, Article P of Group Annuity Contract No. 300, as amended, issued by Insurer.</w:t>
      </w:r>
    </w:p>
    <w:p>
      <w:pPr>
        <w:spacing w:after="0" w:line="200" w:lineRule="exact"/>
        <w:rPr>
          <w:sz w:val="20"/>
          <w:szCs w:val="20"/>
          <w:color w:val="auto"/>
        </w:rPr>
      </w:pPr>
    </w:p>
    <w:p>
      <w:pPr>
        <w:spacing w:after="0" w:line="208" w:lineRule="exact"/>
        <w:rPr>
          <w:sz w:val="20"/>
          <w:szCs w:val="20"/>
          <w:color w:val="auto"/>
        </w:rPr>
      </w:pPr>
    </w:p>
    <w:p>
      <w:pPr>
        <w:jc w:val="both"/>
        <w:ind w:firstLine="601"/>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Contract 300 Portfolio P</w:t>
      </w:r>
      <w:r>
        <w:rPr>
          <w:rFonts w:ascii="Arial" w:cs="Arial" w:eastAsia="Arial" w:hAnsi="Arial"/>
          <w:sz w:val="19"/>
          <w:szCs w:val="19"/>
          <w:color w:val="auto"/>
        </w:rPr>
        <w:t>” means, as of any date of determination, the assets held in the Insurer's separate account VCA-GA-7436, as that separate account exists as of such date used by the Insurer to satisfy the Insurer's liabilities under Contract 300 Article P.</w:t>
      </w:r>
    </w:p>
    <w:p>
      <w:pPr>
        <w:spacing w:after="0" w:line="326"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Covered Lives</w:t>
      </w:r>
      <w:r>
        <w:rPr>
          <w:rFonts w:ascii="Arial" w:cs="Arial" w:eastAsia="Arial" w:hAnsi="Arial"/>
          <w:sz w:val="20"/>
          <w:szCs w:val="20"/>
          <w:color w:val="auto"/>
        </w:rPr>
        <w:t>” has the meaning ascribed to such term in the Group Annuity Contract.</w:t>
      </w:r>
    </w:p>
    <w:p>
      <w:pPr>
        <w:spacing w:after="0" w:line="200" w:lineRule="exact"/>
        <w:rPr>
          <w:sz w:val="20"/>
          <w:szCs w:val="20"/>
          <w:color w:val="auto"/>
        </w:rPr>
      </w:pPr>
    </w:p>
    <w:p>
      <w:pPr>
        <w:spacing w:after="0" w:line="208"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Covered Period</w:t>
      </w:r>
      <w:r>
        <w:rPr>
          <w:rFonts w:ascii="Arial" w:cs="Arial" w:eastAsia="Arial" w:hAnsi="Arial"/>
          <w:sz w:val="20"/>
          <w:szCs w:val="20"/>
          <w:color w:val="auto"/>
        </w:rPr>
        <w:t xml:space="preserve">” is defined in </w:t>
      </w:r>
      <w:r>
        <w:rPr>
          <w:rFonts w:ascii="Arial" w:cs="Arial" w:eastAsia="Arial" w:hAnsi="Arial"/>
          <w:sz w:val="20"/>
          <w:szCs w:val="20"/>
          <w:u w:val="single" w:color="auto"/>
          <w:color w:val="auto"/>
        </w:rPr>
        <w:t>Appendix 6.6</w:t>
      </w:r>
      <w:r>
        <w:rPr>
          <w:rFonts w:ascii="Arial" w:cs="Arial" w:eastAsia="Arial" w:hAnsi="Arial"/>
          <w:sz w:val="20"/>
          <w:szCs w:val="20"/>
          <w:color w:val="auto"/>
        </w:rPr>
        <w:t>.</w:t>
      </w:r>
    </w:p>
    <w:p>
      <w:pPr>
        <w:spacing w:after="0" w:line="200" w:lineRule="exact"/>
        <w:rPr>
          <w:sz w:val="20"/>
          <w:szCs w:val="20"/>
          <w:color w:val="auto"/>
        </w:rPr>
      </w:pPr>
    </w:p>
    <w:p>
      <w:pPr>
        <w:spacing w:after="0" w:line="208" w:lineRule="exact"/>
        <w:rPr>
          <w:sz w:val="20"/>
          <w:szCs w:val="20"/>
          <w:color w:val="auto"/>
        </w:rPr>
      </w:pPr>
    </w:p>
    <w:p>
      <w:pPr>
        <w:jc w:val="both"/>
        <w:ind w:firstLine="601"/>
        <w:spacing w:after="0" w:line="27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Credit Rating Agencies</w:t>
      </w:r>
      <w:r>
        <w:rPr>
          <w:rFonts w:ascii="Arial" w:cs="Arial" w:eastAsia="Arial" w:hAnsi="Arial"/>
          <w:sz w:val="20"/>
          <w:szCs w:val="20"/>
          <w:color w:val="auto"/>
        </w:rPr>
        <w:t>” means each of Standard &amp; Poor's Rating Services, a division of The McGraw-Hill Companies, Inc., Moody's Investors Service, Inc. and Fitch Ratings Ltd., and their respective successors and assigns.</w:t>
      </w:r>
    </w:p>
    <w:p>
      <w:pPr>
        <w:spacing w:after="0" w:line="349"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Data Error</w:t>
      </w:r>
      <w:r>
        <w:rPr>
          <w:rFonts w:ascii="Arial" w:cs="Arial" w:eastAsia="Arial" w:hAnsi="Arial"/>
          <w:sz w:val="20"/>
          <w:szCs w:val="20"/>
          <w:color w:val="auto"/>
        </w:rPr>
        <w:t>” is defined in the Procedures Manual.</w:t>
      </w:r>
    </w:p>
    <w:p>
      <w:pPr>
        <w:spacing w:after="0" w:line="200" w:lineRule="exact"/>
        <w:rPr>
          <w:sz w:val="20"/>
          <w:szCs w:val="20"/>
          <w:color w:val="auto"/>
        </w:rPr>
      </w:pPr>
    </w:p>
    <w:p>
      <w:pPr>
        <w:spacing w:after="0" w:line="208" w:lineRule="exact"/>
        <w:rPr>
          <w:sz w:val="20"/>
          <w:szCs w:val="20"/>
          <w:color w:val="auto"/>
        </w:rPr>
      </w:pPr>
    </w:p>
    <w:p>
      <w:pPr>
        <w:jc w:val="both"/>
        <w:ind w:firstLine="601"/>
        <w:spacing w:after="0" w:line="27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Determination Letter</w:t>
      </w:r>
      <w:r>
        <w:rPr>
          <w:rFonts w:ascii="Arial" w:cs="Arial" w:eastAsia="Arial" w:hAnsi="Arial"/>
          <w:sz w:val="20"/>
          <w:szCs w:val="20"/>
          <w:color w:val="auto"/>
        </w:rPr>
        <w:t>” means a favorable letter issued by the Internal Revenue Service regarding the tax-qualified status of the Plan under Code § 401(a).</w:t>
      </w:r>
    </w:p>
    <w:p>
      <w:pPr>
        <w:spacing w:after="0" w:line="349"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Disclosure Letters</w:t>
      </w:r>
      <w:r>
        <w:rPr>
          <w:rFonts w:ascii="Arial" w:cs="Arial" w:eastAsia="Arial" w:hAnsi="Arial"/>
          <w:sz w:val="20"/>
          <w:szCs w:val="20"/>
          <w:color w:val="auto"/>
        </w:rPr>
        <w:t>” means, collectively, the Company Disclosure Letter and the Prudential Disclosure Letter.</w:t>
      </w:r>
    </w:p>
    <w:p>
      <w:pPr>
        <w:spacing w:after="0" w:line="200" w:lineRule="exact"/>
        <w:rPr>
          <w:sz w:val="20"/>
          <w:szCs w:val="20"/>
          <w:color w:val="auto"/>
        </w:rPr>
      </w:pPr>
    </w:p>
    <w:p>
      <w:pPr>
        <w:spacing w:after="0" w:line="208"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Dispute</w:t>
      </w:r>
      <w:r>
        <w:rPr>
          <w:rFonts w:ascii="Arial" w:cs="Arial" w:eastAsia="Arial" w:hAnsi="Arial"/>
          <w:sz w:val="20"/>
          <w:szCs w:val="20"/>
          <w:color w:val="auto"/>
        </w:rPr>
        <w:t>” means any claim, counterclaim, demand, cause of action, controversy or dispute.</w:t>
      </w:r>
    </w:p>
    <w:p>
      <w:pPr>
        <w:spacing w:after="0" w:line="200" w:lineRule="exact"/>
        <w:rPr>
          <w:sz w:val="20"/>
          <w:szCs w:val="20"/>
          <w:color w:val="auto"/>
        </w:rPr>
      </w:pPr>
    </w:p>
    <w:p>
      <w:pPr>
        <w:spacing w:after="0" w:line="208"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DRO</w:t>
      </w:r>
      <w:r>
        <w:rPr>
          <w:rFonts w:ascii="Arial" w:cs="Arial" w:eastAsia="Arial" w:hAnsi="Arial"/>
          <w:sz w:val="20"/>
          <w:szCs w:val="20"/>
          <w:color w:val="auto"/>
        </w:rPr>
        <w:t>” means a Qualified Domestic Relations Order as set forth in ERISA § 206(d)(3) and Code § 401(a)(13)(B).</w:t>
      </w:r>
    </w:p>
    <w:p>
      <w:pPr>
        <w:spacing w:after="0" w:line="200" w:lineRule="exact"/>
        <w:rPr>
          <w:sz w:val="20"/>
          <w:szCs w:val="20"/>
          <w:color w:val="auto"/>
        </w:rPr>
      </w:pPr>
    </w:p>
    <w:p>
      <w:pPr>
        <w:spacing w:after="0" w:line="208" w:lineRule="exact"/>
        <w:rPr>
          <w:sz w:val="20"/>
          <w:szCs w:val="20"/>
          <w:color w:val="auto"/>
        </w:rPr>
      </w:pPr>
    </w:p>
    <w:p>
      <w:pPr>
        <w:jc w:val="both"/>
        <w:ind w:firstLine="601"/>
        <w:spacing w:after="0" w:line="261"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Dry-Run Additional Classification Error</w:t>
      </w:r>
      <w:r>
        <w:rPr>
          <w:rFonts w:ascii="Arial" w:cs="Arial" w:eastAsia="Arial" w:hAnsi="Arial"/>
          <w:sz w:val="20"/>
          <w:szCs w:val="20"/>
          <w:color w:val="auto"/>
        </w:rPr>
        <w:t>” means, with respect to each calculation of a Dry-Run Post-Solicitation Premium, the Additional Classification Error Correction, as calculated by the Insurer as of the day that is seven (7) days prior to the date such Dry-Run Post-Solicitation Premium is required to be delivered by the Insurer to the Company.</w:t>
      </w:r>
    </w:p>
    <w:p>
      <w:pPr>
        <w:spacing w:after="0" w:line="364" w:lineRule="exact"/>
        <w:rPr>
          <w:sz w:val="20"/>
          <w:szCs w:val="20"/>
          <w:color w:val="auto"/>
        </w:rPr>
      </w:pPr>
    </w:p>
    <w:p>
      <w:pPr>
        <w:jc w:val="both"/>
        <w:ind w:firstLine="601"/>
        <w:spacing w:after="0" w:line="261"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Dry-Run Benefit Amount Correction</w:t>
      </w:r>
      <w:r>
        <w:rPr>
          <w:rFonts w:ascii="Arial" w:cs="Arial" w:eastAsia="Arial" w:hAnsi="Arial"/>
          <w:sz w:val="20"/>
          <w:szCs w:val="20"/>
          <w:color w:val="auto"/>
        </w:rPr>
        <w:t>” means, with respect to each calculation of a Dry-Run Post-Solicitation Premium, the Benefit Amount Correction, as calculated by the Insurer as of the day that is seven (7) days prior to the date such Dry-Run Post-Solicitation Premium is required to be delivered by the Insurer to the Company.</w:t>
      </w:r>
    </w:p>
    <w:p>
      <w:pPr>
        <w:spacing w:after="0" w:line="364"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Dry-Run Closing Premium</w:t>
      </w:r>
      <w:r>
        <w:rPr>
          <w:rFonts w:ascii="Arial" w:cs="Arial" w:eastAsia="Arial" w:hAnsi="Arial"/>
          <w:sz w:val="20"/>
          <w:szCs w:val="20"/>
          <w:color w:val="auto"/>
        </w:rPr>
        <w:t xml:space="preserve">” is defined in </w:t>
      </w:r>
      <w:r>
        <w:rPr>
          <w:rFonts w:ascii="Arial" w:cs="Arial" w:eastAsia="Arial" w:hAnsi="Arial"/>
          <w:sz w:val="20"/>
          <w:szCs w:val="20"/>
          <w:u w:val="single" w:color="auto"/>
          <w:color w:val="auto"/>
        </w:rPr>
        <w:t>Section 2.7(a)</w:t>
      </w:r>
      <w:r>
        <w:rPr>
          <w:rFonts w:ascii="Arial" w:cs="Arial" w:eastAsia="Arial" w:hAnsi="Arial"/>
          <w:sz w:val="20"/>
          <w:szCs w:val="20"/>
          <w:color w:val="auto"/>
        </w:rPr>
        <w:t>.</w:t>
      </w:r>
    </w:p>
    <w:p>
      <w:pPr>
        <w:spacing w:after="0" w:line="200" w:lineRule="exact"/>
        <w:rPr>
          <w:sz w:val="20"/>
          <w:szCs w:val="20"/>
          <w:color w:val="auto"/>
        </w:rPr>
      </w:pPr>
    </w:p>
    <w:p>
      <w:pPr>
        <w:spacing w:after="0" w:line="208" w:lineRule="exact"/>
        <w:rPr>
          <w:sz w:val="20"/>
          <w:szCs w:val="20"/>
          <w:color w:val="auto"/>
        </w:rPr>
      </w:pPr>
    </w:p>
    <w:p>
      <w:pPr>
        <w:jc w:val="both"/>
        <w:ind w:firstLine="601"/>
        <w:spacing w:after="0" w:line="261"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Dry-Run</w:t>
      </w:r>
      <w:r>
        <w:rPr>
          <w:rFonts w:ascii="Arial" w:cs="Arial" w:eastAsia="Arial" w:hAnsi="Arial"/>
          <w:sz w:val="20"/>
          <w:szCs w:val="20"/>
          <w:color w:val="auto"/>
        </w:rPr>
        <w:t xml:space="preserve"> [ *** ]” means, with respect to each calculation of a Dry-Run Post-Solicitation Premium, the [ *** ], as calculated by the Insurer as of the day that is seven (7) days prior to the date such Dry-Run Post-Solicitation Premium is required to be delivered by the Insurer to the Company.</w:t>
      </w:r>
    </w:p>
    <w:p>
      <w:pPr>
        <w:sectPr>
          <w:pgSz w:w="11900" w:h="16838" w:orient="portrait"/>
          <w:cols w:equalWidth="0" w:num="1">
            <w:col w:w="11420"/>
          </w:cols>
          <w:pgMar w:left="240" w:top="757" w:right="239" w:bottom="1440" w:gutter="0" w:footer="0" w:header="0"/>
        </w:sect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420"/>
          </w:cols>
          <w:pgMar w:left="240" w:top="757" w:right="239" w:bottom="1440" w:gutter="0" w:footer="0" w:header="0"/>
          <w:type w:val="continuous"/>
        </w:sectPr>
      </w:pPr>
    </w:p>
    <w:bookmarkStart w:id="18" w:name="page19"/>
    <w:bookmarkEnd w:id="18"/>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Dry-Run Post-Solicitation Premium</w:t>
      </w:r>
      <w:r>
        <w:rPr>
          <w:rFonts w:ascii="Arial" w:cs="Arial" w:eastAsia="Arial" w:hAnsi="Arial"/>
          <w:sz w:val="20"/>
          <w:szCs w:val="20"/>
          <w:color w:val="auto"/>
        </w:rPr>
        <w:t xml:space="preserve">” is defined in </w:t>
      </w:r>
      <w:r>
        <w:rPr>
          <w:rFonts w:ascii="Arial" w:cs="Arial" w:eastAsia="Arial" w:hAnsi="Arial"/>
          <w:sz w:val="20"/>
          <w:szCs w:val="20"/>
          <w:u w:val="single" w:color="auto"/>
          <w:color w:val="auto"/>
        </w:rPr>
        <w:t>Section 2.5(e)(i)</w:t>
      </w:r>
      <w:r>
        <w:rPr>
          <w:rFonts w:ascii="Arial" w:cs="Arial" w:eastAsia="Arial" w:hAnsi="Arial"/>
          <w:sz w:val="20"/>
          <w:szCs w:val="20"/>
          <w:color w:val="auto"/>
        </w:rPr>
        <w:t>.</w:t>
      </w:r>
    </w:p>
    <w:p>
      <w:pPr>
        <w:spacing w:after="0" w:line="200" w:lineRule="exact"/>
        <w:rPr>
          <w:sz w:val="20"/>
          <w:szCs w:val="20"/>
          <w:color w:val="auto"/>
        </w:rPr>
      </w:pPr>
    </w:p>
    <w:p>
      <w:pPr>
        <w:spacing w:after="0" w:line="208" w:lineRule="exact"/>
        <w:rPr>
          <w:sz w:val="20"/>
          <w:szCs w:val="20"/>
          <w:color w:val="auto"/>
        </w:rPr>
      </w:pPr>
    </w:p>
    <w:p>
      <w:pPr>
        <w:jc w:val="both"/>
        <w:ind w:firstLine="601"/>
        <w:spacing w:after="0" w:line="261"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Dry-Run Single Life Mortality Correction</w:t>
      </w:r>
      <w:r>
        <w:rPr>
          <w:rFonts w:ascii="Arial" w:cs="Arial" w:eastAsia="Arial" w:hAnsi="Arial"/>
          <w:sz w:val="20"/>
          <w:szCs w:val="20"/>
          <w:color w:val="auto"/>
        </w:rPr>
        <w:t>” means, with respect to each calculation of a Dry-Run Post-Solicitation Premium, the Single Life Mortality Correction, as calculated by the Insurer as of the day that is seven (7) days prior to the date such Dry-Run Post-Solicitation Premium is required to be delivered by the Insurer to the Company.</w:t>
      </w:r>
    </w:p>
    <w:p>
      <w:pPr>
        <w:spacing w:after="0" w:line="364"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DTFA Execution Date</w:t>
      </w:r>
      <w:r>
        <w:rPr>
          <w:rFonts w:ascii="Arial" w:cs="Arial" w:eastAsia="Arial" w:hAnsi="Arial"/>
          <w:sz w:val="20"/>
          <w:szCs w:val="20"/>
          <w:color w:val="auto"/>
        </w:rPr>
        <w:t>” is defined in the preamble.</w:t>
      </w:r>
    </w:p>
    <w:p>
      <w:pPr>
        <w:spacing w:after="0" w:line="200" w:lineRule="exact"/>
        <w:rPr>
          <w:sz w:val="20"/>
          <w:szCs w:val="20"/>
          <w:color w:val="auto"/>
        </w:rPr>
      </w:pPr>
    </w:p>
    <w:p>
      <w:pPr>
        <w:spacing w:after="0" w:line="208"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DTFA Pricing Date</w:t>
      </w:r>
      <w:r>
        <w:rPr>
          <w:rFonts w:ascii="Arial" w:cs="Arial" w:eastAsia="Arial" w:hAnsi="Arial"/>
          <w:sz w:val="20"/>
          <w:szCs w:val="20"/>
          <w:color w:val="auto"/>
        </w:rPr>
        <w:t>” means April 30, 2012.</w:t>
      </w:r>
    </w:p>
    <w:p>
      <w:pPr>
        <w:spacing w:after="0" w:line="200" w:lineRule="exact"/>
        <w:rPr>
          <w:sz w:val="20"/>
          <w:szCs w:val="20"/>
          <w:color w:val="auto"/>
        </w:rPr>
      </w:pPr>
    </w:p>
    <w:p>
      <w:pPr>
        <w:spacing w:after="0" w:line="208"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Enforceability Exception</w:t>
      </w:r>
      <w:r>
        <w:rPr>
          <w:rFonts w:ascii="Arial" w:cs="Arial" w:eastAsia="Arial" w:hAnsi="Arial"/>
          <w:sz w:val="20"/>
          <w:szCs w:val="20"/>
          <w:color w:val="auto"/>
        </w:rPr>
        <w:t xml:space="preserve">” is defined in </w:t>
      </w:r>
      <w:r>
        <w:rPr>
          <w:rFonts w:ascii="Arial" w:cs="Arial" w:eastAsia="Arial" w:hAnsi="Arial"/>
          <w:sz w:val="20"/>
          <w:szCs w:val="20"/>
          <w:u w:val="single" w:color="auto"/>
          <w:color w:val="auto"/>
        </w:rPr>
        <w:t>Section 3.2</w:t>
      </w:r>
      <w:r>
        <w:rPr>
          <w:rFonts w:ascii="Arial" w:cs="Arial" w:eastAsia="Arial" w:hAnsi="Arial"/>
          <w:sz w:val="20"/>
          <w:szCs w:val="20"/>
          <w:color w:val="auto"/>
        </w:rPr>
        <w:t>.</w:t>
      </w:r>
    </w:p>
    <w:p>
      <w:pPr>
        <w:spacing w:after="0" w:line="200" w:lineRule="exact"/>
        <w:rPr>
          <w:sz w:val="20"/>
          <w:szCs w:val="20"/>
          <w:color w:val="auto"/>
        </w:rPr>
      </w:pPr>
    </w:p>
    <w:p>
      <w:pPr>
        <w:spacing w:after="0" w:line="208"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ERISA</w:t>
      </w:r>
      <w:r>
        <w:rPr>
          <w:rFonts w:ascii="Arial" w:cs="Arial" w:eastAsia="Arial" w:hAnsi="Arial"/>
          <w:sz w:val="20"/>
          <w:szCs w:val="20"/>
          <w:color w:val="auto"/>
        </w:rPr>
        <w:t>” means the Employee Retirement Income Security Act of 1974.</w:t>
      </w:r>
    </w:p>
    <w:p>
      <w:pPr>
        <w:spacing w:after="0" w:line="200" w:lineRule="exact"/>
        <w:rPr>
          <w:sz w:val="20"/>
          <w:szCs w:val="20"/>
          <w:color w:val="auto"/>
        </w:rPr>
      </w:pPr>
    </w:p>
    <w:p>
      <w:pPr>
        <w:spacing w:after="0" w:line="208"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Escrow Account</w:t>
      </w:r>
      <w:r>
        <w:rPr>
          <w:rFonts w:ascii="Arial" w:cs="Arial" w:eastAsia="Arial" w:hAnsi="Arial"/>
          <w:sz w:val="20"/>
          <w:szCs w:val="20"/>
          <w:color w:val="auto"/>
        </w:rPr>
        <w:t>” means the account established pursuant to the Escrow Agreement.</w:t>
      </w:r>
    </w:p>
    <w:p>
      <w:pPr>
        <w:spacing w:after="0" w:line="200" w:lineRule="exact"/>
        <w:rPr>
          <w:sz w:val="20"/>
          <w:szCs w:val="20"/>
          <w:color w:val="auto"/>
        </w:rPr>
      </w:pPr>
    </w:p>
    <w:p>
      <w:pPr>
        <w:spacing w:after="0" w:line="208"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Escrow Agent</w:t>
      </w:r>
      <w:r>
        <w:rPr>
          <w:rFonts w:ascii="Arial" w:cs="Arial" w:eastAsia="Arial" w:hAnsi="Arial"/>
          <w:sz w:val="20"/>
          <w:szCs w:val="20"/>
          <w:color w:val="auto"/>
        </w:rPr>
        <w:t>” means U.S. Bank, National Association.</w:t>
      </w:r>
    </w:p>
    <w:p>
      <w:pPr>
        <w:spacing w:after="0" w:line="200" w:lineRule="exact"/>
        <w:rPr>
          <w:sz w:val="20"/>
          <w:szCs w:val="20"/>
          <w:color w:val="auto"/>
        </w:rPr>
      </w:pPr>
    </w:p>
    <w:p>
      <w:pPr>
        <w:spacing w:after="0" w:line="208" w:lineRule="exact"/>
        <w:rPr>
          <w:sz w:val="20"/>
          <w:szCs w:val="20"/>
          <w:color w:val="auto"/>
        </w:rPr>
      </w:pPr>
    </w:p>
    <w:p>
      <w:pPr>
        <w:jc w:val="both"/>
        <w:ind w:firstLine="601"/>
        <w:spacing w:after="0" w:line="27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Escrow Agreement</w:t>
      </w:r>
      <w:r>
        <w:rPr>
          <w:rFonts w:ascii="Arial" w:cs="Arial" w:eastAsia="Arial" w:hAnsi="Arial"/>
          <w:sz w:val="20"/>
          <w:szCs w:val="20"/>
          <w:color w:val="auto"/>
        </w:rPr>
        <w:t>” means the escrow agreement, dated as of May 30, 2012, between the Company, the Insurer and the Escrow Agent and effective as of the DTFA Execution Date.</w:t>
      </w:r>
    </w:p>
    <w:p>
      <w:pPr>
        <w:spacing w:after="0" w:line="349"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Estimated Lump-Sum Data</w:t>
      </w:r>
      <w:r>
        <w:rPr>
          <w:rFonts w:ascii="Arial" w:cs="Arial" w:eastAsia="Arial" w:hAnsi="Arial"/>
          <w:sz w:val="20"/>
          <w:szCs w:val="20"/>
          <w:color w:val="auto"/>
        </w:rPr>
        <w:t xml:space="preserve">” is defined in </w:t>
      </w:r>
      <w:r>
        <w:rPr>
          <w:rFonts w:ascii="Arial" w:cs="Arial" w:eastAsia="Arial" w:hAnsi="Arial"/>
          <w:sz w:val="20"/>
          <w:szCs w:val="20"/>
          <w:u w:val="single" w:color="auto"/>
          <w:color w:val="auto"/>
        </w:rPr>
        <w:t>Section 2.5(d)</w:t>
      </w:r>
      <w:r>
        <w:rPr>
          <w:rFonts w:ascii="Arial" w:cs="Arial" w:eastAsia="Arial" w:hAnsi="Arial"/>
          <w:sz w:val="20"/>
          <w:szCs w:val="20"/>
          <w:color w:val="auto"/>
        </w:rPr>
        <w:t>.</w:t>
      </w:r>
    </w:p>
    <w:p>
      <w:pPr>
        <w:spacing w:after="0" w:line="200" w:lineRule="exact"/>
        <w:rPr>
          <w:sz w:val="20"/>
          <w:szCs w:val="20"/>
          <w:color w:val="auto"/>
        </w:rPr>
      </w:pPr>
    </w:p>
    <w:p>
      <w:pPr>
        <w:spacing w:after="0" w:line="208" w:lineRule="exact"/>
        <w:rPr>
          <w:sz w:val="20"/>
          <w:szCs w:val="20"/>
          <w:color w:val="auto"/>
        </w:rPr>
      </w:pPr>
    </w:p>
    <w:p>
      <w:pPr>
        <w:ind w:left="600"/>
        <w:spacing w:after="0"/>
        <w:tabs>
          <w:tab w:leader="none" w:pos="920" w:val="left"/>
          <w:tab w:leader="none" w:pos="1580" w:val="left"/>
          <w:tab w:leader="none" w:pos="2700" w:val="left"/>
          <w:tab w:leader="none" w:pos="3380" w:val="left"/>
          <w:tab w:leader="none" w:pos="4440" w:val="left"/>
          <w:tab w:leader="none" w:pos="5120" w:val="left"/>
          <w:tab w:leader="none" w:pos="6180" w:val="left"/>
          <w:tab w:leader="none" w:pos="6860" w:val="left"/>
          <w:tab w:leader="none" w:pos="7920" w:val="left"/>
          <w:tab w:leader="none" w:pos="8600" w:val="left"/>
          <w:tab w:leader="none" w:pos="9720" w:val="left"/>
          <w:tab w:leader="none" w:pos="10380" w:val="left"/>
        </w:tabs>
        <w:rPr>
          <w:sz w:val="20"/>
          <w:szCs w:val="20"/>
          <w:color w:val="auto"/>
        </w:rPr>
      </w:pPr>
      <w:r>
        <w:rPr>
          <w:rFonts w:ascii="Arial" w:cs="Arial" w:eastAsia="Arial" w:hAnsi="Arial"/>
          <w:sz w:val="20"/>
          <w:szCs w:val="20"/>
          <w:color w:val="auto"/>
        </w:rPr>
        <w:t>[</w:t>
      </w:r>
      <w:r>
        <w:rPr>
          <w:sz w:val="20"/>
          <w:szCs w:val="20"/>
          <w:color w:val="auto"/>
        </w:rPr>
        <w:tab/>
      </w:r>
      <w:r>
        <w:rPr>
          <w:rFonts w:ascii="Arial" w:cs="Arial" w:eastAsia="Arial" w:hAnsi="Arial"/>
          <w:sz w:val="20"/>
          <w:szCs w:val="20"/>
          <w:color w:val="auto"/>
        </w:rPr>
        <w:t>***</w:t>
      </w:r>
      <w:r>
        <w:rPr>
          <w:sz w:val="20"/>
          <w:szCs w:val="20"/>
          <w:color w:val="auto"/>
        </w:rPr>
        <w:tab/>
      </w:r>
      <w:r>
        <w:rPr>
          <w:rFonts w:ascii="Arial" w:cs="Arial" w:eastAsia="Arial" w:hAnsi="Arial"/>
          <w:sz w:val="20"/>
          <w:szCs w:val="20"/>
          <w:color w:val="auto"/>
        </w:rPr>
        <w:t>] Newco, [</w:t>
        <w:tab/>
        <w:t>***</w:t>
      </w:r>
      <w:r>
        <w:rPr>
          <w:sz w:val="20"/>
          <w:szCs w:val="20"/>
          <w:color w:val="auto"/>
        </w:rPr>
        <w:tab/>
      </w:r>
      <w:r>
        <w:rPr>
          <w:rFonts w:ascii="Arial" w:cs="Arial" w:eastAsia="Arial" w:hAnsi="Arial"/>
          <w:sz w:val="20"/>
          <w:szCs w:val="20"/>
          <w:color w:val="auto"/>
        </w:rPr>
        <w:t>] Newco [</w:t>
        <w:tab/>
        <w:t>***</w:t>
      </w:r>
      <w:r>
        <w:rPr>
          <w:sz w:val="20"/>
          <w:szCs w:val="20"/>
          <w:color w:val="auto"/>
        </w:rPr>
        <w:tab/>
      </w:r>
      <w:r>
        <w:rPr>
          <w:rFonts w:ascii="Arial" w:cs="Arial" w:eastAsia="Arial" w:hAnsi="Arial"/>
          <w:sz w:val="20"/>
          <w:szCs w:val="20"/>
          <w:color w:val="auto"/>
        </w:rPr>
        <w:t>] Newco [</w:t>
        <w:tab/>
        <w:t>***</w:t>
      </w:r>
      <w:r>
        <w:rPr>
          <w:sz w:val="20"/>
          <w:szCs w:val="20"/>
          <w:color w:val="auto"/>
        </w:rPr>
        <w:tab/>
      </w:r>
      <w:r>
        <w:rPr>
          <w:rFonts w:ascii="Arial" w:cs="Arial" w:eastAsia="Arial" w:hAnsi="Arial"/>
          <w:sz w:val="20"/>
          <w:szCs w:val="20"/>
          <w:color w:val="auto"/>
        </w:rPr>
        <w:t>] Newco [</w:t>
        <w:tab/>
        <w:t>***</w:t>
      </w:r>
      <w:r>
        <w:rPr>
          <w:sz w:val="20"/>
          <w:szCs w:val="20"/>
          <w:color w:val="auto"/>
        </w:rPr>
        <w:tab/>
      </w:r>
      <w:r>
        <w:rPr>
          <w:rFonts w:ascii="Arial" w:cs="Arial" w:eastAsia="Arial" w:hAnsi="Arial"/>
          <w:sz w:val="20"/>
          <w:szCs w:val="20"/>
          <w:color w:val="auto"/>
        </w:rPr>
        <w:t>] Newco, [</w:t>
      </w:r>
      <w:r>
        <w:rPr>
          <w:sz w:val="20"/>
          <w:szCs w:val="20"/>
          <w:color w:val="auto"/>
        </w:rPr>
        <w:tab/>
      </w:r>
      <w:r>
        <w:rPr>
          <w:rFonts w:ascii="Arial" w:cs="Arial" w:eastAsia="Arial" w:hAnsi="Arial"/>
          <w:sz w:val="20"/>
          <w:szCs w:val="20"/>
          <w:color w:val="auto"/>
        </w:rPr>
        <w:t>***</w:t>
      </w:r>
      <w:r>
        <w:rPr>
          <w:sz w:val="20"/>
          <w:szCs w:val="20"/>
          <w:color w:val="auto"/>
        </w:rPr>
        <w:tab/>
      </w:r>
      <w:r>
        <w:rPr>
          <w:rFonts w:ascii="Arial" w:cs="Arial" w:eastAsia="Arial" w:hAnsi="Arial"/>
          <w:sz w:val="19"/>
          <w:szCs w:val="19"/>
          <w:color w:val="auto"/>
        </w:rPr>
        <w:t>] Newco [</w:t>
      </w:r>
    </w:p>
    <w:p>
      <w:pPr>
        <w:spacing w:after="0" w:line="26" w:lineRule="exact"/>
        <w:rPr>
          <w:sz w:val="20"/>
          <w:szCs w:val="20"/>
          <w:color w:val="auto"/>
        </w:rPr>
      </w:pPr>
    </w:p>
    <w:p>
      <w:pPr>
        <w:ind w:left="660" w:hanging="660"/>
        <w:spacing w:after="0"/>
        <w:tabs>
          <w:tab w:leader="none" w:pos="660" w:val="left"/>
        </w:tabs>
        <w:numPr>
          <w:ilvl w:val="0"/>
          <w:numId w:val="3"/>
        </w:numPr>
        <w:rPr>
          <w:rFonts w:ascii="Arial" w:cs="Arial" w:eastAsia="Arial" w:hAnsi="Arial"/>
          <w:sz w:val="20"/>
          <w:szCs w:val="20"/>
          <w:color w:val="auto"/>
        </w:rPr>
      </w:pPr>
      <w:r>
        <w:rPr>
          <w:rFonts w:ascii="Arial" w:cs="Arial" w:eastAsia="Arial" w:hAnsi="Arial"/>
          <w:sz w:val="20"/>
          <w:szCs w:val="20"/>
          <w:color w:val="auto"/>
        </w:rPr>
        <w:t>] Newco.</w:t>
      </w:r>
    </w:p>
    <w:p>
      <w:pPr>
        <w:spacing w:after="0" w:line="390"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Expected Data Finalization Date</w:t>
      </w:r>
      <w:r>
        <w:rPr>
          <w:rFonts w:ascii="Arial" w:cs="Arial" w:eastAsia="Arial" w:hAnsi="Arial"/>
          <w:sz w:val="20"/>
          <w:szCs w:val="20"/>
          <w:color w:val="auto"/>
        </w:rPr>
        <w:t>” is defined in the Group Annuity Contract.</w:t>
      </w:r>
    </w:p>
    <w:p>
      <w:pPr>
        <w:spacing w:after="0" w:line="200" w:lineRule="exact"/>
        <w:rPr>
          <w:sz w:val="20"/>
          <w:szCs w:val="20"/>
          <w:color w:val="auto"/>
        </w:rPr>
      </w:pPr>
    </w:p>
    <w:p>
      <w:pPr>
        <w:spacing w:after="0" w:line="208"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Extension Period</w:t>
      </w:r>
      <w:r>
        <w:rPr>
          <w:rFonts w:ascii="Arial" w:cs="Arial" w:eastAsia="Arial" w:hAnsi="Arial"/>
          <w:sz w:val="20"/>
          <w:szCs w:val="20"/>
          <w:color w:val="auto"/>
        </w:rPr>
        <w:t xml:space="preserve">” is defined in </w:t>
      </w:r>
      <w:r>
        <w:rPr>
          <w:rFonts w:ascii="Arial" w:cs="Arial" w:eastAsia="Arial" w:hAnsi="Arial"/>
          <w:sz w:val="20"/>
          <w:szCs w:val="20"/>
          <w:u w:val="single" w:color="auto"/>
          <w:color w:val="auto"/>
        </w:rPr>
        <w:t>Section 10.2(d)(i)</w:t>
      </w:r>
      <w:r>
        <w:rPr>
          <w:rFonts w:ascii="Arial" w:cs="Arial" w:eastAsia="Arial" w:hAnsi="Arial"/>
          <w:sz w:val="20"/>
          <w:szCs w:val="20"/>
          <w:color w:val="auto"/>
        </w:rPr>
        <w:t>.</w:t>
      </w:r>
    </w:p>
    <w:p>
      <w:pPr>
        <w:spacing w:after="0" w:line="200" w:lineRule="exact"/>
        <w:rPr>
          <w:sz w:val="20"/>
          <w:szCs w:val="20"/>
          <w:color w:val="auto"/>
        </w:rPr>
      </w:pPr>
    </w:p>
    <w:p>
      <w:pPr>
        <w:spacing w:after="0" w:line="208"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Fidelity</w:t>
      </w:r>
      <w:r>
        <w:rPr>
          <w:rFonts w:ascii="Arial" w:cs="Arial" w:eastAsia="Arial" w:hAnsi="Arial"/>
          <w:sz w:val="20"/>
          <w:szCs w:val="20"/>
          <w:color w:val="auto"/>
        </w:rPr>
        <w:t>” means Fidelity Workplace Services, LLC.</w:t>
      </w:r>
    </w:p>
    <w:p>
      <w:pPr>
        <w:spacing w:after="0" w:line="200" w:lineRule="exact"/>
        <w:rPr>
          <w:sz w:val="20"/>
          <w:szCs w:val="20"/>
          <w:color w:val="auto"/>
        </w:rPr>
      </w:pPr>
    </w:p>
    <w:p>
      <w:pPr>
        <w:spacing w:after="0" w:line="208"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Final Asset Statement</w:t>
      </w:r>
      <w:r>
        <w:rPr>
          <w:rFonts w:ascii="Arial" w:cs="Arial" w:eastAsia="Arial" w:hAnsi="Arial"/>
          <w:sz w:val="20"/>
          <w:szCs w:val="20"/>
          <w:color w:val="auto"/>
        </w:rPr>
        <w:t xml:space="preserve">” is defined in </w:t>
      </w:r>
      <w:r>
        <w:rPr>
          <w:rFonts w:ascii="Arial" w:cs="Arial" w:eastAsia="Arial" w:hAnsi="Arial"/>
          <w:sz w:val="20"/>
          <w:szCs w:val="20"/>
          <w:u w:val="single" w:color="auto"/>
          <w:color w:val="auto"/>
        </w:rPr>
        <w:t>Section 2.6(a)</w:t>
      </w:r>
      <w:r>
        <w:rPr>
          <w:rFonts w:ascii="Arial" w:cs="Arial" w:eastAsia="Arial" w:hAnsi="Arial"/>
          <w:sz w:val="20"/>
          <w:szCs w:val="20"/>
          <w:color w:val="auto"/>
        </w:rPr>
        <w:t>.</w:t>
      </w:r>
    </w:p>
    <w:p>
      <w:pPr>
        <w:spacing w:after="0" w:line="200" w:lineRule="exact"/>
        <w:rPr>
          <w:sz w:val="20"/>
          <w:szCs w:val="20"/>
          <w:color w:val="auto"/>
        </w:rPr>
      </w:pPr>
    </w:p>
    <w:p>
      <w:pPr>
        <w:spacing w:after="0" w:line="208" w:lineRule="exact"/>
        <w:rPr>
          <w:sz w:val="20"/>
          <w:szCs w:val="20"/>
          <w:color w:val="auto"/>
        </w:rPr>
      </w:pPr>
    </w:p>
    <w:p>
      <w:pPr>
        <w:jc w:val="both"/>
        <w:ind w:firstLine="601"/>
        <w:spacing w:after="0" w:line="25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Final Additional Classification Errors Correction</w:t>
      </w:r>
      <w:r>
        <w:rPr>
          <w:rFonts w:ascii="Arial" w:cs="Arial" w:eastAsia="Arial" w:hAnsi="Arial"/>
          <w:sz w:val="20"/>
          <w:szCs w:val="20"/>
          <w:color w:val="auto"/>
        </w:rPr>
        <w:t xml:space="preserve">” means the Additional Classification Errors Correction, as calculated by the Insurer as of the Annuity Commencement Date (or if no Interim Post-Closing Post-Solicitation Premium was delivered, the date that is 30 days prior to the Target Closing Date) and taking into account Additional Classification Errors that are reported to the Insurer on or after the Interim Corrections Calculation Date and prior to the date that is 7 days prior to the date that the calculation of the Post-Closing Final Premium is delivered pursuant to </w:t>
      </w:r>
      <w:r>
        <w:rPr>
          <w:rFonts w:ascii="Arial" w:cs="Arial" w:eastAsia="Arial" w:hAnsi="Arial"/>
          <w:sz w:val="20"/>
          <w:szCs w:val="20"/>
          <w:u w:val="single" w:color="auto"/>
          <w:color w:val="auto"/>
        </w:rPr>
        <w:t>Section 2.11(c)(ii)</w:t>
      </w:r>
      <w:r>
        <w:rPr>
          <w:rFonts w:ascii="Arial" w:cs="Arial" w:eastAsia="Arial" w:hAnsi="Arial"/>
          <w:sz w:val="20"/>
          <w:szCs w:val="20"/>
          <w:color w:val="auto"/>
        </w:rPr>
        <w:t>.</w:t>
      </w:r>
    </w:p>
    <w:p>
      <w:pPr>
        <w:spacing w:after="0" w:line="368" w:lineRule="exact"/>
        <w:rPr>
          <w:sz w:val="20"/>
          <w:szCs w:val="20"/>
          <w:color w:val="auto"/>
        </w:rPr>
      </w:pPr>
    </w:p>
    <w:p>
      <w:pPr>
        <w:jc w:val="both"/>
        <w:ind w:firstLine="601"/>
        <w:spacing w:after="0" w:line="25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Final Benefit Amount Correction</w:t>
      </w:r>
      <w:r>
        <w:rPr>
          <w:rFonts w:ascii="Arial" w:cs="Arial" w:eastAsia="Arial" w:hAnsi="Arial"/>
          <w:sz w:val="20"/>
          <w:szCs w:val="20"/>
          <w:color w:val="auto"/>
        </w:rPr>
        <w:t xml:space="preserve">” means the Benefit Amount Correction, as calculated by the Insurer as of the Annuity Commencement Date and taking into account Benefit Amount Increases that are discovered by the Insurer on or after the Interim Corrections Calculation Date (or if no Interim Post-Closing Post-Solicitation Premium was delivered, the date that is 30 days prior to the Target Closing Date) and prior to the date that is 7 days prior to the date that the calculation of the Post-Closing Final Premium is delivered pursuant to </w:t>
      </w:r>
      <w:r>
        <w:rPr>
          <w:rFonts w:ascii="Arial" w:cs="Arial" w:eastAsia="Arial" w:hAnsi="Arial"/>
          <w:sz w:val="20"/>
          <w:szCs w:val="20"/>
          <w:u w:val="single" w:color="auto"/>
          <w:color w:val="auto"/>
        </w:rPr>
        <w:t>Section 2.11(c)(ii)</w:t>
      </w:r>
      <w:r>
        <w:rPr>
          <w:rFonts w:ascii="Arial" w:cs="Arial" w:eastAsia="Arial" w:hAnsi="Arial"/>
          <w:sz w:val="20"/>
          <w:szCs w:val="20"/>
          <w:color w:val="auto"/>
        </w:rPr>
        <w:t>.</w:t>
      </w:r>
    </w:p>
    <w:p>
      <w:pPr>
        <w:spacing w:after="0" w:line="368" w:lineRule="exact"/>
        <w:rPr>
          <w:sz w:val="20"/>
          <w:szCs w:val="20"/>
          <w:color w:val="auto"/>
        </w:rPr>
      </w:pPr>
    </w:p>
    <w:p>
      <w:pPr>
        <w:jc w:val="both"/>
        <w:ind w:firstLine="601"/>
        <w:spacing w:after="0" w:line="261"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Final</w:t>
      </w:r>
      <w:r>
        <w:rPr>
          <w:rFonts w:ascii="Arial" w:cs="Arial" w:eastAsia="Arial" w:hAnsi="Arial"/>
          <w:sz w:val="20"/>
          <w:szCs w:val="20"/>
          <w:color w:val="auto"/>
        </w:rPr>
        <w:t xml:space="preserve"> [ *** ]” means the [ *** ], as calculated by the Insurer as of the Annuity Commencement Date and taking into account Data Errors that are discovered by the Insurer on or after the Interim Corrections Calculation Date (or if no Interim Post-Closing Post-Solicitation Premium was delivered,</w:t>
      </w:r>
    </w:p>
    <w:p>
      <w:pPr>
        <w:sectPr>
          <w:pgSz w:w="11900" w:h="16838" w:orient="portrait"/>
          <w:cols w:equalWidth="0" w:num="1">
            <w:col w:w="11420"/>
          </w:cols>
          <w:pgMar w:left="240" w:top="757" w:right="239" w:bottom="515" w:gutter="0" w:footer="0" w:header="0"/>
        </w:sect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420"/>
          </w:cols>
          <w:pgMar w:left="240" w:top="757" w:right="239" w:bottom="515" w:gutter="0" w:footer="0" w:header="0"/>
          <w:type w:val="continuous"/>
        </w:sectPr>
      </w:pPr>
    </w:p>
    <w:bookmarkStart w:id="19" w:name="page20"/>
    <w:bookmarkEnd w:id="19"/>
    <w:p>
      <w:pPr>
        <w:jc w:val="both"/>
        <w:spacing w:after="0" w:line="275" w:lineRule="auto"/>
        <w:rPr>
          <w:sz w:val="20"/>
          <w:szCs w:val="20"/>
          <w:color w:val="auto"/>
        </w:rPr>
      </w:pPr>
      <w:r>
        <w:rPr>
          <w:rFonts w:ascii="Arial" w:cs="Arial" w:eastAsia="Arial" w:hAnsi="Arial"/>
          <w:sz w:val="20"/>
          <w:szCs w:val="20"/>
          <w:color w:val="auto"/>
        </w:rPr>
        <w:t xml:space="preserve">the date that is 30 days prior to the Target Closing Date) and prior to the date that is 7 days prior to the date that the calculation of the Post-Closing Final Premium is delivered pursuant to </w:t>
      </w:r>
      <w:r>
        <w:rPr>
          <w:rFonts w:ascii="Arial" w:cs="Arial" w:eastAsia="Arial" w:hAnsi="Arial"/>
          <w:sz w:val="20"/>
          <w:szCs w:val="20"/>
          <w:u w:val="single" w:color="auto"/>
          <w:color w:val="auto"/>
        </w:rPr>
        <w:t>Section 2.11(c)(ii)</w:t>
      </w:r>
      <w:r>
        <w:rPr>
          <w:rFonts w:ascii="Arial" w:cs="Arial" w:eastAsia="Arial" w:hAnsi="Arial"/>
          <w:sz w:val="20"/>
          <w:szCs w:val="20"/>
          <w:color w:val="auto"/>
        </w:rPr>
        <w:t>.</w:t>
      </w:r>
    </w:p>
    <w:p>
      <w:pPr>
        <w:spacing w:after="0" w:line="328" w:lineRule="exact"/>
        <w:rPr>
          <w:sz w:val="20"/>
          <w:szCs w:val="20"/>
          <w:color w:val="auto"/>
        </w:rPr>
      </w:pPr>
    </w:p>
    <w:tbl>
      <w:tblPr>
        <w:tblLayout w:type="fixed"/>
        <w:tblInd w:w="600" w:type="dxa"/>
        <w:tblCellMar>
          <w:top w:w="0" w:type="dxa"/>
          <w:left w:w="0" w:type="dxa"/>
          <w:bottom w:w="0" w:type="dxa"/>
          <w:right w:w="0" w:type="dxa"/>
        </w:tblCellMar>
      </w:tblPr>
      <w:tr>
        <w:trPr>
          <w:trHeight w:val="230"/>
        </w:trPr>
        <w:tc>
          <w:tcPr>
            <w:tcW w:w="880" w:type="dxa"/>
            <w:vAlign w:val="bottom"/>
            <w:gridSpan w:val="2"/>
          </w:tcPr>
          <w:p>
            <w:pPr>
              <w:spacing w:after="0"/>
              <w:rPr>
                <w:sz w:val="20"/>
                <w:szCs w:val="20"/>
                <w:color w:val="auto"/>
              </w:rPr>
            </w:pPr>
            <w:r>
              <w:rPr>
                <w:rFonts w:ascii="Arial" w:cs="Arial" w:eastAsia="Arial" w:hAnsi="Arial"/>
                <w:sz w:val="20"/>
                <w:szCs w:val="20"/>
                <w:color w:val="auto"/>
              </w:rPr>
              <w:t>“[   ***</w:t>
            </w:r>
          </w:p>
        </w:tc>
        <w:tc>
          <w:tcPr>
            <w:tcW w:w="3020" w:type="dxa"/>
            <w:vAlign w:val="bottom"/>
            <w:gridSpan w:val="4"/>
          </w:tcPr>
          <w:p>
            <w:pPr>
              <w:ind w:left="180"/>
              <w:spacing w:after="0"/>
              <w:rPr>
                <w:sz w:val="20"/>
                <w:szCs w:val="20"/>
                <w:color w:val="auto"/>
              </w:rPr>
            </w:pPr>
            <w:r>
              <w:rPr>
                <w:rFonts w:ascii="Arial" w:cs="Arial" w:eastAsia="Arial" w:hAnsi="Arial"/>
                <w:sz w:val="20"/>
                <w:szCs w:val="20"/>
                <w:color w:val="auto"/>
                <w:w w:val="99"/>
              </w:rPr>
              <w:t>]” is defined in Section 2.5(e)(ii).</w:t>
            </w:r>
          </w:p>
        </w:tc>
        <w:tc>
          <w:tcPr>
            <w:tcW w:w="660" w:type="dxa"/>
            <w:vAlign w:val="bottom"/>
          </w:tcPr>
          <w:p>
            <w:pPr>
              <w:spacing w:after="0"/>
              <w:rPr>
                <w:sz w:val="19"/>
                <w:szCs w:val="19"/>
                <w:color w:val="auto"/>
              </w:rPr>
            </w:pPr>
          </w:p>
        </w:tc>
        <w:tc>
          <w:tcPr>
            <w:tcW w:w="6260" w:type="dxa"/>
            <w:vAlign w:val="bottom"/>
          </w:tcPr>
          <w:p>
            <w:pPr>
              <w:spacing w:after="0"/>
              <w:rPr>
                <w:sz w:val="19"/>
                <w:szCs w:val="19"/>
                <w:color w:val="auto"/>
              </w:rPr>
            </w:pPr>
          </w:p>
        </w:tc>
      </w:tr>
      <w:tr>
        <w:trPr>
          <w:trHeight w:val="20"/>
        </w:trPr>
        <w:tc>
          <w:tcPr>
            <w:tcW w:w="8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r>
      <w:tr>
        <w:trPr>
          <w:trHeight w:val="618"/>
        </w:trPr>
        <w:tc>
          <w:tcPr>
            <w:tcW w:w="3900" w:type="dxa"/>
            <w:vAlign w:val="bottom"/>
            <w:gridSpan w:val="6"/>
          </w:tcPr>
          <w:p>
            <w:pPr>
              <w:spacing w:after="0"/>
              <w:rPr>
                <w:sz w:val="20"/>
                <w:szCs w:val="20"/>
                <w:color w:val="auto"/>
              </w:rPr>
            </w:pPr>
            <w:r>
              <w:rPr>
                <w:rFonts w:ascii="Arial" w:cs="Arial" w:eastAsia="Arial" w:hAnsi="Arial"/>
                <w:sz w:val="20"/>
                <w:szCs w:val="20"/>
                <w:color w:val="auto"/>
                <w:w w:val="99"/>
              </w:rPr>
              <w:t>“Final Plan Portfolio” means the portfolio of [</w:t>
            </w:r>
          </w:p>
        </w:tc>
        <w:tc>
          <w:tcPr>
            <w:tcW w:w="660" w:type="dxa"/>
            <w:vAlign w:val="bottom"/>
          </w:tcPr>
          <w:p>
            <w:pPr>
              <w:jc w:val="right"/>
              <w:ind w:right="120"/>
              <w:spacing w:after="0"/>
              <w:rPr>
                <w:sz w:val="20"/>
                <w:szCs w:val="20"/>
                <w:color w:val="auto"/>
              </w:rPr>
            </w:pPr>
            <w:r>
              <w:rPr>
                <w:rFonts w:ascii="Arial" w:cs="Arial" w:eastAsia="Arial" w:hAnsi="Arial"/>
                <w:sz w:val="20"/>
                <w:szCs w:val="20"/>
                <w:color w:val="auto"/>
              </w:rPr>
              <w:t>***</w:t>
            </w:r>
          </w:p>
        </w:tc>
        <w:tc>
          <w:tcPr>
            <w:tcW w:w="6260" w:type="dxa"/>
            <w:vAlign w:val="bottom"/>
          </w:tcPr>
          <w:p>
            <w:pPr>
              <w:ind w:left="200"/>
              <w:spacing w:after="0"/>
              <w:rPr>
                <w:sz w:val="20"/>
                <w:szCs w:val="20"/>
                <w:color w:val="auto"/>
              </w:rPr>
            </w:pPr>
            <w:r>
              <w:rPr>
                <w:rFonts w:ascii="Arial" w:cs="Arial" w:eastAsia="Arial" w:hAnsi="Arial"/>
                <w:sz w:val="20"/>
                <w:szCs w:val="20"/>
                <w:color w:val="auto"/>
                <w:w w:val="91"/>
              </w:rPr>
              <w:t>] set forth on the Transferred Assets Schedule. For the avoidance of doubt,</w:t>
            </w:r>
          </w:p>
        </w:tc>
      </w:tr>
      <w:tr>
        <w:trPr>
          <w:trHeight w:val="20"/>
        </w:trPr>
        <w:tc>
          <w:tcPr>
            <w:tcW w:w="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r>
    </w:tbl>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the assets in Contract 300 Portfolio P at Closing are part of the Final Plan Portfolio.</w:t>
      </w:r>
    </w:p>
    <w:p>
      <w:pPr>
        <w:spacing w:after="0" w:line="200" w:lineRule="exact"/>
        <w:rPr>
          <w:sz w:val="20"/>
          <w:szCs w:val="20"/>
          <w:color w:val="auto"/>
        </w:rPr>
      </w:pPr>
    </w:p>
    <w:p>
      <w:pPr>
        <w:spacing w:after="0" w:line="208"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Final Pre-Closing Asset Valuation</w:t>
      </w:r>
      <w:r>
        <w:rPr>
          <w:rFonts w:ascii="Arial" w:cs="Arial" w:eastAsia="Arial" w:hAnsi="Arial"/>
          <w:sz w:val="20"/>
          <w:szCs w:val="20"/>
          <w:color w:val="auto"/>
        </w:rPr>
        <w:t xml:space="preserve">” is defined in </w:t>
      </w:r>
      <w:r>
        <w:rPr>
          <w:rFonts w:ascii="Arial" w:cs="Arial" w:eastAsia="Arial" w:hAnsi="Arial"/>
          <w:sz w:val="20"/>
          <w:szCs w:val="20"/>
          <w:u w:val="single" w:color="auto"/>
          <w:color w:val="auto"/>
        </w:rPr>
        <w:t>Section 2.6(e)</w:t>
      </w:r>
      <w:r>
        <w:rPr>
          <w:rFonts w:ascii="Arial" w:cs="Arial" w:eastAsia="Arial" w:hAnsi="Arial"/>
          <w:sz w:val="20"/>
          <w:szCs w:val="20"/>
          <w:color w:val="auto"/>
        </w:rPr>
        <w:t>.</w:t>
      </w:r>
    </w:p>
    <w:p>
      <w:pPr>
        <w:spacing w:after="0" w:line="200" w:lineRule="exact"/>
        <w:rPr>
          <w:sz w:val="20"/>
          <w:szCs w:val="20"/>
          <w:color w:val="auto"/>
        </w:rPr>
      </w:pPr>
    </w:p>
    <w:p>
      <w:pPr>
        <w:spacing w:after="0" w:line="208" w:lineRule="exact"/>
        <w:rPr>
          <w:sz w:val="20"/>
          <w:szCs w:val="20"/>
          <w:color w:val="auto"/>
        </w:rPr>
      </w:pPr>
    </w:p>
    <w:p>
      <w:pPr>
        <w:jc w:val="both"/>
        <w:ind w:firstLine="601"/>
        <w:spacing w:after="0" w:line="27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Final Single Life Mortality Correction</w:t>
      </w:r>
      <w:r>
        <w:rPr>
          <w:rFonts w:ascii="Arial" w:cs="Arial" w:eastAsia="Arial" w:hAnsi="Arial"/>
          <w:sz w:val="19"/>
          <w:szCs w:val="19"/>
          <w:color w:val="auto"/>
        </w:rPr>
        <w:t xml:space="preserve">” means the Single Life Mortality Correction, as calculated by the Insurer as of the Annuity Commencement Date, and taking into account the death of any Covered Life prior to the Annuity Commencement Date who elected a Single Life Annuity that is discovered by the Insurer on or after the Interim Corrections Calculation Date (or if no Interim Post-Closing Post-Solicitation Premium was delivered, the date that is 30 days prior to the Target Closing Date) and prior to the date that is 7 days prior to the date that the calculation of the Post-Closing Final Premium is delivered pursuant to </w:t>
      </w:r>
      <w:r>
        <w:rPr>
          <w:rFonts w:ascii="Arial" w:cs="Arial" w:eastAsia="Arial" w:hAnsi="Arial"/>
          <w:sz w:val="19"/>
          <w:szCs w:val="19"/>
          <w:u w:val="single" w:color="auto"/>
          <w:color w:val="auto"/>
        </w:rPr>
        <w:t>Section 2.11(c)(ii)</w:t>
      </w:r>
      <w:r>
        <w:rPr>
          <w:rFonts w:ascii="Arial" w:cs="Arial" w:eastAsia="Arial" w:hAnsi="Arial"/>
          <w:sz w:val="19"/>
          <w:szCs w:val="19"/>
          <w:color w:val="auto"/>
        </w:rPr>
        <w:t>.</w:t>
      </w:r>
    </w:p>
    <w:p>
      <w:pPr>
        <w:spacing w:after="0" w:line="356"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Firm Limit</w:t>
      </w:r>
      <w:r>
        <w:rPr>
          <w:rFonts w:ascii="Arial" w:cs="Arial" w:eastAsia="Arial" w:hAnsi="Arial"/>
          <w:sz w:val="20"/>
          <w:szCs w:val="20"/>
          <w:color w:val="auto"/>
        </w:rPr>
        <w:t>” is defined in Section I of the Procedures Manual.</w:t>
      </w:r>
    </w:p>
    <w:p>
      <w:pPr>
        <w:sectPr>
          <w:pgSz w:w="11900" w:h="16838" w:orient="portrait"/>
          <w:cols w:equalWidth="0" w:num="1">
            <w:col w:w="11420"/>
          </w:cols>
          <w:pgMar w:left="240" w:top="757" w:right="239" w:bottom="1440" w:gutter="0" w:footer="0" w:header="0"/>
        </w:sectPr>
      </w:pP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0" w:type="dxa"/>
            <w:vAlign w:val="bottom"/>
          </w:tcPr>
          <w:p>
            <w:pPr>
              <w:jc w:val="right"/>
              <w:spacing w:after="0"/>
              <w:rPr>
                <w:sz w:val="20"/>
                <w:szCs w:val="20"/>
                <w:color w:val="auto"/>
              </w:rPr>
            </w:pPr>
            <w:r>
              <w:rPr>
                <w:rFonts w:ascii="Arial" w:cs="Arial" w:eastAsia="Arial" w:hAnsi="Arial"/>
                <w:sz w:val="20"/>
                <w:szCs w:val="20"/>
                <w:color w:val="auto"/>
              </w:rPr>
              <w:t>“[</w:t>
            </w:r>
          </w:p>
        </w:tc>
        <w:tc>
          <w:tcPr>
            <w:tcW w:w="640" w:type="dxa"/>
            <w:vAlign w:val="bottom"/>
          </w:tcPr>
          <w:p>
            <w:pPr>
              <w:jc w:val="right"/>
              <w:ind w:right="80"/>
              <w:spacing w:after="0"/>
              <w:rPr>
                <w:sz w:val="20"/>
                <w:szCs w:val="20"/>
                <w:color w:val="auto"/>
              </w:rPr>
            </w:pPr>
            <w:r>
              <w:rPr>
                <w:rFonts w:ascii="Arial" w:cs="Arial" w:eastAsia="Arial" w:hAnsi="Arial"/>
                <w:sz w:val="20"/>
                <w:szCs w:val="20"/>
                <w:color w:val="auto"/>
              </w:rPr>
              <w:t>***</w:t>
            </w:r>
          </w:p>
        </w:tc>
        <w:tc>
          <w:tcPr>
            <w:tcW w:w="3040" w:type="dxa"/>
            <w:vAlign w:val="bottom"/>
            <w:gridSpan w:val="3"/>
          </w:tcPr>
          <w:p>
            <w:pPr>
              <w:ind w:left="200"/>
              <w:spacing w:after="0"/>
              <w:rPr>
                <w:sz w:val="20"/>
                <w:szCs w:val="20"/>
                <w:color w:val="auto"/>
              </w:rPr>
            </w:pPr>
            <w:r>
              <w:rPr>
                <w:rFonts w:ascii="Arial" w:cs="Arial" w:eastAsia="Arial" w:hAnsi="Arial"/>
                <w:sz w:val="20"/>
                <w:szCs w:val="20"/>
                <w:color w:val="auto"/>
                <w:w w:val="91"/>
              </w:rPr>
              <w:t>] Assets” means a total amount of [</w:t>
            </w:r>
          </w:p>
        </w:tc>
      </w:tr>
      <w:tr>
        <w:trPr>
          <w:trHeight w:val="20"/>
        </w:trPr>
        <w:tc>
          <w:tcPr>
            <w:tcW w:w="8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265"/>
        </w:trPr>
        <w:tc>
          <w:tcPr>
            <w:tcW w:w="860" w:type="dxa"/>
            <w:vAlign w:val="bottom"/>
          </w:tcPr>
          <w:p>
            <w:pPr>
              <w:jc w:val="right"/>
              <w:ind w:right="140"/>
              <w:spacing w:after="0"/>
              <w:rPr>
                <w:sz w:val="20"/>
                <w:szCs w:val="20"/>
                <w:color w:val="auto"/>
              </w:rPr>
            </w:pPr>
            <w:r>
              <w:rPr>
                <w:rFonts w:ascii="Arial" w:cs="Arial" w:eastAsia="Arial" w:hAnsi="Arial"/>
                <w:sz w:val="20"/>
                <w:szCs w:val="20"/>
                <w:color w:val="auto"/>
              </w:rPr>
              <w:t>[   ***</w:t>
            </w:r>
          </w:p>
        </w:tc>
        <w:tc>
          <w:tcPr>
            <w:tcW w:w="3680" w:type="dxa"/>
            <w:vAlign w:val="bottom"/>
            <w:gridSpan w:val="4"/>
          </w:tcPr>
          <w:p>
            <w:pPr>
              <w:ind w:left="100"/>
              <w:spacing w:after="0"/>
              <w:rPr>
                <w:sz w:val="20"/>
                <w:szCs w:val="20"/>
                <w:color w:val="auto"/>
              </w:rPr>
            </w:pPr>
            <w:r>
              <w:rPr>
                <w:rFonts w:ascii="Arial" w:cs="Arial" w:eastAsia="Arial" w:hAnsi="Arial"/>
                <w:sz w:val="20"/>
                <w:szCs w:val="20"/>
                <w:color w:val="auto"/>
              </w:rPr>
              <w:t>], but in no event to be less than [   ***</w:t>
            </w:r>
          </w:p>
        </w:tc>
      </w:tr>
    </w:tbl>
    <w:p>
      <w:pPr>
        <w:spacing w:after="0" w:line="20" w:lineRule="exact"/>
        <w:rPr>
          <w:sz w:val="20"/>
          <w:szCs w:val="20"/>
          <w:color w:val="auto"/>
        </w:rPr>
      </w:pPr>
      <w:r>
        <w:rPr>
          <w:sz w:val="20"/>
          <w:szCs w:val="20"/>
          <w:color w:val="auto"/>
        </w:rPr>
        <w:br w:type="column"/>
      </w:r>
    </w:p>
    <w:p>
      <w:pPr>
        <w:spacing w:after="0" w:line="388" w:lineRule="exact"/>
        <w:rPr>
          <w:sz w:val="20"/>
          <w:szCs w:val="20"/>
          <w:color w:val="auto"/>
        </w:rPr>
      </w:pPr>
    </w:p>
    <w:p>
      <w:pPr>
        <w:ind w:firstLine="265"/>
        <w:spacing w:after="0" w:line="275" w:lineRule="auto"/>
        <w:rPr>
          <w:sz w:val="20"/>
          <w:szCs w:val="20"/>
          <w:color w:val="auto"/>
        </w:rPr>
      </w:pPr>
      <w:r>
        <w:rPr>
          <w:rFonts w:ascii="Arial" w:cs="Arial" w:eastAsia="Arial" w:hAnsi="Arial"/>
          <w:sz w:val="20"/>
          <w:szCs w:val="20"/>
          <w:color w:val="auto"/>
        </w:rPr>
        <w:t>*** ] up to the lesser of (</w:t>
      </w:r>
      <w:r>
        <w:rPr>
          <w:rFonts w:ascii="Arial" w:cs="Arial" w:eastAsia="Arial" w:hAnsi="Arial"/>
          <w:sz w:val="20"/>
          <w:szCs w:val="20"/>
          <w:u w:val="single" w:color="auto"/>
          <w:color w:val="auto"/>
        </w:rPr>
        <w:t>a</w:t>
      </w:r>
      <w:r>
        <w:rPr>
          <w:rFonts w:ascii="Arial" w:cs="Arial" w:eastAsia="Arial" w:hAnsi="Arial"/>
          <w:sz w:val="20"/>
          <w:szCs w:val="20"/>
          <w:color w:val="auto"/>
        </w:rPr>
        <w:t>) [ *** ] of the Closing Final Premium or (</w:t>
      </w:r>
      <w:r>
        <w:rPr>
          <w:rFonts w:ascii="Arial" w:cs="Arial" w:eastAsia="Arial" w:hAnsi="Arial"/>
          <w:sz w:val="20"/>
          <w:szCs w:val="20"/>
          <w:u w:val="single" w:color="auto"/>
          <w:color w:val="auto"/>
        </w:rPr>
        <w:t>b</w:t>
      </w:r>
      <w:r>
        <w:rPr>
          <w:rFonts w:ascii="Arial" w:cs="Arial" w:eastAsia="Arial" w:hAnsi="Arial"/>
          <w:sz w:val="20"/>
          <w:szCs w:val="20"/>
          <w:color w:val="auto"/>
        </w:rPr>
        <w:t>) ], as discussed in Section I of the Procedures Manual.</w:t>
      </w:r>
    </w:p>
    <w:p>
      <w:pPr>
        <w:spacing w:after="0" w:line="200" w:lineRule="exact"/>
        <w:rPr>
          <w:sz w:val="20"/>
          <w:szCs w:val="20"/>
          <w:color w:val="auto"/>
        </w:rPr>
      </w:pPr>
    </w:p>
    <w:p>
      <w:pPr>
        <w:sectPr>
          <w:pgSz w:w="11900" w:h="16838" w:orient="portrait"/>
          <w:cols w:equalWidth="0" w:num="2">
            <w:col w:w="4540" w:space="0"/>
            <w:col w:w="6880"/>
          </w:cols>
          <w:pgMar w:left="240" w:top="757" w:right="239" w:bottom="1440" w:gutter="0" w:footer="0" w:header="0"/>
          <w:type w:val="continuous"/>
        </w:sectPr>
      </w:pPr>
    </w:p>
    <w:p>
      <w:pPr>
        <w:spacing w:after="0" w:line="149"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FOA</w:t>
      </w:r>
      <w:r>
        <w:rPr>
          <w:rFonts w:ascii="Arial" w:cs="Arial" w:eastAsia="Arial" w:hAnsi="Arial"/>
          <w:sz w:val="20"/>
          <w:szCs w:val="20"/>
          <w:color w:val="auto"/>
        </w:rPr>
        <w:t>” is defined in Section A of the Procedures Manual.</w:t>
      </w:r>
    </w:p>
    <w:p>
      <w:pPr>
        <w:spacing w:after="0" w:line="200" w:lineRule="exact"/>
        <w:rPr>
          <w:sz w:val="20"/>
          <w:szCs w:val="20"/>
          <w:color w:val="auto"/>
        </w:rPr>
      </w:pPr>
    </w:p>
    <w:p>
      <w:pPr>
        <w:spacing w:after="0" w:line="208"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Form 500</w:t>
      </w:r>
      <w:r>
        <w:rPr>
          <w:rFonts w:ascii="Arial" w:cs="Arial" w:eastAsia="Arial" w:hAnsi="Arial"/>
          <w:sz w:val="20"/>
          <w:szCs w:val="20"/>
          <w:color w:val="auto"/>
        </w:rPr>
        <w:t>” means PBGC Form 500 filed in connection with the Plan's termination, and described in 29 C.F.R. § 4041.25.</w:t>
      </w:r>
    </w:p>
    <w:p>
      <w:pPr>
        <w:spacing w:after="0" w:line="200" w:lineRule="exact"/>
        <w:rPr>
          <w:sz w:val="20"/>
          <w:szCs w:val="20"/>
          <w:color w:val="auto"/>
        </w:rPr>
      </w:pPr>
    </w:p>
    <w:p>
      <w:pPr>
        <w:spacing w:after="0" w:line="208" w:lineRule="exact"/>
        <w:rPr>
          <w:sz w:val="20"/>
          <w:szCs w:val="20"/>
          <w:color w:val="auto"/>
        </w:rPr>
      </w:pPr>
    </w:p>
    <w:p>
      <w:pPr>
        <w:ind w:left="6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Form 501</w:t>
      </w:r>
      <w:r>
        <w:rPr>
          <w:rFonts w:ascii="Arial" w:cs="Arial" w:eastAsia="Arial" w:hAnsi="Arial"/>
          <w:sz w:val="19"/>
          <w:szCs w:val="19"/>
          <w:color w:val="auto"/>
        </w:rPr>
        <w:t>” means PBGC From 501 filed to certify the distribution of all Plan benefits, and described in 29 C.F.R. § 4041.29.</w:t>
      </w:r>
    </w:p>
    <w:p>
      <w:pPr>
        <w:spacing w:after="0" w:line="200" w:lineRule="exact"/>
        <w:rPr>
          <w:sz w:val="20"/>
          <w:szCs w:val="20"/>
          <w:color w:val="auto"/>
        </w:rPr>
      </w:pPr>
    </w:p>
    <w:p>
      <w:pPr>
        <w:spacing w:after="0" w:line="220" w:lineRule="exact"/>
        <w:rPr>
          <w:sz w:val="20"/>
          <w:szCs w:val="20"/>
          <w:color w:val="auto"/>
        </w:rPr>
      </w:pPr>
    </w:p>
    <w:p>
      <w:pPr>
        <w:jc w:val="both"/>
        <w:ind w:firstLine="601"/>
        <w:spacing w:after="0" w:line="27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GAAP</w:t>
      </w:r>
      <w:r>
        <w:rPr>
          <w:rFonts w:ascii="Arial" w:cs="Arial" w:eastAsia="Arial" w:hAnsi="Arial"/>
          <w:sz w:val="20"/>
          <w:szCs w:val="20"/>
          <w:color w:val="auto"/>
        </w:rPr>
        <w:t>” means United States generally accepted accounting principles and practices in effect from time to time applied consistently throughout the periods involved.</w:t>
      </w:r>
    </w:p>
    <w:p>
      <w:pPr>
        <w:spacing w:after="0" w:line="349" w:lineRule="exact"/>
        <w:rPr>
          <w:sz w:val="20"/>
          <w:szCs w:val="20"/>
          <w:color w:val="auto"/>
        </w:rPr>
      </w:pPr>
    </w:p>
    <w:p>
      <w:pPr>
        <w:jc w:val="both"/>
        <w:ind w:firstLine="601"/>
        <w:spacing w:after="0" w:line="261" w:lineRule="auto"/>
        <w:rPr>
          <w:sz w:val="20"/>
          <w:szCs w:val="20"/>
          <w:color w:val="auto"/>
        </w:rPr>
      </w:pPr>
      <w:r>
        <w:rPr>
          <w:rFonts w:ascii="Arial" w:cs="Arial" w:eastAsia="Arial" w:hAnsi="Arial"/>
          <w:sz w:val="20"/>
          <w:szCs w:val="20"/>
          <w:color w:val="auto"/>
        </w:rPr>
        <w:t>“[ *** ]” means the adjustment to the Dry-Run Post-Solicitation Premiums, the Preliminary Post-Solicitation Premium, the Interim Post-Closing Post-Solicitation Premium or the Post-Closing Post-Solicitation Premium, as applicable, as calculated in accordance with the methodology and procedures set forth in Section B of the Procedures Manual, as a result of a Data Error.</w:t>
      </w:r>
    </w:p>
    <w:p>
      <w:pPr>
        <w:spacing w:after="0" w:line="364"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General Account</w:t>
      </w:r>
      <w:r>
        <w:rPr>
          <w:rFonts w:ascii="Arial" w:cs="Arial" w:eastAsia="Arial" w:hAnsi="Arial"/>
          <w:sz w:val="20"/>
          <w:szCs w:val="20"/>
          <w:color w:val="auto"/>
        </w:rPr>
        <w:t>” means the Insurer's general account.</w:t>
      </w:r>
    </w:p>
    <w:p>
      <w:pPr>
        <w:spacing w:after="0" w:line="200" w:lineRule="exact"/>
        <w:rPr>
          <w:sz w:val="20"/>
          <w:szCs w:val="20"/>
          <w:color w:val="auto"/>
        </w:rPr>
      </w:pPr>
    </w:p>
    <w:p>
      <w:pPr>
        <w:spacing w:after="0" w:line="208"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Governmental Approval</w:t>
      </w:r>
      <w:r>
        <w:rPr>
          <w:rFonts w:ascii="Arial" w:cs="Arial" w:eastAsia="Arial" w:hAnsi="Arial"/>
          <w:sz w:val="20"/>
          <w:szCs w:val="20"/>
          <w:color w:val="auto"/>
        </w:rPr>
        <w:t>” means any Consent of a Governmental Authority.</w:t>
      </w:r>
    </w:p>
    <w:p>
      <w:pPr>
        <w:spacing w:after="0" w:line="200" w:lineRule="exact"/>
        <w:rPr>
          <w:sz w:val="20"/>
          <w:szCs w:val="20"/>
          <w:color w:val="auto"/>
        </w:rPr>
      </w:pPr>
    </w:p>
    <w:p>
      <w:pPr>
        <w:spacing w:after="0" w:line="208" w:lineRule="exact"/>
        <w:rPr>
          <w:sz w:val="20"/>
          <w:szCs w:val="20"/>
          <w:color w:val="auto"/>
        </w:rPr>
      </w:pPr>
    </w:p>
    <w:p>
      <w:pPr>
        <w:jc w:val="both"/>
        <w:ind w:firstLine="601"/>
        <w:spacing w:after="0" w:line="261"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Governmental Authority</w:t>
      </w:r>
      <w:r>
        <w:rPr>
          <w:rFonts w:ascii="Arial" w:cs="Arial" w:eastAsia="Arial" w:hAnsi="Arial"/>
          <w:sz w:val="20"/>
          <w:szCs w:val="20"/>
          <w:color w:val="auto"/>
        </w:rPr>
        <w:t>” means any federal, state, municipal, foreign or local government or quasi-governmental authority or any regulatory or administrative body, department, agency, insurance commission or commissioner, subdivision, court or other tribunal, arbitrator or arbitral body of any of the foregoing.</w:t>
      </w:r>
    </w:p>
    <w:p>
      <w:pPr>
        <w:spacing w:after="0" w:line="364" w:lineRule="exact"/>
        <w:rPr>
          <w:sz w:val="20"/>
          <w:szCs w:val="20"/>
          <w:color w:val="auto"/>
        </w:rPr>
      </w:pPr>
    </w:p>
    <w:p>
      <w:pPr>
        <w:jc w:val="both"/>
        <w:ind w:firstLine="601"/>
        <w:spacing w:after="0" w:line="27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Group Annuity Contract</w:t>
      </w:r>
      <w:r>
        <w:rPr>
          <w:rFonts w:ascii="Arial" w:cs="Arial" w:eastAsia="Arial" w:hAnsi="Arial"/>
          <w:sz w:val="20"/>
          <w:szCs w:val="20"/>
          <w:color w:val="auto"/>
        </w:rPr>
        <w:t xml:space="preserve">” means a single premium, non-participating group annuity contract, and all exhibits thereto, that amends and restates Contract 300 Article P and is issued by the Insurer in the form of </w:t>
      </w:r>
      <w:r>
        <w:rPr>
          <w:rFonts w:ascii="Arial" w:cs="Arial" w:eastAsia="Arial" w:hAnsi="Arial"/>
          <w:sz w:val="20"/>
          <w:szCs w:val="20"/>
          <w:u w:val="single" w:color="auto"/>
          <w:color w:val="auto"/>
        </w:rPr>
        <w:t>Appendix 1.1A</w:t>
      </w:r>
      <w:r>
        <w:rPr>
          <w:rFonts w:ascii="Arial" w:cs="Arial" w:eastAsia="Arial" w:hAnsi="Arial"/>
          <w:sz w:val="20"/>
          <w:szCs w:val="20"/>
          <w:color w:val="auto"/>
        </w:rPr>
        <w:t>.</w:t>
      </w:r>
    </w:p>
    <w:p>
      <w:pPr>
        <w:sectPr>
          <w:pgSz w:w="11900" w:h="16838" w:orient="portrait"/>
          <w:cols w:equalWidth="0" w:num="1">
            <w:col w:w="11420"/>
          </w:cols>
          <w:pgMar w:left="240" w:top="757" w:right="239" w:bottom="1440" w:gutter="0" w:footer="0" w:header="0"/>
          <w:type w:val="continuous"/>
        </w:sect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420"/>
          </w:cols>
          <w:pgMar w:left="240" w:top="757" w:right="239" w:bottom="1440" w:gutter="0" w:footer="0" w:header="0"/>
          <w:type w:val="continuous"/>
        </w:sectPr>
      </w:pPr>
    </w:p>
    <w:bookmarkStart w:id="20" w:name="page21"/>
    <w:bookmarkEnd w:id="20"/>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Group Annuity Contract Issuance</w:t>
      </w:r>
      <w:r>
        <w:rPr>
          <w:rFonts w:ascii="Arial" w:cs="Arial" w:eastAsia="Arial" w:hAnsi="Arial"/>
          <w:sz w:val="20"/>
          <w:szCs w:val="20"/>
          <w:color w:val="auto"/>
        </w:rPr>
        <w:t xml:space="preserve">” is defined in </w:t>
      </w:r>
      <w:r>
        <w:rPr>
          <w:rFonts w:ascii="Arial" w:cs="Arial" w:eastAsia="Arial" w:hAnsi="Arial"/>
          <w:sz w:val="20"/>
          <w:szCs w:val="20"/>
          <w:u w:val="single" w:color="auto"/>
          <w:color w:val="auto"/>
        </w:rPr>
        <w:t>Section 2.1(a)</w:t>
      </w:r>
      <w:r>
        <w:rPr>
          <w:rFonts w:ascii="Arial" w:cs="Arial" w:eastAsia="Arial" w:hAnsi="Arial"/>
          <w:sz w:val="20"/>
          <w:szCs w:val="20"/>
          <w:color w:val="auto"/>
        </w:rPr>
        <w:t>.</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440" w:type="dxa"/>
            <w:vAlign w:val="bottom"/>
            <w:gridSpan w:val="3"/>
          </w:tcPr>
          <w:p>
            <w:pPr>
              <w:ind w:left="600"/>
              <w:spacing w:after="0"/>
              <w:rPr>
                <w:sz w:val="20"/>
                <w:szCs w:val="20"/>
                <w:color w:val="auto"/>
              </w:rPr>
            </w:pPr>
            <w:r>
              <w:rPr>
                <w:rFonts w:ascii="Arial" w:cs="Arial" w:eastAsia="Arial" w:hAnsi="Arial"/>
                <w:sz w:val="20"/>
                <w:szCs w:val="20"/>
                <w:color w:val="auto"/>
                <w:w w:val="94"/>
              </w:rPr>
              <w:t>“Guaranteed Separate Account” means the Insurer's dedicated, non-commingled separate account identified as [   ***</w:t>
            </w:r>
          </w:p>
        </w:tc>
        <w:tc>
          <w:tcPr>
            <w:tcW w:w="980" w:type="dxa"/>
            <w:vAlign w:val="bottom"/>
          </w:tcPr>
          <w:p>
            <w:pPr>
              <w:ind w:left="200"/>
              <w:spacing w:after="0"/>
              <w:rPr>
                <w:sz w:val="20"/>
                <w:szCs w:val="20"/>
                <w:color w:val="auto"/>
              </w:rPr>
            </w:pPr>
            <w:r>
              <w:rPr>
                <w:rFonts w:ascii="Arial" w:cs="Arial" w:eastAsia="Arial" w:hAnsi="Arial"/>
                <w:sz w:val="20"/>
                <w:szCs w:val="20"/>
                <w:color w:val="auto"/>
                <w:w w:val="97"/>
              </w:rPr>
              <w:t>] that will</w:t>
            </w:r>
          </w:p>
        </w:tc>
      </w:tr>
      <w:tr>
        <w:trPr>
          <w:trHeight w:val="20"/>
        </w:trPr>
        <w:tc>
          <w:tcPr>
            <w:tcW w:w="680" w:type="dxa"/>
            <w:vAlign w:val="bottom"/>
          </w:tcPr>
          <w:p>
            <w:pPr>
              <w:spacing w:after="0" w:line="20" w:lineRule="exact"/>
              <w:rPr>
                <w:sz w:val="1"/>
                <w:szCs w:val="1"/>
                <w:color w:val="auto"/>
              </w:rPr>
            </w:pPr>
          </w:p>
        </w:tc>
        <w:tc>
          <w:tcPr>
            <w:tcW w:w="2420" w:type="dxa"/>
            <w:vAlign w:val="bottom"/>
            <w:shd w:val="clear" w:color="auto" w:fill="000000"/>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65"/>
        </w:trPr>
        <w:tc>
          <w:tcPr>
            <w:tcW w:w="10440" w:type="dxa"/>
            <w:vAlign w:val="bottom"/>
            <w:gridSpan w:val="3"/>
          </w:tcPr>
          <w:p>
            <w:pPr>
              <w:spacing w:after="0"/>
              <w:rPr>
                <w:sz w:val="20"/>
                <w:szCs w:val="20"/>
                <w:color w:val="auto"/>
              </w:rPr>
            </w:pPr>
            <w:r>
              <w:rPr>
                <w:rFonts w:ascii="Arial" w:cs="Arial" w:eastAsia="Arial" w:hAnsi="Arial"/>
                <w:sz w:val="20"/>
                <w:szCs w:val="20"/>
                <w:color w:val="auto"/>
              </w:rPr>
              <w:t>be used to pay all or a portion of the Annuity Payments due under the Group Annuity Contract.</w:t>
            </w:r>
          </w:p>
        </w:tc>
        <w:tc>
          <w:tcPr>
            <w:tcW w:w="980" w:type="dxa"/>
            <w:vAlign w:val="bottom"/>
          </w:tcPr>
          <w:p>
            <w:pPr>
              <w:spacing w:after="0"/>
              <w:rPr>
                <w:sz w:val="23"/>
                <w:szCs w:val="23"/>
                <w:color w:val="auto"/>
              </w:rPr>
            </w:pPr>
          </w:p>
        </w:tc>
      </w:tr>
    </w:tbl>
    <w:p>
      <w:pPr>
        <w:spacing w:after="0" w:line="382" w:lineRule="exact"/>
        <w:rPr>
          <w:sz w:val="20"/>
          <w:szCs w:val="20"/>
          <w:color w:val="auto"/>
        </w:rPr>
      </w:pPr>
    </w:p>
    <w:p>
      <w:pPr>
        <w:ind w:left="600"/>
        <w:spacing w:after="0"/>
        <w:rPr>
          <w:sz w:val="20"/>
          <w:szCs w:val="20"/>
          <w:color w:val="auto"/>
        </w:rPr>
      </w:pPr>
      <w:r>
        <w:rPr>
          <w:rFonts w:ascii="Arial" w:cs="Arial" w:eastAsia="Arial" w:hAnsi="Arial"/>
          <w:sz w:val="20"/>
          <w:szCs w:val="20"/>
          <w:color w:val="auto"/>
        </w:rPr>
        <w:t xml:space="preserve">“[ *** ]” is defined in </w:t>
      </w:r>
      <w:r>
        <w:rPr>
          <w:rFonts w:ascii="Arial" w:cs="Arial" w:eastAsia="Arial" w:hAnsi="Arial"/>
          <w:sz w:val="20"/>
          <w:szCs w:val="20"/>
          <w:u w:val="single" w:color="auto"/>
          <w:color w:val="auto"/>
        </w:rPr>
        <w:t>Section 6.5(c)</w:t>
      </w:r>
      <w:r>
        <w:rPr>
          <w:rFonts w:ascii="Arial" w:cs="Arial" w:eastAsia="Arial" w:hAnsi="Arial"/>
          <w:sz w:val="20"/>
          <w:szCs w:val="20"/>
          <w:color w:val="auto"/>
        </w:rPr>
        <w:t xml:space="preserve"> and determined in accordance with </w:t>
      </w:r>
      <w:r>
        <w:rPr>
          <w:rFonts w:ascii="Arial" w:cs="Arial" w:eastAsia="Arial" w:hAnsi="Arial"/>
          <w:sz w:val="20"/>
          <w:szCs w:val="20"/>
          <w:u w:val="single" w:color="auto"/>
          <w:color w:val="auto"/>
        </w:rPr>
        <w:t>Appendix 6.6</w:t>
      </w:r>
      <w:r>
        <w:rPr>
          <w:rFonts w:ascii="Arial" w:cs="Arial" w:eastAsia="Arial" w:hAnsi="Arial"/>
          <w:sz w:val="20"/>
          <w:szCs w:val="20"/>
          <w:color w:val="auto"/>
        </w:rPr>
        <w:t>.</w:t>
      </w:r>
    </w:p>
    <w:p>
      <w:pPr>
        <w:spacing w:after="0" w:line="200" w:lineRule="exact"/>
        <w:rPr>
          <w:sz w:val="20"/>
          <w:szCs w:val="20"/>
          <w:color w:val="auto"/>
        </w:rPr>
      </w:pPr>
    </w:p>
    <w:p>
      <w:pPr>
        <w:spacing w:after="0" w:line="208" w:lineRule="exact"/>
        <w:rPr>
          <w:sz w:val="20"/>
          <w:szCs w:val="20"/>
          <w:color w:val="auto"/>
        </w:rPr>
      </w:pPr>
    </w:p>
    <w:p>
      <w:pPr>
        <w:jc w:val="both"/>
        <w:ind w:firstLine="601"/>
        <w:spacing w:after="0" w:line="29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Identified CD-ROM</w:t>
      </w:r>
      <w:r>
        <w:rPr>
          <w:rFonts w:ascii="Arial" w:cs="Arial" w:eastAsia="Arial" w:hAnsi="Arial"/>
          <w:sz w:val="18"/>
          <w:szCs w:val="18"/>
          <w:color w:val="auto"/>
        </w:rPr>
        <w:t xml:space="preserve">” means the version of each Microsoft Excel spreadsheet that was uploaded to the RR Donnelly Venue Virtual Data Room, Project Name Vita Commercial Diligence, between 5:48 pm New York City time on May 29, 2012 and noon New York City time on May 30, 2012 by the Insurer, as the same may be updated in accordance with </w:t>
      </w:r>
      <w:r>
        <w:rPr>
          <w:rFonts w:ascii="Arial" w:cs="Arial" w:eastAsia="Arial" w:hAnsi="Arial"/>
          <w:sz w:val="18"/>
          <w:szCs w:val="18"/>
          <w:u w:val="single" w:color="auto"/>
          <w:color w:val="auto"/>
        </w:rPr>
        <w:t>Section 2.4(c)</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2.20</w:t>
      </w:r>
      <w:r>
        <w:rPr>
          <w:rFonts w:ascii="Arial" w:cs="Arial" w:eastAsia="Arial" w:hAnsi="Arial"/>
          <w:sz w:val="18"/>
          <w:szCs w:val="18"/>
          <w:color w:val="auto"/>
        </w:rPr>
        <w:t>, and such Microsoft Excel spreadsheets to which the Company has been provided access will be downloaded by RR Donnelly onto a tangible CD-ROM on the DTFA Execution Date, or as promptly as practical thereafter, and will be initialed by the Company and the Insurer.</w:t>
      </w:r>
    </w:p>
    <w:p>
      <w:pPr>
        <w:spacing w:after="0" w:line="339"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IF Engagement Letter</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3.4</w:t>
      </w:r>
      <w:r>
        <w:rPr>
          <w:rFonts w:ascii="Arial" w:cs="Arial" w:eastAsia="Arial" w:hAnsi="Arial"/>
          <w:sz w:val="20"/>
          <w:szCs w:val="20"/>
          <w:color w:val="auto"/>
        </w:rPr>
        <w:t>.</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540" w:type="dxa"/>
            <w:vAlign w:val="bottom"/>
            <w:gridSpan w:val="4"/>
          </w:tcPr>
          <w:p>
            <w:pPr>
              <w:ind w:left="600"/>
              <w:spacing w:after="0"/>
              <w:rPr>
                <w:sz w:val="20"/>
                <w:szCs w:val="20"/>
                <w:color w:val="auto"/>
              </w:rPr>
            </w:pPr>
            <w:r>
              <w:rPr>
                <w:rFonts w:ascii="Arial" w:cs="Arial" w:eastAsia="Arial" w:hAnsi="Arial"/>
                <w:sz w:val="20"/>
                <w:szCs w:val="20"/>
                <w:color w:val="auto"/>
              </w:rPr>
              <w:t>“Incremental Interim [</w:t>
            </w:r>
          </w:p>
        </w:tc>
        <w:tc>
          <w:tcPr>
            <w:tcW w:w="720" w:type="dxa"/>
            <w:vAlign w:val="bottom"/>
          </w:tcPr>
          <w:p>
            <w:pPr>
              <w:jc w:val="right"/>
              <w:ind w:right="120"/>
              <w:spacing w:after="0"/>
              <w:rPr>
                <w:sz w:val="20"/>
                <w:szCs w:val="20"/>
                <w:color w:val="auto"/>
              </w:rPr>
            </w:pPr>
            <w:r>
              <w:rPr>
                <w:rFonts w:ascii="Arial" w:cs="Arial" w:eastAsia="Arial" w:hAnsi="Arial"/>
                <w:sz w:val="20"/>
                <w:szCs w:val="20"/>
                <w:color w:val="auto"/>
              </w:rPr>
              <w:t>***</w:t>
            </w:r>
          </w:p>
        </w:tc>
        <w:tc>
          <w:tcPr>
            <w:tcW w:w="8160" w:type="dxa"/>
            <w:vAlign w:val="bottom"/>
            <w:gridSpan w:val="3"/>
          </w:tcPr>
          <w:p>
            <w:pPr>
              <w:jc w:val="right"/>
              <w:spacing w:after="0"/>
              <w:rPr>
                <w:sz w:val="20"/>
                <w:szCs w:val="20"/>
                <w:color w:val="auto"/>
              </w:rPr>
            </w:pPr>
            <w:r>
              <w:rPr>
                <w:rFonts w:ascii="Arial" w:cs="Arial" w:eastAsia="Arial" w:hAnsi="Arial"/>
                <w:sz w:val="20"/>
                <w:szCs w:val="20"/>
                <w:color w:val="auto"/>
                <w:w w:val="96"/>
              </w:rPr>
              <w:t>] Adjustment” is the adjustment to the Interim Post-Closing Final Premium and the Post-Closing</w:t>
            </w:r>
          </w:p>
        </w:tc>
      </w:tr>
      <w:tr>
        <w:trPr>
          <w:trHeight w:val="20"/>
        </w:trPr>
        <w:tc>
          <w:tcPr>
            <w:tcW w:w="68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r>
      <w:tr>
        <w:trPr>
          <w:trHeight w:val="265"/>
        </w:trPr>
        <w:tc>
          <w:tcPr>
            <w:tcW w:w="11420" w:type="dxa"/>
            <w:vAlign w:val="bottom"/>
            <w:gridSpan w:val="8"/>
          </w:tcPr>
          <w:p>
            <w:pPr>
              <w:spacing w:after="0"/>
              <w:rPr>
                <w:sz w:val="20"/>
                <w:szCs w:val="20"/>
                <w:color w:val="auto"/>
              </w:rPr>
            </w:pPr>
            <w:r>
              <w:rPr>
                <w:rFonts w:ascii="Arial" w:cs="Arial" w:eastAsia="Arial" w:hAnsi="Arial"/>
                <w:sz w:val="20"/>
                <w:szCs w:val="20"/>
                <w:color w:val="auto"/>
              </w:rPr>
              <w:t>Final Premium defined in Section I of the Procedures Manual.</w:t>
            </w:r>
          </w:p>
        </w:tc>
      </w:tr>
      <w:tr>
        <w:trPr>
          <w:trHeight w:val="591"/>
        </w:trPr>
        <w:tc>
          <w:tcPr>
            <w:tcW w:w="2540" w:type="dxa"/>
            <w:vAlign w:val="bottom"/>
            <w:gridSpan w:val="4"/>
          </w:tcPr>
          <w:p>
            <w:pPr>
              <w:ind w:left="600"/>
              <w:spacing w:after="0"/>
              <w:rPr>
                <w:sz w:val="20"/>
                <w:szCs w:val="20"/>
                <w:color w:val="auto"/>
              </w:rPr>
            </w:pPr>
            <w:r>
              <w:rPr>
                <w:rFonts w:ascii="Arial" w:cs="Arial" w:eastAsia="Arial" w:hAnsi="Arial"/>
                <w:sz w:val="20"/>
                <w:szCs w:val="20"/>
                <w:color w:val="auto"/>
              </w:rPr>
              <w:t>“Incremental Final [</w:t>
            </w:r>
          </w:p>
        </w:tc>
        <w:tc>
          <w:tcPr>
            <w:tcW w:w="720" w:type="dxa"/>
            <w:vAlign w:val="bottom"/>
          </w:tcPr>
          <w:p>
            <w:pPr>
              <w:jc w:val="right"/>
              <w:ind w:right="200"/>
              <w:spacing w:after="0"/>
              <w:rPr>
                <w:sz w:val="20"/>
                <w:szCs w:val="20"/>
                <w:color w:val="auto"/>
              </w:rPr>
            </w:pPr>
            <w:r>
              <w:rPr>
                <w:rFonts w:ascii="Arial" w:cs="Arial" w:eastAsia="Arial" w:hAnsi="Arial"/>
                <w:sz w:val="20"/>
                <w:szCs w:val="20"/>
                <w:color w:val="auto"/>
              </w:rPr>
              <w:t>***</w:t>
            </w:r>
          </w:p>
        </w:tc>
        <w:tc>
          <w:tcPr>
            <w:tcW w:w="8160" w:type="dxa"/>
            <w:vAlign w:val="bottom"/>
            <w:gridSpan w:val="3"/>
          </w:tcPr>
          <w:p>
            <w:pPr>
              <w:jc w:val="right"/>
              <w:spacing w:after="0"/>
              <w:rPr>
                <w:sz w:val="20"/>
                <w:szCs w:val="20"/>
                <w:color w:val="auto"/>
              </w:rPr>
            </w:pPr>
            <w:r>
              <w:rPr>
                <w:rFonts w:ascii="Arial" w:cs="Arial" w:eastAsia="Arial" w:hAnsi="Arial"/>
                <w:sz w:val="20"/>
                <w:szCs w:val="20"/>
                <w:color w:val="auto"/>
                <w:w w:val="99"/>
              </w:rPr>
              <w:t>] Adjustment” is the adjustment to the Post-Closing Final Premium defined in Section I of the</w:t>
            </w:r>
          </w:p>
        </w:tc>
      </w:tr>
      <w:tr>
        <w:trPr>
          <w:trHeight w:val="20"/>
        </w:trPr>
        <w:tc>
          <w:tcPr>
            <w:tcW w:w="68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860" w:type="dxa"/>
            <w:vAlign w:val="bottom"/>
            <w:tcBorders>
              <w:left w:val="single" w:sz="8" w:color="auto"/>
            </w:tcBorders>
          </w:tcPr>
          <w:p>
            <w:pPr>
              <w:spacing w:after="0" w:line="20" w:lineRule="exact"/>
              <w:rPr>
                <w:sz w:val="1"/>
                <w:szCs w:val="1"/>
                <w:color w:val="auto"/>
              </w:rPr>
            </w:pPr>
          </w:p>
        </w:tc>
      </w:tr>
      <w:tr>
        <w:trPr>
          <w:trHeight w:val="265"/>
        </w:trPr>
        <w:tc>
          <w:tcPr>
            <w:tcW w:w="2540" w:type="dxa"/>
            <w:vAlign w:val="bottom"/>
            <w:gridSpan w:val="4"/>
          </w:tcPr>
          <w:p>
            <w:pPr>
              <w:spacing w:after="0"/>
              <w:rPr>
                <w:sz w:val="20"/>
                <w:szCs w:val="20"/>
                <w:color w:val="auto"/>
              </w:rPr>
            </w:pPr>
            <w:r>
              <w:rPr>
                <w:rFonts w:ascii="Arial" w:cs="Arial" w:eastAsia="Arial" w:hAnsi="Arial"/>
                <w:sz w:val="20"/>
                <w:szCs w:val="20"/>
                <w:color w:val="auto"/>
              </w:rPr>
              <w:t>Procedures Manual.</w:t>
            </w:r>
          </w:p>
        </w:tc>
        <w:tc>
          <w:tcPr>
            <w:tcW w:w="7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860" w:type="dxa"/>
            <w:vAlign w:val="bottom"/>
          </w:tcPr>
          <w:p>
            <w:pPr>
              <w:spacing w:after="0"/>
              <w:rPr>
                <w:sz w:val="23"/>
                <w:szCs w:val="23"/>
                <w:color w:val="auto"/>
              </w:rPr>
            </w:pPr>
          </w:p>
        </w:tc>
      </w:tr>
    </w:tbl>
    <w:p>
      <w:pPr>
        <w:spacing w:after="0" w:line="382"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Indemnified Party</w:t>
      </w:r>
      <w:r>
        <w:rPr>
          <w:rFonts w:ascii="Arial" w:cs="Arial" w:eastAsia="Arial" w:hAnsi="Arial"/>
          <w:sz w:val="20"/>
          <w:szCs w:val="20"/>
          <w:color w:val="auto"/>
        </w:rPr>
        <w:t xml:space="preserve">” is defined in </w:t>
      </w:r>
      <w:r>
        <w:rPr>
          <w:rFonts w:ascii="Arial" w:cs="Arial" w:eastAsia="Arial" w:hAnsi="Arial"/>
          <w:sz w:val="20"/>
          <w:szCs w:val="20"/>
          <w:u w:val="single" w:color="auto"/>
          <w:color w:val="auto"/>
        </w:rPr>
        <w:t>Section 9.1</w:t>
      </w:r>
      <w:r>
        <w:rPr>
          <w:rFonts w:ascii="Arial" w:cs="Arial" w:eastAsia="Arial" w:hAnsi="Arial"/>
          <w:sz w:val="20"/>
          <w:szCs w:val="20"/>
          <w:color w:val="auto"/>
        </w:rPr>
        <w:t>.</w:t>
      </w:r>
    </w:p>
    <w:p>
      <w:pPr>
        <w:spacing w:after="0" w:line="200" w:lineRule="exact"/>
        <w:rPr>
          <w:sz w:val="20"/>
          <w:szCs w:val="20"/>
          <w:color w:val="auto"/>
        </w:rPr>
      </w:pPr>
    </w:p>
    <w:p>
      <w:pPr>
        <w:spacing w:after="0" w:line="208"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Independent Fiduciary</w:t>
      </w:r>
      <w:r>
        <w:rPr>
          <w:rFonts w:ascii="Arial" w:cs="Arial" w:eastAsia="Arial" w:hAnsi="Arial"/>
          <w:sz w:val="20"/>
          <w:szCs w:val="20"/>
          <w:color w:val="auto"/>
        </w:rPr>
        <w:t>” is defined in the preamble.</w:t>
      </w:r>
    </w:p>
    <w:p>
      <w:pPr>
        <w:spacing w:after="0" w:line="200" w:lineRule="exact"/>
        <w:rPr>
          <w:sz w:val="20"/>
          <w:szCs w:val="20"/>
          <w:color w:val="auto"/>
        </w:rPr>
      </w:pPr>
    </w:p>
    <w:p>
      <w:pPr>
        <w:spacing w:after="0" w:line="208"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Independent Fiduciary Controlled Group</w:t>
      </w:r>
      <w:r>
        <w:rPr>
          <w:rFonts w:ascii="Arial" w:cs="Arial" w:eastAsia="Arial" w:hAnsi="Arial"/>
          <w:sz w:val="20"/>
          <w:szCs w:val="20"/>
          <w:color w:val="auto"/>
        </w:rPr>
        <w:t>” means the Independent Fiduciary and its Affiliates.</w:t>
      </w:r>
    </w:p>
    <w:p>
      <w:pPr>
        <w:spacing w:after="0" w:line="200" w:lineRule="exact"/>
        <w:rPr>
          <w:sz w:val="20"/>
          <w:szCs w:val="20"/>
          <w:color w:val="auto"/>
        </w:rPr>
      </w:pPr>
    </w:p>
    <w:p>
      <w:pPr>
        <w:spacing w:after="0" w:line="208" w:lineRule="exact"/>
        <w:rPr>
          <w:sz w:val="20"/>
          <w:szCs w:val="20"/>
          <w:color w:val="auto"/>
        </w:rPr>
      </w:pPr>
    </w:p>
    <w:p>
      <w:pPr>
        <w:jc w:val="both"/>
        <w:ind w:firstLine="601"/>
        <w:spacing w:after="0" w:line="261"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Independent Fiduciary MAC</w:t>
      </w:r>
      <w:r>
        <w:rPr>
          <w:rFonts w:ascii="Arial" w:cs="Arial" w:eastAsia="Arial" w:hAnsi="Arial"/>
          <w:sz w:val="20"/>
          <w:szCs w:val="20"/>
          <w:color w:val="auto"/>
        </w:rPr>
        <w:t>” means the occurrence, in the sole discretion of the Independent Fiduciary, of a material adverse change in the Insurer subsequent to the DTFA Execution Date that would cause the selection of the Insurer to fail to satisfy ERISA and applicable guidance, including Interpretive Bulletin 95-1.</w:t>
      </w:r>
    </w:p>
    <w:p>
      <w:pPr>
        <w:spacing w:after="0" w:line="364"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Independent Third Party</w:t>
      </w:r>
      <w:r>
        <w:rPr>
          <w:rFonts w:ascii="Arial" w:cs="Arial" w:eastAsia="Arial" w:hAnsi="Arial"/>
          <w:sz w:val="20"/>
          <w:szCs w:val="20"/>
          <w:color w:val="auto"/>
        </w:rPr>
        <w:t>” means KPMG, LLP, or such other independent firm selected jointly by the Company and the Insurer.</w:t>
      </w:r>
    </w:p>
    <w:p>
      <w:pPr>
        <w:spacing w:after="0" w:line="200" w:lineRule="exact"/>
        <w:rPr>
          <w:sz w:val="20"/>
          <w:szCs w:val="20"/>
          <w:color w:val="auto"/>
        </w:rPr>
      </w:pPr>
    </w:p>
    <w:p>
      <w:pPr>
        <w:spacing w:after="0" w:line="208" w:lineRule="exact"/>
        <w:rPr>
          <w:sz w:val="20"/>
          <w:szCs w:val="20"/>
          <w:color w:val="auto"/>
        </w:rPr>
      </w:pPr>
    </w:p>
    <w:p>
      <w:pPr>
        <w:jc w:val="both"/>
        <w:ind w:firstLine="601"/>
        <w:spacing w:after="0" w:line="27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Independent Third Party Agreement</w:t>
      </w:r>
      <w:r>
        <w:rPr>
          <w:rFonts w:ascii="Arial" w:cs="Arial" w:eastAsia="Arial" w:hAnsi="Arial"/>
          <w:sz w:val="20"/>
          <w:szCs w:val="20"/>
          <w:color w:val="auto"/>
        </w:rPr>
        <w:t>” means the agreement between the Independent Third Party, the Company, and the Insurer in connection with premium verification and dispute resolution services outlined in this Agreement.</w:t>
      </w:r>
    </w:p>
    <w:p>
      <w:pPr>
        <w:spacing w:after="0" w:line="349"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Initial Certification</w:t>
      </w:r>
      <w:r>
        <w:rPr>
          <w:rFonts w:ascii="Arial" w:cs="Arial" w:eastAsia="Arial" w:hAnsi="Arial"/>
          <w:sz w:val="20"/>
          <w:szCs w:val="20"/>
          <w:color w:val="auto"/>
        </w:rPr>
        <w:t xml:space="preserve">” is defined in </w:t>
      </w:r>
      <w:r>
        <w:rPr>
          <w:rFonts w:ascii="Arial" w:cs="Arial" w:eastAsia="Arial" w:hAnsi="Arial"/>
          <w:sz w:val="20"/>
          <w:szCs w:val="20"/>
          <w:u w:val="single" w:color="auto"/>
          <w:color w:val="auto"/>
        </w:rPr>
        <w:t>Section 2.4(a)</w:t>
      </w:r>
      <w:r>
        <w:rPr>
          <w:rFonts w:ascii="Arial" w:cs="Arial" w:eastAsia="Arial" w:hAnsi="Arial"/>
          <w:sz w:val="20"/>
          <w:szCs w:val="20"/>
          <w:color w:val="auto"/>
        </w:rPr>
        <w:t>.</w:t>
      </w:r>
    </w:p>
    <w:p>
      <w:pPr>
        <w:spacing w:after="0" w:line="200" w:lineRule="exact"/>
        <w:rPr>
          <w:sz w:val="20"/>
          <w:szCs w:val="20"/>
          <w:color w:val="auto"/>
        </w:rPr>
      </w:pPr>
    </w:p>
    <w:p>
      <w:pPr>
        <w:spacing w:after="0" w:line="208" w:lineRule="exact"/>
        <w:rPr>
          <w:sz w:val="20"/>
          <w:szCs w:val="20"/>
          <w:color w:val="auto"/>
        </w:rPr>
      </w:pPr>
    </w:p>
    <w:p>
      <w:pPr>
        <w:ind w:left="600"/>
        <w:spacing w:after="0"/>
        <w:tabs>
          <w:tab w:leader="none" w:pos="1520" w:val="left"/>
          <w:tab w:leader="none" w:pos="2160" w:val="left"/>
          <w:tab w:leader="none" w:pos="3260" w:val="left"/>
          <w:tab w:leader="none" w:pos="3900" w:val="left"/>
          <w:tab w:leader="none" w:pos="5640" w:val="left"/>
          <w:tab w:leader="none" w:pos="6300" w:val="left"/>
        </w:tabs>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Initial</w:t>
      </w:r>
      <w:r>
        <w:rPr>
          <w:rFonts w:ascii="Arial" w:cs="Arial" w:eastAsia="Arial" w:hAnsi="Arial"/>
          <w:sz w:val="20"/>
          <w:szCs w:val="20"/>
          <w:color w:val="auto"/>
        </w:rPr>
        <w:t xml:space="preserve"> [</w:t>
        <w:tab/>
        <w:t>***</w:t>
      </w:r>
      <w:r>
        <w:rPr>
          <w:sz w:val="20"/>
          <w:szCs w:val="20"/>
          <w:color w:val="auto"/>
        </w:rPr>
        <w:tab/>
      </w:r>
      <w:r>
        <w:rPr>
          <w:rFonts w:ascii="Arial" w:cs="Arial" w:eastAsia="Arial" w:hAnsi="Arial"/>
          <w:sz w:val="20"/>
          <w:szCs w:val="20"/>
          <w:color w:val="auto"/>
        </w:rPr>
        <w:t>]” means [</w:t>
        <w:tab/>
        <w:t>***</w:t>
      </w:r>
      <w:r>
        <w:rPr>
          <w:sz w:val="20"/>
          <w:szCs w:val="20"/>
          <w:color w:val="auto"/>
        </w:rPr>
        <w:tab/>
      </w:r>
      <w:r>
        <w:rPr>
          <w:rFonts w:ascii="Arial" w:cs="Arial" w:eastAsia="Arial" w:hAnsi="Arial"/>
          <w:sz w:val="20"/>
          <w:szCs w:val="20"/>
          <w:color w:val="auto"/>
        </w:rPr>
        <w:t>], as updated into [</w:t>
        <w:tab/>
        <w:t>***</w:t>
      </w:r>
      <w:r>
        <w:rPr>
          <w:sz w:val="20"/>
          <w:szCs w:val="20"/>
          <w:color w:val="auto"/>
        </w:rPr>
        <w:tab/>
      </w:r>
      <w:r>
        <w:rPr>
          <w:rFonts w:ascii="Arial" w:cs="Arial" w:eastAsia="Arial" w:hAnsi="Arial"/>
          <w:sz w:val="18"/>
          <w:szCs w:val="18"/>
          <w:color w:val="auto"/>
        </w:rPr>
        <w:t>] pursuant to the terms hereof.</w:t>
      </w:r>
    </w:p>
    <w:p>
      <w:pPr>
        <w:spacing w:after="0" w:line="200" w:lineRule="exact"/>
        <w:rPr>
          <w:sz w:val="20"/>
          <w:szCs w:val="20"/>
          <w:color w:val="auto"/>
        </w:rPr>
      </w:pPr>
    </w:p>
    <w:p>
      <w:pPr>
        <w:spacing w:after="0" w:line="208"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In-Kind Asset Information</w:t>
      </w:r>
      <w:r>
        <w:rPr>
          <w:rFonts w:ascii="Arial" w:cs="Arial" w:eastAsia="Arial" w:hAnsi="Arial"/>
          <w:sz w:val="20"/>
          <w:szCs w:val="20"/>
          <w:color w:val="auto"/>
        </w:rPr>
        <w:t>” is defined in Section H of the Procedures Manual.</w:t>
      </w:r>
    </w:p>
    <w:p>
      <w:pPr>
        <w:spacing w:after="0" w:line="200" w:lineRule="exact"/>
        <w:rPr>
          <w:sz w:val="20"/>
          <w:szCs w:val="20"/>
          <w:color w:val="auto"/>
        </w:rPr>
      </w:pPr>
    </w:p>
    <w:p>
      <w:pPr>
        <w:spacing w:after="0" w:line="208" w:lineRule="exact"/>
        <w:rPr>
          <w:sz w:val="20"/>
          <w:szCs w:val="20"/>
          <w:color w:val="auto"/>
        </w:rPr>
      </w:pPr>
    </w:p>
    <w:p>
      <w:pPr>
        <w:ind w:left="6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In-Kind Asset Tolerances</w:t>
      </w:r>
      <w:r>
        <w:rPr>
          <w:rFonts w:ascii="Arial" w:cs="Arial" w:eastAsia="Arial" w:hAnsi="Arial"/>
          <w:sz w:val="19"/>
          <w:szCs w:val="19"/>
          <w:color w:val="auto"/>
        </w:rPr>
        <w:t>” means the percentage limits for assets set forth and described in Section I of the Procedures Manual.</w:t>
      </w:r>
    </w:p>
    <w:p>
      <w:pPr>
        <w:spacing w:after="0" w:line="200" w:lineRule="exact"/>
        <w:rPr>
          <w:sz w:val="20"/>
          <w:szCs w:val="20"/>
          <w:color w:val="auto"/>
        </w:rPr>
      </w:pPr>
    </w:p>
    <w:p>
      <w:pPr>
        <w:spacing w:after="0" w:line="220"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Insurer</w:t>
      </w:r>
      <w:r>
        <w:rPr>
          <w:rFonts w:ascii="Arial" w:cs="Arial" w:eastAsia="Arial" w:hAnsi="Arial"/>
          <w:sz w:val="20"/>
          <w:szCs w:val="20"/>
          <w:color w:val="auto"/>
        </w:rPr>
        <w:t>” is defined in the preamble.</w:t>
      </w:r>
    </w:p>
    <w:p>
      <w:pPr>
        <w:sectPr>
          <w:pgSz w:w="11900" w:h="16838" w:orient="portrait"/>
          <w:cols w:equalWidth="0" w:num="1">
            <w:col w:w="11420"/>
          </w:cols>
          <w:pgMar w:left="240" w:top="757" w:right="23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11420"/>
          </w:cols>
          <w:pgMar w:left="240" w:top="757" w:right="239" w:bottom="1440" w:gutter="0" w:footer="0" w:header="0"/>
          <w:type w:val="continuous"/>
        </w:sectPr>
      </w:pPr>
    </w:p>
    <w:bookmarkStart w:id="21" w:name="page22"/>
    <w:bookmarkEnd w:id="21"/>
    <w:p>
      <w:pPr>
        <w:jc w:val="both"/>
        <w:ind w:firstLine="601"/>
        <w:spacing w:after="0" w:line="261"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Insurer MAC</w:t>
      </w:r>
      <w:r>
        <w:rPr>
          <w:rFonts w:ascii="Arial" w:cs="Arial" w:eastAsia="Arial" w:hAnsi="Arial"/>
          <w:sz w:val="20"/>
          <w:szCs w:val="20"/>
          <w:color w:val="auto"/>
        </w:rPr>
        <w:t>” means the occurrence of any fact, circumstance, change, development, condition or event subsequent to the DTFA Execution Date that individually or in the aggregate would, or would be reasonably expected to, cause the [ *** ], at any point subsequent to the DTFA Execution Date, to be less than [ *** ].</w:t>
      </w:r>
    </w:p>
    <w:p>
      <w:pPr>
        <w:spacing w:after="0" w:line="364"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Insurer Parent</w:t>
      </w:r>
      <w:r>
        <w:rPr>
          <w:rFonts w:ascii="Arial" w:cs="Arial" w:eastAsia="Arial" w:hAnsi="Arial"/>
          <w:sz w:val="20"/>
          <w:szCs w:val="20"/>
          <w:color w:val="auto"/>
        </w:rPr>
        <w:t>” is defined in the preamble.</w:t>
      </w:r>
    </w:p>
    <w:p>
      <w:pPr>
        <w:spacing w:after="0" w:line="200" w:lineRule="exact"/>
        <w:rPr>
          <w:sz w:val="20"/>
          <w:szCs w:val="20"/>
          <w:color w:val="auto"/>
        </w:rPr>
      </w:pPr>
    </w:p>
    <w:p>
      <w:pPr>
        <w:spacing w:after="0" w:line="208"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Insurer Provided Life-by-Life Information</w:t>
      </w:r>
      <w:r>
        <w:rPr>
          <w:rFonts w:ascii="Arial" w:cs="Arial" w:eastAsia="Arial" w:hAnsi="Arial"/>
          <w:sz w:val="20"/>
          <w:szCs w:val="20"/>
          <w:color w:val="auto"/>
        </w:rPr>
        <w:t xml:space="preserve">” is defined in </w:t>
      </w:r>
      <w:r>
        <w:rPr>
          <w:rFonts w:ascii="Arial" w:cs="Arial" w:eastAsia="Arial" w:hAnsi="Arial"/>
          <w:sz w:val="20"/>
          <w:szCs w:val="20"/>
          <w:u w:val="single" w:color="auto"/>
          <w:color w:val="auto"/>
        </w:rPr>
        <w:t>Section 2.4(a)</w:t>
      </w:r>
      <w:r>
        <w:rPr>
          <w:rFonts w:ascii="Arial" w:cs="Arial" w:eastAsia="Arial" w:hAnsi="Arial"/>
          <w:sz w:val="20"/>
          <w:szCs w:val="20"/>
          <w:color w:val="auto"/>
        </w:rPr>
        <w:t>.</w:t>
      </w:r>
    </w:p>
    <w:p>
      <w:pPr>
        <w:spacing w:after="0" w:line="200" w:lineRule="exact"/>
        <w:rPr>
          <w:sz w:val="20"/>
          <w:szCs w:val="20"/>
          <w:color w:val="auto"/>
        </w:rPr>
      </w:pPr>
    </w:p>
    <w:p>
      <w:pPr>
        <w:spacing w:after="0" w:line="208"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Interim Closing Asset Valuation</w:t>
      </w:r>
      <w:r>
        <w:rPr>
          <w:rFonts w:ascii="Arial" w:cs="Arial" w:eastAsia="Arial" w:hAnsi="Arial"/>
          <w:sz w:val="20"/>
          <w:szCs w:val="20"/>
          <w:color w:val="auto"/>
        </w:rPr>
        <w:t xml:space="preserve">” is defined in </w:t>
      </w:r>
      <w:r>
        <w:rPr>
          <w:rFonts w:ascii="Arial" w:cs="Arial" w:eastAsia="Arial" w:hAnsi="Arial"/>
          <w:sz w:val="20"/>
          <w:szCs w:val="20"/>
          <w:u w:val="single" w:color="auto"/>
          <w:color w:val="auto"/>
        </w:rPr>
        <w:t>Section 2.10(a)</w:t>
      </w:r>
      <w:r>
        <w:rPr>
          <w:rFonts w:ascii="Arial" w:cs="Arial" w:eastAsia="Arial" w:hAnsi="Arial"/>
          <w:sz w:val="20"/>
          <w:szCs w:val="20"/>
          <w:color w:val="auto"/>
        </w:rPr>
        <w:t>.</w:t>
      </w:r>
    </w:p>
    <w:p>
      <w:pPr>
        <w:spacing w:after="0" w:line="200" w:lineRule="exact"/>
        <w:rPr>
          <w:sz w:val="20"/>
          <w:szCs w:val="20"/>
          <w:color w:val="auto"/>
        </w:rPr>
      </w:pPr>
    </w:p>
    <w:p>
      <w:pPr>
        <w:spacing w:after="0" w:line="208"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Interim Corrections Calculation Date</w:t>
      </w:r>
      <w:r>
        <w:rPr>
          <w:rFonts w:ascii="Arial" w:cs="Arial" w:eastAsia="Arial" w:hAnsi="Arial"/>
          <w:sz w:val="20"/>
          <w:szCs w:val="20"/>
          <w:color w:val="auto"/>
        </w:rPr>
        <w:t>” means December 13, 2012.</w:t>
      </w:r>
    </w:p>
    <w:p>
      <w:pPr>
        <w:spacing w:after="0" w:line="200" w:lineRule="exact"/>
        <w:rPr>
          <w:sz w:val="20"/>
          <w:szCs w:val="20"/>
          <w:color w:val="auto"/>
        </w:rPr>
      </w:pPr>
    </w:p>
    <w:p>
      <w:pPr>
        <w:spacing w:after="0" w:line="208" w:lineRule="exact"/>
        <w:rPr>
          <w:sz w:val="20"/>
          <w:szCs w:val="20"/>
          <w:color w:val="auto"/>
        </w:rPr>
      </w:pPr>
    </w:p>
    <w:p>
      <w:pPr>
        <w:jc w:val="both"/>
        <w:ind w:firstLine="601"/>
        <w:spacing w:after="0" w:line="28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Interim Post-Closing Additional Classification Errors Correction</w:t>
      </w:r>
      <w:r>
        <w:rPr>
          <w:rFonts w:ascii="Arial" w:cs="Arial" w:eastAsia="Arial" w:hAnsi="Arial"/>
          <w:sz w:val="19"/>
          <w:szCs w:val="19"/>
          <w:color w:val="auto"/>
        </w:rPr>
        <w:t>” means the Additional Data Errors Correction, as calculated by the Insurer as of the Interim Corrections Calculation Date and taking into account Classification Errors that are reported to the Insurer on or after the date that is 30 days prior to the Target Closing Date and prior to the Interim Corrections Calculation Date.</w:t>
      </w:r>
    </w:p>
    <w:p>
      <w:pPr>
        <w:spacing w:after="0" w:line="344" w:lineRule="exact"/>
        <w:rPr>
          <w:sz w:val="20"/>
          <w:szCs w:val="20"/>
          <w:color w:val="auto"/>
        </w:rPr>
      </w:pPr>
    </w:p>
    <w:p>
      <w:pPr>
        <w:jc w:val="both"/>
        <w:ind w:firstLine="601"/>
        <w:spacing w:after="0" w:line="261"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Interim Post-Closing Benefit Amount Correction</w:t>
      </w:r>
      <w:r>
        <w:rPr>
          <w:rFonts w:ascii="Arial" w:cs="Arial" w:eastAsia="Arial" w:hAnsi="Arial"/>
          <w:sz w:val="20"/>
          <w:szCs w:val="20"/>
          <w:color w:val="auto"/>
        </w:rPr>
        <w:t>” means the Benefit Amount Correction, as calculated by the Insurer as of the Interim Corrections Calculation Date and taking into account Benefit Amount Increases that are discovered by the Insurer on or after the date that is 30 days prior to the Target Closing Date and prior to the Interim Corrections Calculation Date.</w:t>
      </w:r>
    </w:p>
    <w:p>
      <w:pPr>
        <w:spacing w:after="0" w:line="364"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Interim Post-Closing Final Premium</w:t>
      </w:r>
      <w:r>
        <w:rPr>
          <w:rFonts w:ascii="Arial" w:cs="Arial" w:eastAsia="Arial" w:hAnsi="Arial"/>
          <w:sz w:val="20"/>
          <w:szCs w:val="20"/>
          <w:color w:val="auto"/>
        </w:rPr>
        <w:t xml:space="preserve">” is defined in </w:t>
      </w:r>
      <w:r>
        <w:rPr>
          <w:rFonts w:ascii="Arial" w:cs="Arial" w:eastAsia="Arial" w:hAnsi="Arial"/>
          <w:sz w:val="20"/>
          <w:szCs w:val="20"/>
          <w:u w:val="single" w:color="auto"/>
          <w:color w:val="auto"/>
        </w:rPr>
        <w:t>Section 2.10(b)(ii)</w:t>
      </w:r>
      <w:r>
        <w:rPr>
          <w:rFonts w:ascii="Arial" w:cs="Arial" w:eastAsia="Arial" w:hAnsi="Arial"/>
          <w:sz w:val="20"/>
          <w:szCs w:val="20"/>
          <w:color w:val="auto"/>
        </w:rPr>
        <w:t>.</w:t>
      </w:r>
    </w:p>
    <w:p>
      <w:pPr>
        <w:spacing w:after="0" w:line="200" w:lineRule="exact"/>
        <w:rPr>
          <w:sz w:val="20"/>
          <w:szCs w:val="20"/>
          <w:color w:val="auto"/>
        </w:rPr>
      </w:pPr>
    </w:p>
    <w:p>
      <w:pPr>
        <w:spacing w:after="0" w:line="208" w:lineRule="exact"/>
        <w:rPr>
          <w:sz w:val="20"/>
          <w:szCs w:val="20"/>
          <w:color w:val="auto"/>
        </w:rPr>
      </w:pPr>
    </w:p>
    <w:p>
      <w:pPr>
        <w:jc w:val="both"/>
        <w:ind w:firstLine="601"/>
        <w:spacing w:after="0" w:line="261"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Interim Post-Closing</w:t>
      </w:r>
      <w:r>
        <w:rPr>
          <w:rFonts w:ascii="Arial" w:cs="Arial" w:eastAsia="Arial" w:hAnsi="Arial"/>
          <w:sz w:val="20"/>
          <w:szCs w:val="20"/>
          <w:color w:val="auto"/>
        </w:rPr>
        <w:t xml:space="preserve"> [ *** ]” means the [ *** ], as calculated by the Insurer as of the Interim Corrections Calculation Date and taking into account Data Errors that are discovered by the Insurer on or after the date that is 30 days prior to the Target Closing Date and prior to the Interim Corrections Calculation Date.</w:t>
      </w:r>
    </w:p>
    <w:p>
      <w:pPr>
        <w:spacing w:after="0" w:line="364"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Interim Post-Closing Insurer Payment</w:t>
      </w:r>
      <w:r>
        <w:rPr>
          <w:rFonts w:ascii="Arial" w:cs="Arial" w:eastAsia="Arial" w:hAnsi="Arial"/>
          <w:sz w:val="20"/>
          <w:szCs w:val="20"/>
          <w:color w:val="auto"/>
        </w:rPr>
        <w:t xml:space="preserve">” is defined in </w:t>
      </w:r>
      <w:r>
        <w:rPr>
          <w:rFonts w:ascii="Arial" w:cs="Arial" w:eastAsia="Arial" w:hAnsi="Arial"/>
          <w:sz w:val="20"/>
          <w:szCs w:val="20"/>
          <w:u w:val="single" w:color="auto"/>
          <w:color w:val="auto"/>
        </w:rPr>
        <w:t>Section 2.10(c)(i)</w:t>
      </w:r>
      <w:r>
        <w:rPr>
          <w:rFonts w:ascii="Arial" w:cs="Arial" w:eastAsia="Arial" w:hAnsi="Arial"/>
          <w:sz w:val="20"/>
          <w:szCs w:val="20"/>
          <w:color w:val="auto"/>
        </w:rPr>
        <w:t>.</w:t>
      </w:r>
    </w:p>
    <w:p>
      <w:pPr>
        <w:spacing w:after="0" w:line="200" w:lineRule="exact"/>
        <w:rPr>
          <w:sz w:val="20"/>
          <w:szCs w:val="20"/>
          <w:color w:val="auto"/>
        </w:rPr>
      </w:pPr>
    </w:p>
    <w:p>
      <w:pPr>
        <w:spacing w:after="0" w:line="208"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Interim Post-Closing Plan Payment</w:t>
      </w:r>
      <w:r>
        <w:rPr>
          <w:rFonts w:ascii="Arial" w:cs="Arial" w:eastAsia="Arial" w:hAnsi="Arial"/>
          <w:sz w:val="20"/>
          <w:szCs w:val="20"/>
          <w:color w:val="auto"/>
        </w:rPr>
        <w:t xml:space="preserve">” is defined in </w:t>
      </w:r>
      <w:r>
        <w:rPr>
          <w:rFonts w:ascii="Arial" w:cs="Arial" w:eastAsia="Arial" w:hAnsi="Arial"/>
          <w:sz w:val="20"/>
          <w:szCs w:val="20"/>
          <w:u w:val="single" w:color="auto"/>
          <w:color w:val="auto"/>
        </w:rPr>
        <w:t>Section 2.10(c)(ii)</w:t>
      </w:r>
      <w:r>
        <w:rPr>
          <w:rFonts w:ascii="Arial" w:cs="Arial" w:eastAsia="Arial" w:hAnsi="Arial"/>
          <w:sz w:val="20"/>
          <w:szCs w:val="20"/>
          <w:color w:val="auto"/>
        </w:rPr>
        <w:t>.</w:t>
      </w:r>
    </w:p>
    <w:p>
      <w:pPr>
        <w:spacing w:after="0" w:line="200" w:lineRule="exact"/>
        <w:rPr>
          <w:sz w:val="20"/>
          <w:szCs w:val="20"/>
          <w:color w:val="auto"/>
        </w:rPr>
      </w:pPr>
    </w:p>
    <w:p>
      <w:pPr>
        <w:spacing w:after="0" w:line="208"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Interim Post-Closing Post-Solicitation Premium</w:t>
      </w:r>
      <w:r>
        <w:rPr>
          <w:rFonts w:ascii="Arial" w:cs="Arial" w:eastAsia="Arial" w:hAnsi="Arial"/>
          <w:sz w:val="20"/>
          <w:szCs w:val="20"/>
          <w:color w:val="auto"/>
        </w:rPr>
        <w:t xml:space="preserve">” is defined in </w:t>
      </w:r>
      <w:r>
        <w:rPr>
          <w:rFonts w:ascii="Arial" w:cs="Arial" w:eastAsia="Arial" w:hAnsi="Arial"/>
          <w:sz w:val="20"/>
          <w:szCs w:val="20"/>
          <w:u w:val="single" w:color="auto"/>
          <w:color w:val="auto"/>
        </w:rPr>
        <w:t>Section 2.10(b)(i)</w:t>
      </w:r>
      <w:r>
        <w:rPr>
          <w:rFonts w:ascii="Arial" w:cs="Arial" w:eastAsia="Arial" w:hAnsi="Arial"/>
          <w:sz w:val="20"/>
          <w:szCs w:val="20"/>
          <w:color w:val="auto"/>
        </w:rPr>
        <w:t>.</w:t>
      </w:r>
    </w:p>
    <w:p>
      <w:pPr>
        <w:spacing w:after="0" w:line="200" w:lineRule="exact"/>
        <w:rPr>
          <w:sz w:val="20"/>
          <w:szCs w:val="20"/>
          <w:color w:val="auto"/>
        </w:rPr>
      </w:pPr>
    </w:p>
    <w:p>
      <w:pPr>
        <w:spacing w:after="0" w:line="208" w:lineRule="exact"/>
        <w:rPr>
          <w:sz w:val="20"/>
          <w:szCs w:val="20"/>
          <w:color w:val="auto"/>
        </w:rPr>
      </w:pPr>
    </w:p>
    <w:p>
      <w:pPr>
        <w:jc w:val="both"/>
        <w:ind w:firstLine="601"/>
        <w:spacing w:after="0" w:line="25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Interim Post-Closing Single Life Mortality Correction</w:t>
      </w:r>
      <w:r>
        <w:rPr>
          <w:rFonts w:ascii="Arial" w:cs="Arial" w:eastAsia="Arial" w:hAnsi="Arial"/>
          <w:sz w:val="20"/>
          <w:szCs w:val="20"/>
          <w:color w:val="auto"/>
        </w:rPr>
        <w:t>” means the Single Life Mortality Correction, as calculated by the Insurer as of the Interim Corrections Calculation Date and taking into account the death of any Covered Life prior to the Annuity Commencement Date who elected a Single Life Annuity that is discovered by the Insurer on or after the date that is 30 days prior to the Target Closing Date and prior to the Interim Corrections Calculation Date.</w:t>
      </w:r>
    </w:p>
    <w:p>
      <w:pPr>
        <w:spacing w:after="0" w:line="367"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Interpretive Bulletin 95-1</w:t>
      </w:r>
      <w:r>
        <w:rPr>
          <w:rFonts w:ascii="Arial" w:cs="Arial" w:eastAsia="Arial" w:hAnsi="Arial"/>
          <w:sz w:val="20"/>
          <w:szCs w:val="20"/>
          <w:color w:val="auto"/>
        </w:rPr>
        <w:t>” means the U.S. Department of Labor's interpretive bulletin codified at 29 C.F.R. § 2509.95-1.</w:t>
      </w:r>
    </w:p>
    <w:p>
      <w:pPr>
        <w:spacing w:after="0" w:line="200" w:lineRule="exact"/>
        <w:rPr>
          <w:sz w:val="20"/>
          <w:szCs w:val="20"/>
          <w:color w:val="auto"/>
        </w:rPr>
      </w:pPr>
    </w:p>
    <w:p>
      <w:pPr>
        <w:spacing w:after="0" w:line="208"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Joint Written Direction</w:t>
      </w:r>
      <w:r>
        <w:rPr>
          <w:rFonts w:ascii="Arial" w:cs="Arial" w:eastAsia="Arial" w:hAnsi="Arial"/>
          <w:sz w:val="20"/>
          <w:szCs w:val="20"/>
          <w:color w:val="auto"/>
        </w:rPr>
        <w:t>” is defined in the Escrow Agreement.</w:t>
      </w:r>
    </w:p>
    <w:p>
      <w:pPr>
        <w:spacing w:after="0" w:line="200" w:lineRule="exact"/>
        <w:rPr>
          <w:sz w:val="20"/>
          <w:szCs w:val="20"/>
          <w:color w:val="auto"/>
        </w:rPr>
      </w:pPr>
    </w:p>
    <w:p>
      <w:pPr>
        <w:spacing w:after="0" w:line="208" w:lineRule="exact"/>
        <w:rPr>
          <w:sz w:val="20"/>
          <w:szCs w:val="20"/>
          <w:color w:val="auto"/>
        </w:rPr>
      </w:pPr>
    </w:p>
    <w:p>
      <w:pPr>
        <w:ind w:left="6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Law</w:t>
      </w:r>
      <w:r>
        <w:rPr>
          <w:rFonts w:ascii="Arial" w:cs="Arial" w:eastAsia="Arial" w:hAnsi="Arial"/>
          <w:sz w:val="19"/>
          <w:szCs w:val="19"/>
          <w:color w:val="auto"/>
        </w:rPr>
        <w:t>” means any federal, state, foreign or local law, statute, ordinance, regulation, rule or Order of any Governmental Authority.</w:t>
      </w:r>
    </w:p>
    <w:p>
      <w:pPr>
        <w:spacing w:after="0" w:line="200" w:lineRule="exact"/>
        <w:rPr>
          <w:sz w:val="20"/>
          <w:szCs w:val="20"/>
          <w:color w:val="auto"/>
        </w:rPr>
      </w:pPr>
    </w:p>
    <w:p>
      <w:pPr>
        <w:spacing w:after="0" w:line="220" w:lineRule="exact"/>
        <w:rPr>
          <w:sz w:val="20"/>
          <w:szCs w:val="20"/>
          <w:color w:val="auto"/>
        </w:rPr>
      </w:pPr>
    </w:p>
    <w:p>
      <w:pPr>
        <w:jc w:val="both"/>
        <w:ind w:firstLine="601"/>
        <w:spacing w:after="0" w:line="27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Liability</w:t>
      </w:r>
      <w:r>
        <w:rPr>
          <w:rFonts w:ascii="Arial" w:cs="Arial" w:eastAsia="Arial" w:hAnsi="Arial"/>
          <w:sz w:val="20"/>
          <w:szCs w:val="20"/>
          <w:color w:val="auto"/>
        </w:rPr>
        <w:t>” means any direct or indirect liability, debt, obligation, commitment, guaranty, claim, loss, damage, deficiency, penalty, fine, cost or expense of any kind, whether relating to payment, performance or</w:t>
      </w:r>
    </w:p>
    <w:p>
      <w:pPr>
        <w:sectPr>
          <w:pgSz w:w="11900" w:h="16838" w:orient="portrait"/>
          <w:cols w:equalWidth="0" w:num="1">
            <w:col w:w="11420"/>
          </w:cols>
          <w:pgMar w:left="240" w:top="757" w:right="239" w:bottom="1440" w:gutter="0" w:footer="0" w:header="0"/>
        </w:sect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11420"/>
          </w:cols>
          <w:pgMar w:left="240" w:top="757" w:right="239" w:bottom="1440" w:gutter="0" w:footer="0" w:header="0"/>
          <w:type w:val="continuous"/>
        </w:sectPr>
      </w:pPr>
    </w:p>
    <w:bookmarkStart w:id="22" w:name="page23"/>
    <w:bookmarkEnd w:id="22"/>
    <w:p>
      <w:pPr>
        <w:jc w:val="both"/>
        <w:spacing w:after="0" w:line="257" w:lineRule="auto"/>
        <w:rPr>
          <w:sz w:val="20"/>
          <w:szCs w:val="20"/>
          <w:color w:val="auto"/>
        </w:rPr>
      </w:pPr>
      <w:r>
        <w:rPr>
          <w:rFonts w:ascii="Arial" w:cs="Arial" w:eastAsia="Arial" w:hAnsi="Arial"/>
          <w:sz w:val="20"/>
          <w:szCs w:val="20"/>
          <w:color w:val="auto"/>
        </w:rPr>
        <w:t>otherwise, known or unknown, fixed, absolute or contingent, accrued or unaccrued, matured or unmatured, disputed or undisputed, liquidated or unliquidated, secured or unsecured, joint or several, due or to become due, vested or unvested, executory, determined, determinable or otherwise, whenever and however arising (including whether or not required to be reflected or reserved against on the financial statements of the obligor under GAAP).</w:t>
      </w:r>
    </w:p>
    <w:p>
      <w:pPr>
        <w:spacing w:after="0" w:line="367" w:lineRule="exact"/>
        <w:rPr>
          <w:sz w:val="20"/>
          <w:szCs w:val="20"/>
          <w:color w:val="auto"/>
        </w:rPr>
      </w:pPr>
    </w:p>
    <w:p>
      <w:pPr>
        <w:ind w:left="600"/>
        <w:spacing w:after="0"/>
        <w:tabs>
          <w:tab w:leader="none" w:pos="1720" w:val="left"/>
          <w:tab w:leader="none" w:pos="2380" w:val="left"/>
        </w:tabs>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Liability</w:t>
      </w:r>
      <w:r>
        <w:rPr>
          <w:rFonts w:ascii="Arial" w:cs="Arial" w:eastAsia="Arial" w:hAnsi="Arial"/>
          <w:sz w:val="20"/>
          <w:szCs w:val="20"/>
          <w:color w:val="auto"/>
        </w:rPr>
        <w:t xml:space="preserve"> [</w:t>
        <w:tab/>
        <w:t>***</w:t>
      </w:r>
      <w:r>
        <w:rPr>
          <w:sz w:val="20"/>
          <w:szCs w:val="20"/>
          <w:color w:val="auto"/>
        </w:rPr>
        <w:tab/>
      </w:r>
      <w:r>
        <w:rPr>
          <w:rFonts w:ascii="Arial" w:cs="Arial" w:eastAsia="Arial" w:hAnsi="Arial"/>
          <w:sz w:val="18"/>
          <w:szCs w:val="18"/>
          <w:color w:val="auto"/>
        </w:rPr>
        <w:t>]” is defined in Section C of the Procedures Manual.</w:t>
      </w:r>
    </w:p>
    <w:p>
      <w:pPr>
        <w:spacing w:after="0" w:line="200" w:lineRule="exact"/>
        <w:rPr>
          <w:sz w:val="20"/>
          <w:szCs w:val="20"/>
          <w:color w:val="auto"/>
        </w:rPr>
      </w:pPr>
    </w:p>
    <w:p>
      <w:pPr>
        <w:spacing w:after="0" w:line="20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Liens</w:t>
      </w:r>
      <w:r>
        <w:rPr>
          <w:rFonts w:ascii="Arial" w:cs="Arial" w:eastAsia="Arial" w:hAnsi="Arial"/>
          <w:sz w:val="18"/>
          <w:szCs w:val="18"/>
          <w:color w:val="auto"/>
        </w:rPr>
        <w:t>” means any lien, mortgage, security interest, pledge, deposit, encumbrance, restrictive covenant or other similar restriction.</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900" w:type="dxa"/>
            <w:vAlign w:val="bottom"/>
            <w:gridSpan w:val="24"/>
          </w:tcPr>
          <w:p>
            <w:pPr>
              <w:ind w:left="100"/>
              <w:spacing w:after="0"/>
              <w:rPr>
                <w:sz w:val="20"/>
                <w:szCs w:val="20"/>
                <w:color w:val="auto"/>
              </w:rPr>
            </w:pPr>
            <w:r>
              <w:rPr>
                <w:rFonts w:ascii="Arial" w:cs="Arial" w:eastAsia="Arial" w:hAnsi="Arial"/>
                <w:sz w:val="20"/>
                <w:szCs w:val="20"/>
                <w:color w:val="auto"/>
                <w:w w:val="97"/>
              </w:rPr>
              <w:t>“Liquidity Actions” means the taking of any of the following actions during the Covered Period: (</w:t>
            </w:r>
            <w:r>
              <w:rPr>
                <w:rFonts w:ascii="Arial" w:cs="Arial" w:eastAsia="Arial" w:hAnsi="Arial"/>
                <w:sz w:val="20"/>
                <w:szCs w:val="20"/>
                <w:u w:val="single" w:color="auto"/>
                <w:color w:val="auto"/>
                <w:w w:val="97"/>
              </w:rPr>
              <w:t>i</w:t>
            </w:r>
            <w:r>
              <w:rPr>
                <w:rFonts w:ascii="Arial" w:cs="Arial" w:eastAsia="Arial" w:hAnsi="Arial"/>
                <w:sz w:val="20"/>
                <w:szCs w:val="20"/>
                <w:color w:val="auto"/>
                <w:w w:val="97"/>
              </w:rPr>
              <w:t>) [   ***</w:t>
            </w:r>
          </w:p>
        </w:tc>
        <w:tc>
          <w:tcPr>
            <w:tcW w:w="2020" w:type="dxa"/>
            <w:vAlign w:val="bottom"/>
            <w:gridSpan w:val="6"/>
          </w:tcPr>
          <w:p>
            <w:pPr>
              <w:jc w:val="right"/>
              <w:spacing w:after="0"/>
              <w:rPr>
                <w:sz w:val="20"/>
                <w:szCs w:val="20"/>
                <w:color w:val="auto"/>
              </w:rPr>
            </w:pPr>
            <w:r>
              <w:rPr>
                <w:rFonts w:ascii="Arial" w:cs="Arial" w:eastAsia="Arial" w:hAnsi="Arial"/>
                <w:sz w:val="20"/>
                <w:szCs w:val="20"/>
                <w:color w:val="auto"/>
              </w:rPr>
              <w:t>] during the Covered</w:t>
            </w:r>
          </w:p>
        </w:tc>
      </w:tr>
      <w:tr>
        <w:trPr>
          <w:trHeight w:val="20"/>
        </w:trPr>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140" w:type="dxa"/>
            <w:vAlign w:val="bottom"/>
            <w:gridSpan w:val="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8"/>
        </w:trPr>
        <w:tc>
          <w:tcPr>
            <w:tcW w:w="1240" w:type="dxa"/>
            <w:vAlign w:val="bottom"/>
            <w:gridSpan w:val="8"/>
          </w:tcPr>
          <w:p>
            <w:pPr>
              <w:spacing w:after="0" w:line="218" w:lineRule="exact"/>
              <w:rPr>
                <w:sz w:val="20"/>
                <w:szCs w:val="20"/>
                <w:color w:val="auto"/>
              </w:rPr>
            </w:pPr>
            <w:r>
              <w:rPr>
                <w:rFonts w:ascii="Arial" w:cs="Arial" w:eastAsia="Arial" w:hAnsi="Arial"/>
                <w:sz w:val="20"/>
                <w:szCs w:val="20"/>
                <w:color w:val="auto"/>
                <w:w w:val="97"/>
              </w:rPr>
              <w:t>Period, or (ii) [</w:t>
            </w:r>
          </w:p>
        </w:tc>
        <w:tc>
          <w:tcPr>
            <w:tcW w:w="560" w:type="dxa"/>
            <w:vAlign w:val="bottom"/>
          </w:tcPr>
          <w:p>
            <w:pPr>
              <w:jc w:val="center"/>
              <w:ind w:left="80"/>
              <w:spacing w:after="0" w:line="218" w:lineRule="exact"/>
              <w:rPr>
                <w:sz w:val="20"/>
                <w:szCs w:val="20"/>
                <w:color w:val="auto"/>
              </w:rPr>
            </w:pPr>
            <w:r>
              <w:rPr>
                <w:rFonts w:ascii="Arial" w:cs="Arial" w:eastAsia="Arial" w:hAnsi="Arial"/>
                <w:sz w:val="20"/>
                <w:szCs w:val="20"/>
                <w:color w:val="auto"/>
              </w:rPr>
              <w:t>***</w:t>
            </w:r>
          </w:p>
        </w:tc>
        <w:tc>
          <w:tcPr>
            <w:tcW w:w="300" w:type="dxa"/>
            <w:vAlign w:val="bottom"/>
          </w:tcPr>
          <w:p>
            <w:pPr>
              <w:spacing w:after="0"/>
              <w:rPr>
                <w:sz w:val="18"/>
                <w:szCs w:val="18"/>
                <w:color w:val="auto"/>
              </w:rPr>
            </w:pPr>
          </w:p>
        </w:tc>
        <w:tc>
          <w:tcPr>
            <w:tcW w:w="2660" w:type="dxa"/>
            <w:vAlign w:val="bottom"/>
            <w:gridSpan w:val="6"/>
          </w:tcPr>
          <w:p>
            <w:pPr>
              <w:ind w:left="40"/>
              <w:spacing w:after="0" w:line="218" w:lineRule="exact"/>
              <w:rPr>
                <w:sz w:val="20"/>
                <w:szCs w:val="20"/>
                <w:color w:val="auto"/>
              </w:rPr>
            </w:pPr>
            <w:r>
              <w:rPr>
                <w:rFonts w:ascii="Arial" w:cs="Arial" w:eastAsia="Arial" w:hAnsi="Arial"/>
                <w:sz w:val="20"/>
                <w:szCs w:val="20"/>
                <w:color w:val="auto"/>
                <w:w w:val="99"/>
              </w:rPr>
              <w:t>] during the Covered Period, [</w:t>
            </w:r>
          </w:p>
        </w:tc>
        <w:tc>
          <w:tcPr>
            <w:tcW w:w="580" w:type="dxa"/>
            <w:vAlign w:val="bottom"/>
            <w:gridSpan w:val="2"/>
          </w:tcPr>
          <w:p>
            <w:pPr>
              <w:jc w:val="right"/>
              <w:ind w:right="120"/>
              <w:spacing w:after="0" w:line="218" w:lineRule="exact"/>
              <w:rPr>
                <w:sz w:val="20"/>
                <w:szCs w:val="20"/>
                <w:color w:val="auto"/>
              </w:rPr>
            </w:pPr>
            <w:r>
              <w:rPr>
                <w:rFonts w:ascii="Arial" w:cs="Arial" w:eastAsia="Arial" w:hAnsi="Arial"/>
                <w:sz w:val="20"/>
                <w:szCs w:val="20"/>
                <w:color w:val="auto"/>
              </w:rPr>
              <w:t>***</w:t>
            </w:r>
          </w:p>
        </w:tc>
        <w:tc>
          <w:tcPr>
            <w:tcW w:w="860" w:type="dxa"/>
            <w:vAlign w:val="bottom"/>
            <w:gridSpan w:val="4"/>
          </w:tcPr>
          <w:p>
            <w:pPr>
              <w:ind w:left="160"/>
              <w:spacing w:after="0" w:line="218" w:lineRule="exact"/>
              <w:rPr>
                <w:sz w:val="20"/>
                <w:szCs w:val="20"/>
                <w:color w:val="auto"/>
              </w:rPr>
            </w:pPr>
            <w:r>
              <w:rPr>
                <w:rFonts w:ascii="Arial" w:cs="Arial" w:eastAsia="Arial" w:hAnsi="Arial"/>
                <w:sz w:val="20"/>
                <w:szCs w:val="20"/>
                <w:color w:val="auto"/>
              </w:rPr>
              <w:t>]: (a) [</w:t>
            </w:r>
          </w:p>
        </w:tc>
        <w:tc>
          <w:tcPr>
            <w:tcW w:w="580" w:type="dxa"/>
            <w:vAlign w:val="bottom"/>
          </w:tcPr>
          <w:p>
            <w:pPr>
              <w:jc w:val="right"/>
              <w:ind w:right="100"/>
              <w:spacing w:after="0" w:line="218" w:lineRule="exact"/>
              <w:rPr>
                <w:sz w:val="20"/>
                <w:szCs w:val="20"/>
                <w:color w:val="auto"/>
              </w:rPr>
            </w:pPr>
            <w:r>
              <w:rPr>
                <w:rFonts w:ascii="Arial" w:cs="Arial" w:eastAsia="Arial" w:hAnsi="Arial"/>
                <w:sz w:val="20"/>
                <w:szCs w:val="20"/>
                <w:color w:val="auto"/>
              </w:rPr>
              <w:t>***</w:t>
            </w:r>
          </w:p>
        </w:tc>
        <w:tc>
          <w:tcPr>
            <w:tcW w:w="1300" w:type="dxa"/>
            <w:vAlign w:val="bottom"/>
            <w:gridSpan w:val="3"/>
          </w:tcPr>
          <w:p>
            <w:pPr>
              <w:ind w:left="160"/>
              <w:spacing w:after="0" w:line="218" w:lineRule="exact"/>
              <w:rPr>
                <w:sz w:val="20"/>
                <w:szCs w:val="20"/>
                <w:color w:val="auto"/>
              </w:rPr>
            </w:pPr>
            <w:r>
              <w:rPr>
                <w:rFonts w:ascii="Arial" w:cs="Arial" w:eastAsia="Arial" w:hAnsi="Arial"/>
                <w:sz w:val="20"/>
                <w:szCs w:val="20"/>
                <w:color w:val="auto"/>
              </w:rPr>
              <w:t>] (</w:t>
            </w:r>
            <w:r>
              <w:rPr>
                <w:rFonts w:ascii="Arial" w:cs="Arial" w:eastAsia="Arial" w:hAnsi="Arial"/>
                <w:sz w:val="20"/>
                <w:szCs w:val="20"/>
                <w:u w:val="single" w:color="auto"/>
                <w:color w:val="auto"/>
              </w:rPr>
              <w:t>i</w:t>
            </w:r>
            <w:r>
              <w:rPr>
                <w:rFonts w:ascii="Arial" w:cs="Arial" w:eastAsia="Arial" w:hAnsi="Arial"/>
                <w:sz w:val="20"/>
                <w:szCs w:val="20"/>
                <w:color w:val="auto"/>
              </w:rPr>
              <w:t>) [   ***</w:t>
            </w:r>
          </w:p>
        </w:tc>
        <w:tc>
          <w:tcPr>
            <w:tcW w:w="2600" w:type="dxa"/>
            <w:vAlign w:val="bottom"/>
            <w:gridSpan w:val="5"/>
          </w:tcPr>
          <w:p>
            <w:pPr>
              <w:ind w:left="240"/>
              <w:spacing w:after="0" w:line="218" w:lineRule="exact"/>
              <w:rPr>
                <w:sz w:val="20"/>
                <w:szCs w:val="20"/>
                <w:color w:val="auto"/>
              </w:rPr>
            </w:pPr>
            <w:r>
              <w:rPr>
                <w:rFonts w:ascii="Arial" w:cs="Arial" w:eastAsia="Arial" w:hAnsi="Arial"/>
                <w:sz w:val="20"/>
                <w:szCs w:val="20"/>
                <w:color w:val="auto"/>
              </w:rPr>
              <w:t>] in the aggregate; or (ii) [</w:t>
            </w:r>
          </w:p>
        </w:tc>
        <w:tc>
          <w:tcPr>
            <w:tcW w:w="600" w:type="dxa"/>
            <w:vAlign w:val="bottom"/>
            <w:gridSpan w:val="2"/>
          </w:tcPr>
          <w:p>
            <w:pPr>
              <w:jc w:val="right"/>
              <w:ind w:right="300"/>
              <w:spacing w:after="0" w:line="218" w:lineRule="exact"/>
              <w:rPr>
                <w:sz w:val="20"/>
                <w:szCs w:val="20"/>
                <w:color w:val="auto"/>
              </w:rPr>
            </w:pPr>
            <w:r>
              <w:rPr>
                <w:rFonts w:ascii="Arial" w:cs="Arial" w:eastAsia="Arial" w:hAnsi="Arial"/>
                <w:sz w:val="20"/>
                <w:szCs w:val="20"/>
                <w:color w:val="auto"/>
              </w:rPr>
              <w:t>***</w:t>
            </w:r>
          </w:p>
        </w:tc>
        <w:tc>
          <w:tcPr>
            <w:tcW w:w="140" w:type="dxa"/>
            <w:vAlign w:val="bottom"/>
          </w:tcPr>
          <w:p>
            <w:pPr>
              <w:jc w:val="right"/>
              <w:spacing w:after="0" w:line="218" w:lineRule="exact"/>
              <w:rPr>
                <w:sz w:val="20"/>
                <w:szCs w:val="20"/>
                <w:color w:val="auto"/>
              </w:rPr>
            </w:pPr>
            <w:r>
              <w:rPr>
                <w:rFonts w:ascii="Arial" w:cs="Arial" w:eastAsia="Arial" w:hAnsi="Arial"/>
                <w:sz w:val="20"/>
                <w:szCs w:val="20"/>
                <w:color w:val="auto"/>
              </w:rPr>
              <w:t>]</w:t>
            </w:r>
          </w:p>
        </w:tc>
      </w:tr>
      <w:tr>
        <w:trPr>
          <w:trHeight w:val="20"/>
        </w:trPr>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240" w:type="dxa"/>
            <w:vAlign w:val="bottom"/>
            <w:tcBorders>
              <w:lef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8"/>
        </w:trPr>
        <w:tc>
          <w:tcPr>
            <w:tcW w:w="1240" w:type="dxa"/>
            <w:vAlign w:val="bottom"/>
            <w:gridSpan w:val="8"/>
          </w:tcPr>
          <w:p>
            <w:pPr>
              <w:spacing w:after="0" w:line="218" w:lineRule="exact"/>
              <w:rPr>
                <w:sz w:val="20"/>
                <w:szCs w:val="20"/>
                <w:color w:val="auto"/>
              </w:rPr>
            </w:pPr>
            <w:r>
              <w:rPr>
                <w:rFonts w:ascii="Arial" w:cs="Arial" w:eastAsia="Arial" w:hAnsi="Arial"/>
                <w:sz w:val="20"/>
                <w:szCs w:val="20"/>
                <w:color w:val="auto"/>
              </w:rPr>
              <w:t>and (b) [   ***</w:t>
            </w:r>
          </w:p>
        </w:tc>
        <w:tc>
          <w:tcPr>
            <w:tcW w:w="560" w:type="dxa"/>
            <w:vAlign w:val="bottom"/>
          </w:tcPr>
          <w:p>
            <w:pPr>
              <w:jc w:val="center"/>
              <w:ind w:left="160"/>
              <w:spacing w:after="0" w:line="218" w:lineRule="exact"/>
              <w:rPr>
                <w:sz w:val="20"/>
                <w:szCs w:val="20"/>
                <w:color w:val="auto"/>
              </w:rPr>
            </w:pPr>
            <w:r>
              <w:rPr>
                <w:rFonts w:ascii="Arial" w:cs="Arial" w:eastAsia="Arial" w:hAnsi="Arial"/>
                <w:sz w:val="20"/>
                <w:szCs w:val="20"/>
                <w:color w:val="auto"/>
                <w:w w:val="89"/>
              </w:rPr>
              <w:t>].</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618"/>
        </w:trPr>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760" w:type="dxa"/>
            <w:vAlign w:val="bottom"/>
            <w:gridSpan w:val="11"/>
          </w:tcPr>
          <w:p>
            <w:pPr>
              <w:ind w:left="100"/>
              <w:spacing w:after="0"/>
              <w:rPr>
                <w:sz w:val="20"/>
                <w:szCs w:val="20"/>
                <w:color w:val="auto"/>
              </w:rPr>
            </w:pPr>
            <w:r>
              <w:rPr>
                <w:rFonts w:ascii="Arial" w:cs="Arial" w:eastAsia="Arial" w:hAnsi="Arial"/>
                <w:sz w:val="20"/>
                <w:szCs w:val="20"/>
                <w:color w:val="auto"/>
                <w:w w:val="95"/>
              </w:rPr>
              <w:t>“Liquidity Cap” means an amount equal to [</w:t>
            </w:r>
          </w:p>
        </w:tc>
        <w:tc>
          <w:tcPr>
            <w:tcW w:w="500" w:type="dxa"/>
            <w:vAlign w:val="bottom"/>
          </w:tcPr>
          <w:p>
            <w:pPr>
              <w:jc w:val="right"/>
              <w:spacing w:after="0"/>
              <w:rPr>
                <w:sz w:val="20"/>
                <w:szCs w:val="20"/>
                <w:color w:val="auto"/>
              </w:rPr>
            </w:pPr>
            <w:r>
              <w:rPr>
                <w:rFonts w:ascii="Arial" w:cs="Arial" w:eastAsia="Arial" w:hAnsi="Arial"/>
                <w:sz w:val="20"/>
                <w:szCs w:val="20"/>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0"/>
        </w:trPr>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gridSpan w:val="4"/>
            <w:shd w:val="clear" w:color="auto" w:fill="000000"/>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140" w:type="dxa"/>
            <w:vAlign w:val="bottom"/>
            <w:gridSpan w:val="7"/>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r>
      <w:tr>
        <w:trPr>
          <w:trHeight w:val="618"/>
        </w:trPr>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700" w:type="dxa"/>
            <w:vAlign w:val="bottom"/>
            <w:gridSpan w:val="18"/>
          </w:tcPr>
          <w:p>
            <w:pPr>
              <w:ind w:left="100"/>
              <w:spacing w:after="0"/>
              <w:rPr>
                <w:sz w:val="20"/>
                <w:szCs w:val="20"/>
                <w:color w:val="auto"/>
              </w:rPr>
            </w:pPr>
            <w:r>
              <w:rPr>
                <w:rFonts w:ascii="Arial" w:cs="Arial" w:eastAsia="Arial" w:hAnsi="Arial"/>
                <w:sz w:val="20"/>
                <w:szCs w:val="20"/>
                <w:color w:val="auto"/>
                <w:w w:val="94"/>
              </w:rPr>
              <w:t>“Liquidity Requirement” means an amount in cash, as determined [</w:t>
            </w:r>
          </w:p>
        </w:tc>
        <w:tc>
          <w:tcPr>
            <w:tcW w:w="580" w:type="dxa"/>
            <w:vAlign w:val="bottom"/>
          </w:tcPr>
          <w:p>
            <w:pPr>
              <w:jc w:val="right"/>
              <w:ind w:right="20"/>
              <w:spacing w:after="0"/>
              <w:rPr>
                <w:sz w:val="20"/>
                <w:szCs w:val="20"/>
                <w:color w:val="auto"/>
              </w:rPr>
            </w:pPr>
            <w:r>
              <w:rPr>
                <w:rFonts w:ascii="Arial" w:cs="Arial" w:eastAsia="Arial" w:hAnsi="Arial"/>
                <w:sz w:val="20"/>
                <w:szCs w:val="20"/>
                <w:color w:val="auto"/>
              </w:rPr>
              <w:t>***</w:t>
            </w:r>
          </w:p>
        </w:tc>
        <w:tc>
          <w:tcPr>
            <w:tcW w:w="4640" w:type="dxa"/>
            <w:vAlign w:val="bottom"/>
            <w:gridSpan w:val="11"/>
          </w:tcPr>
          <w:p>
            <w:pPr>
              <w:jc w:val="right"/>
              <w:spacing w:after="0"/>
              <w:rPr>
                <w:sz w:val="20"/>
                <w:szCs w:val="20"/>
                <w:color w:val="auto"/>
              </w:rPr>
            </w:pPr>
            <w:r>
              <w:rPr>
                <w:rFonts w:ascii="Arial" w:cs="Arial" w:eastAsia="Arial" w:hAnsi="Arial"/>
                <w:sz w:val="20"/>
                <w:szCs w:val="20"/>
                <w:color w:val="auto"/>
                <w:w w:val="99"/>
              </w:rPr>
              <w:t xml:space="preserve">] prior to the Target Closing Date, equal to (A) </w:t>
            </w:r>
            <w:r>
              <w:rPr>
                <w:rFonts w:ascii="Arial" w:cs="Arial" w:eastAsia="Arial" w:hAnsi="Arial"/>
                <w:sz w:val="20"/>
                <w:szCs w:val="20"/>
                <w:i w:val="1"/>
                <w:iCs w:val="1"/>
                <w:color w:val="auto"/>
                <w:w w:val="99"/>
              </w:rPr>
              <w:t>minus</w:t>
            </w:r>
          </w:p>
        </w:tc>
      </w:tr>
      <w:tr>
        <w:trPr>
          <w:trHeight w:val="20"/>
        </w:trPr>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420" w:type="dxa"/>
            <w:vAlign w:val="bottom"/>
            <w:gridSpan w:val="5"/>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0" w:type="dxa"/>
            <w:vAlign w:val="bottom"/>
            <w:gridSpan w:val="6"/>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8"/>
        </w:trPr>
        <w:tc>
          <w:tcPr>
            <w:tcW w:w="2100" w:type="dxa"/>
            <w:vAlign w:val="bottom"/>
            <w:gridSpan w:val="10"/>
          </w:tcPr>
          <w:p>
            <w:pPr>
              <w:spacing w:after="0" w:line="218" w:lineRule="exact"/>
              <w:rPr>
                <w:sz w:val="20"/>
                <w:szCs w:val="20"/>
                <w:color w:val="auto"/>
              </w:rPr>
            </w:pPr>
            <w:r>
              <w:rPr>
                <w:rFonts w:ascii="Arial" w:cs="Arial" w:eastAsia="Arial" w:hAnsi="Arial"/>
                <w:sz w:val="20"/>
                <w:szCs w:val="20"/>
                <w:color w:val="auto"/>
              </w:rPr>
              <w:t>(B), where (A) equals [</w:t>
            </w:r>
          </w:p>
        </w:tc>
        <w:tc>
          <w:tcPr>
            <w:tcW w:w="420" w:type="dxa"/>
            <w:vAlign w:val="bottom"/>
          </w:tcPr>
          <w:p>
            <w:pPr>
              <w:ind w:left="40"/>
              <w:spacing w:after="0" w:line="218" w:lineRule="exact"/>
              <w:rPr>
                <w:sz w:val="20"/>
                <w:szCs w:val="20"/>
                <w:color w:val="auto"/>
              </w:rPr>
            </w:pPr>
            <w:r>
              <w:rPr>
                <w:rFonts w:ascii="Arial" w:cs="Arial" w:eastAsia="Arial" w:hAnsi="Arial"/>
                <w:sz w:val="20"/>
                <w:szCs w:val="20"/>
                <w:color w:val="auto"/>
              </w:rPr>
              <w:t>***</w:t>
            </w:r>
          </w:p>
        </w:tc>
        <w:tc>
          <w:tcPr>
            <w:tcW w:w="180" w:type="dxa"/>
            <w:vAlign w:val="bottom"/>
          </w:tcPr>
          <w:p>
            <w:pPr>
              <w:spacing w:after="0"/>
              <w:rPr>
                <w:sz w:val="18"/>
                <w:szCs w:val="18"/>
                <w:color w:val="auto"/>
              </w:rPr>
            </w:pPr>
          </w:p>
        </w:tc>
        <w:tc>
          <w:tcPr>
            <w:tcW w:w="7980" w:type="dxa"/>
            <w:vAlign w:val="bottom"/>
            <w:gridSpan w:val="19"/>
          </w:tcPr>
          <w:p>
            <w:pPr>
              <w:ind w:left="100"/>
              <w:spacing w:after="0" w:line="218" w:lineRule="exact"/>
              <w:rPr>
                <w:sz w:val="20"/>
                <w:szCs w:val="20"/>
                <w:color w:val="auto"/>
              </w:rPr>
            </w:pPr>
            <w:r>
              <w:rPr>
                <w:rFonts w:ascii="Arial" w:cs="Arial" w:eastAsia="Arial" w:hAnsi="Arial"/>
                <w:sz w:val="20"/>
                <w:szCs w:val="20"/>
                <w:color w:val="auto"/>
                <w:w w:val="94"/>
              </w:rPr>
              <w:t>] as calculated pursuant to Appendix 2.6 (which, for the avoidance of doubt, does not include [</w:t>
            </w:r>
          </w:p>
        </w:tc>
        <w:tc>
          <w:tcPr>
            <w:tcW w:w="600" w:type="dxa"/>
            <w:vAlign w:val="bottom"/>
            <w:gridSpan w:val="2"/>
          </w:tcPr>
          <w:p>
            <w:pPr>
              <w:jc w:val="right"/>
              <w:ind w:right="300"/>
              <w:spacing w:after="0" w:line="218" w:lineRule="exact"/>
              <w:rPr>
                <w:sz w:val="20"/>
                <w:szCs w:val="20"/>
                <w:color w:val="auto"/>
              </w:rPr>
            </w:pPr>
            <w:r>
              <w:rPr>
                <w:rFonts w:ascii="Arial" w:cs="Arial" w:eastAsia="Arial" w:hAnsi="Arial"/>
                <w:sz w:val="20"/>
                <w:szCs w:val="20"/>
                <w:color w:val="auto"/>
              </w:rPr>
              <w:t>***</w:t>
            </w:r>
          </w:p>
        </w:tc>
        <w:tc>
          <w:tcPr>
            <w:tcW w:w="140" w:type="dxa"/>
            <w:vAlign w:val="bottom"/>
          </w:tcPr>
          <w:p>
            <w:pPr>
              <w:jc w:val="right"/>
              <w:spacing w:after="0" w:line="218" w:lineRule="exact"/>
              <w:rPr>
                <w:sz w:val="20"/>
                <w:szCs w:val="20"/>
                <w:color w:val="auto"/>
              </w:rPr>
            </w:pPr>
            <w:r>
              <w:rPr>
                <w:rFonts w:ascii="Arial" w:cs="Arial" w:eastAsia="Arial" w:hAnsi="Arial"/>
                <w:sz w:val="20"/>
                <w:szCs w:val="20"/>
                <w:color w:val="auto"/>
              </w:rPr>
              <w:t>]</w:t>
            </w:r>
          </w:p>
        </w:tc>
      </w:tr>
      <w:tr>
        <w:trPr>
          <w:trHeight w:val="20"/>
        </w:trPr>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900" w:type="dxa"/>
            <w:vAlign w:val="bottom"/>
            <w:gridSpan w:val="8"/>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8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8"/>
        </w:trPr>
        <w:tc>
          <w:tcPr>
            <w:tcW w:w="2100" w:type="dxa"/>
            <w:vAlign w:val="bottom"/>
            <w:gridSpan w:val="10"/>
          </w:tcPr>
          <w:p>
            <w:pPr>
              <w:spacing w:after="0" w:line="218" w:lineRule="exact"/>
              <w:rPr>
                <w:sz w:val="20"/>
                <w:szCs w:val="20"/>
                <w:color w:val="auto"/>
              </w:rPr>
            </w:pPr>
            <w:r>
              <w:rPr>
                <w:rFonts w:ascii="Arial" w:cs="Arial" w:eastAsia="Arial" w:hAnsi="Arial"/>
                <w:sz w:val="20"/>
                <w:szCs w:val="20"/>
                <w:color w:val="auto"/>
              </w:rPr>
              <w:t>and (B) equals (</w:t>
            </w:r>
            <w:r>
              <w:rPr>
                <w:rFonts w:ascii="Arial" w:cs="Arial" w:eastAsia="Arial" w:hAnsi="Arial"/>
                <w:sz w:val="20"/>
                <w:szCs w:val="20"/>
                <w:u w:val="single" w:color="auto"/>
                <w:color w:val="auto"/>
              </w:rPr>
              <w:t>i</w:t>
            </w:r>
            <w:r>
              <w:rPr>
                <w:rFonts w:ascii="Arial" w:cs="Arial" w:eastAsia="Arial" w:hAnsi="Arial"/>
                <w:sz w:val="20"/>
                <w:szCs w:val="20"/>
                <w:color w:val="auto"/>
              </w:rPr>
              <w:t>) [   ***</w:t>
            </w:r>
          </w:p>
        </w:tc>
        <w:tc>
          <w:tcPr>
            <w:tcW w:w="2160" w:type="dxa"/>
            <w:vAlign w:val="bottom"/>
            <w:gridSpan w:val="5"/>
          </w:tcPr>
          <w:p>
            <w:pPr>
              <w:ind w:left="340"/>
              <w:spacing w:after="0" w:line="218" w:lineRule="exact"/>
              <w:rPr>
                <w:sz w:val="20"/>
                <w:szCs w:val="20"/>
                <w:color w:val="auto"/>
              </w:rPr>
            </w:pPr>
            <w:r>
              <w:rPr>
                <w:rFonts w:ascii="Arial" w:cs="Arial" w:eastAsia="Arial" w:hAnsi="Arial"/>
                <w:sz w:val="20"/>
                <w:szCs w:val="20"/>
                <w:color w:val="auto"/>
              </w:rPr>
              <w:t xml:space="preserve">] </w:t>
            </w:r>
            <w:r>
              <w:rPr>
                <w:rFonts w:ascii="Arial" w:cs="Arial" w:eastAsia="Arial" w:hAnsi="Arial"/>
                <w:sz w:val="20"/>
                <w:szCs w:val="20"/>
                <w:i w:val="1"/>
                <w:iCs w:val="1"/>
                <w:color w:val="auto"/>
              </w:rPr>
              <w:t>plus</w:t>
            </w:r>
            <w:r>
              <w:rPr>
                <w:rFonts w:ascii="Arial" w:cs="Arial" w:eastAsia="Arial" w:hAnsi="Arial"/>
                <w:sz w:val="20"/>
                <w:szCs w:val="20"/>
                <w:color w:val="auto"/>
              </w:rPr>
              <w:t xml:space="preserve"> (ii) the [   ***</w:t>
            </w:r>
          </w:p>
        </w:tc>
        <w:tc>
          <w:tcPr>
            <w:tcW w:w="1940" w:type="dxa"/>
            <w:vAlign w:val="bottom"/>
            <w:gridSpan w:val="7"/>
          </w:tcPr>
          <w:p>
            <w:pPr>
              <w:ind w:left="280"/>
              <w:spacing w:after="0" w:line="218" w:lineRule="exact"/>
              <w:rPr>
                <w:sz w:val="20"/>
                <w:szCs w:val="20"/>
                <w:color w:val="auto"/>
              </w:rPr>
            </w:pPr>
            <w:r>
              <w:rPr>
                <w:rFonts w:ascii="Arial" w:cs="Arial" w:eastAsia="Arial" w:hAnsi="Arial"/>
                <w:sz w:val="20"/>
                <w:szCs w:val="20"/>
                <w:color w:val="auto"/>
              </w:rPr>
              <w:t>], or if such [   ***</w:t>
            </w:r>
          </w:p>
        </w:tc>
        <w:tc>
          <w:tcPr>
            <w:tcW w:w="2420" w:type="dxa"/>
            <w:vAlign w:val="bottom"/>
            <w:gridSpan w:val="5"/>
          </w:tcPr>
          <w:p>
            <w:pPr>
              <w:jc w:val="right"/>
              <w:ind w:right="40"/>
              <w:spacing w:after="0" w:line="218" w:lineRule="exact"/>
              <w:rPr>
                <w:sz w:val="20"/>
                <w:szCs w:val="20"/>
                <w:color w:val="auto"/>
              </w:rPr>
            </w:pPr>
            <w:r>
              <w:rPr>
                <w:rFonts w:ascii="Arial" w:cs="Arial" w:eastAsia="Arial" w:hAnsi="Arial"/>
                <w:sz w:val="20"/>
                <w:szCs w:val="20"/>
                <w:color w:val="auto"/>
              </w:rPr>
              <w:t>] at such time, then the [</w:t>
            </w:r>
          </w:p>
        </w:tc>
        <w:tc>
          <w:tcPr>
            <w:tcW w:w="780" w:type="dxa"/>
            <w:vAlign w:val="bottom"/>
          </w:tcPr>
          <w:p>
            <w:pPr>
              <w:jc w:val="right"/>
              <w:ind w:right="240"/>
              <w:spacing w:after="0" w:line="218" w:lineRule="exact"/>
              <w:rPr>
                <w:sz w:val="20"/>
                <w:szCs w:val="20"/>
                <w:color w:val="auto"/>
              </w:rPr>
            </w:pPr>
            <w:r>
              <w:rPr>
                <w:rFonts w:ascii="Arial" w:cs="Arial" w:eastAsia="Arial" w:hAnsi="Arial"/>
                <w:sz w:val="20"/>
                <w:szCs w:val="20"/>
                <w:color w:val="auto"/>
              </w:rPr>
              <w:t>***</w:t>
            </w:r>
          </w:p>
        </w:tc>
        <w:tc>
          <w:tcPr>
            <w:tcW w:w="1880" w:type="dxa"/>
            <w:vAlign w:val="bottom"/>
            <w:gridSpan w:val="5"/>
          </w:tcPr>
          <w:p>
            <w:pPr>
              <w:jc w:val="right"/>
              <w:ind w:right="80"/>
              <w:spacing w:after="0" w:line="218" w:lineRule="exact"/>
              <w:rPr>
                <w:sz w:val="20"/>
                <w:szCs w:val="20"/>
                <w:color w:val="auto"/>
              </w:rPr>
            </w:pPr>
            <w:r>
              <w:rPr>
                <w:rFonts w:ascii="Arial" w:cs="Arial" w:eastAsia="Arial" w:hAnsi="Arial"/>
                <w:sz w:val="20"/>
                <w:szCs w:val="20"/>
                <w:color w:val="auto"/>
                <w:w w:val="95"/>
              </w:rPr>
              <w:t>], in connection with [</w:t>
            </w:r>
          </w:p>
        </w:tc>
        <w:tc>
          <w:tcPr>
            <w:tcW w:w="140" w:type="dxa"/>
            <w:vAlign w:val="bottom"/>
          </w:tcPr>
          <w:p>
            <w:pPr>
              <w:spacing w:after="0"/>
              <w:rPr>
                <w:sz w:val="18"/>
                <w:szCs w:val="18"/>
                <w:color w:val="auto"/>
              </w:rPr>
            </w:pPr>
          </w:p>
        </w:tc>
      </w:tr>
      <w:tr>
        <w:trPr>
          <w:trHeight w:val="20"/>
        </w:trPr>
        <w:tc>
          <w:tcPr>
            <w:tcW w:w="4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20" w:type="dxa"/>
            <w:vAlign w:val="bottom"/>
            <w:gridSpan w:val="9"/>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r>
      <w:tr>
        <w:trPr>
          <w:trHeight w:val="218"/>
        </w:trPr>
        <w:tc>
          <w:tcPr>
            <w:tcW w:w="400" w:type="dxa"/>
            <w:vAlign w:val="bottom"/>
            <w:gridSpan w:val="3"/>
          </w:tcPr>
          <w:p>
            <w:pPr>
              <w:spacing w:after="0" w:line="218" w:lineRule="exact"/>
              <w:rPr>
                <w:sz w:val="20"/>
                <w:szCs w:val="20"/>
                <w:color w:val="auto"/>
              </w:rPr>
            </w:pPr>
            <w:r>
              <w:rPr>
                <w:rFonts w:ascii="Arial" w:cs="Arial" w:eastAsia="Arial" w:hAnsi="Arial"/>
                <w:sz w:val="20"/>
                <w:szCs w:val="20"/>
                <w:color w:val="auto"/>
              </w:rPr>
              <w:t>***</w:t>
            </w:r>
          </w:p>
        </w:tc>
        <w:tc>
          <w:tcPr>
            <w:tcW w:w="100" w:type="dxa"/>
            <w:vAlign w:val="bottom"/>
          </w:tcPr>
          <w:p>
            <w:pPr>
              <w:spacing w:after="0"/>
              <w:rPr>
                <w:sz w:val="18"/>
                <w:szCs w:val="18"/>
                <w:color w:val="auto"/>
              </w:rPr>
            </w:pPr>
          </w:p>
        </w:tc>
        <w:tc>
          <w:tcPr>
            <w:tcW w:w="3760" w:type="dxa"/>
            <w:vAlign w:val="bottom"/>
            <w:gridSpan w:val="11"/>
          </w:tcPr>
          <w:p>
            <w:pPr>
              <w:ind w:left="160"/>
              <w:spacing w:after="0" w:line="218" w:lineRule="exact"/>
              <w:rPr>
                <w:sz w:val="20"/>
                <w:szCs w:val="20"/>
                <w:color w:val="auto"/>
              </w:rPr>
            </w:pPr>
            <w:r>
              <w:rPr>
                <w:rFonts w:ascii="Arial" w:cs="Arial" w:eastAsia="Arial" w:hAnsi="Arial"/>
                <w:sz w:val="20"/>
                <w:szCs w:val="20"/>
                <w:color w:val="auto"/>
                <w:w w:val="95"/>
              </w:rPr>
              <w:t>] (currently expected to be in the range of [</w:t>
            </w:r>
          </w:p>
        </w:tc>
        <w:tc>
          <w:tcPr>
            <w:tcW w:w="500" w:type="dxa"/>
            <w:vAlign w:val="bottom"/>
          </w:tcPr>
          <w:p>
            <w:pPr>
              <w:jc w:val="right"/>
              <w:spacing w:after="0" w:line="218" w:lineRule="exact"/>
              <w:rPr>
                <w:sz w:val="20"/>
                <w:szCs w:val="20"/>
                <w:color w:val="auto"/>
              </w:rPr>
            </w:pPr>
            <w:r>
              <w:rPr>
                <w:rFonts w:ascii="Arial" w:cs="Arial" w:eastAsia="Arial" w:hAnsi="Arial"/>
                <w:sz w:val="20"/>
                <w:szCs w:val="20"/>
                <w:color w:val="auto"/>
              </w:rPr>
              <w:t>***</w:t>
            </w:r>
          </w:p>
        </w:tc>
        <w:tc>
          <w:tcPr>
            <w:tcW w:w="200" w:type="dxa"/>
            <w:vAlign w:val="bottom"/>
          </w:tcPr>
          <w:p>
            <w:pPr>
              <w:spacing w:after="0"/>
              <w:rPr>
                <w:sz w:val="18"/>
                <w:szCs w:val="18"/>
                <w:color w:val="auto"/>
              </w:rPr>
            </w:pPr>
          </w:p>
        </w:tc>
        <w:tc>
          <w:tcPr>
            <w:tcW w:w="1240" w:type="dxa"/>
            <w:vAlign w:val="bottom"/>
            <w:gridSpan w:val="5"/>
          </w:tcPr>
          <w:p>
            <w:pPr>
              <w:ind w:left="60"/>
              <w:spacing w:after="0" w:line="218" w:lineRule="exact"/>
              <w:rPr>
                <w:sz w:val="20"/>
                <w:szCs w:val="20"/>
                <w:color w:val="auto"/>
              </w:rPr>
            </w:pPr>
            <w:r>
              <w:rPr>
                <w:rFonts w:ascii="Arial" w:cs="Arial" w:eastAsia="Arial" w:hAnsi="Arial"/>
                <w:sz w:val="20"/>
                <w:szCs w:val="20"/>
                <w:color w:val="auto"/>
              </w:rPr>
              <w:t xml:space="preserve">], </w:t>
            </w:r>
            <w:r>
              <w:rPr>
                <w:rFonts w:ascii="Arial" w:cs="Arial" w:eastAsia="Arial" w:hAnsi="Arial"/>
                <w:sz w:val="20"/>
                <w:szCs w:val="20"/>
                <w:i w:val="1"/>
                <w:iCs w:val="1"/>
                <w:color w:val="auto"/>
              </w:rPr>
              <w:t>plus</w:t>
            </w:r>
            <w:r>
              <w:rPr>
                <w:rFonts w:ascii="Arial" w:cs="Arial" w:eastAsia="Arial" w:hAnsi="Arial"/>
                <w:sz w:val="20"/>
                <w:szCs w:val="20"/>
                <w:color w:val="auto"/>
              </w:rPr>
              <w:t xml:space="preserve"> (iii) [</w:t>
            </w:r>
          </w:p>
        </w:tc>
        <w:tc>
          <w:tcPr>
            <w:tcW w:w="580" w:type="dxa"/>
            <w:vAlign w:val="bottom"/>
          </w:tcPr>
          <w:p>
            <w:pPr>
              <w:jc w:val="right"/>
              <w:ind w:right="140"/>
              <w:spacing w:after="0" w:line="218" w:lineRule="exact"/>
              <w:rPr>
                <w:sz w:val="20"/>
                <w:szCs w:val="20"/>
                <w:color w:val="auto"/>
              </w:rPr>
            </w:pPr>
            <w:r>
              <w:rPr>
                <w:rFonts w:ascii="Arial" w:cs="Arial" w:eastAsia="Arial" w:hAnsi="Arial"/>
                <w:sz w:val="20"/>
                <w:szCs w:val="20"/>
                <w:color w:val="auto"/>
              </w:rPr>
              <w:t>***</w:t>
            </w:r>
          </w:p>
        </w:tc>
        <w:tc>
          <w:tcPr>
            <w:tcW w:w="2620" w:type="dxa"/>
            <w:vAlign w:val="bottom"/>
            <w:gridSpan w:val="5"/>
          </w:tcPr>
          <w:p>
            <w:pPr>
              <w:ind w:left="120"/>
              <w:spacing w:after="0" w:line="218" w:lineRule="exact"/>
              <w:rPr>
                <w:sz w:val="20"/>
                <w:szCs w:val="20"/>
                <w:color w:val="auto"/>
              </w:rPr>
            </w:pPr>
            <w:r>
              <w:rPr>
                <w:rFonts w:ascii="Arial" w:cs="Arial" w:eastAsia="Arial" w:hAnsi="Arial"/>
                <w:sz w:val="20"/>
                <w:szCs w:val="20"/>
                <w:color w:val="auto"/>
                <w:w w:val="93"/>
              </w:rPr>
              <w:t xml:space="preserve">], </w:t>
            </w:r>
            <w:r>
              <w:rPr>
                <w:rFonts w:ascii="Arial" w:cs="Arial" w:eastAsia="Arial" w:hAnsi="Arial"/>
                <w:sz w:val="20"/>
                <w:szCs w:val="20"/>
                <w:i w:val="1"/>
                <w:iCs w:val="1"/>
                <w:color w:val="auto"/>
                <w:w w:val="93"/>
              </w:rPr>
              <w:t>plus</w:t>
            </w:r>
            <w:r>
              <w:rPr>
                <w:rFonts w:ascii="Arial" w:cs="Arial" w:eastAsia="Arial" w:hAnsi="Arial"/>
                <w:sz w:val="20"/>
                <w:szCs w:val="20"/>
                <w:color w:val="auto"/>
                <w:w w:val="93"/>
              </w:rPr>
              <w:t xml:space="preserve"> (iv) with respect to the [</w:t>
            </w:r>
          </w:p>
        </w:tc>
        <w:tc>
          <w:tcPr>
            <w:tcW w:w="720" w:type="dxa"/>
            <w:vAlign w:val="bottom"/>
          </w:tcPr>
          <w:p>
            <w:pPr>
              <w:jc w:val="right"/>
              <w:ind w:right="60"/>
              <w:spacing w:after="0" w:line="218" w:lineRule="exact"/>
              <w:rPr>
                <w:sz w:val="20"/>
                <w:szCs w:val="20"/>
                <w:color w:val="auto"/>
              </w:rPr>
            </w:pPr>
            <w:r>
              <w:rPr>
                <w:rFonts w:ascii="Arial" w:cs="Arial" w:eastAsia="Arial" w:hAnsi="Arial"/>
                <w:sz w:val="20"/>
                <w:szCs w:val="20"/>
                <w:color w:val="auto"/>
              </w:rPr>
              <w:t>***</w:t>
            </w:r>
          </w:p>
        </w:tc>
        <w:tc>
          <w:tcPr>
            <w:tcW w:w="100" w:type="dxa"/>
            <w:vAlign w:val="bottom"/>
          </w:tcPr>
          <w:p>
            <w:pPr>
              <w:spacing w:after="0"/>
              <w:rPr>
                <w:sz w:val="18"/>
                <w:szCs w:val="18"/>
                <w:color w:val="auto"/>
              </w:rPr>
            </w:pPr>
          </w:p>
        </w:tc>
        <w:tc>
          <w:tcPr>
            <w:tcW w:w="1200" w:type="dxa"/>
            <w:vAlign w:val="bottom"/>
            <w:gridSpan w:val="4"/>
          </w:tcPr>
          <w:p>
            <w:pPr>
              <w:jc w:val="right"/>
              <w:spacing w:after="0" w:line="218" w:lineRule="exact"/>
              <w:rPr>
                <w:sz w:val="20"/>
                <w:szCs w:val="20"/>
                <w:color w:val="auto"/>
              </w:rPr>
            </w:pPr>
            <w:r>
              <w:rPr>
                <w:rFonts w:ascii="Arial" w:cs="Arial" w:eastAsia="Arial" w:hAnsi="Arial"/>
                <w:sz w:val="20"/>
                <w:szCs w:val="20"/>
                <w:color w:val="auto"/>
                <w:w w:val="94"/>
              </w:rPr>
              <w:t>] necessary to</w:t>
            </w:r>
          </w:p>
        </w:tc>
      </w:tr>
      <w:tr>
        <w:trPr>
          <w:trHeight w:val="20"/>
        </w:trPr>
        <w:tc>
          <w:tcPr>
            <w:tcW w:w="400" w:type="dxa"/>
            <w:vAlign w:val="bottom"/>
            <w:gridSpan w:val="3"/>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940" w:type="dxa"/>
            <w:vAlign w:val="bottom"/>
            <w:gridSpan w:val="7"/>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720" w:type="dxa"/>
            <w:vAlign w:val="bottom"/>
            <w:gridSpan w:val="4"/>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65"/>
        </w:trPr>
        <w:tc>
          <w:tcPr>
            <w:tcW w:w="400" w:type="dxa"/>
            <w:vAlign w:val="bottom"/>
            <w:gridSpan w:val="3"/>
          </w:tcPr>
          <w:p>
            <w:pPr>
              <w:spacing w:after="0"/>
              <w:rPr>
                <w:sz w:val="20"/>
                <w:szCs w:val="20"/>
                <w:color w:val="auto"/>
              </w:rPr>
            </w:pPr>
            <w:r>
              <w:rPr>
                <w:rFonts w:ascii="Arial" w:cs="Arial" w:eastAsia="Arial" w:hAnsi="Arial"/>
                <w:sz w:val="20"/>
                <w:szCs w:val="20"/>
                <w:color w:val="auto"/>
              </w:rPr>
              <w:t>(a) [</w:t>
            </w:r>
          </w:p>
        </w:tc>
        <w:tc>
          <w:tcPr>
            <w:tcW w:w="500" w:type="dxa"/>
            <w:vAlign w:val="bottom"/>
            <w:gridSpan w:val="3"/>
          </w:tcPr>
          <w:p>
            <w:pPr>
              <w:ind w:left="180"/>
              <w:spacing w:after="0"/>
              <w:rPr>
                <w:sz w:val="20"/>
                <w:szCs w:val="20"/>
                <w:color w:val="auto"/>
              </w:rPr>
            </w:pPr>
            <w:r>
              <w:rPr>
                <w:rFonts w:ascii="Arial" w:cs="Arial" w:eastAsia="Arial" w:hAnsi="Arial"/>
                <w:sz w:val="20"/>
                <w:szCs w:val="20"/>
                <w:color w:val="auto"/>
              </w:rPr>
              <w:t>***</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gridSpan w:val="2"/>
          </w:tcPr>
          <w:p>
            <w:pPr>
              <w:jc w:val="center"/>
              <w:ind w:right="60"/>
              <w:spacing w:after="0"/>
              <w:rPr>
                <w:sz w:val="20"/>
                <w:szCs w:val="20"/>
                <w:color w:val="auto"/>
              </w:rPr>
            </w:pPr>
            <w:r>
              <w:rPr>
                <w:rFonts w:ascii="Arial" w:cs="Arial" w:eastAsia="Arial" w:hAnsi="Arial"/>
                <w:sz w:val="20"/>
                <w:szCs w:val="20"/>
                <w:color w:val="auto"/>
                <w:w w:val="93"/>
              </w:rPr>
              <w:t>] and (b) [</w:t>
            </w:r>
          </w:p>
        </w:tc>
        <w:tc>
          <w:tcPr>
            <w:tcW w:w="60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5380" w:type="dxa"/>
            <w:vAlign w:val="bottom"/>
            <w:gridSpan w:val="14"/>
          </w:tcPr>
          <w:p>
            <w:pPr>
              <w:ind w:left="240"/>
              <w:spacing w:after="0"/>
              <w:rPr>
                <w:sz w:val="20"/>
                <w:szCs w:val="20"/>
                <w:color w:val="auto"/>
              </w:rPr>
            </w:pPr>
            <w:r>
              <w:rPr>
                <w:rFonts w:ascii="Arial" w:cs="Arial" w:eastAsia="Arial" w:hAnsi="Arial"/>
                <w:sz w:val="20"/>
                <w:szCs w:val="20"/>
                <w:color w:val="auto"/>
                <w:w w:val="93"/>
              </w:rPr>
              <w:t>], where determinations for both (a) and (b) shall be made by [</w:t>
            </w:r>
          </w:p>
        </w:tc>
        <w:tc>
          <w:tcPr>
            <w:tcW w:w="540" w:type="dxa"/>
            <w:vAlign w:val="bottom"/>
          </w:tcPr>
          <w:p>
            <w:pPr>
              <w:jc w:val="right"/>
              <w:ind w:right="20"/>
              <w:spacing w:after="0"/>
              <w:rPr>
                <w:sz w:val="20"/>
                <w:szCs w:val="20"/>
                <w:color w:val="auto"/>
              </w:rPr>
            </w:pPr>
            <w:r>
              <w:rPr>
                <w:rFonts w:ascii="Arial" w:cs="Arial" w:eastAsia="Arial" w:hAnsi="Arial"/>
                <w:sz w:val="20"/>
                <w:szCs w:val="20"/>
                <w:color w:val="auto"/>
              </w:rPr>
              <w:t>***</w:t>
            </w:r>
          </w:p>
        </w:tc>
        <w:tc>
          <w:tcPr>
            <w:tcW w:w="780" w:type="dxa"/>
            <w:vAlign w:val="bottom"/>
          </w:tcPr>
          <w:p>
            <w:pPr>
              <w:jc w:val="right"/>
              <w:ind w:right="340"/>
              <w:spacing w:after="0"/>
              <w:rPr>
                <w:sz w:val="20"/>
                <w:szCs w:val="20"/>
                <w:color w:val="auto"/>
              </w:rPr>
            </w:pPr>
            <w:r>
              <w:rPr>
                <w:rFonts w:ascii="Arial" w:cs="Arial" w:eastAsia="Arial" w:hAnsi="Arial"/>
                <w:sz w:val="20"/>
                <w:szCs w:val="20"/>
                <w:color w:val="auto"/>
              </w:rPr>
              <w:t>].</w:t>
            </w: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40" w:type="dxa"/>
            <w:vAlign w:val="bottom"/>
          </w:tcPr>
          <w:p>
            <w:pPr>
              <w:spacing w:after="0"/>
              <w:rPr>
                <w:sz w:val="23"/>
                <w:szCs w:val="23"/>
                <w:color w:val="auto"/>
              </w:rPr>
            </w:pPr>
          </w:p>
        </w:tc>
      </w:tr>
    </w:tbl>
    <w:p>
      <w:pPr>
        <w:spacing w:after="0" w:line="382" w:lineRule="exact"/>
        <w:rPr>
          <w:sz w:val="20"/>
          <w:szCs w:val="20"/>
          <w:color w:val="auto"/>
        </w:rPr>
      </w:pPr>
    </w:p>
    <w:p>
      <w:pPr>
        <w:jc w:val="both"/>
        <w:ind w:firstLine="601"/>
        <w:spacing w:after="0" w:line="261"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Losses</w:t>
      </w:r>
      <w:r>
        <w:rPr>
          <w:rFonts w:ascii="Arial" w:cs="Arial" w:eastAsia="Arial" w:hAnsi="Arial"/>
          <w:sz w:val="20"/>
          <w:szCs w:val="20"/>
          <w:color w:val="auto"/>
        </w:rPr>
        <w:t>” means any and all liabilities, losses, damages, expenses (including reasonable expenses of investigation, enforcement and collection and reasonable attorneys' and accountants' fees and expenses, in each case, in connection with any Action), costs, fines, fees, penalties and obligations.</w:t>
      </w:r>
    </w:p>
    <w:p>
      <w:pPr>
        <w:spacing w:after="0" w:line="364"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Lump-Sum Data</w:t>
      </w:r>
      <w:r>
        <w:rPr>
          <w:rFonts w:ascii="Arial" w:cs="Arial" w:eastAsia="Arial" w:hAnsi="Arial"/>
          <w:sz w:val="20"/>
          <w:szCs w:val="20"/>
          <w:color w:val="auto"/>
        </w:rPr>
        <w:t xml:space="preserve">” is defined in </w:t>
      </w:r>
      <w:r>
        <w:rPr>
          <w:rFonts w:ascii="Arial" w:cs="Arial" w:eastAsia="Arial" w:hAnsi="Arial"/>
          <w:sz w:val="20"/>
          <w:szCs w:val="20"/>
          <w:u w:val="single" w:color="auto"/>
          <w:color w:val="auto"/>
        </w:rPr>
        <w:t>Section 2.5(a)</w:t>
      </w:r>
      <w:r>
        <w:rPr>
          <w:rFonts w:ascii="Arial" w:cs="Arial" w:eastAsia="Arial" w:hAnsi="Arial"/>
          <w:sz w:val="20"/>
          <w:szCs w:val="20"/>
          <w:color w:val="auto"/>
        </w:rPr>
        <w:t>.</w:t>
      </w:r>
    </w:p>
    <w:p>
      <w:pPr>
        <w:spacing w:after="0" w:line="200" w:lineRule="exact"/>
        <w:rPr>
          <w:sz w:val="20"/>
          <w:szCs w:val="20"/>
          <w:color w:val="auto"/>
        </w:rPr>
      </w:pPr>
    </w:p>
    <w:p>
      <w:pPr>
        <w:spacing w:after="0" w:line="208" w:lineRule="exact"/>
        <w:rPr>
          <w:sz w:val="20"/>
          <w:szCs w:val="20"/>
          <w:color w:val="auto"/>
        </w:rPr>
      </w:pPr>
    </w:p>
    <w:p>
      <w:pPr>
        <w:jc w:val="both"/>
        <w:ind w:firstLine="601"/>
        <w:spacing w:after="0" w:line="27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Lump-Sum Election</w:t>
      </w:r>
      <w:r>
        <w:rPr>
          <w:rFonts w:ascii="Arial" w:cs="Arial" w:eastAsia="Arial" w:hAnsi="Arial"/>
          <w:sz w:val="20"/>
          <w:szCs w:val="20"/>
          <w:color w:val="auto"/>
        </w:rPr>
        <w:t>” means the timely and legally binding election by a Solicited Electing Life to receive a Lump-Sum Payment in accordance with the Lump-Sum Solicitation and the applicable Plan provisions.</w:t>
      </w:r>
    </w:p>
    <w:p>
      <w:pPr>
        <w:spacing w:after="0" w:line="349" w:lineRule="exact"/>
        <w:rPr>
          <w:sz w:val="20"/>
          <w:szCs w:val="20"/>
          <w:color w:val="auto"/>
        </w:rPr>
      </w:pPr>
    </w:p>
    <w:p>
      <w:pPr>
        <w:jc w:val="both"/>
        <w:ind w:firstLine="601"/>
        <w:spacing w:after="0" w:line="27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Lump-Sum Election Period</w:t>
      </w:r>
      <w:r>
        <w:rPr>
          <w:rFonts w:ascii="Arial" w:cs="Arial" w:eastAsia="Arial" w:hAnsi="Arial"/>
          <w:sz w:val="20"/>
          <w:szCs w:val="20"/>
          <w:color w:val="auto"/>
        </w:rPr>
        <w:t>” means the period from June 1, 2012 to the earlier to occur of (</w:t>
      </w:r>
      <w:r>
        <w:rPr>
          <w:rFonts w:ascii="Arial" w:cs="Arial" w:eastAsia="Arial" w:hAnsi="Arial"/>
          <w:sz w:val="20"/>
          <w:szCs w:val="20"/>
          <w:u w:val="single" w:color="auto"/>
          <w:color w:val="auto"/>
        </w:rPr>
        <w:t>i</w:t>
      </w:r>
      <w:r>
        <w:rPr>
          <w:rFonts w:ascii="Arial" w:cs="Arial" w:eastAsia="Arial" w:hAnsi="Arial"/>
          <w:sz w:val="20"/>
          <w:szCs w:val="20"/>
          <w:color w:val="auto"/>
        </w:rPr>
        <w:t>) September 30, 2012 and (</w:t>
      </w:r>
      <w:r>
        <w:rPr>
          <w:rFonts w:ascii="Arial" w:cs="Arial" w:eastAsia="Arial" w:hAnsi="Arial"/>
          <w:sz w:val="20"/>
          <w:szCs w:val="20"/>
          <w:u w:val="single" w:color="auto"/>
          <w:color w:val="auto"/>
        </w:rPr>
        <w:t>ii</w:t>
      </w:r>
      <w:r>
        <w:rPr>
          <w:rFonts w:ascii="Arial" w:cs="Arial" w:eastAsia="Arial" w:hAnsi="Arial"/>
          <w:sz w:val="20"/>
          <w:szCs w:val="20"/>
          <w:color w:val="auto"/>
        </w:rPr>
        <w:t>) the last date on which a Lump-Sum Payment is made.</w:t>
      </w:r>
    </w:p>
    <w:p>
      <w:pPr>
        <w:spacing w:after="0" w:line="349"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Lump-Sum Payment</w:t>
      </w:r>
      <w:r>
        <w:rPr>
          <w:rFonts w:ascii="Arial" w:cs="Arial" w:eastAsia="Arial" w:hAnsi="Arial"/>
          <w:sz w:val="20"/>
          <w:szCs w:val="20"/>
          <w:color w:val="auto"/>
        </w:rPr>
        <w:t>” means the single, lump-sum payment to a Solicited Electing Life.</w:t>
      </w:r>
    </w:p>
    <w:p>
      <w:pPr>
        <w:spacing w:after="0" w:line="200" w:lineRule="exact"/>
        <w:rPr>
          <w:sz w:val="20"/>
          <w:szCs w:val="20"/>
          <w:color w:val="auto"/>
        </w:rPr>
      </w:pPr>
    </w:p>
    <w:p>
      <w:pPr>
        <w:spacing w:after="0" w:line="208" w:lineRule="exact"/>
        <w:rPr>
          <w:sz w:val="20"/>
          <w:szCs w:val="20"/>
          <w:color w:val="auto"/>
        </w:rPr>
      </w:pPr>
    </w:p>
    <w:p>
      <w:pPr>
        <w:jc w:val="both"/>
        <w:ind w:firstLine="601"/>
        <w:spacing w:after="0" w:line="27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Lump-Sum Payment Period</w:t>
      </w:r>
      <w:r>
        <w:rPr>
          <w:rFonts w:ascii="Arial" w:cs="Arial" w:eastAsia="Arial" w:hAnsi="Arial"/>
          <w:sz w:val="20"/>
          <w:szCs w:val="20"/>
          <w:color w:val="auto"/>
        </w:rPr>
        <w:t>” means the period during which Lump-Sum Payments are made pursuant to the Lump-Sum Elections, but in no event may such Lump-Sum Payment Period extend beyond September 30, 2012.</w:t>
      </w:r>
    </w:p>
    <w:p>
      <w:pPr>
        <w:spacing w:after="0" w:line="349" w:lineRule="exact"/>
        <w:rPr>
          <w:sz w:val="20"/>
          <w:szCs w:val="20"/>
          <w:color w:val="auto"/>
        </w:rPr>
      </w:pPr>
    </w:p>
    <w:p>
      <w:pPr>
        <w:jc w:val="both"/>
        <w:ind w:firstLine="601"/>
        <w:spacing w:after="0" w:line="27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Lump-Sum Solicitation</w:t>
      </w:r>
      <w:r>
        <w:rPr>
          <w:rFonts w:ascii="Arial" w:cs="Arial" w:eastAsia="Arial" w:hAnsi="Arial"/>
          <w:sz w:val="20"/>
          <w:szCs w:val="20"/>
          <w:color w:val="auto"/>
        </w:rPr>
        <w:t>” means the offering by the Plan to the Solicited Lives of a right to elect a Lump-Sum Payment during the Lump-Sum Election Period.</w:t>
      </w:r>
    </w:p>
    <w:p>
      <w:pPr>
        <w:spacing w:after="0" w:line="349" w:lineRule="exact"/>
        <w:rPr>
          <w:sz w:val="20"/>
          <w:szCs w:val="20"/>
          <w:color w:val="auto"/>
        </w:rPr>
      </w:pPr>
    </w:p>
    <w:p>
      <w:pPr>
        <w:jc w:val="both"/>
        <w:ind w:firstLine="601"/>
        <w:spacing w:after="0" w:line="25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Material Litigation</w:t>
      </w:r>
      <w:r>
        <w:rPr>
          <w:rFonts w:ascii="Arial" w:cs="Arial" w:eastAsia="Arial" w:hAnsi="Arial"/>
          <w:sz w:val="20"/>
          <w:szCs w:val="20"/>
          <w:color w:val="auto"/>
        </w:rPr>
        <w:t>” means any Action that (</w:t>
      </w:r>
      <w:r>
        <w:rPr>
          <w:rFonts w:ascii="Arial" w:cs="Arial" w:eastAsia="Arial" w:hAnsi="Arial"/>
          <w:sz w:val="20"/>
          <w:szCs w:val="20"/>
          <w:u w:val="single" w:color="auto"/>
          <w:color w:val="auto"/>
        </w:rPr>
        <w:t>a</w:t>
      </w:r>
      <w:r>
        <w:rPr>
          <w:rFonts w:ascii="Arial" w:cs="Arial" w:eastAsia="Arial" w:hAnsi="Arial"/>
          <w:sz w:val="20"/>
          <w:szCs w:val="20"/>
          <w:color w:val="auto"/>
        </w:rPr>
        <w:t>) has been initiated by the U.S. Department of Labor or other Governmental Authority against the Company, the Plan, the Insurer or any fiduciary of the Plan (including the Independent Fiduciary) that challenges the consummation of the transactions contemplated hereby (including the Lump-Sum Solicitation) or that otherwise asserts that such transactions violate</w:t>
      </w:r>
    </w:p>
    <w:p>
      <w:pPr>
        <w:sectPr>
          <w:pgSz w:w="11900" w:h="16838" w:orient="portrait"/>
          <w:cols w:equalWidth="0" w:num="1">
            <w:col w:w="11420"/>
          </w:cols>
          <w:pgMar w:left="240" w:top="757" w:right="239" w:bottom="1440" w:gutter="0" w:footer="0" w:header="0"/>
        </w:sect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w:t>
      </w:r>
    </w:p>
    <w:p>
      <w:pPr>
        <w:sectPr>
          <w:pgSz w:w="11900" w:h="16838" w:orient="portrait"/>
          <w:cols w:equalWidth="0" w:num="1">
            <w:col w:w="11420"/>
          </w:cols>
          <w:pgMar w:left="240" w:top="757" w:right="239" w:bottom="1440" w:gutter="0" w:footer="0" w:header="0"/>
          <w:type w:val="continuous"/>
        </w:sectPr>
      </w:pPr>
    </w:p>
    <w:bookmarkStart w:id="23" w:name="page24"/>
    <w:bookmarkEnd w:id="23"/>
    <w:p>
      <w:pPr>
        <w:jc w:val="both"/>
        <w:spacing w:after="0" w:line="257" w:lineRule="auto"/>
        <w:rPr>
          <w:sz w:val="20"/>
          <w:szCs w:val="20"/>
          <w:color w:val="auto"/>
        </w:rPr>
      </w:pPr>
      <w:r>
        <w:rPr>
          <w:rFonts w:ascii="Arial" w:cs="Arial" w:eastAsia="Arial" w:hAnsi="Arial"/>
          <w:sz w:val="20"/>
          <w:szCs w:val="20"/>
          <w:color w:val="auto"/>
        </w:rPr>
        <w:t>applicable Law, or (</w:t>
      </w:r>
      <w:r>
        <w:rPr>
          <w:rFonts w:ascii="Arial" w:cs="Arial" w:eastAsia="Arial" w:hAnsi="Arial"/>
          <w:sz w:val="20"/>
          <w:szCs w:val="20"/>
          <w:u w:val="single" w:color="auto"/>
          <w:color w:val="auto"/>
        </w:rPr>
        <w:t>b</w:t>
      </w:r>
      <w:r>
        <w:rPr>
          <w:rFonts w:ascii="Arial" w:cs="Arial" w:eastAsia="Arial" w:hAnsi="Arial"/>
          <w:sz w:val="20"/>
          <w:szCs w:val="20"/>
          <w:color w:val="auto"/>
        </w:rPr>
        <w:t>) has been initiated by a Person other than a Governmental Authority against the Company, the Plan, the Insurer or the Independent Fiduciary that challenges the consummation of the transactions contemplated hereby (including the Lump-Sum Solicitation) or that otherwise asserts that such transactions violate applicable Law and that, in the case of this clause (b), would reasonably be expected to have a material adverse effect on the transactions contemplated hereby.</w:t>
      </w:r>
    </w:p>
    <w:p>
      <w:pPr>
        <w:spacing w:after="0" w:line="367" w:lineRule="exact"/>
        <w:rPr>
          <w:sz w:val="20"/>
          <w:szCs w:val="20"/>
          <w:color w:val="auto"/>
        </w:rPr>
      </w:pPr>
    </w:p>
    <w:p>
      <w:pPr>
        <w:jc w:val="both"/>
        <w:ind w:firstLine="601"/>
        <w:spacing w:after="0" w:line="265" w:lineRule="auto"/>
        <w:rPr>
          <w:sz w:val="20"/>
          <w:szCs w:val="20"/>
          <w:color w:val="auto"/>
        </w:rPr>
      </w:pPr>
      <w:r>
        <w:rPr>
          <w:rFonts w:ascii="Arial" w:cs="Arial" w:eastAsia="Arial" w:hAnsi="Arial"/>
          <w:sz w:val="20"/>
          <w:szCs w:val="20"/>
          <w:color w:val="auto"/>
        </w:rPr>
        <w:t xml:space="preserve">“[ *** ] </w:t>
      </w:r>
      <w:r>
        <w:rPr>
          <w:rFonts w:ascii="Arial" w:cs="Arial" w:eastAsia="Arial" w:hAnsi="Arial"/>
          <w:sz w:val="20"/>
          <w:szCs w:val="20"/>
          <w:u w:val="single" w:color="auto"/>
          <w:color w:val="auto"/>
        </w:rPr>
        <w:t>Adjustment</w:t>
      </w:r>
      <w:r>
        <w:rPr>
          <w:rFonts w:ascii="Arial" w:cs="Arial" w:eastAsia="Arial" w:hAnsi="Arial"/>
          <w:sz w:val="20"/>
          <w:szCs w:val="20"/>
          <w:color w:val="auto"/>
        </w:rPr>
        <w:t>” means, as of the applicable dates as provided in this Agreement, the total dollar price adjustment to the premium to be paid in exchange for the Group Annuity Contract if the Closing were to occur on such date, as calculated in accordance with the methodology and procedures set forth in Section I of the Procedures Manual.</w:t>
      </w:r>
      <w:r>
        <w:rPr>
          <w:rFonts w:ascii="Arial" w:cs="Arial" w:eastAsia="Arial" w:hAnsi="Arial"/>
          <w:sz w:val="26"/>
          <w:szCs w:val="26"/>
          <w:color w:val="auto"/>
          <w:vertAlign w:val="superscript"/>
        </w:rPr>
        <w:t>1</w:t>
      </w:r>
    </w:p>
    <w:p>
      <w:pPr>
        <w:spacing w:after="0" w:line="276"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Newco</w:t>
      </w:r>
      <w:r>
        <w:rPr>
          <w:rFonts w:ascii="Arial" w:cs="Arial" w:eastAsia="Arial" w:hAnsi="Arial"/>
          <w:sz w:val="20"/>
          <w:szCs w:val="20"/>
          <w:color w:val="auto"/>
        </w:rPr>
        <w:t xml:space="preserve">” is defined in </w:t>
      </w:r>
      <w:r>
        <w:rPr>
          <w:rFonts w:ascii="Arial" w:cs="Arial" w:eastAsia="Arial" w:hAnsi="Arial"/>
          <w:sz w:val="20"/>
          <w:szCs w:val="20"/>
          <w:u w:val="single" w:color="auto"/>
          <w:color w:val="auto"/>
        </w:rPr>
        <w:t>Section 6.13</w:t>
      </w:r>
      <w:r>
        <w:rPr>
          <w:rFonts w:ascii="Arial" w:cs="Arial" w:eastAsia="Arial" w:hAnsi="Arial"/>
          <w:sz w:val="20"/>
          <w:szCs w:val="20"/>
          <w:color w:val="auto"/>
        </w:rPr>
        <w:t>.</w:t>
      </w:r>
    </w:p>
    <w:p>
      <w:pPr>
        <w:spacing w:after="0" w:line="200" w:lineRule="exact"/>
        <w:rPr>
          <w:sz w:val="20"/>
          <w:szCs w:val="20"/>
          <w:color w:val="auto"/>
        </w:rPr>
      </w:pPr>
    </w:p>
    <w:p>
      <w:pPr>
        <w:spacing w:after="0" w:line="208" w:lineRule="exact"/>
        <w:rPr>
          <w:sz w:val="20"/>
          <w:szCs w:val="20"/>
          <w:color w:val="auto"/>
        </w:rPr>
      </w:pPr>
    </w:p>
    <w:p>
      <w:pPr>
        <w:jc w:val="both"/>
        <w:ind w:firstLine="601"/>
        <w:spacing w:after="0" w:line="27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New Plan</w:t>
      </w:r>
      <w:r>
        <w:rPr>
          <w:rFonts w:ascii="Arial" w:cs="Arial" w:eastAsia="Arial" w:hAnsi="Arial"/>
          <w:sz w:val="20"/>
          <w:szCs w:val="20"/>
          <w:color w:val="auto"/>
        </w:rPr>
        <w:t>” means the employee benefit plan to which Plan Assets and Liabilities are or may be transferred in connection with the spin-off of Plan Assets and Plan Liabilities of the Plan as set forth in this Agreement.</w:t>
      </w:r>
    </w:p>
    <w:p>
      <w:pPr>
        <w:spacing w:after="0" w:line="349" w:lineRule="exact"/>
        <w:rPr>
          <w:sz w:val="20"/>
          <w:szCs w:val="20"/>
          <w:color w:val="auto"/>
        </w:rPr>
      </w:pPr>
    </w:p>
    <w:p>
      <w:pPr>
        <w:ind w:left="600"/>
        <w:spacing w:after="0"/>
        <w:tabs>
          <w:tab w:leader="none" w:pos="980" w:val="left"/>
          <w:tab w:leader="none" w:pos="1640" w:val="left"/>
          <w:tab w:leader="none" w:pos="6620" w:val="left"/>
          <w:tab w:leader="none" w:pos="7260" w:val="left"/>
        </w:tabs>
        <w:rPr>
          <w:sz w:val="20"/>
          <w:szCs w:val="20"/>
          <w:color w:val="auto"/>
        </w:rPr>
      </w:pPr>
      <w:r>
        <w:rPr>
          <w:rFonts w:ascii="Arial" w:cs="Arial" w:eastAsia="Arial" w:hAnsi="Arial"/>
          <w:sz w:val="20"/>
          <w:szCs w:val="20"/>
          <w:color w:val="auto"/>
        </w:rPr>
        <w:t>“[</w:t>
        <w:tab/>
        <w:t>***</w:t>
      </w:r>
      <w:r>
        <w:rPr>
          <w:sz w:val="20"/>
          <w:szCs w:val="20"/>
          <w:color w:val="auto"/>
        </w:rPr>
        <w:tab/>
      </w:r>
      <w:r>
        <w:rPr>
          <w:rFonts w:ascii="Arial" w:cs="Arial" w:eastAsia="Arial" w:hAnsi="Arial"/>
          <w:sz w:val="20"/>
          <w:szCs w:val="20"/>
          <w:color w:val="auto"/>
        </w:rPr>
        <w:t>]” means any asset in the Final Plan Portfolio that is not a [</w:t>
        <w:tab/>
        <w:t>***</w:t>
      </w:r>
      <w:r>
        <w:rPr>
          <w:sz w:val="20"/>
          <w:szCs w:val="20"/>
          <w:color w:val="auto"/>
        </w:rPr>
        <w:tab/>
      </w:r>
      <w:r>
        <w:rPr>
          <w:rFonts w:ascii="Arial" w:cs="Arial" w:eastAsia="Arial" w:hAnsi="Arial"/>
          <w:sz w:val="20"/>
          <w:szCs w:val="20"/>
          <w:color w:val="auto"/>
        </w:rPr>
        <w:t>].</w:t>
      </w:r>
    </w:p>
    <w:p>
      <w:pPr>
        <w:spacing w:after="0" w:line="200" w:lineRule="exact"/>
        <w:rPr>
          <w:sz w:val="20"/>
          <w:szCs w:val="20"/>
          <w:color w:val="auto"/>
        </w:rPr>
      </w:pPr>
    </w:p>
    <w:p>
      <w:pPr>
        <w:spacing w:after="0" w:line="208"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Non-Electing Base Annuity Premium</w:t>
      </w:r>
      <w:r>
        <w:rPr>
          <w:rFonts w:ascii="Arial" w:cs="Arial" w:eastAsia="Arial" w:hAnsi="Arial"/>
          <w:sz w:val="20"/>
          <w:szCs w:val="20"/>
          <w:color w:val="auto"/>
        </w:rPr>
        <w:t>” is defined in Section A of the Procedures Manual.</w:t>
      </w:r>
    </w:p>
    <w:p>
      <w:pPr>
        <w:spacing w:after="0" w:line="200" w:lineRule="exact"/>
        <w:rPr>
          <w:sz w:val="20"/>
          <w:szCs w:val="20"/>
          <w:color w:val="auto"/>
        </w:rPr>
      </w:pPr>
    </w:p>
    <w:p>
      <w:pPr>
        <w:spacing w:after="0" w:line="208" w:lineRule="exact"/>
        <w:rPr>
          <w:sz w:val="20"/>
          <w:szCs w:val="20"/>
          <w:color w:val="auto"/>
        </w:rPr>
      </w:pPr>
    </w:p>
    <w:p>
      <w:pPr>
        <w:jc w:val="both"/>
        <w:ind w:firstLine="601"/>
        <w:spacing w:after="0" w:line="27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Non-Electing Annuity Premium</w:t>
      </w:r>
      <w:r>
        <w:rPr>
          <w:rFonts w:ascii="Arial" w:cs="Arial" w:eastAsia="Arial" w:hAnsi="Arial"/>
          <w:sz w:val="20"/>
          <w:szCs w:val="20"/>
          <w:color w:val="auto"/>
        </w:rPr>
        <w:t>” is the premium calculated in accordance with the methodology and procedures set forth in Section A of the Procedures Manual.</w:t>
      </w:r>
    </w:p>
    <w:p>
      <w:pPr>
        <w:spacing w:after="0" w:line="349" w:lineRule="exact"/>
        <w:rPr>
          <w:sz w:val="20"/>
          <w:szCs w:val="20"/>
          <w:color w:val="auto"/>
        </w:rPr>
      </w:pPr>
    </w:p>
    <w:p>
      <w:pPr>
        <w:jc w:val="both"/>
        <w:ind w:firstLine="601"/>
        <w:spacing w:after="0" w:line="27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Non-Exempt Prohibited Transaction</w:t>
      </w:r>
      <w:r>
        <w:rPr>
          <w:rFonts w:ascii="Arial" w:cs="Arial" w:eastAsia="Arial" w:hAnsi="Arial"/>
          <w:sz w:val="20"/>
          <w:szCs w:val="20"/>
          <w:color w:val="auto"/>
        </w:rPr>
        <w:t>” means a transaction prohibited by ERISA § 406 or Code § 4975 for which no statutory or regulatory exemption applies.</w:t>
      </w:r>
    </w:p>
    <w:p>
      <w:pPr>
        <w:spacing w:after="0" w:line="349"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Non-Separate Account Amount</w:t>
      </w:r>
      <w:r>
        <w:rPr>
          <w:rFonts w:ascii="Arial" w:cs="Arial" w:eastAsia="Arial" w:hAnsi="Arial"/>
          <w:sz w:val="20"/>
          <w:szCs w:val="20"/>
          <w:color w:val="auto"/>
        </w:rPr>
        <w:t xml:space="preserve">” is defined in </w:t>
      </w:r>
      <w:r>
        <w:rPr>
          <w:rFonts w:ascii="Arial" w:cs="Arial" w:eastAsia="Arial" w:hAnsi="Arial"/>
          <w:sz w:val="20"/>
          <w:szCs w:val="20"/>
          <w:u w:val="single" w:color="auto"/>
          <w:color w:val="auto"/>
        </w:rPr>
        <w:t>Section 2.3(c)</w:t>
      </w:r>
      <w:r>
        <w:rPr>
          <w:rFonts w:ascii="Arial" w:cs="Arial" w:eastAsia="Arial" w:hAnsi="Arial"/>
          <w:sz w:val="20"/>
          <w:szCs w:val="20"/>
          <w:color w:val="auto"/>
        </w:rPr>
        <w: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Non-Solicited Annuity Premium</w:t>
      </w:r>
      <w:r>
        <w:rPr>
          <w:rFonts w:ascii="Arial" w:cs="Arial" w:eastAsia="Arial" w:hAnsi="Arial"/>
          <w:sz w:val="20"/>
          <w:szCs w:val="20"/>
          <w:color w:val="auto"/>
        </w:rPr>
        <w:t xml:space="preserve">” is equal to $11,493,303,518, as such amount may be revised in accordance with </w:t>
      </w:r>
      <w:r>
        <w:rPr>
          <w:rFonts w:ascii="Arial" w:cs="Arial" w:eastAsia="Arial" w:hAnsi="Arial"/>
          <w:sz w:val="20"/>
          <w:szCs w:val="20"/>
          <w:u w:val="single" w:color="auto"/>
          <w:color w:val="auto"/>
        </w:rPr>
        <w:t>Section 2.4</w:t>
      </w:r>
      <w:r>
        <w:rPr>
          <w:rFonts w:ascii="Arial" w:cs="Arial" w:eastAsia="Arial" w:hAnsi="Arial"/>
          <w:sz w:val="20"/>
          <w:szCs w:val="20"/>
          <w:color w:val="auto"/>
        </w:rPr>
        <w:t>.</w:t>
      </w:r>
    </w:p>
    <w:p>
      <w:pPr>
        <w:spacing w:after="0" w:line="200" w:lineRule="exact"/>
        <w:rPr>
          <w:sz w:val="20"/>
          <w:szCs w:val="20"/>
          <w:color w:val="auto"/>
        </w:rPr>
      </w:pPr>
    </w:p>
    <w:p>
      <w:pPr>
        <w:spacing w:after="0" w:line="208" w:lineRule="exact"/>
        <w:rPr>
          <w:sz w:val="20"/>
          <w:szCs w:val="20"/>
          <w:color w:val="auto"/>
        </w:rPr>
      </w:pPr>
    </w:p>
    <w:p>
      <w:pPr>
        <w:jc w:val="both"/>
        <w:ind w:firstLine="601"/>
        <w:spacing w:after="0" w:line="261"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Non-Solicited Lives</w:t>
      </w:r>
      <w:r>
        <w:rPr>
          <w:rFonts w:ascii="Arial" w:cs="Arial" w:eastAsia="Arial" w:hAnsi="Arial"/>
          <w:sz w:val="20"/>
          <w:szCs w:val="20"/>
          <w:color w:val="auto"/>
        </w:rPr>
        <w:t>” means those Priced Lives who will not be offered the Lump-Sum Election in connection with the Lump-Sum Solicitation, it being understood that, as the context may require, a Priced Life shall be considered a Non-Solicited Life with respect to the portion of his or her benefit that is not eligible for a Lump-Sum Solicitation.</w:t>
      </w:r>
    </w:p>
    <w:p>
      <w:pPr>
        <w:spacing w:after="0" w:line="364"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Notice of Intent to Terminate</w:t>
      </w:r>
      <w:r>
        <w:rPr>
          <w:rFonts w:ascii="Arial" w:cs="Arial" w:eastAsia="Arial" w:hAnsi="Arial"/>
          <w:sz w:val="20"/>
          <w:szCs w:val="20"/>
          <w:color w:val="auto"/>
        </w:rPr>
        <w:t>” means the notice described in 29 C.F.R. § 4041.23.</w:t>
      </w:r>
    </w:p>
    <w:p>
      <w:pPr>
        <w:spacing w:after="0" w:line="200" w:lineRule="exact"/>
        <w:rPr>
          <w:sz w:val="20"/>
          <w:szCs w:val="20"/>
          <w:color w:val="auto"/>
        </w:rPr>
      </w:pPr>
    </w:p>
    <w:p>
      <w:pPr>
        <w:spacing w:after="0" w:line="208"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Notice of Plan Benefits</w:t>
      </w:r>
      <w:r>
        <w:rPr>
          <w:rFonts w:ascii="Arial" w:cs="Arial" w:eastAsia="Arial" w:hAnsi="Arial"/>
          <w:sz w:val="20"/>
          <w:szCs w:val="20"/>
          <w:color w:val="auto"/>
        </w:rPr>
        <w:t>” means the notice described in 29 C.F.R. § 4041.24.</w:t>
      </w:r>
    </w:p>
    <w:p>
      <w:pPr>
        <w:spacing w:after="0" w:line="200" w:lineRule="exact"/>
        <w:rPr>
          <w:sz w:val="20"/>
          <w:szCs w:val="20"/>
          <w:color w:val="auto"/>
        </w:rPr>
      </w:pPr>
    </w:p>
    <w:p>
      <w:pPr>
        <w:spacing w:after="0" w:line="208" w:lineRule="exact"/>
        <w:rPr>
          <w:sz w:val="20"/>
          <w:szCs w:val="20"/>
          <w:color w:val="auto"/>
        </w:rPr>
      </w:pPr>
    </w:p>
    <w:p>
      <w:pPr>
        <w:jc w:val="both"/>
        <w:ind w:firstLine="601"/>
        <w:spacing w:after="0" w:line="27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Order</w:t>
      </w:r>
      <w:r>
        <w:rPr>
          <w:rFonts w:ascii="Arial" w:cs="Arial" w:eastAsia="Arial" w:hAnsi="Arial"/>
          <w:sz w:val="20"/>
          <w:szCs w:val="20"/>
          <w:color w:val="auto"/>
        </w:rPr>
        <w:t>” means any order, award, decision, injunction, judgment, ruling, decree, writ, subpoena or verdict entered, issued, made or rendered by any Governmental Authority or arbitrator.</w:t>
      </w:r>
    </w:p>
    <w:p>
      <w:pPr>
        <w:spacing w:after="0" w:line="349"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Original Pricing Methodologies</w:t>
      </w:r>
      <w:r>
        <w:rPr>
          <w:rFonts w:ascii="Arial" w:cs="Arial" w:eastAsia="Arial" w:hAnsi="Arial"/>
          <w:sz w:val="20"/>
          <w:szCs w:val="20"/>
          <w:color w:val="auto"/>
        </w:rPr>
        <w:t xml:space="preserve">” is defined in </w:t>
      </w:r>
      <w:r>
        <w:rPr>
          <w:rFonts w:ascii="Arial" w:cs="Arial" w:eastAsia="Arial" w:hAnsi="Arial"/>
          <w:sz w:val="20"/>
          <w:szCs w:val="20"/>
          <w:u w:val="single" w:color="auto"/>
          <w:color w:val="auto"/>
        </w:rPr>
        <w:t>Section 10.2(d)(i)</w:t>
      </w:r>
      <w:r>
        <w:rPr>
          <w:rFonts w:ascii="Arial" w:cs="Arial" w:eastAsia="Arial" w:hAnsi="Arial"/>
          <w:sz w:val="20"/>
          <w:szCs w:val="20"/>
          <w:color w:val="auto"/>
        </w:rPr>
        <w:t>.</w:t>
      </w:r>
    </w:p>
    <w:p>
      <w:pPr>
        <w:spacing w:after="0" w:line="200" w:lineRule="exact"/>
        <w:rPr>
          <w:sz w:val="20"/>
          <w:szCs w:val="20"/>
          <w:color w:val="auto"/>
        </w:rPr>
      </w:pPr>
    </w:p>
    <w:p>
      <w:pPr>
        <w:spacing w:after="0" w:line="208"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Outside Date</w:t>
      </w:r>
      <w:r>
        <w:rPr>
          <w:rFonts w:ascii="Arial" w:cs="Arial" w:eastAsia="Arial" w:hAnsi="Arial"/>
          <w:sz w:val="20"/>
          <w:szCs w:val="20"/>
          <w:color w:val="auto"/>
        </w:rPr>
        <w:t xml:space="preserve">” is defined in </w:t>
      </w:r>
      <w:r>
        <w:rPr>
          <w:rFonts w:ascii="Arial" w:cs="Arial" w:eastAsia="Arial" w:hAnsi="Arial"/>
          <w:sz w:val="20"/>
          <w:szCs w:val="20"/>
          <w:u w:val="single" w:color="auto"/>
          <w:color w:val="auto"/>
        </w:rPr>
        <w:t>Section 10.1(d)</w:t>
      </w:r>
      <w:r>
        <w:rPr>
          <w:rFonts w:ascii="Arial" w:cs="Arial" w:eastAsia="Arial" w:hAnsi="Arial"/>
          <w:sz w:val="20"/>
          <w:szCs w:val="20"/>
          <w:color w:val="auto"/>
        </w:rPr>
        <w:t>.</w:t>
      </w:r>
    </w:p>
    <w:p>
      <w:pPr>
        <w:spacing w:after="0" w:line="200" w:lineRule="exact"/>
        <w:rPr>
          <w:sz w:val="20"/>
          <w:szCs w:val="20"/>
          <w:color w:val="auto"/>
        </w:rPr>
      </w:pPr>
    </w:p>
    <w:p>
      <w:pPr>
        <w:spacing w:after="0" w:line="208" w:lineRule="exact"/>
        <w:rPr>
          <w:sz w:val="20"/>
          <w:szCs w:val="20"/>
          <w:color w:val="auto"/>
        </w:rPr>
      </w:pPr>
    </w:p>
    <w:p>
      <w:pPr>
        <w:jc w:val="both"/>
        <w:ind w:firstLine="601"/>
        <w:spacing w:after="0" w:line="261"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Parent Liquidity Position</w:t>
      </w:r>
      <w:r>
        <w:rPr>
          <w:rFonts w:ascii="Arial" w:cs="Arial" w:eastAsia="Arial" w:hAnsi="Arial"/>
          <w:sz w:val="20"/>
          <w:szCs w:val="20"/>
          <w:color w:val="auto"/>
        </w:rPr>
        <w:t>” means the total cash, cash equivalents and marketable securities of General Motors Company and its consolidated Subsidiaries other than General Motors Financial Company, Inc., as reported in General Motors Company's Annual Report on Form 10-K or Quarterly Report on Form 10-Q.</w:t>
      </w:r>
    </w:p>
    <w:p>
      <w:pPr>
        <w:sectPr>
          <w:pgSz w:w="11900" w:h="16838" w:orient="portrait"/>
          <w:cols w:equalWidth="0" w:num="1">
            <w:col w:w="11420"/>
          </w:cols>
          <w:pgMar w:left="240" w:top="757" w:right="239" w:bottom="1440" w:gutter="0" w:footer="0" w:header="0"/>
        </w:sect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w:t>
      </w:r>
    </w:p>
    <w:p>
      <w:pPr>
        <w:sectPr>
          <w:pgSz w:w="11900" w:h="16838" w:orient="portrait"/>
          <w:cols w:equalWidth="0" w:num="1">
            <w:col w:w="11420"/>
          </w:cols>
          <w:pgMar w:left="240" w:top="757" w:right="239" w:bottom="1440" w:gutter="0" w:footer="0" w:header="0"/>
          <w:type w:val="continuous"/>
        </w:sectPr>
      </w:pPr>
    </w:p>
    <w:bookmarkStart w:id="24" w:name="page25"/>
    <w:bookmarkEnd w:id="24"/>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Participant Premium Calculation Tab</w:t>
      </w:r>
      <w:r>
        <w:rPr>
          <w:rFonts w:ascii="Arial" w:cs="Arial" w:eastAsia="Arial" w:hAnsi="Arial"/>
          <w:sz w:val="20"/>
          <w:szCs w:val="20"/>
          <w:color w:val="auto"/>
        </w:rPr>
        <w:t>” is defined in the Procedures Manual.</w:t>
      </w:r>
    </w:p>
    <w:p>
      <w:pPr>
        <w:spacing w:after="0" w:line="200" w:lineRule="exact"/>
        <w:rPr>
          <w:sz w:val="20"/>
          <w:szCs w:val="20"/>
          <w:color w:val="auto"/>
        </w:rPr>
      </w:pPr>
    </w:p>
    <w:p>
      <w:pPr>
        <w:spacing w:after="0" w:line="208"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Parties</w:t>
      </w:r>
      <w:r>
        <w:rPr>
          <w:rFonts w:ascii="Arial" w:cs="Arial" w:eastAsia="Arial" w:hAnsi="Arial"/>
          <w:sz w:val="20"/>
          <w:szCs w:val="20"/>
          <w:color w:val="auto"/>
        </w:rPr>
        <w:t>” is defined in the preamble.</w:t>
      </w:r>
    </w:p>
    <w:p>
      <w:pPr>
        <w:spacing w:after="0" w:line="200" w:lineRule="exact"/>
        <w:rPr>
          <w:sz w:val="20"/>
          <w:szCs w:val="20"/>
          <w:color w:val="auto"/>
        </w:rPr>
      </w:pPr>
    </w:p>
    <w:p>
      <w:pPr>
        <w:spacing w:after="0" w:line="208"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PBGC</w:t>
      </w:r>
      <w:r>
        <w:rPr>
          <w:rFonts w:ascii="Arial" w:cs="Arial" w:eastAsia="Arial" w:hAnsi="Arial"/>
          <w:sz w:val="20"/>
          <w:szCs w:val="20"/>
          <w:color w:val="auto"/>
        </w:rPr>
        <w:t>” means the Pension Benefit Guaranty Corporation.</w:t>
      </w:r>
    </w:p>
    <w:p>
      <w:pPr>
        <w:spacing w:after="0" w:line="200" w:lineRule="exact"/>
        <w:rPr>
          <w:sz w:val="20"/>
          <w:szCs w:val="20"/>
          <w:color w:val="auto"/>
        </w:rPr>
      </w:pPr>
    </w:p>
    <w:p>
      <w:pPr>
        <w:spacing w:after="0" w:line="208"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PBGC Review Period</w:t>
      </w:r>
      <w:r>
        <w:rPr>
          <w:rFonts w:ascii="Arial" w:cs="Arial" w:eastAsia="Arial" w:hAnsi="Arial"/>
          <w:sz w:val="20"/>
          <w:szCs w:val="20"/>
          <w:color w:val="auto"/>
        </w:rPr>
        <w:t>” means the period for PBGC review of the Form 500 as described in 29 C.F.R. § 4041.26.</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0" w:type="dxa"/>
            <w:vAlign w:val="bottom"/>
          </w:tcPr>
          <w:p>
            <w:pPr>
              <w:ind w:left="600"/>
              <w:spacing w:after="0"/>
              <w:rPr>
                <w:sz w:val="20"/>
                <w:szCs w:val="20"/>
                <w:color w:val="auto"/>
              </w:rPr>
            </w:pPr>
            <w:r>
              <w:rPr>
                <w:rFonts w:ascii="Arial" w:cs="Arial" w:eastAsia="Arial" w:hAnsi="Arial"/>
                <w:sz w:val="20"/>
                <w:szCs w:val="20"/>
                <w:color w:val="auto"/>
              </w:rPr>
              <w:t>“[</w:t>
            </w:r>
          </w:p>
        </w:tc>
        <w:tc>
          <w:tcPr>
            <w:tcW w:w="600" w:type="dxa"/>
            <w:vAlign w:val="bottom"/>
          </w:tcPr>
          <w:p>
            <w:pPr>
              <w:jc w:val="center"/>
              <w:spacing w:after="0"/>
              <w:rPr>
                <w:sz w:val="20"/>
                <w:szCs w:val="20"/>
                <w:color w:val="auto"/>
              </w:rPr>
            </w:pPr>
            <w:r>
              <w:rPr>
                <w:rFonts w:ascii="Arial" w:cs="Arial" w:eastAsia="Arial" w:hAnsi="Arial"/>
                <w:sz w:val="20"/>
                <w:szCs w:val="20"/>
                <w:color w:val="auto"/>
              </w:rPr>
              <w:t>***</w:t>
            </w:r>
          </w:p>
        </w:tc>
        <w:tc>
          <w:tcPr>
            <w:tcW w:w="1160" w:type="dxa"/>
            <w:vAlign w:val="bottom"/>
            <w:gridSpan w:val="2"/>
          </w:tcPr>
          <w:p>
            <w:pPr>
              <w:ind w:left="180"/>
              <w:spacing w:after="0"/>
              <w:rPr>
                <w:sz w:val="20"/>
                <w:szCs w:val="20"/>
                <w:color w:val="auto"/>
              </w:rPr>
            </w:pPr>
            <w:r>
              <w:rPr>
                <w:rFonts w:ascii="Arial" w:cs="Arial" w:eastAsia="Arial" w:hAnsi="Arial"/>
                <w:sz w:val="20"/>
                <w:szCs w:val="20"/>
                <w:color w:val="auto"/>
                <w:w w:val="90"/>
              </w:rPr>
              <w:t>]” means a [</w:t>
            </w:r>
          </w:p>
        </w:tc>
        <w:tc>
          <w:tcPr>
            <w:tcW w:w="720" w:type="dxa"/>
            <w:vAlign w:val="bottom"/>
          </w:tcPr>
          <w:p>
            <w:pPr>
              <w:jc w:val="right"/>
              <w:ind w:right="80"/>
              <w:spacing w:after="0"/>
              <w:rPr>
                <w:sz w:val="20"/>
                <w:szCs w:val="20"/>
                <w:color w:val="auto"/>
              </w:rPr>
            </w:pPr>
            <w:r>
              <w:rPr>
                <w:rFonts w:ascii="Arial" w:cs="Arial" w:eastAsia="Arial" w:hAnsi="Arial"/>
                <w:sz w:val="20"/>
                <w:szCs w:val="20"/>
                <w:color w:val="auto"/>
              </w:rPr>
              <w:t>***</w:t>
            </w:r>
          </w:p>
        </w:tc>
        <w:tc>
          <w:tcPr>
            <w:tcW w:w="8060" w:type="dxa"/>
            <w:vAlign w:val="bottom"/>
            <w:gridSpan w:val="5"/>
          </w:tcPr>
          <w:p>
            <w:pPr>
              <w:ind w:left="180"/>
              <w:spacing w:after="0"/>
              <w:rPr>
                <w:sz w:val="20"/>
                <w:szCs w:val="20"/>
                <w:color w:val="auto"/>
              </w:rPr>
            </w:pPr>
            <w:r>
              <w:rPr>
                <w:rFonts w:ascii="Arial" w:cs="Arial" w:eastAsia="Arial" w:hAnsi="Arial"/>
                <w:sz w:val="20"/>
                <w:szCs w:val="20"/>
                <w:color w:val="auto"/>
              </w:rPr>
              <w:t>] that is identified on Exhibit C.</w:t>
            </w:r>
          </w:p>
        </w:tc>
      </w:tr>
      <w:tr>
        <w:trPr>
          <w:trHeight w:val="20"/>
        </w:trPr>
        <w:tc>
          <w:tcPr>
            <w:tcW w:w="8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r>
      <w:tr>
        <w:trPr>
          <w:trHeight w:val="618"/>
        </w:trPr>
        <w:tc>
          <w:tcPr>
            <w:tcW w:w="880" w:type="dxa"/>
            <w:vAlign w:val="bottom"/>
          </w:tcPr>
          <w:p>
            <w:pPr>
              <w:ind w:left="600"/>
              <w:spacing w:after="0"/>
              <w:rPr>
                <w:sz w:val="20"/>
                <w:szCs w:val="20"/>
                <w:color w:val="auto"/>
              </w:rPr>
            </w:pPr>
            <w:r>
              <w:rPr>
                <w:rFonts w:ascii="Arial" w:cs="Arial" w:eastAsia="Arial" w:hAnsi="Arial"/>
                <w:sz w:val="20"/>
                <w:szCs w:val="20"/>
                <w:color w:val="auto"/>
              </w:rPr>
              <w:t>“[</w:t>
            </w:r>
          </w:p>
        </w:tc>
        <w:tc>
          <w:tcPr>
            <w:tcW w:w="600" w:type="dxa"/>
            <w:vAlign w:val="bottom"/>
          </w:tcPr>
          <w:p>
            <w:pPr>
              <w:jc w:val="center"/>
              <w:spacing w:after="0"/>
              <w:rPr>
                <w:sz w:val="20"/>
                <w:szCs w:val="20"/>
                <w:color w:val="auto"/>
              </w:rPr>
            </w:pPr>
            <w:r>
              <w:rPr>
                <w:rFonts w:ascii="Arial" w:cs="Arial" w:eastAsia="Arial" w:hAnsi="Arial"/>
                <w:sz w:val="20"/>
                <w:szCs w:val="20"/>
                <w:color w:val="auto"/>
              </w:rPr>
              <w:t>***</w:t>
            </w:r>
          </w:p>
        </w:tc>
        <w:tc>
          <w:tcPr>
            <w:tcW w:w="9940" w:type="dxa"/>
            <w:vAlign w:val="bottom"/>
            <w:gridSpan w:val="8"/>
          </w:tcPr>
          <w:p>
            <w:pPr>
              <w:ind w:left="200"/>
              <w:spacing w:after="0"/>
              <w:rPr>
                <w:sz w:val="20"/>
                <w:szCs w:val="20"/>
                <w:color w:val="auto"/>
              </w:rPr>
            </w:pPr>
            <w:r>
              <w:rPr>
                <w:rFonts w:ascii="Arial" w:cs="Arial" w:eastAsia="Arial" w:hAnsi="Arial"/>
                <w:sz w:val="20"/>
                <w:szCs w:val="20"/>
                <w:color w:val="auto"/>
                <w:w w:val="89"/>
              </w:rPr>
              <w:t>] Transfer Documentation” means the assignment and assumption agreement(s) or consents or similar transfer documents</w:t>
            </w:r>
          </w:p>
        </w:tc>
      </w:tr>
      <w:tr>
        <w:trPr>
          <w:trHeight w:val="20"/>
        </w:trPr>
        <w:tc>
          <w:tcPr>
            <w:tcW w:w="1740" w:type="dxa"/>
            <w:vAlign w:val="bottom"/>
            <w:gridSpan w:val="3"/>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100" w:type="dxa"/>
            <w:vAlign w:val="bottom"/>
            <w:gridSpan w:val="2"/>
            <w:shd w:val="clear" w:color="auto" w:fill="000000"/>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6000" w:type="dxa"/>
            <w:vAlign w:val="bottom"/>
            <w:gridSpan w:val="2"/>
          </w:tcPr>
          <w:p>
            <w:pPr>
              <w:spacing w:after="0" w:line="20" w:lineRule="exact"/>
              <w:rPr>
                <w:sz w:val="1"/>
                <w:szCs w:val="1"/>
                <w:color w:val="auto"/>
              </w:rPr>
            </w:pPr>
          </w:p>
        </w:tc>
      </w:tr>
      <w:tr>
        <w:trPr>
          <w:trHeight w:val="265"/>
        </w:trPr>
        <w:tc>
          <w:tcPr>
            <w:tcW w:w="2640" w:type="dxa"/>
            <w:vAlign w:val="bottom"/>
            <w:gridSpan w:val="4"/>
          </w:tcPr>
          <w:p>
            <w:pPr>
              <w:jc w:val="center"/>
              <w:ind w:right="320"/>
              <w:spacing w:after="0"/>
              <w:rPr>
                <w:sz w:val="20"/>
                <w:szCs w:val="20"/>
                <w:color w:val="auto"/>
              </w:rPr>
            </w:pPr>
            <w:r>
              <w:rPr>
                <w:rFonts w:ascii="Arial" w:cs="Arial" w:eastAsia="Arial" w:hAnsi="Arial"/>
                <w:sz w:val="20"/>
                <w:szCs w:val="20"/>
                <w:color w:val="auto"/>
                <w:w w:val="97"/>
              </w:rPr>
              <w:t>necessary to transfer [   ***</w:t>
            </w:r>
          </w:p>
        </w:tc>
        <w:tc>
          <w:tcPr>
            <w:tcW w:w="2780" w:type="dxa"/>
            <w:vAlign w:val="bottom"/>
            <w:gridSpan w:val="4"/>
          </w:tcPr>
          <w:p>
            <w:pPr>
              <w:ind w:left="20"/>
              <w:spacing w:after="0"/>
              <w:rPr>
                <w:sz w:val="20"/>
                <w:szCs w:val="20"/>
                <w:color w:val="auto"/>
              </w:rPr>
            </w:pPr>
            <w:r>
              <w:rPr>
                <w:rFonts w:ascii="Arial" w:cs="Arial" w:eastAsia="Arial" w:hAnsi="Arial"/>
                <w:sz w:val="20"/>
                <w:szCs w:val="20"/>
                <w:color w:val="auto"/>
              </w:rPr>
              <w:t>] to the Insurer, whether [   ***</w:t>
            </w:r>
          </w:p>
        </w:tc>
        <w:tc>
          <w:tcPr>
            <w:tcW w:w="6000" w:type="dxa"/>
            <w:vAlign w:val="bottom"/>
            <w:gridSpan w:val="2"/>
          </w:tcPr>
          <w:p>
            <w:pPr>
              <w:ind w:left="180"/>
              <w:spacing w:after="0"/>
              <w:rPr>
                <w:sz w:val="20"/>
                <w:szCs w:val="20"/>
                <w:color w:val="auto"/>
              </w:rPr>
            </w:pPr>
            <w:r>
              <w:rPr>
                <w:rFonts w:ascii="Arial" w:cs="Arial" w:eastAsia="Arial" w:hAnsi="Arial"/>
                <w:sz w:val="20"/>
                <w:szCs w:val="20"/>
                <w:color w:val="auto"/>
              </w:rPr>
              <w:t>] Newco.</w:t>
            </w:r>
          </w:p>
        </w:tc>
      </w:tr>
    </w:tbl>
    <w:p>
      <w:pPr>
        <w:spacing w:after="0" w:line="382"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Permitted Liens</w:t>
      </w:r>
      <w:r>
        <w:rPr>
          <w:rFonts w:ascii="Arial" w:cs="Arial" w:eastAsia="Arial" w:hAnsi="Arial"/>
          <w:sz w:val="20"/>
          <w:szCs w:val="20"/>
          <w:color w:val="auto"/>
        </w:rPr>
        <w:t>” means:</w:t>
      </w:r>
    </w:p>
    <w:p>
      <w:pPr>
        <w:spacing w:after="0" w:line="200" w:lineRule="exact"/>
        <w:rPr>
          <w:sz w:val="20"/>
          <w:szCs w:val="20"/>
          <w:color w:val="auto"/>
        </w:rPr>
      </w:pPr>
    </w:p>
    <w:p>
      <w:pPr>
        <w:spacing w:after="0" w:line="208" w:lineRule="exact"/>
        <w:rPr>
          <w:sz w:val="20"/>
          <w:szCs w:val="20"/>
          <w:color w:val="auto"/>
        </w:rPr>
      </w:pPr>
    </w:p>
    <w:p>
      <w:pPr>
        <w:jc w:val="both"/>
        <w:ind w:firstLine="601"/>
        <w:spacing w:after="0" w:line="28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w:t>
      </w:r>
      <w:r>
        <w:rPr>
          <w:rFonts w:ascii="Arial" w:cs="Arial" w:eastAsia="Arial" w:hAnsi="Arial"/>
          <w:sz w:val="20"/>
          <w:szCs w:val="20"/>
          <w:color w:val="auto"/>
        </w:rPr>
        <w:t>) any Liens created by operation of Law in respect of restrictions on transfer of securities (other than restrictions relating to the transfer of assets at Closing, unless such transfer complies with such applicable Law);</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960" w:type="dxa"/>
            <w:vAlign w:val="bottom"/>
            <w:gridSpan w:val="3"/>
          </w:tcPr>
          <w:p>
            <w:pPr>
              <w:ind w:left="600"/>
              <w:spacing w:after="0"/>
              <w:rPr>
                <w:sz w:val="20"/>
                <w:szCs w:val="20"/>
                <w:color w:val="auto"/>
              </w:rPr>
            </w:pPr>
            <w:r>
              <w:rPr>
                <w:rFonts w:ascii="Arial" w:cs="Arial" w:eastAsia="Arial" w:hAnsi="Arial"/>
                <w:sz w:val="20"/>
                <w:szCs w:val="20"/>
                <w:color w:val="auto"/>
              </w:rPr>
              <w:t>(b)   with respect to any [</w:t>
            </w:r>
          </w:p>
        </w:tc>
        <w:tc>
          <w:tcPr>
            <w:tcW w:w="720" w:type="dxa"/>
            <w:vAlign w:val="bottom"/>
          </w:tcPr>
          <w:p>
            <w:pPr>
              <w:jc w:val="right"/>
              <w:ind w:right="140"/>
              <w:spacing w:after="0"/>
              <w:rPr>
                <w:sz w:val="20"/>
                <w:szCs w:val="20"/>
                <w:color w:val="auto"/>
              </w:rPr>
            </w:pPr>
            <w:r>
              <w:rPr>
                <w:rFonts w:ascii="Arial" w:cs="Arial" w:eastAsia="Arial" w:hAnsi="Arial"/>
                <w:sz w:val="20"/>
                <w:szCs w:val="20"/>
                <w:color w:val="auto"/>
              </w:rPr>
              <w:t>***</w:t>
            </w:r>
          </w:p>
        </w:tc>
        <w:tc>
          <w:tcPr>
            <w:tcW w:w="7740" w:type="dxa"/>
            <w:vAlign w:val="bottom"/>
            <w:gridSpan w:val="3"/>
          </w:tcPr>
          <w:p>
            <w:pPr>
              <w:jc w:val="right"/>
              <w:spacing w:after="0"/>
              <w:rPr>
                <w:sz w:val="20"/>
                <w:szCs w:val="20"/>
                <w:color w:val="auto"/>
              </w:rPr>
            </w:pPr>
            <w:r>
              <w:rPr>
                <w:rFonts w:ascii="Arial" w:cs="Arial" w:eastAsia="Arial" w:hAnsi="Arial"/>
                <w:sz w:val="20"/>
                <w:szCs w:val="20"/>
                <w:color w:val="auto"/>
                <w:w w:val="96"/>
              </w:rPr>
              <w:t>], (i) any Lien created under any subscription document, partnership agreement, side letter,</w:t>
            </w:r>
          </w:p>
        </w:tc>
      </w:tr>
      <w:tr>
        <w:trPr>
          <w:trHeight w:val="20"/>
        </w:trPr>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2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59"/>
        </w:trPr>
        <w:tc>
          <w:tcPr>
            <w:tcW w:w="9580" w:type="dxa"/>
            <w:vAlign w:val="bottom"/>
            <w:gridSpan w:val="5"/>
          </w:tcPr>
          <w:p>
            <w:pPr>
              <w:spacing w:after="0"/>
              <w:rPr>
                <w:sz w:val="20"/>
                <w:szCs w:val="20"/>
                <w:color w:val="auto"/>
              </w:rPr>
            </w:pPr>
            <w:r>
              <w:rPr>
                <w:rFonts w:ascii="Arial" w:cs="Arial" w:eastAsia="Arial" w:hAnsi="Arial"/>
                <w:sz w:val="20"/>
                <w:szCs w:val="20"/>
                <w:color w:val="auto"/>
                <w:w w:val="95"/>
              </w:rPr>
              <w:t>offering document or other similar organizational document or credit, security or similar agreement to which such [</w:t>
            </w:r>
          </w:p>
        </w:tc>
        <w:tc>
          <w:tcPr>
            <w:tcW w:w="680" w:type="dxa"/>
            <w:vAlign w:val="bottom"/>
          </w:tcPr>
          <w:p>
            <w:pPr>
              <w:jc w:val="right"/>
              <w:ind w:right="120"/>
              <w:spacing w:after="0"/>
              <w:rPr>
                <w:sz w:val="20"/>
                <w:szCs w:val="20"/>
                <w:color w:val="auto"/>
              </w:rPr>
            </w:pPr>
            <w:r>
              <w:rPr>
                <w:rFonts w:ascii="Arial" w:cs="Arial" w:eastAsia="Arial" w:hAnsi="Arial"/>
                <w:sz w:val="20"/>
                <w:szCs w:val="20"/>
                <w:color w:val="auto"/>
              </w:rPr>
              <w:t>***</w:t>
            </w:r>
          </w:p>
        </w:tc>
        <w:tc>
          <w:tcPr>
            <w:tcW w:w="1160" w:type="dxa"/>
            <w:vAlign w:val="bottom"/>
          </w:tcPr>
          <w:p>
            <w:pPr>
              <w:jc w:val="right"/>
              <w:spacing w:after="0"/>
              <w:rPr>
                <w:sz w:val="20"/>
                <w:szCs w:val="20"/>
                <w:color w:val="auto"/>
              </w:rPr>
            </w:pPr>
            <w:r>
              <w:rPr>
                <w:rFonts w:ascii="Arial" w:cs="Arial" w:eastAsia="Arial" w:hAnsi="Arial"/>
                <w:sz w:val="20"/>
                <w:szCs w:val="20"/>
                <w:color w:val="auto"/>
              </w:rPr>
              <w:t>] is subject,</w:t>
            </w:r>
          </w:p>
        </w:tc>
      </w:tr>
      <w:tr>
        <w:trPr>
          <w:trHeight w:val="238"/>
        </w:trPr>
        <w:tc>
          <w:tcPr>
            <w:tcW w:w="9580" w:type="dxa"/>
            <w:vAlign w:val="bottom"/>
            <w:gridSpan w:val="5"/>
          </w:tcPr>
          <w:p>
            <w:pPr>
              <w:spacing w:after="0"/>
              <w:rPr>
                <w:sz w:val="20"/>
                <w:szCs w:val="20"/>
                <w:color w:val="auto"/>
              </w:rPr>
            </w:pPr>
            <w:r>
              <w:rPr>
                <w:rFonts w:ascii="Arial" w:cs="Arial" w:eastAsia="Arial" w:hAnsi="Arial"/>
                <w:sz w:val="20"/>
                <w:szCs w:val="20"/>
                <w:color w:val="auto"/>
                <w:w w:val="95"/>
              </w:rPr>
              <w:t>including any restriction on sale, assignment, disposition or transfer thereunder (other than restrictions relating to [</w:t>
            </w:r>
          </w:p>
        </w:tc>
        <w:tc>
          <w:tcPr>
            <w:tcW w:w="680" w:type="dxa"/>
            <w:vAlign w:val="bottom"/>
          </w:tcPr>
          <w:p>
            <w:pPr>
              <w:jc w:val="right"/>
              <w:ind w:right="140"/>
              <w:spacing w:after="0"/>
              <w:rPr>
                <w:sz w:val="20"/>
                <w:szCs w:val="20"/>
                <w:color w:val="auto"/>
              </w:rPr>
            </w:pPr>
            <w:r>
              <w:rPr>
                <w:rFonts w:ascii="Arial" w:cs="Arial" w:eastAsia="Arial" w:hAnsi="Arial"/>
                <w:sz w:val="20"/>
                <w:szCs w:val="20"/>
                <w:color w:val="auto"/>
              </w:rPr>
              <w:t>***</w:t>
            </w:r>
          </w:p>
        </w:tc>
        <w:tc>
          <w:tcPr>
            <w:tcW w:w="1160" w:type="dxa"/>
            <w:vAlign w:val="bottom"/>
          </w:tcPr>
          <w:p>
            <w:pPr>
              <w:jc w:val="right"/>
              <w:spacing w:after="0"/>
              <w:rPr>
                <w:sz w:val="20"/>
                <w:szCs w:val="20"/>
                <w:color w:val="auto"/>
              </w:rPr>
            </w:pPr>
            <w:r>
              <w:rPr>
                <w:rFonts w:ascii="Arial" w:cs="Arial" w:eastAsia="Arial" w:hAnsi="Arial"/>
                <w:sz w:val="20"/>
                <w:szCs w:val="20"/>
                <w:color w:val="auto"/>
              </w:rPr>
              <w:t>], unless all</w:t>
            </w:r>
          </w:p>
        </w:tc>
      </w:tr>
      <w:tr>
        <w:trPr>
          <w:trHeight w:val="256"/>
        </w:trPr>
        <w:tc>
          <w:tcPr>
            <w:tcW w:w="9580" w:type="dxa"/>
            <w:vAlign w:val="bottom"/>
            <w:gridSpan w:val="5"/>
          </w:tcPr>
          <w:p>
            <w:pPr>
              <w:spacing w:after="0"/>
              <w:rPr>
                <w:sz w:val="20"/>
                <w:szCs w:val="20"/>
                <w:color w:val="auto"/>
              </w:rPr>
            </w:pPr>
            <w:r>
              <w:rPr>
                <w:rFonts w:ascii="Arial" w:cs="Arial" w:eastAsia="Arial" w:hAnsi="Arial"/>
                <w:sz w:val="20"/>
                <w:szCs w:val="20"/>
                <w:color w:val="auto"/>
              </w:rPr>
              <w:t>required consents and conditions have been obtained prior to Closing as contemplated by this Agreement);</w:t>
            </w:r>
          </w:p>
        </w:tc>
        <w:tc>
          <w:tcPr>
            <w:tcW w:w="680" w:type="dxa"/>
            <w:vAlign w:val="bottom"/>
          </w:tcPr>
          <w:p>
            <w:pPr>
              <w:spacing w:after="0"/>
              <w:rPr>
                <w:sz w:val="22"/>
                <w:szCs w:val="22"/>
                <w:color w:val="auto"/>
              </w:rPr>
            </w:pPr>
          </w:p>
        </w:tc>
        <w:tc>
          <w:tcPr>
            <w:tcW w:w="1160" w:type="dxa"/>
            <w:vAlign w:val="bottom"/>
          </w:tcPr>
          <w:p>
            <w:pPr>
              <w:spacing w:after="0"/>
              <w:rPr>
                <w:sz w:val="22"/>
                <w:szCs w:val="22"/>
                <w:color w:val="auto"/>
              </w:rPr>
            </w:pPr>
          </w:p>
        </w:tc>
      </w:tr>
    </w:tbl>
    <w:p>
      <w:pPr>
        <w:spacing w:after="0" w:line="382" w:lineRule="exact"/>
        <w:rPr>
          <w:sz w:val="20"/>
          <w:szCs w:val="20"/>
          <w:color w:val="auto"/>
        </w:rPr>
      </w:pPr>
    </w:p>
    <w:p>
      <w:pPr>
        <w:jc w:val="both"/>
        <w:ind w:firstLine="601"/>
        <w:spacing w:after="0" w:line="26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w:t>
      </w:r>
      <w:r>
        <w:rPr>
          <w:rFonts w:ascii="Arial" w:cs="Arial" w:eastAsia="Arial" w:hAnsi="Arial"/>
          <w:sz w:val="20"/>
          <w:szCs w:val="20"/>
          <w:color w:val="auto"/>
        </w:rPr>
        <w:t>) with respect to any Public Bond, any transfer restrictions or other limitations on assignment, transfer or the alienability of rights under any indenture, debenture or other similar governing agreement to which such Public Bonds are subject (other than restrictions relating to the transfer of a Public Bond at Closing, unless such transfer does not violate any such restriction).</w:t>
      </w:r>
    </w:p>
    <w:p>
      <w:pPr>
        <w:spacing w:after="0" w:line="356" w:lineRule="exact"/>
        <w:rPr>
          <w:sz w:val="20"/>
          <w:szCs w:val="20"/>
          <w:color w:val="auto"/>
        </w:rPr>
      </w:pPr>
    </w:p>
    <w:p>
      <w:pPr>
        <w:jc w:val="both"/>
        <w:ind w:firstLine="601"/>
        <w:spacing w:after="0" w:line="27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Person</w:t>
      </w:r>
      <w:r>
        <w:rPr>
          <w:rFonts w:ascii="Arial" w:cs="Arial" w:eastAsia="Arial" w:hAnsi="Arial"/>
          <w:sz w:val="20"/>
          <w:szCs w:val="20"/>
          <w:color w:val="auto"/>
        </w:rPr>
        <w:t>” means any individual, corporation, limited liability company, partnership, sole proprietorship, joint venture, trust, estate, association, organization, labor union, Governmental Authority or other entity.</w:t>
      </w:r>
    </w:p>
    <w:p>
      <w:pPr>
        <w:spacing w:after="0" w:line="349" w:lineRule="exact"/>
        <w:rPr>
          <w:sz w:val="20"/>
          <w:szCs w:val="20"/>
          <w:color w:val="auto"/>
        </w:rPr>
      </w:pPr>
    </w:p>
    <w:p>
      <w:pPr>
        <w:jc w:val="both"/>
        <w:ind w:firstLine="601"/>
        <w:spacing w:after="0" w:line="261"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PFS Adjustment</w:t>
      </w:r>
      <w:r>
        <w:rPr>
          <w:rFonts w:ascii="Arial" w:cs="Arial" w:eastAsia="Arial" w:hAnsi="Arial"/>
          <w:sz w:val="20"/>
          <w:szCs w:val="20"/>
          <w:color w:val="auto"/>
        </w:rPr>
        <w:t>” means, as of the applicable dates as provided in this Agreement, the adjustment that would be applied to the Closing Premium if the Closing were to occur on such date, stated as a percentage and calculated in accordance with the methodology and procedures set forth in Section H of the Procedures Manual.</w:t>
      </w:r>
    </w:p>
    <w:p>
      <w:pPr>
        <w:spacing w:after="0" w:line="364"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Plan</w:t>
      </w:r>
      <w:r>
        <w:rPr>
          <w:rFonts w:ascii="Arial" w:cs="Arial" w:eastAsia="Arial" w:hAnsi="Arial"/>
          <w:sz w:val="20"/>
          <w:szCs w:val="20"/>
          <w:color w:val="auto"/>
        </w:rPr>
        <w:t>” is defined in the preamble.</w:t>
      </w:r>
    </w:p>
    <w:p>
      <w:pPr>
        <w:spacing w:after="0" w:line="200" w:lineRule="exact"/>
        <w:rPr>
          <w:sz w:val="20"/>
          <w:szCs w:val="20"/>
          <w:color w:val="auto"/>
        </w:rPr>
      </w:pPr>
    </w:p>
    <w:p>
      <w:pPr>
        <w:spacing w:after="0" w:line="208"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Plan Asset</w:t>
      </w:r>
      <w:r>
        <w:rPr>
          <w:rFonts w:ascii="Arial" w:cs="Arial" w:eastAsia="Arial" w:hAnsi="Arial"/>
          <w:sz w:val="20"/>
          <w:szCs w:val="20"/>
          <w:color w:val="auto"/>
        </w:rPr>
        <w:t>” means an asset of the Plan within the meaning of ERISA.</w:t>
      </w:r>
    </w:p>
    <w:p>
      <w:pPr>
        <w:spacing w:after="0" w:line="200" w:lineRule="exact"/>
        <w:rPr>
          <w:sz w:val="20"/>
          <w:szCs w:val="20"/>
          <w:color w:val="auto"/>
        </w:rPr>
      </w:pPr>
    </w:p>
    <w:p>
      <w:pPr>
        <w:spacing w:after="0" w:line="208" w:lineRule="exact"/>
        <w:rPr>
          <w:sz w:val="20"/>
          <w:szCs w:val="20"/>
          <w:color w:val="auto"/>
        </w:rPr>
      </w:pPr>
    </w:p>
    <w:p>
      <w:pPr>
        <w:jc w:val="both"/>
        <w:ind w:firstLine="601"/>
        <w:spacing w:after="0" w:line="27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Plan Beneficiary</w:t>
      </w:r>
      <w:r>
        <w:rPr>
          <w:rFonts w:ascii="Arial" w:cs="Arial" w:eastAsia="Arial" w:hAnsi="Arial"/>
          <w:sz w:val="20"/>
          <w:szCs w:val="20"/>
          <w:color w:val="auto"/>
        </w:rPr>
        <w:t>” means a person designated by a current or former Plan Participant, by a DRO, or by the terms of the Plan to become entitled to receive a pension benefit from the Plan.</w:t>
      </w:r>
    </w:p>
    <w:p>
      <w:pPr>
        <w:spacing w:after="0" w:line="349"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Plan Investment Fiduciary</w:t>
      </w:r>
      <w:r>
        <w:rPr>
          <w:rFonts w:ascii="Arial" w:cs="Arial" w:eastAsia="Arial" w:hAnsi="Arial"/>
          <w:sz w:val="20"/>
          <w:szCs w:val="20"/>
          <w:color w:val="auto"/>
        </w:rPr>
        <w:t>” means General Motors Investment Management Corporation.</w:t>
      </w:r>
    </w:p>
    <w:p>
      <w:pPr>
        <w:spacing w:after="0" w:line="200" w:lineRule="exact"/>
        <w:rPr>
          <w:sz w:val="20"/>
          <w:szCs w:val="20"/>
          <w:color w:val="auto"/>
        </w:rPr>
      </w:pPr>
    </w:p>
    <w:p>
      <w:pPr>
        <w:spacing w:after="0" w:line="208"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Plan Liabilities</w:t>
      </w:r>
      <w:r>
        <w:rPr>
          <w:rFonts w:ascii="Arial" w:cs="Arial" w:eastAsia="Arial" w:hAnsi="Arial"/>
          <w:sz w:val="20"/>
          <w:szCs w:val="20"/>
          <w:color w:val="auto"/>
        </w:rPr>
        <w:t>” means a benefit obligation of the Plan.</w:t>
      </w:r>
    </w:p>
    <w:p>
      <w:pPr>
        <w:sectPr>
          <w:pgSz w:w="11900" w:h="16838" w:orient="portrait"/>
          <w:cols w:equalWidth="0" w:num="1">
            <w:col w:w="11420"/>
          </w:cols>
          <w:pgMar w:left="240" w:top="757" w:right="23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w:t>
      </w:r>
    </w:p>
    <w:p>
      <w:pPr>
        <w:sectPr>
          <w:pgSz w:w="11900" w:h="16838" w:orient="portrait"/>
          <w:cols w:equalWidth="0" w:num="1">
            <w:col w:w="11420"/>
          </w:cols>
          <w:pgMar w:left="240" w:top="757" w:right="239" w:bottom="1440" w:gutter="0" w:footer="0" w:header="0"/>
          <w:type w:val="continuous"/>
        </w:sectPr>
      </w:pPr>
    </w:p>
    <w:bookmarkStart w:id="25" w:name="page26"/>
    <w:bookmarkEnd w:id="25"/>
    <w:p>
      <w:pPr>
        <w:jc w:val="both"/>
        <w:ind w:firstLine="601"/>
        <w:spacing w:after="0" w:line="28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Plan of Operations</w:t>
      </w:r>
      <w:r>
        <w:rPr>
          <w:rFonts w:ascii="Arial" w:cs="Arial" w:eastAsia="Arial" w:hAnsi="Arial"/>
          <w:sz w:val="19"/>
          <w:szCs w:val="19"/>
          <w:color w:val="auto"/>
        </w:rPr>
        <w:t>” means (</w:t>
      </w:r>
      <w:r>
        <w:rPr>
          <w:rFonts w:ascii="Arial" w:cs="Arial" w:eastAsia="Arial" w:hAnsi="Arial"/>
          <w:sz w:val="19"/>
          <w:szCs w:val="19"/>
          <w:u w:val="single" w:color="auto"/>
          <w:color w:val="auto"/>
        </w:rPr>
        <w:t>a</w:t>
      </w:r>
      <w:r>
        <w:rPr>
          <w:rFonts w:ascii="Arial" w:cs="Arial" w:eastAsia="Arial" w:hAnsi="Arial"/>
          <w:sz w:val="19"/>
          <w:szCs w:val="19"/>
          <w:color w:val="auto"/>
        </w:rPr>
        <w:t>) with respect to the New York State Department of Financial Services, The Prudential Insurance Company of America Plan of Operations for VCA-GA-7436, and (</w:t>
      </w:r>
      <w:r>
        <w:rPr>
          <w:rFonts w:ascii="Arial" w:cs="Arial" w:eastAsia="Arial" w:hAnsi="Arial"/>
          <w:sz w:val="19"/>
          <w:szCs w:val="19"/>
          <w:u w:val="single" w:color="auto"/>
          <w:color w:val="auto"/>
        </w:rPr>
        <w:t>b</w:t>
      </w:r>
      <w:r>
        <w:rPr>
          <w:rFonts w:ascii="Arial" w:cs="Arial" w:eastAsia="Arial" w:hAnsi="Arial"/>
          <w:sz w:val="19"/>
          <w:szCs w:val="19"/>
          <w:color w:val="auto"/>
        </w:rPr>
        <w:t>) with respect to the State of New Jersey Department of Banking and Insurance, The Prudential Insurance Company of America Restated Essentials of Method of Operations for VCA-GA-7436.</w:t>
      </w:r>
    </w:p>
    <w:p>
      <w:pPr>
        <w:spacing w:after="0" w:line="344"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Plan Participant</w:t>
      </w:r>
      <w:r>
        <w:rPr>
          <w:rFonts w:ascii="Arial" w:cs="Arial" w:eastAsia="Arial" w:hAnsi="Arial"/>
          <w:sz w:val="20"/>
          <w:szCs w:val="20"/>
          <w:color w:val="auto"/>
        </w:rPr>
        <w:t>” means a person who is eligible to receive a pension benefit from the Plan.</w:t>
      </w:r>
    </w:p>
    <w:p>
      <w:pPr>
        <w:spacing w:after="0" w:line="200" w:lineRule="exact"/>
        <w:rPr>
          <w:sz w:val="20"/>
          <w:szCs w:val="20"/>
          <w:color w:val="auto"/>
        </w:rPr>
      </w:pPr>
    </w:p>
    <w:p>
      <w:pPr>
        <w:spacing w:after="0" w:line="208"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Plan Spin-Off</w:t>
      </w:r>
      <w:r>
        <w:rPr>
          <w:rFonts w:ascii="Arial" w:cs="Arial" w:eastAsia="Arial" w:hAnsi="Arial"/>
          <w:sz w:val="20"/>
          <w:szCs w:val="20"/>
          <w:color w:val="auto"/>
        </w:rPr>
        <w:t>” is defined in the recitals.</w:t>
      </w:r>
    </w:p>
    <w:p>
      <w:pPr>
        <w:spacing w:after="0" w:line="200" w:lineRule="exact"/>
        <w:rPr>
          <w:sz w:val="20"/>
          <w:szCs w:val="20"/>
          <w:color w:val="auto"/>
        </w:rPr>
      </w:pPr>
    </w:p>
    <w:p>
      <w:pPr>
        <w:spacing w:after="0" w:line="208"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Plan Termination</w:t>
      </w:r>
      <w:r>
        <w:rPr>
          <w:rFonts w:ascii="Arial" w:cs="Arial" w:eastAsia="Arial" w:hAnsi="Arial"/>
          <w:sz w:val="20"/>
          <w:szCs w:val="20"/>
          <w:color w:val="auto"/>
        </w:rPr>
        <w:t>” is defined in the recitals.</w:t>
      </w:r>
    </w:p>
    <w:p>
      <w:pPr>
        <w:spacing w:after="0" w:line="200" w:lineRule="exact"/>
        <w:rPr>
          <w:sz w:val="20"/>
          <w:szCs w:val="20"/>
          <w:color w:val="auto"/>
        </w:rPr>
      </w:pPr>
    </w:p>
    <w:p>
      <w:pPr>
        <w:spacing w:after="0" w:line="208" w:lineRule="exact"/>
        <w:rPr>
          <w:sz w:val="20"/>
          <w:szCs w:val="20"/>
          <w:color w:val="auto"/>
        </w:rPr>
      </w:pPr>
    </w:p>
    <w:p>
      <w:pPr>
        <w:jc w:val="both"/>
        <w:ind w:firstLine="601"/>
        <w:spacing w:after="0" w:line="27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Plan Trustee</w:t>
      </w:r>
      <w:r>
        <w:rPr>
          <w:rFonts w:ascii="Arial" w:cs="Arial" w:eastAsia="Arial" w:hAnsi="Arial"/>
          <w:sz w:val="20"/>
          <w:szCs w:val="20"/>
          <w:color w:val="auto"/>
        </w:rPr>
        <w:t>” means, [ *** ], and for all other purposes, State Street Bank and Trust Company, each in their capacity as trustee for one or more trusts that hold Plan Assets and, in each case, any successor thereto.</w:t>
      </w:r>
    </w:p>
    <w:p>
      <w:pPr>
        <w:spacing w:after="0" w:line="349" w:lineRule="exact"/>
        <w:rPr>
          <w:sz w:val="20"/>
          <w:szCs w:val="20"/>
          <w:color w:val="auto"/>
        </w:rPr>
      </w:pPr>
    </w:p>
    <w:p>
      <w:pPr>
        <w:jc w:val="both"/>
        <w:ind w:firstLine="601"/>
        <w:spacing w:after="0" w:line="27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Plan Trustee Agreement</w:t>
      </w:r>
      <w:r>
        <w:rPr>
          <w:rFonts w:ascii="Arial" w:cs="Arial" w:eastAsia="Arial" w:hAnsi="Arial"/>
          <w:sz w:val="20"/>
          <w:szCs w:val="20"/>
          <w:color w:val="auto"/>
        </w:rPr>
        <w:t xml:space="preserve">” means the agreement, substantially in the form of </w:t>
      </w:r>
      <w:r>
        <w:rPr>
          <w:rFonts w:ascii="Arial" w:cs="Arial" w:eastAsia="Arial" w:hAnsi="Arial"/>
          <w:sz w:val="20"/>
          <w:szCs w:val="20"/>
          <w:u w:val="single" w:color="auto"/>
          <w:color w:val="auto"/>
        </w:rPr>
        <w:t>Exhibit B</w:t>
      </w:r>
      <w:r>
        <w:rPr>
          <w:rFonts w:ascii="Arial" w:cs="Arial" w:eastAsia="Arial" w:hAnsi="Arial"/>
          <w:sz w:val="20"/>
          <w:szCs w:val="20"/>
          <w:color w:val="auto"/>
        </w:rPr>
        <w:t xml:space="preserve"> hereto, between the Plan Trustee, the Independent Fiduciary and the Insurer.</w:t>
      </w:r>
    </w:p>
    <w:p>
      <w:pPr>
        <w:spacing w:after="0" w:line="349"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POINT</w:t>
      </w:r>
      <w:r>
        <w:rPr>
          <w:rFonts w:ascii="Arial" w:cs="Arial" w:eastAsia="Arial" w:hAnsi="Arial"/>
          <w:sz w:val="20"/>
          <w:szCs w:val="20"/>
          <w:color w:val="auto"/>
        </w:rPr>
        <w:t>” is defined in Section F of the Procedures Manual.</w:t>
      </w:r>
    </w:p>
    <w:p>
      <w:pPr>
        <w:spacing w:after="0" w:line="200" w:lineRule="exact"/>
        <w:rPr>
          <w:sz w:val="20"/>
          <w:szCs w:val="20"/>
          <w:color w:val="auto"/>
        </w:rPr>
      </w:pPr>
    </w:p>
    <w:p>
      <w:pPr>
        <w:spacing w:after="0" w:line="208"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POINT Access Event</w:t>
      </w:r>
      <w:r>
        <w:rPr>
          <w:rFonts w:ascii="Arial" w:cs="Arial" w:eastAsia="Arial" w:hAnsi="Arial"/>
          <w:sz w:val="20"/>
          <w:szCs w:val="20"/>
          <w:color w:val="auto"/>
        </w:rPr>
        <w:t xml:space="preserve">” is defined in </w:t>
      </w:r>
      <w:r>
        <w:rPr>
          <w:rFonts w:ascii="Arial" w:cs="Arial" w:eastAsia="Arial" w:hAnsi="Arial"/>
          <w:sz w:val="20"/>
          <w:szCs w:val="20"/>
          <w:u w:val="single" w:color="auto"/>
          <w:color w:val="auto"/>
        </w:rPr>
        <w:t>Section 2.9(c)</w:t>
      </w:r>
      <w:r>
        <w:rPr>
          <w:rFonts w:ascii="Arial" w:cs="Arial" w:eastAsia="Arial" w:hAnsi="Arial"/>
          <w:sz w:val="20"/>
          <w:szCs w:val="20"/>
          <w:color w:val="auto"/>
        </w:rPr>
        <w:t>.</w:t>
      </w:r>
    </w:p>
    <w:p>
      <w:pPr>
        <w:spacing w:after="0" w:line="200" w:lineRule="exact"/>
        <w:rPr>
          <w:sz w:val="20"/>
          <w:szCs w:val="20"/>
          <w:color w:val="auto"/>
        </w:rPr>
      </w:pPr>
    </w:p>
    <w:p>
      <w:pPr>
        <w:spacing w:after="0" w:line="208"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Post-Closing Final Premium</w:t>
      </w:r>
      <w:r>
        <w:rPr>
          <w:rFonts w:ascii="Arial" w:cs="Arial" w:eastAsia="Arial" w:hAnsi="Arial"/>
          <w:sz w:val="20"/>
          <w:szCs w:val="20"/>
          <w:color w:val="auto"/>
        </w:rPr>
        <w:t xml:space="preserve">” is defined in </w:t>
      </w:r>
      <w:r>
        <w:rPr>
          <w:rFonts w:ascii="Arial" w:cs="Arial" w:eastAsia="Arial" w:hAnsi="Arial"/>
          <w:sz w:val="20"/>
          <w:szCs w:val="20"/>
          <w:u w:val="single" w:color="auto"/>
          <w:color w:val="auto"/>
        </w:rPr>
        <w:t>Section 2.11(c)(ii)</w:t>
      </w:r>
      <w:r>
        <w:rPr>
          <w:rFonts w:ascii="Arial" w:cs="Arial" w:eastAsia="Arial" w:hAnsi="Arial"/>
          <w:sz w:val="20"/>
          <w:szCs w:val="20"/>
          <w:color w:val="auto"/>
        </w:rPr>
        <w:t>.</w:t>
      </w:r>
    </w:p>
    <w:p>
      <w:pPr>
        <w:spacing w:after="0" w:line="200" w:lineRule="exact"/>
        <w:rPr>
          <w:sz w:val="20"/>
          <w:szCs w:val="20"/>
          <w:color w:val="auto"/>
        </w:rPr>
      </w:pPr>
    </w:p>
    <w:p>
      <w:pPr>
        <w:spacing w:after="0" w:line="208"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Post-Closing Post-Solicitation Premium</w:t>
      </w:r>
      <w:r>
        <w:rPr>
          <w:rFonts w:ascii="Arial" w:cs="Arial" w:eastAsia="Arial" w:hAnsi="Arial"/>
          <w:sz w:val="20"/>
          <w:szCs w:val="20"/>
          <w:color w:val="auto"/>
        </w:rPr>
        <w:t xml:space="preserve">” is defined in </w:t>
      </w:r>
      <w:r>
        <w:rPr>
          <w:rFonts w:ascii="Arial" w:cs="Arial" w:eastAsia="Arial" w:hAnsi="Arial"/>
          <w:sz w:val="20"/>
          <w:szCs w:val="20"/>
          <w:u w:val="single" w:color="auto"/>
          <w:color w:val="auto"/>
        </w:rPr>
        <w:t>Section 2.11(c)(i)</w:t>
      </w:r>
      <w:r>
        <w:rPr>
          <w:rFonts w:ascii="Arial" w:cs="Arial" w:eastAsia="Arial" w:hAnsi="Arial"/>
          <w:sz w:val="20"/>
          <w:szCs w:val="20"/>
          <w:color w:val="auto"/>
        </w:rPr>
        <w:t>.</w:t>
      </w:r>
    </w:p>
    <w:p>
      <w:pPr>
        <w:spacing w:after="0" w:line="200" w:lineRule="exact"/>
        <w:rPr>
          <w:sz w:val="20"/>
          <w:szCs w:val="20"/>
          <w:color w:val="auto"/>
        </w:rPr>
      </w:pPr>
    </w:p>
    <w:p>
      <w:pPr>
        <w:spacing w:after="0" w:line="208"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Post-Solicitation Premium Tab</w:t>
      </w:r>
      <w:r>
        <w:rPr>
          <w:rFonts w:ascii="Arial" w:cs="Arial" w:eastAsia="Arial" w:hAnsi="Arial"/>
          <w:sz w:val="20"/>
          <w:szCs w:val="20"/>
          <w:color w:val="auto"/>
        </w:rPr>
        <w:t>” is defined in the Procedures Manual.</w:t>
      </w:r>
    </w:p>
    <w:p>
      <w:pPr>
        <w:spacing w:after="0" w:line="200" w:lineRule="exact"/>
        <w:rPr>
          <w:sz w:val="20"/>
          <w:szCs w:val="20"/>
          <w:color w:val="auto"/>
        </w:rPr>
      </w:pPr>
    </w:p>
    <w:p>
      <w:pPr>
        <w:spacing w:after="0" w:line="208" w:lineRule="exact"/>
        <w:rPr>
          <w:sz w:val="20"/>
          <w:szCs w:val="20"/>
          <w:color w:val="auto"/>
        </w:rPr>
      </w:pPr>
    </w:p>
    <w:p>
      <w:pPr>
        <w:jc w:val="both"/>
        <w:ind w:firstLine="601"/>
        <w:spacing w:after="0" w:line="261"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Preliminary Additional Classification Errors Correction</w:t>
      </w:r>
      <w:r>
        <w:rPr>
          <w:rFonts w:ascii="Arial" w:cs="Arial" w:eastAsia="Arial" w:hAnsi="Arial"/>
          <w:sz w:val="20"/>
          <w:szCs w:val="20"/>
          <w:color w:val="auto"/>
        </w:rPr>
        <w:t>” means the Additional Classification Errors Correction, as calculated by the Insurer as of the day that is thirty (30) days prior to the Target Closing Date and taking into account Additional Classification Errors reported to the Insurer prior to the date that is 30 days prior to the Target Closing Date.</w:t>
      </w:r>
    </w:p>
    <w:p>
      <w:pPr>
        <w:spacing w:after="0" w:line="364" w:lineRule="exact"/>
        <w:rPr>
          <w:sz w:val="20"/>
          <w:szCs w:val="20"/>
          <w:color w:val="auto"/>
        </w:rPr>
      </w:pPr>
    </w:p>
    <w:p>
      <w:pPr>
        <w:jc w:val="both"/>
        <w:ind w:firstLine="601"/>
        <w:spacing w:after="0" w:line="261"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Preliminary Benefit Amount Correction</w:t>
      </w:r>
      <w:r>
        <w:rPr>
          <w:rFonts w:ascii="Arial" w:cs="Arial" w:eastAsia="Arial" w:hAnsi="Arial"/>
          <w:sz w:val="20"/>
          <w:szCs w:val="20"/>
          <w:color w:val="auto"/>
        </w:rPr>
        <w:t>” means the Benefit Amount Correction, as calculated by the Insurer as of the day that is thirty (30) days prior to the Target Closing Date and taking into account Benefit Amount Increases discovered by the Insurer prior to the date that is 30 days prior to the Target Closing Date.</w:t>
      </w:r>
    </w:p>
    <w:p>
      <w:pPr>
        <w:spacing w:after="0" w:line="364"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Preliminary Broker-Quote Valuations</w:t>
      </w:r>
      <w:r>
        <w:rPr>
          <w:rFonts w:ascii="Arial" w:cs="Arial" w:eastAsia="Arial" w:hAnsi="Arial"/>
          <w:sz w:val="20"/>
          <w:szCs w:val="20"/>
          <w:color w:val="auto"/>
        </w:rPr>
        <w:t xml:space="preserve">” is defined in </w:t>
      </w:r>
      <w:r>
        <w:rPr>
          <w:rFonts w:ascii="Arial" w:cs="Arial" w:eastAsia="Arial" w:hAnsi="Arial"/>
          <w:sz w:val="20"/>
          <w:szCs w:val="20"/>
          <w:u w:val="single" w:color="auto"/>
          <w:color w:val="auto"/>
        </w:rPr>
        <w:t>Section 2.6(e)</w:t>
      </w:r>
      <w:r>
        <w:rPr>
          <w:rFonts w:ascii="Arial" w:cs="Arial" w:eastAsia="Arial" w:hAnsi="Arial"/>
          <w:sz w:val="20"/>
          <w:szCs w:val="20"/>
          <w:color w:val="auto"/>
        </w:rPr>
        <w:t>.</w:t>
      </w:r>
    </w:p>
    <w:p>
      <w:pPr>
        <w:spacing w:after="0" w:line="200" w:lineRule="exact"/>
        <w:rPr>
          <w:sz w:val="20"/>
          <w:szCs w:val="20"/>
          <w:color w:val="auto"/>
        </w:rPr>
      </w:pPr>
    </w:p>
    <w:p>
      <w:pPr>
        <w:spacing w:after="0" w:line="208"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Preliminary Closing Premium</w:t>
      </w:r>
      <w:r>
        <w:rPr>
          <w:rFonts w:ascii="Arial" w:cs="Arial" w:eastAsia="Arial" w:hAnsi="Arial"/>
          <w:sz w:val="20"/>
          <w:szCs w:val="20"/>
          <w:color w:val="auto"/>
        </w:rPr>
        <w:t xml:space="preserve">” is defined in </w:t>
      </w:r>
      <w:r>
        <w:rPr>
          <w:rFonts w:ascii="Arial" w:cs="Arial" w:eastAsia="Arial" w:hAnsi="Arial"/>
          <w:sz w:val="20"/>
          <w:szCs w:val="20"/>
          <w:u w:val="single" w:color="auto"/>
          <w:color w:val="auto"/>
        </w:rPr>
        <w:t>Section 2.8(a)</w:t>
      </w:r>
      <w:r>
        <w:rPr>
          <w:rFonts w:ascii="Arial" w:cs="Arial" w:eastAsia="Arial" w:hAnsi="Arial"/>
          <w:sz w:val="20"/>
          <w:szCs w:val="20"/>
          <w:color w:val="auto"/>
        </w:rPr>
        <w:t>.</w:t>
      </w:r>
    </w:p>
    <w:p>
      <w:pPr>
        <w:spacing w:after="0" w:line="200" w:lineRule="exact"/>
        <w:rPr>
          <w:sz w:val="20"/>
          <w:szCs w:val="20"/>
          <w:color w:val="auto"/>
        </w:rPr>
      </w:pPr>
    </w:p>
    <w:p>
      <w:pPr>
        <w:spacing w:after="0" w:line="208" w:lineRule="exact"/>
        <w:rPr>
          <w:sz w:val="20"/>
          <w:szCs w:val="20"/>
          <w:color w:val="auto"/>
        </w:rPr>
      </w:pPr>
    </w:p>
    <w:p>
      <w:pPr>
        <w:jc w:val="both"/>
        <w:ind w:firstLine="601"/>
        <w:spacing w:after="0" w:line="261"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Preliminary CMA Adjustment</w:t>
      </w:r>
      <w:r>
        <w:rPr>
          <w:rFonts w:ascii="Arial" w:cs="Arial" w:eastAsia="Arial" w:hAnsi="Arial"/>
          <w:sz w:val="20"/>
          <w:szCs w:val="20"/>
          <w:color w:val="auto"/>
        </w:rPr>
        <w:t>” means the adjustment applied to the Preliminary Closing Premium, with respect to the period from the DTFA Pricing Date to the date that is seven (7) days prior to the Target Closing Date, stated as a percentage and calculated in accordance with the methodology and procedures set forth in Section F of the Procedures Manual.</w:t>
      </w:r>
    </w:p>
    <w:p>
      <w:pPr>
        <w:spacing w:after="0" w:line="364" w:lineRule="exact"/>
        <w:rPr>
          <w:sz w:val="20"/>
          <w:szCs w:val="20"/>
          <w:color w:val="auto"/>
        </w:rPr>
      </w:pPr>
    </w:p>
    <w:p>
      <w:pPr>
        <w:jc w:val="both"/>
        <w:ind w:firstLine="601"/>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Preliminary</w:t>
      </w:r>
      <w:r>
        <w:rPr>
          <w:rFonts w:ascii="Arial" w:cs="Arial" w:eastAsia="Arial" w:hAnsi="Arial"/>
          <w:sz w:val="19"/>
          <w:szCs w:val="19"/>
          <w:color w:val="auto"/>
        </w:rPr>
        <w:t xml:space="preserve"> [ *** ]” means the [ *** ], as calculated by the Insurer as of the day that is thirty (30) days prior to the Target Closing Date and taking into account Data Errors discovered by the Insurer prior to the date that is 30 days prior to the Target Closing Date.</w:t>
      </w:r>
    </w:p>
    <w:p>
      <w:pPr>
        <w:sectPr>
          <w:pgSz w:w="11900" w:h="16838" w:orient="portrait"/>
          <w:cols w:equalWidth="0" w:num="1">
            <w:col w:w="11420"/>
          </w:cols>
          <w:pgMar w:left="240" w:top="757" w:right="239" w:bottom="1440" w:gutter="0" w:footer="0" w:header="0"/>
        </w:sect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15</w:t>
      </w:r>
    </w:p>
    <w:p>
      <w:pPr>
        <w:sectPr>
          <w:pgSz w:w="11900" w:h="16838" w:orient="portrait"/>
          <w:cols w:equalWidth="0" w:num="1">
            <w:col w:w="11420"/>
          </w:cols>
          <w:pgMar w:left="240" w:top="757" w:right="239" w:bottom="1440" w:gutter="0" w:footer="0" w:header="0"/>
          <w:type w:val="continuous"/>
        </w:sectPr>
      </w:pPr>
    </w:p>
    <w:bookmarkStart w:id="26" w:name="page27"/>
    <w:bookmarkEnd w:id="26"/>
    <w:p>
      <w:pPr>
        <w:jc w:val="both"/>
        <w:ind w:firstLine="601"/>
        <w:spacing w:after="0" w:line="27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Preliminary</w:t>
      </w:r>
      <w:r>
        <w:rPr>
          <w:rFonts w:ascii="Arial" w:cs="Arial" w:eastAsia="Arial" w:hAnsi="Arial"/>
          <w:sz w:val="20"/>
          <w:szCs w:val="20"/>
          <w:color w:val="auto"/>
        </w:rPr>
        <w:t xml:space="preserve"> [ *** ] </w:t>
      </w:r>
      <w:r>
        <w:rPr>
          <w:rFonts w:ascii="Arial" w:cs="Arial" w:eastAsia="Arial" w:hAnsi="Arial"/>
          <w:sz w:val="20"/>
          <w:szCs w:val="20"/>
          <w:u w:val="single" w:color="auto"/>
          <w:color w:val="auto"/>
        </w:rPr>
        <w:t>Adjustment</w:t>
      </w:r>
      <w:r>
        <w:rPr>
          <w:rFonts w:ascii="Arial" w:cs="Arial" w:eastAsia="Arial" w:hAnsi="Arial"/>
          <w:sz w:val="20"/>
          <w:szCs w:val="20"/>
          <w:color w:val="auto"/>
        </w:rPr>
        <w:t>” means the total dollar price adjustment to the Preliminary Closing Premium, as calculated in accordance with the methodology and procedures set forth in Section I of the Procedures Manual.</w:t>
      </w:r>
    </w:p>
    <w:p>
      <w:pPr>
        <w:spacing w:after="0" w:line="349" w:lineRule="exact"/>
        <w:rPr>
          <w:sz w:val="20"/>
          <w:szCs w:val="20"/>
          <w:color w:val="auto"/>
        </w:rPr>
      </w:pPr>
    </w:p>
    <w:p>
      <w:pPr>
        <w:jc w:val="both"/>
        <w:ind w:firstLine="601"/>
        <w:spacing w:after="0" w:line="27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Preliminary PFS Adjustment</w:t>
      </w:r>
      <w:r>
        <w:rPr>
          <w:rFonts w:ascii="Arial" w:cs="Arial" w:eastAsia="Arial" w:hAnsi="Arial"/>
          <w:sz w:val="20"/>
          <w:szCs w:val="20"/>
          <w:color w:val="auto"/>
        </w:rPr>
        <w:t>” means the adjustment to the Preliminary Closing Premium stated as a percentage and calculated in accordance with the methodology and procedures set forth in Section H of the Procedures Manual.</w:t>
      </w:r>
    </w:p>
    <w:p>
      <w:pPr>
        <w:spacing w:after="0" w:line="349" w:lineRule="exact"/>
        <w:rPr>
          <w:sz w:val="20"/>
          <w:szCs w:val="20"/>
          <w:color w:val="auto"/>
        </w:rPr>
      </w:pPr>
    </w:p>
    <w:p>
      <w:pPr>
        <w:jc w:val="both"/>
        <w:ind w:firstLine="601"/>
        <w:spacing w:after="0" w:line="27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Preliminary Plan Portfolio</w:t>
      </w:r>
      <w:r>
        <w:rPr>
          <w:rFonts w:ascii="Arial" w:cs="Arial" w:eastAsia="Arial" w:hAnsi="Arial"/>
          <w:sz w:val="20"/>
          <w:szCs w:val="20"/>
          <w:color w:val="auto"/>
        </w:rPr>
        <w:t xml:space="preserve">” means the projected Final Plan Portfolio expected to be delivered to the Insurer under </w:t>
      </w:r>
      <w:r>
        <w:rPr>
          <w:rFonts w:ascii="Arial" w:cs="Arial" w:eastAsia="Arial" w:hAnsi="Arial"/>
          <w:sz w:val="20"/>
          <w:szCs w:val="20"/>
          <w:u w:val="single" w:color="auto"/>
          <w:color w:val="auto"/>
        </w:rPr>
        <w:t>Section 2.6(b)(i)</w:t>
      </w:r>
      <w:r>
        <w:rPr>
          <w:rFonts w:ascii="Arial" w:cs="Arial" w:eastAsia="Arial" w:hAnsi="Arial"/>
          <w:sz w:val="20"/>
          <w:szCs w:val="20"/>
          <w:color w:val="auto"/>
        </w:rPr>
        <w:t xml:space="preserve"> as of 8 days before the Target Closing Date.</w:t>
      </w:r>
    </w:p>
    <w:p>
      <w:pPr>
        <w:spacing w:after="0" w:line="349"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Preliminary Post-Solicitation Premium</w:t>
      </w:r>
      <w:r>
        <w:rPr>
          <w:rFonts w:ascii="Arial" w:cs="Arial" w:eastAsia="Arial" w:hAnsi="Arial"/>
          <w:sz w:val="20"/>
          <w:szCs w:val="20"/>
          <w:color w:val="auto"/>
        </w:rPr>
        <w:t xml:space="preserve">” is defined in </w:t>
      </w:r>
      <w:r>
        <w:rPr>
          <w:rFonts w:ascii="Arial" w:cs="Arial" w:eastAsia="Arial" w:hAnsi="Arial"/>
          <w:sz w:val="20"/>
          <w:szCs w:val="20"/>
          <w:u w:val="single" w:color="auto"/>
          <w:color w:val="auto"/>
        </w:rPr>
        <w:t>Section 2.5(e)(ii)</w:t>
      </w:r>
      <w:r>
        <w:rPr>
          <w:rFonts w:ascii="Arial" w:cs="Arial" w:eastAsia="Arial" w:hAnsi="Arial"/>
          <w:sz w:val="20"/>
          <w:szCs w:val="20"/>
          <w:color w:val="auto"/>
        </w:rPr>
        <w:t>.</w:t>
      </w:r>
    </w:p>
    <w:p>
      <w:pPr>
        <w:spacing w:after="0" w:line="200" w:lineRule="exact"/>
        <w:rPr>
          <w:sz w:val="20"/>
          <w:szCs w:val="20"/>
          <w:color w:val="auto"/>
        </w:rPr>
      </w:pPr>
    </w:p>
    <w:p>
      <w:pPr>
        <w:spacing w:after="0" w:line="208" w:lineRule="exact"/>
        <w:rPr>
          <w:sz w:val="20"/>
          <w:szCs w:val="20"/>
          <w:color w:val="auto"/>
        </w:rPr>
      </w:pPr>
    </w:p>
    <w:p>
      <w:pPr>
        <w:jc w:val="both"/>
        <w:ind w:firstLine="601"/>
        <w:spacing w:after="0" w:line="261"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Preliminary SCA Adjustment</w:t>
      </w:r>
      <w:r>
        <w:rPr>
          <w:rFonts w:ascii="Arial" w:cs="Arial" w:eastAsia="Arial" w:hAnsi="Arial"/>
          <w:sz w:val="20"/>
          <w:szCs w:val="20"/>
          <w:color w:val="auto"/>
        </w:rPr>
        <w:t>” means the adjustment applied to the Preliminary Closing Premium, with respect to the period from the DTFA Pricing Date to the date that is seven (7) days prior to the Target Closing Date, stated as a percentage and calculated in accordance with the methodology and procedures set forth in Section G of the Procedures Manual.</w:t>
      </w:r>
    </w:p>
    <w:p>
      <w:pPr>
        <w:spacing w:after="0" w:line="364" w:lineRule="exact"/>
        <w:rPr>
          <w:sz w:val="20"/>
          <w:szCs w:val="20"/>
          <w:color w:val="auto"/>
        </w:rPr>
      </w:pPr>
    </w:p>
    <w:p>
      <w:pPr>
        <w:jc w:val="both"/>
        <w:ind w:firstLine="601"/>
        <w:spacing w:after="0" w:line="25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Preliminary Single Life Mortality Correction</w:t>
      </w:r>
      <w:r>
        <w:rPr>
          <w:rFonts w:ascii="Arial" w:cs="Arial" w:eastAsia="Arial" w:hAnsi="Arial"/>
          <w:sz w:val="20"/>
          <w:szCs w:val="20"/>
          <w:color w:val="auto"/>
        </w:rPr>
        <w:t>” means the Single Life Mortality Correction, as calculated by the Insurer as of the day that is thirty (30) days prior to the Target Closing Date and taking into account the death of any Covered Life prior to the Annuity Commencement Date who elected a Single Life Annuity that is discovered by the Insurer prior to the date that is 30 days prior to the Target Closing Date.</w:t>
      </w:r>
    </w:p>
    <w:p>
      <w:pPr>
        <w:spacing w:after="0" w:line="367" w:lineRule="exact"/>
        <w:rPr>
          <w:sz w:val="20"/>
          <w:szCs w:val="20"/>
          <w:color w:val="auto"/>
        </w:rPr>
      </w:pPr>
    </w:p>
    <w:p>
      <w:pPr>
        <w:jc w:val="both"/>
        <w:ind w:firstLine="601"/>
        <w:spacing w:after="0" w:line="28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Priced Lives</w:t>
      </w:r>
      <w:r>
        <w:rPr>
          <w:rFonts w:ascii="Arial" w:cs="Arial" w:eastAsia="Arial" w:hAnsi="Arial"/>
          <w:sz w:val="19"/>
          <w:szCs w:val="19"/>
          <w:color w:val="auto"/>
        </w:rPr>
        <w:t xml:space="preserve">” means all Plan Participants and Plan Beneficiaries who are referenced by </w:t>
      </w:r>
      <w:r>
        <w:rPr>
          <w:rFonts w:ascii="Arial" w:cs="Arial" w:eastAsia="Arial" w:hAnsi="Arial"/>
          <w:sz w:val="19"/>
          <w:szCs w:val="19"/>
          <w:u w:val="single" w:color="auto"/>
          <w:color w:val="auto"/>
        </w:rPr>
        <w:t>Appendix 1.2</w:t>
      </w:r>
      <w:r>
        <w:rPr>
          <w:rFonts w:ascii="Arial" w:cs="Arial" w:eastAsia="Arial" w:hAnsi="Arial"/>
          <w:sz w:val="19"/>
          <w:szCs w:val="19"/>
          <w:color w:val="auto"/>
        </w:rPr>
        <w:t xml:space="preserve"> and, as of November 30, 2011, are in pay status as to all of their Plan benefits (provided that the “Part B” benefits attributable to Priced Lives will in all cases be considered non-solicited). The Priced Lives referenced by </w:t>
      </w:r>
      <w:r>
        <w:rPr>
          <w:rFonts w:ascii="Arial" w:cs="Arial" w:eastAsia="Arial" w:hAnsi="Arial"/>
          <w:sz w:val="19"/>
          <w:szCs w:val="19"/>
          <w:u w:val="single" w:color="auto"/>
          <w:color w:val="auto"/>
        </w:rPr>
        <w:t>Appendix 1.2</w:t>
      </w:r>
      <w:r>
        <w:rPr>
          <w:rFonts w:ascii="Arial" w:cs="Arial" w:eastAsia="Arial" w:hAnsi="Arial"/>
          <w:sz w:val="19"/>
          <w:szCs w:val="19"/>
          <w:color w:val="auto"/>
        </w:rPr>
        <w:t xml:space="preserve"> are identified as Non-Solicited Lives or Solicited Lives.</w:t>
      </w:r>
    </w:p>
    <w:p>
      <w:pPr>
        <w:spacing w:after="0" w:line="344" w:lineRule="exact"/>
        <w:rPr>
          <w:sz w:val="20"/>
          <w:szCs w:val="20"/>
          <w:color w:val="auto"/>
        </w:rPr>
      </w:pPr>
    </w:p>
    <w:p>
      <w:pPr>
        <w:jc w:val="both"/>
        <w:ind w:firstLine="601"/>
        <w:spacing w:after="0" w:line="27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Procedures Manual</w:t>
      </w:r>
      <w:r>
        <w:rPr>
          <w:rFonts w:ascii="Arial" w:cs="Arial" w:eastAsia="Arial" w:hAnsi="Arial"/>
          <w:sz w:val="20"/>
          <w:szCs w:val="20"/>
          <w:color w:val="auto"/>
        </w:rPr>
        <w:t xml:space="preserve">” means that certain Procedures Manual, as contained on the Identified CD-ROM delivered from the Insurer to the Company on the date hereof, as the same may be updated in accordance with </w:t>
      </w:r>
      <w:r>
        <w:rPr>
          <w:rFonts w:ascii="Arial" w:cs="Arial" w:eastAsia="Arial" w:hAnsi="Arial"/>
          <w:sz w:val="20"/>
          <w:szCs w:val="20"/>
          <w:u w:val="single" w:color="auto"/>
          <w:color w:val="auto"/>
        </w:rPr>
        <w:t>Section 2.20</w:t>
      </w:r>
      <w:r>
        <w:rPr>
          <w:rFonts w:ascii="Arial" w:cs="Arial" w:eastAsia="Arial" w:hAnsi="Arial"/>
          <w:sz w:val="20"/>
          <w:szCs w:val="20"/>
          <w:color w:val="auto"/>
        </w:rPr>
        <w:t>.</w:t>
      </w:r>
    </w:p>
    <w:p>
      <w:pPr>
        <w:spacing w:after="0" w:line="349" w:lineRule="exact"/>
        <w:rPr>
          <w:sz w:val="20"/>
          <w:szCs w:val="20"/>
          <w:color w:val="auto"/>
        </w:rPr>
      </w:pPr>
    </w:p>
    <w:p>
      <w:pPr>
        <w:jc w:val="both"/>
        <w:ind w:firstLine="601"/>
        <w:spacing w:after="0" w:line="27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Projected Parent Liquidity Position</w:t>
      </w:r>
      <w:r>
        <w:rPr>
          <w:rFonts w:ascii="Arial" w:cs="Arial" w:eastAsia="Arial" w:hAnsi="Arial"/>
          <w:sz w:val="20"/>
          <w:szCs w:val="20"/>
          <w:color w:val="auto"/>
        </w:rPr>
        <w:t>” means, as of a date of determination, the projection of the Parent Liquidity Position as of the end of the 2012 calendar year.</w:t>
      </w:r>
    </w:p>
    <w:p>
      <w:pPr>
        <w:spacing w:after="0" w:line="349" w:lineRule="exact"/>
        <w:rPr>
          <w:sz w:val="20"/>
          <w:szCs w:val="20"/>
          <w:color w:val="auto"/>
        </w:rPr>
      </w:pPr>
    </w:p>
    <w:p>
      <w:pPr>
        <w:jc w:val="both"/>
        <w:ind w:firstLine="601"/>
        <w:spacing w:after="0" w:line="27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Projected RBC Ratio</w:t>
      </w:r>
      <w:r>
        <w:rPr>
          <w:rFonts w:ascii="Arial" w:cs="Arial" w:eastAsia="Arial" w:hAnsi="Arial"/>
          <w:sz w:val="20"/>
          <w:szCs w:val="20"/>
          <w:color w:val="auto"/>
        </w:rPr>
        <w:t xml:space="preserve">” means, as of a day of determination, the projection of the RBC Ratio as of the end of the 2012 calendar year, as calculated under the method set forth in </w:t>
      </w:r>
      <w:r>
        <w:rPr>
          <w:rFonts w:ascii="Arial" w:cs="Arial" w:eastAsia="Arial" w:hAnsi="Arial"/>
          <w:sz w:val="20"/>
          <w:szCs w:val="20"/>
          <w:u w:val="single" w:color="auto"/>
          <w:color w:val="auto"/>
        </w:rPr>
        <w:t>Appendix 6.6</w:t>
      </w:r>
      <w:r>
        <w:rPr>
          <w:rFonts w:ascii="Arial" w:cs="Arial" w:eastAsia="Arial" w:hAnsi="Arial"/>
          <w:sz w:val="20"/>
          <w:szCs w:val="20"/>
          <w:color w:val="auto"/>
        </w:rPr>
        <w:t>.</w:t>
      </w:r>
    </w:p>
    <w:p>
      <w:pPr>
        <w:spacing w:after="0" w:line="349" w:lineRule="exact"/>
        <w:rPr>
          <w:sz w:val="20"/>
          <w:szCs w:val="20"/>
          <w:color w:val="auto"/>
        </w:rPr>
      </w:pPr>
    </w:p>
    <w:p>
      <w:pPr>
        <w:jc w:val="both"/>
        <w:ind w:firstLine="601"/>
        <w:spacing w:after="0" w:line="27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Prudential Disclosure Letter</w:t>
      </w:r>
      <w:r>
        <w:rPr>
          <w:rFonts w:ascii="Arial" w:cs="Arial" w:eastAsia="Arial" w:hAnsi="Arial"/>
          <w:sz w:val="20"/>
          <w:szCs w:val="20"/>
          <w:color w:val="auto"/>
        </w:rPr>
        <w:t>” means the disclosure letter as delivered by Insurer Parent and the Insurer to the other Parties immediately prior to the execution of this Agreement.</w:t>
      </w:r>
    </w:p>
    <w:p>
      <w:pPr>
        <w:spacing w:after="0" w:line="349" w:lineRule="exact"/>
        <w:rPr>
          <w:sz w:val="20"/>
          <w:szCs w:val="20"/>
          <w:color w:val="auto"/>
        </w:rPr>
      </w:pPr>
    </w:p>
    <w:p>
      <w:pPr>
        <w:jc w:val="both"/>
        <w:ind w:firstLine="601"/>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Prudential's Knowledge</w:t>
      </w:r>
      <w:r>
        <w:rPr>
          <w:rFonts w:ascii="Arial" w:cs="Arial" w:eastAsia="Arial" w:hAnsi="Arial"/>
          <w:sz w:val="19"/>
          <w:szCs w:val="19"/>
          <w:color w:val="auto"/>
        </w:rPr>
        <w:t>” means the actual knowledge of any officer of the Insurer or Insurer Parent that will be responsible for the day to day administration of the Group Annuity Contract or was directly involved in the negotiation of this Agreement or the transactions contemplated hereby, in each case, (</w:t>
      </w:r>
      <w:r>
        <w:rPr>
          <w:rFonts w:ascii="Arial" w:cs="Arial" w:eastAsia="Arial" w:hAnsi="Arial"/>
          <w:sz w:val="19"/>
          <w:szCs w:val="19"/>
          <w:u w:val="single" w:color="auto"/>
          <w:color w:val="auto"/>
        </w:rPr>
        <w:t>a</w:t>
      </w:r>
      <w:r>
        <w:rPr>
          <w:rFonts w:ascii="Arial" w:cs="Arial" w:eastAsia="Arial" w:hAnsi="Arial"/>
          <w:sz w:val="19"/>
          <w:szCs w:val="19"/>
          <w:color w:val="auto"/>
        </w:rPr>
        <w:t>) after making appropriate inquiry of those people reporting directly to such officer who have substantial responsibility for the relevant subject matter, and (</w:t>
      </w:r>
      <w:r>
        <w:rPr>
          <w:rFonts w:ascii="Arial" w:cs="Arial" w:eastAsia="Arial" w:hAnsi="Arial"/>
          <w:sz w:val="19"/>
          <w:szCs w:val="19"/>
          <w:u w:val="single" w:color="auto"/>
          <w:color w:val="auto"/>
        </w:rPr>
        <w:t>b</w:t>
      </w:r>
      <w:r>
        <w:rPr>
          <w:rFonts w:ascii="Arial" w:cs="Arial" w:eastAsia="Arial" w:hAnsi="Arial"/>
          <w:sz w:val="19"/>
          <w:szCs w:val="19"/>
          <w:color w:val="auto"/>
        </w:rPr>
        <w:t>) if none of such officers or people reporting directly to them have substantial responsibility for the subject matter that is the subject of the relevant representation, after making appropriate inquiry of an officer of the Insurer or Insurer Parent that has substantial responsibility for such subject matter.</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1420"/>
          </w:cols>
          <w:pgMar w:left="240" w:top="757" w:right="239" w:bottom="1440" w:gutter="0" w:footer="0" w:header="0"/>
        </w:sectPr>
      </w:pPr>
    </w:p>
    <w:bookmarkStart w:id="27" w:name="page28"/>
    <w:bookmarkEnd w:id="27"/>
    <w:p>
      <w:pPr>
        <w:ind w:left="6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PTCE</w:t>
      </w:r>
      <w:r>
        <w:rPr>
          <w:rFonts w:ascii="Arial" w:cs="Arial" w:eastAsia="Arial" w:hAnsi="Arial"/>
          <w:sz w:val="19"/>
          <w:szCs w:val="19"/>
          <w:color w:val="auto"/>
        </w:rPr>
        <w:t>” means a prohibited transaction class exemption issued by the U.S. Department of Labor pursuant to ERISA § 408(a).</w:t>
      </w:r>
    </w:p>
    <w:p>
      <w:pPr>
        <w:spacing w:after="0" w:line="200" w:lineRule="exact"/>
        <w:rPr>
          <w:sz w:val="20"/>
          <w:szCs w:val="20"/>
          <w:color w:val="auto"/>
        </w:rPr>
      </w:pPr>
    </w:p>
    <w:p>
      <w:pPr>
        <w:spacing w:after="0" w:line="220" w:lineRule="exact"/>
        <w:rPr>
          <w:sz w:val="20"/>
          <w:szCs w:val="20"/>
          <w:color w:val="auto"/>
        </w:rPr>
      </w:pPr>
    </w:p>
    <w:p>
      <w:pPr>
        <w:jc w:val="both"/>
        <w:ind w:firstLine="601"/>
        <w:spacing w:after="0" w:line="25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Public Bonds</w:t>
      </w:r>
      <w:r>
        <w:rPr>
          <w:rFonts w:ascii="Arial" w:cs="Arial" w:eastAsia="Arial" w:hAnsi="Arial"/>
          <w:sz w:val="20"/>
          <w:szCs w:val="20"/>
          <w:color w:val="auto"/>
        </w:rPr>
        <w:t xml:space="preserve">” means those asset classes listed under heading “Asset Class” in Table I of the “Public Bonds” section of </w:t>
      </w:r>
      <w:r>
        <w:rPr>
          <w:rFonts w:ascii="Arial" w:cs="Arial" w:eastAsia="Arial" w:hAnsi="Arial"/>
          <w:sz w:val="20"/>
          <w:szCs w:val="20"/>
          <w:u w:val="single" w:color="auto"/>
          <w:color w:val="auto"/>
        </w:rPr>
        <w:t>Appendix 2.6</w:t>
      </w:r>
      <w:r>
        <w:rPr>
          <w:rFonts w:ascii="Arial" w:cs="Arial" w:eastAsia="Arial" w:hAnsi="Arial"/>
          <w:sz w:val="20"/>
          <w:szCs w:val="20"/>
          <w:color w:val="auto"/>
        </w:rPr>
        <w:t xml:space="preserve"> that are (</w:t>
      </w:r>
      <w:r>
        <w:rPr>
          <w:rFonts w:ascii="Arial" w:cs="Arial" w:eastAsia="Arial" w:hAnsi="Arial"/>
          <w:sz w:val="20"/>
          <w:szCs w:val="20"/>
          <w:u w:val="single" w:color="auto"/>
          <w:color w:val="auto"/>
        </w:rPr>
        <w:t>a</w:t>
      </w:r>
      <w:r>
        <w:rPr>
          <w:rFonts w:ascii="Arial" w:cs="Arial" w:eastAsia="Arial" w:hAnsi="Arial"/>
          <w:sz w:val="20"/>
          <w:szCs w:val="20"/>
          <w:color w:val="auto"/>
        </w:rPr>
        <w:t>) registered under the Securities Act of 1933 or (</w:t>
      </w:r>
      <w:r>
        <w:rPr>
          <w:rFonts w:ascii="Arial" w:cs="Arial" w:eastAsia="Arial" w:hAnsi="Arial"/>
          <w:sz w:val="20"/>
          <w:szCs w:val="20"/>
          <w:u w:val="single" w:color="auto"/>
          <w:color w:val="auto"/>
        </w:rPr>
        <w:t>b</w:t>
      </w:r>
      <w:r>
        <w:rPr>
          <w:rFonts w:ascii="Arial" w:cs="Arial" w:eastAsia="Arial" w:hAnsi="Arial"/>
          <w:sz w:val="20"/>
          <w:szCs w:val="20"/>
          <w:color w:val="auto"/>
        </w:rPr>
        <w:t>) (</w:t>
      </w:r>
      <w:r>
        <w:rPr>
          <w:rFonts w:ascii="Arial" w:cs="Arial" w:eastAsia="Arial" w:hAnsi="Arial"/>
          <w:sz w:val="20"/>
          <w:szCs w:val="20"/>
          <w:u w:val="single" w:color="auto"/>
          <w:color w:val="auto"/>
        </w:rPr>
        <w:t>i</w:t>
      </w:r>
      <w:r>
        <w:rPr>
          <w:rFonts w:ascii="Arial" w:cs="Arial" w:eastAsia="Arial" w:hAnsi="Arial"/>
          <w:sz w:val="20"/>
          <w:szCs w:val="20"/>
          <w:color w:val="auto"/>
        </w:rPr>
        <w:t>) traded pursuant to the Rule 144A exemption from the Securities Act of 1933 and the regulations issued thereunder and (</w:t>
      </w:r>
      <w:r>
        <w:rPr>
          <w:rFonts w:ascii="Arial" w:cs="Arial" w:eastAsia="Arial" w:hAnsi="Arial"/>
          <w:sz w:val="20"/>
          <w:szCs w:val="20"/>
          <w:u w:val="single" w:color="auto"/>
          <w:color w:val="auto"/>
        </w:rPr>
        <w:t>ii</w:t>
      </w:r>
      <w:r>
        <w:rPr>
          <w:rFonts w:ascii="Arial" w:cs="Arial" w:eastAsia="Arial" w:hAnsi="Arial"/>
          <w:sz w:val="20"/>
          <w:szCs w:val="20"/>
          <w:color w:val="auto"/>
        </w:rPr>
        <w:t>) containing registration rights in favor of the holder of such note or obligation that are effective within one year of the date of transfer, it being understood that Public Bonds may be of any maturity, but do not include preferred stocks, hybrids, convertibles or tax-exempt municipal bonds.</w:t>
      </w:r>
    </w:p>
    <w:p>
      <w:pPr>
        <w:spacing w:after="0" w:line="368" w:lineRule="exact"/>
        <w:rPr>
          <w:sz w:val="20"/>
          <w:szCs w:val="20"/>
          <w:color w:val="auto"/>
        </w:rPr>
      </w:pPr>
    </w:p>
    <w:p>
      <w:pPr>
        <w:jc w:val="both"/>
        <w:ind w:firstLine="601"/>
        <w:spacing w:after="0" w:line="27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QPAM</w:t>
      </w:r>
      <w:r>
        <w:rPr>
          <w:rFonts w:ascii="Arial" w:cs="Arial" w:eastAsia="Arial" w:hAnsi="Arial"/>
          <w:sz w:val="20"/>
          <w:szCs w:val="20"/>
          <w:color w:val="auto"/>
        </w:rPr>
        <w:t>” means a Qualified Professional Asset Manager within the meaning of the U.S. Department of Labor Prohibited Transaction Class Exemption 84-14.</w:t>
      </w:r>
    </w:p>
    <w:p>
      <w:pPr>
        <w:spacing w:after="0" w:line="349" w:lineRule="exact"/>
        <w:rPr>
          <w:sz w:val="20"/>
          <w:szCs w:val="20"/>
          <w:color w:val="auto"/>
        </w:rPr>
      </w:pPr>
    </w:p>
    <w:p>
      <w:pPr>
        <w:ind w:left="600"/>
        <w:spacing w:after="0"/>
        <w:tabs>
          <w:tab w:leader="none" w:pos="1440" w:val="left"/>
          <w:tab w:leader="none" w:pos="2080" w:val="left"/>
          <w:tab w:leader="none" w:pos="3560" w:val="left"/>
          <w:tab w:leader="none" w:pos="4200" w:val="left"/>
        </w:tabs>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RBC</w:t>
      </w:r>
      <w:r>
        <w:rPr>
          <w:rFonts w:ascii="Arial" w:cs="Arial" w:eastAsia="Arial" w:hAnsi="Arial"/>
          <w:sz w:val="20"/>
          <w:szCs w:val="20"/>
          <w:color w:val="auto"/>
        </w:rPr>
        <w:t xml:space="preserve"> [</w:t>
        <w:tab/>
        <w:t>***</w:t>
      </w:r>
      <w:r>
        <w:rPr>
          <w:sz w:val="20"/>
          <w:szCs w:val="20"/>
          <w:color w:val="auto"/>
        </w:rPr>
        <w:tab/>
      </w:r>
      <w:r>
        <w:rPr>
          <w:rFonts w:ascii="Arial" w:cs="Arial" w:eastAsia="Arial" w:hAnsi="Arial"/>
          <w:sz w:val="20"/>
          <w:szCs w:val="20"/>
          <w:color w:val="auto"/>
        </w:rPr>
        <w:t>]” means the “[</w:t>
        <w:tab/>
        <w:t>***</w:t>
      </w:r>
      <w:r>
        <w:rPr>
          <w:sz w:val="20"/>
          <w:szCs w:val="20"/>
          <w:color w:val="auto"/>
        </w:rPr>
        <w:tab/>
      </w:r>
      <w:r>
        <w:rPr>
          <w:rFonts w:ascii="Arial" w:cs="Arial" w:eastAsia="Arial" w:hAnsi="Arial"/>
          <w:sz w:val="18"/>
          <w:szCs w:val="18"/>
          <w:color w:val="auto"/>
        </w:rPr>
        <w:t xml:space="preserve">]” described in </w:t>
      </w:r>
      <w:r>
        <w:rPr>
          <w:rFonts w:ascii="Arial" w:cs="Arial" w:eastAsia="Arial" w:hAnsi="Arial"/>
          <w:sz w:val="18"/>
          <w:szCs w:val="18"/>
          <w:u w:val="single" w:color="auto"/>
          <w:color w:val="auto"/>
        </w:rPr>
        <w:t>Appendix 6.6</w:t>
      </w:r>
      <w:r>
        <w:rPr>
          <w:rFonts w:ascii="Arial" w:cs="Arial" w:eastAsia="Arial" w:hAnsi="Arial"/>
          <w:sz w:val="18"/>
          <w:szCs w:val="18"/>
          <w:color w:val="auto"/>
        </w:rPr>
        <w:t>.</w:t>
      </w:r>
    </w:p>
    <w:p>
      <w:pPr>
        <w:spacing w:after="0" w:line="200" w:lineRule="exact"/>
        <w:rPr>
          <w:sz w:val="20"/>
          <w:szCs w:val="20"/>
          <w:color w:val="auto"/>
        </w:rPr>
      </w:pPr>
    </w:p>
    <w:p>
      <w:pPr>
        <w:spacing w:after="0" w:line="208" w:lineRule="exact"/>
        <w:rPr>
          <w:sz w:val="20"/>
          <w:szCs w:val="20"/>
          <w:color w:val="auto"/>
        </w:rPr>
      </w:pPr>
    </w:p>
    <w:p>
      <w:pPr>
        <w:jc w:val="both"/>
        <w:ind w:firstLine="601"/>
        <w:spacing w:after="0" w:line="261"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RBC Ratio</w:t>
      </w:r>
      <w:r>
        <w:rPr>
          <w:rFonts w:ascii="Arial" w:cs="Arial" w:eastAsia="Arial" w:hAnsi="Arial"/>
          <w:sz w:val="20"/>
          <w:szCs w:val="20"/>
          <w:color w:val="auto"/>
        </w:rPr>
        <w:t>” means the risk-based capital ratio of the Insurer, which shall be calculated in a manner consistent with the requirements and methodologies prescribed under New Jersey Law, as applied by the Insurer in the ordinary course of its business, consistent with its historic practice.</w:t>
      </w:r>
    </w:p>
    <w:p>
      <w:pPr>
        <w:spacing w:after="0" w:line="364" w:lineRule="exact"/>
        <w:rPr>
          <w:sz w:val="20"/>
          <w:szCs w:val="20"/>
          <w:color w:val="auto"/>
        </w:rPr>
      </w:pPr>
    </w:p>
    <w:p>
      <w:pPr>
        <w:ind w:left="600"/>
        <w:spacing w:after="0"/>
        <w:tabs>
          <w:tab w:leader="none" w:pos="980" w:val="left"/>
          <w:tab w:leader="none" w:pos="1640" w:val="left"/>
        </w:tabs>
        <w:rPr>
          <w:sz w:val="20"/>
          <w:szCs w:val="20"/>
          <w:color w:val="auto"/>
        </w:rPr>
      </w:pPr>
      <w:r>
        <w:rPr>
          <w:rFonts w:ascii="Arial" w:cs="Arial" w:eastAsia="Arial" w:hAnsi="Arial"/>
          <w:sz w:val="20"/>
          <w:szCs w:val="20"/>
          <w:color w:val="auto"/>
        </w:rPr>
        <w:t>“[</w:t>
        <w:tab/>
        <w:t>***</w:t>
      </w:r>
      <w:r>
        <w:rPr>
          <w:sz w:val="20"/>
          <w:szCs w:val="20"/>
          <w:color w:val="auto"/>
        </w:rPr>
        <w:tab/>
      </w:r>
      <w:r>
        <w:rPr>
          <w:rFonts w:ascii="Arial" w:cs="Arial" w:eastAsia="Arial" w:hAnsi="Arial"/>
          <w:sz w:val="18"/>
          <w:szCs w:val="18"/>
          <w:color w:val="auto"/>
        </w:rPr>
        <w:t>]” is defined in Section F of the Procedures Manual.</w:t>
      </w:r>
    </w:p>
    <w:p>
      <w:pPr>
        <w:spacing w:after="0" w:line="200" w:lineRule="exact"/>
        <w:rPr>
          <w:sz w:val="20"/>
          <w:szCs w:val="20"/>
          <w:color w:val="auto"/>
        </w:rPr>
      </w:pPr>
    </w:p>
    <w:p>
      <w:pPr>
        <w:spacing w:after="0" w:line="20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Representatives</w:t>
      </w:r>
      <w:r>
        <w:rPr>
          <w:rFonts w:ascii="Arial" w:cs="Arial" w:eastAsia="Arial" w:hAnsi="Arial"/>
          <w:sz w:val="18"/>
          <w:szCs w:val="18"/>
          <w:color w:val="auto"/>
        </w:rPr>
        <w:t>” means, in respect of any Person that is an entity, such Person's officers, directors, employees, advisors and agents.</w:t>
      </w:r>
    </w:p>
    <w:p>
      <w:pPr>
        <w:spacing w:after="0" w:line="200" w:lineRule="exact"/>
        <w:rPr>
          <w:sz w:val="20"/>
          <w:szCs w:val="20"/>
          <w:color w:val="auto"/>
        </w:rPr>
      </w:pPr>
    </w:p>
    <w:p>
      <w:pPr>
        <w:spacing w:after="0" w:line="231"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Re-Pricing Offer</w:t>
      </w:r>
      <w:r>
        <w:rPr>
          <w:rFonts w:ascii="Arial" w:cs="Arial" w:eastAsia="Arial" w:hAnsi="Arial"/>
          <w:sz w:val="20"/>
          <w:szCs w:val="20"/>
          <w:color w:val="auto"/>
        </w:rPr>
        <w:t xml:space="preserve">” is defined in </w:t>
      </w:r>
      <w:r>
        <w:rPr>
          <w:rFonts w:ascii="Arial" w:cs="Arial" w:eastAsia="Arial" w:hAnsi="Arial"/>
          <w:sz w:val="20"/>
          <w:szCs w:val="20"/>
          <w:u w:val="single" w:color="auto"/>
          <w:color w:val="auto"/>
        </w:rPr>
        <w:t>Section 10.2(d)(i)</w:t>
      </w:r>
      <w:r>
        <w:rPr>
          <w:rFonts w:ascii="Arial" w:cs="Arial" w:eastAsia="Arial" w:hAnsi="Arial"/>
          <w:sz w:val="20"/>
          <w:szCs w:val="20"/>
          <w:color w:val="auto"/>
        </w:rPr>
        <w:t>.</w:t>
      </w:r>
    </w:p>
    <w:p>
      <w:pPr>
        <w:spacing w:after="0" w:line="200" w:lineRule="exact"/>
        <w:rPr>
          <w:sz w:val="20"/>
          <w:szCs w:val="20"/>
          <w:color w:val="auto"/>
        </w:rPr>
      </w:pPr>
    </w:p>
    <w:p>
      <w:pPr>
        <w:spacing w:after="0" w:line="208"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Re-Pricing Request</w:t>
      </w:r>
      <w:r>
        <w:rPr>
          <w:rFonts w:ascii="Arial" w:cs="Arial" w:eastAsia="Arial" w:hAnsi="Arial"/>
          <w:sz w:val="20"/>
          <w:szCs w:val="20"/>
          <w:color w:val="auto"/>
        </w:rPr>
        <w:t xml:space="preserve">” is defined in </w:t>
      </w:r>
      <w:r>
        <w:rPr>
          <w:rFonts w:ascii="Arial" w:cs="Arial" w:eastAsia="Arial" w:hAnsi="Arial"/>
          <w:sz w:val="20"/>
          <w:szCs w:val="20"/>
          <w:u w:val="single" w:color="auto"/>
          <w:color w:val="auto"/>
        </w:rPr>
        <w:t>Section 10.2(d)(i)</w:t>
      </w:r>
      <w:r>
        <w:rPr>
          <w:rFonts w:ascii="Arial" w:cs="Arial" w:eastAsia="Arial" w:hAnsi="Arial"/>
          <w:sz w:val="20"/>
          <w:szCs w:val="20"/>
          <w:color w:val="auto"/>
        </w:rPr>
        <w:t>.</w:t>
      </w:r>
    </w:p>
    <w:p>
      <w:pPr>
        <w:spacing w:after="0" w:line="200" w:lineRule="exact"/>
        <w:rPr>
          <w:sz w:val="20"/>
          <w:szCs w:val="20"/>
          <w:color w:val="auto"/>
        </w:rPr>
      </w:pPr>
    </w:p>
    <w:p>
      <w:pPr>
        <w:spacing w:after="0" w:line="208"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Requesting Party</w:t>
      </w:r>
      <w:r>
        <w:rPr>
          <w:rFonts w:ascii="Arial" w:cs="Arial" w:eastAsia="Arial" w:hAnsi="Arial"/>
          <w:sz w:val="20"/>
          <w:szCs w:val="20"/>
          <w:color w:val="auto"/>
        </w:rPr>
        <w:t xml:space="preserve">” is defined in </w:t>
      </w:r>
      <w:r>
        <w:rPr>
          <w:rFonts w:ascii="Arial" w:cs="Arial" w:eastAsia="Arial" w:hAnsi="Arial"/>
          <w:sz w:val="20"/>
          <w:szCs w:val="20"/>
          <w:u w:val="single" w:color="auto"/>
          <w:color w:val="auto"/>
        </w:rPr>
        <w:t>Section 6.6(c)</w:t>
      </w:r>
      <w:r>
        <w:rPr>
          <w:rFonts w:ascii="Arial" w:cs="Arial" w:eastAsia="Arial" w:hAnsi="Arial"/>
          <w:sz w:val="20"/>
          <w:szCs w:val="20"/>
          <w:color w:val="auto"/>
        </w:rPr>
        <w:t>.</w:t>
      </w:r>
    </w:p>
    <w:p>
      <w:pPr>
        <w:spacing w:after="0" w:line="200" w:lineRule="exact"/>
        <w:rPr>
          <w:sz w:val="20"/>
          <w:szCs w:val="20"/>
          <w:color w:val="auto"/>
        </w:rPr>
      </w:pPr>
    </w:p>
    <w:p>
      <w:pPr>
        <w:spacing w:after="0" w:line="208" w:lineRule="exact"/>
        <w:rPr>
          <w:sz w:val="20"/>
          <w:szCs w:val="20"/>
          <w:color w:val="auto"/>
        </w:rPr>
      </w:pPr>
    </w:p>
    <w:p>
      <w:pPr>
        <w:jc w:val="both"/>
        <w:ind w:firstLine="601"/>
        <w:spacing w:after="0" w:line="27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Revised Base Annuity Premium</w:t>
      </w:r>
      <w:r>
        <w:rPr>
          <w:rFonts w:ascii="Arial" w:cs="Arial" w:eastAsia="Arial" w:hAnsi="Arial"/>
          <w:sz w:val="20"/>
          <w:szCs w:val="20"/>
          <w:color w:val="auto"/>
        </w:rPr>
        <w:t>” means an amount equal to the Non-Solicited Annuity Premium plus the Non-Electing Base Annuity Premium.</w:t>
      </w:r>
    </w:p>
    <w:p>
      <w:pPr>
        <w:spacing w:after="0" w:line="349"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Revised Certification</w:t>
      </w:r>
      <w:r>
        <w:rPr>
          <w:rFonts w:ascii="Arial" w:cs="Arial" w:eastAsia="Arial" w:hAnsi="Arial"/>
          <w:sz w:val="20"/>
          <w:szCs w:val="20"/>
          <w:color w:val="auto"/>
        </w:rPr>
        <w:t xml:space="preserve">” is defined in </w:t>
      </w:r>
      <w:r>
        <w:rPr>
          <w:rFonts w:ascii="Arial" w:cs="Arial" w:eastAsia="Arial" w:hAnsi="Arial"/>
          <w:sz w:val="20"/>
          <w:szCs w:val="20"/>
          <w:u w:val="single" w:color="auto"/>
          <w:color w:val="auto"/>
        </w:rPr>
        <w:t>Section 2.4(c)</w:t>
      </w:r>
      <w:r>
        <w:rPr>
          <w:rFonts w:ascii="Arial" w:cs="Arial" w:eastAsia="Arial" w:hAnsi="Arial"/>
          <w:sz w:val="20"/>
          <w:szCs w:val="20"/>
          <w:color w:val="auto"/>
        </w:rPr>
        <w:t>.</w:t>
      </w:r>
    </w:p>
    <w:p>
      <w:pPr>
        <w:spacing w:after="0" w:line="200" w:lineRule="exact"/>
        <w:rPr>
          <w:sz w:val="20"/>
          <w:szCs w:val="20"/>
          <w:color w:val="auto"/>
        </w:rPr>
      </w:pPr>
    </w:p>
    <w:p>
      <w:pPr>
        <w:spacing w:after="0" w:line="208" w:lineRule="exact"/>
        <w:rPr>
          <w:sz w:val="20"/>
          <w:szCs w:val="20"/>
          <w:color w:val="auto"/>
        </w:rPr>
      </w:pPr>
    </w:p>
    <w:p>
      <w:pPr>
        <w:jc w:val="both"/>
        <w:ind w:firstLine="601"/>
        <w:spacing w:after="0" w:line="25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Revised Preliminary CMA Adjustment</w:t>
      </w:r>
      <w:r>
        <w:rPr>
          <w:rFonts w:ascii="Arial" w:cs="Arial" w:eastAsia="Arial" w:hAnsi="Arial"/>
          <w:sz w:val="20"/>
          <w:szCs w:val="20"/>
          <w:color w:val="auto"/>
        </w:rPr>
        <w:t>” means the adjustment applied to the Revised Preliminary Closing Premium, with respect to the period from the DTFA Pricing Date through the close of business on the day that is two (2) Business Days prior to the Target Closing Date, stated as a percentage and calculated in accordance with the methodology and procedures set forth in Section F of the Procedures Manual.</w:t>
      </w:r>
    </w:p>
    <w:p>
      <w:pPr>
        <w:spacing w:after="0" w:line="367"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Revised Preliminary Closing Premium</w:t>
      </w:r>
      <w:r>
        <w:rPr>
          <w:rFonts w:ascii="Arial" w:cs="Arial" w:eastAsia="Arial" w:hAnsi="Arial"/>
          <w:sz w:val="20"/>
          <w:szCs w:val="20"/>
          <w:color w:val="auto"/>
        </w:rPr>
        <w:t xml:space="preserve">” is defined in </w:t>
      </w:r>
      <w:r>
        <w:rPr>
          <w:rFonts w:ascii="Arial" w:cs="Arial" w:eastAsia="Arial" w:hAnsi="Arial"/>
          <w:sz w:val="20"/>
          <w:szCs w:val="20"/>
          <w:u w:val="single" w:color="auto"/>
          <w:color w:val="auto"/>
        </w:rPr>
        <w:t>Section 2.8(c)</w:t>
      </w:r>
      <w:r>
        <w:rPr>
          <w:rFonts w:ascii="Arial" w:cs="Arial" w:eastAsia="Arial" w:hAnsi="Arial"/>
          <w:sz w:val="20"/>
          <w:szCs w:val="20"/>
          <w:color w:val="auto"/>
        </w:rPr>
        <w:t>.</w:t>
      </w:r>
    </w:p>
    <w:p>
      <w:pPr>
        <w:spacing w:after="0" w:line="200" w:lineRule="exact"/>
        <w:rPr>
          <w:sz w:val="20"/>
          <w:szCs w:val="20"/>
          <w:color w:val="auto"/>
        </w:rPr>
      </w:pPr>
    </w:p>
    <w:p>
      <w:pPr>
        <w:spacing w:after="0" w:line="208" w:lineRule="exact"/>
        <w:rPr>
          <w:sz w:val="20"/>
          <w:szCs w:val="20"/>
          <w:color w:val="auto"/>
        </w:rPr>
      </w:pPr>
    </w:p>
    <w:p>
      <w:pPr>
        <w:jc w:val="both"/>
        <w:ind w:firstLine="601"/>
        <w:spacing w:after="0" w:line="27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Revised Preliminary</w:t>
      </w:r>
      <w:r>
        <w:rPr>
          <w:rFonts w:ascii="Arial" w:cs="Arial" w:eastAsia="Arial" w:hAnsi="Arial"/>
          <w:sz w:val="20"/>
          <w:szCs w:val="20"/>
          <w:color w:val="auto"/>
        </w:rPr>
        <w:t xml:space="preserve"> [ *** ] </w:t>
      </w:r>
      <w:r>
        <w:rPr>
          <w:rFonts w:ascii="Arial" w:cs="Arial" w:eastAsia="Arial" w:hAnsi="Arial"/>
          <w:sz w:val="20"/>
          <w:szCs w:val="20"/>
          <w:u w:val="single" w:color="auto"/>
          <w:color w:val="auto"/>
        </w:rPr>
        <w:t>Adjustment</w:t>
      </w:r>
      <w:r>
        <w:rPr>
          <w:rFonts w:ascii="Arial" w:cs="Arial" w:eastAsia="Arial" w:hAnsi="Arial"/>
          <w:sz w:val="20"/>
          <w:szCs w:val="20"/>
          <w:color w:val="auto"/>
        </w:rPr>
        <w:t>” means the total dollar price adjustment to the Revised Preliminary Closing Premium, as calculated in accordance with the methodology and procedures set forth in Section I of the Procedures Manual.</w:t>
      </w:r>
    </w:p>
    <w:p>
      <w:pPr>
        <w:spacing w:after="0" w:line="349" w:lineRule="exact"/>
        <w:rPr>
          <w:sz w:val="20"/>
          <w:szCs w:val="20"/>
          <w:color w:val="auto"/>
        </w:rPr>
      </w:pPr>
    </w:p>
    <w:p>
      <w:pPr>
        <w:jc w:val="both"/>
        <w:ind w:firstLine="601"/>
        <w:spacing w:after="0" w:line="27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Revised Preliminary PFS Adjustment</w:t>
      </w:r>
      <w:r>
        <w:rPr>
          <w:rFonts w:ascii="Arial" w:cs="Arial" w:eastAsia="Arial" w:hAnsi="Arial"/>
          <w:sz w:val="20"/>
          <w:szCs w:val="20"/>
          <w:color w:val="auto"/>
        </w:rPr>
        <w:t>” means the adjustment to the Revised Preliminary Closing Premium stated as a percentage and calculated in accordance with the methodology and procedures set forth in Section H of the Procedures Manual.</w:t>
      </w:r>
    </w:p>
    <w:p>
      <w:pPr>
        <w:spacing w:after="0" w:line="349" w:lineRule="exact"/>
        <w:rPr>
          <w:sz w:val="20"/>
          <w:szCs w:val="20"/>
          <w:color w:val="auto"/>
        </w:rPr>
      </w:pPr>
    </w:p>
    <w:p>
      <w:pPr>
        <w:jc w:val="both"/>
        <w:ind w:firstLine="601"/>
        <w:spacing w:after="0" w:line="27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Revised Preliminary SCA Adjustment</w:t>
      </w:r>
      <w:r>
        <w:rPr>
          <w:rFonts w:ascii="Arial" w:cs="Arial" w:eastAsia="Arial" w:hAnsi="Arial"/>
          <w:sz w:val="20"/>
          <w:szCs w:val="20"/>
          <w:color w:val="auto"/>
        </w:rPr>
        <w:t>” means the adjustment applied to the Revised Preliminary Closing Premium, with respect to the period from the DTFA Pricing Date through the close of business on</w:t>
      </w:r>
    </w:p>
    <w:p>
      <w:pPr>
        <w:sectPr>
          <w:pgSz w:w="11900" w:h="16838" w:orient="portrait"/>
          <w:cols w:equalWidth="0" w:num="1">
            <w:col w:w="11420"/>
          </w:cols>
          <w:pgMar w:left="240" w:top="757" w:right="239" w:bottom="1153" w:gutter="0" w:footer="0" w:header="0"/>
        </w:sect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17</w:t>
      </w:r>
    </w:p>
    <w:p>
      <w:pPr>
        <w:sectPr>
          <w:pgSz w:w="11900" w:h="16838" w:orient="portrait"/>
          <w:cols w:equalWidth="0" w:num="1">
            <w:col w:w="11420"/>
          </w:cols>
          <w:pgMar w:left="240" w:top="757" w:right="239" w:bottom="1153" w:gutter="0" w:footer="0" w:header="0"/>
          <w:type w:val="continuous"/>
        </w:sectPr>
      </w:pPr>
    </w:p>
    <w:bookmarkStart w:id="28" w:name="page29"/>
    <w:bookmarkEnd w:id="28"/>
    <w:p>
      <w:pPr>
        <w:jc w:val="both"/>
        <w:spacing w:after="0" w:line="275" w:lineRule="auto"/>
        <w:rPr>
          <w:sz w:val="20"/>
          <w:szCs w:val="20"/>
          <w:color w:val="auto"/>
        </w:rPr>
      </w:pPr>
      <w:r>
        <w:rPr>
          <w:rFonts w:ascii="Arial" w:cs="Arial" w:eastAsia="Arial" w:hAnsi="Arial"/>
          <w:sz w:val="20"/>
          <w:szCs w:val="20"/>
          <w:color w:val="auto"/>
        </w:rPr>
        <w:t>the day that is two (2) Business Days prior to the Target Closing Date, stated as a percentage and calculated in accordance with the methodology and procedures set forth in Section G of the Procedures Manual.</w:t>
      </w:r>
    </w:p>
    <w:p>
      <w:pPr>
        <w:spacing w:after="0" w:line="349" w:lineRule="exact"/>
        <w:rPr>
          <w:sz w:val="20"/>
          <w:szCs w:val="20"/>
          <w:color w:val="auto"/>
        </w:rPr>
      </w:pPr>
    </w:p>
    <w:p>
      <w:pPr>
        <w:ind w:left="600"/>
        <w:spacing w:after="0"/>
        <w:tabs>
          <w:tab w:leader="none" w:pos="980" w:val="left"/>
          <w:tab w:leader="none" w:pos="1640" w:val="left"/>
        </w:tabs>
        <w:rPr>
          <w:sz w:val="20"/>
          <w:szCs w:val="20"/>
          <w:color w:val="auto"/>
        </w:rPr>
      </w:pPr>
      <w:r>
        <w:rPr>
          <w:rFonts w:ascii="Arial" w:cs="Arial" w:eastAsia="Arial" w:hAnsi="Arial"/>
          <w:sz w:val="20"/>
          <w:szCs w:val="20"/>
          <w:color w:val="auto"/>
        </w:rPr>
        <w:t>“[</w:t>
        <w:tab/>
        <w:t>***</w:t>
      </w:r>
      <w:r>
        <w:rPr>
          <w:sz w:val="20"/>
          <w:szCs w:val="20"/>
          <w:color w:val="auto"/>
        </w:rPr>
        <w:tab/>
      </w:r>
      <w:r>
        <w:rPr>
          <w:rFonts w:ascii="Arial" w:cs="Arial" w:eastAsia="Arial" w:hAnsi="Arial"/>
          <w:sz w:val="18"/>
          <w:szCs w:val="18"/>
          <w:color w:val="auto"/>
        </w:rPr>
        <w:t>]” is defined in Section F of the Procedures Manual.</w:t>
      </w:r>
    </w:p>
    <w:p>
      <w:pPr>
        <w:spacing w:after="0" w:line="200" w:lineRule="exact"/>
        <w:rPr>
          <w:sz w:val="20"/>
          <w:szCs w:val="20"/>
          <w:color w:val="auto"/>
        </w:rPr>
      </w:pPr>
    </w:p>
    <w:p>
      <w:pPr>
        <w:spacing w:after="0" w:line="208" w:lineRule="exact"/>
        <w:rPr>
          <w:sz w:val="20"/>
          <w:szCs w:val="20"/>
          <w:color w:val="auto"/>
        </w:rPr>
      </w:pPr>
    </w:p>
    <w:p>
      <w:pPr>
        <w:ind w:left="600"/>
        <w:spacing w:after="0"/>
        <w:tabs>
          <w:tab w:leader="none" w:pos="980" w:val="left"/>
          <w:tab w:leader="none" w:pos="1640" w:val="left"/>
        </w:tabs>
        <w:rPr>
          <w:sz w:val="20"/>
          <w:szCs w:val="20"/>
          <w:color w:val="auto"/>
        </w:rPr>
      </w:pPr>
      <w:r>
        <w:rPr>
          <w:rFonts w:ascii="Arial" w:cs="Arial" w:eastAsia="Arial" w:hAnsi="Arial"/>
          <w:sz w:val="20"/>
          <w:szCs w:val="20"/>
          <w:color w:val="auto"/>
        </w:rPr>
        <w:t>“[</w:t>
        <w:tab/>
        <w:t>***</w:t>
      </w:r>
      <w:r>
        <w:rPr>
          <w:sz w:val="20"/>
          <w:szCs w:val="20"/>
          <w:color w:val="auto"/>
        </w:rPr>
        <w:tab/>
      </w:r>
      <w:r>
        <w:rPr>
          <w:rFonts w:ascii="Arial" w:cs="Arial" w:eastAsia="Arial" w:hAnsi="Arial"/>
          <w:sz w:val="18"/>
          <w:szCs w:val="18"/>
          <w:color w:val="auto"/>
        </w:rPr>
        <w:t>]” is defined in Section F of the Procedures Manual.</w:t>
      </w:r>
    </w:p>
    <w:p>
      <w:pPr>
        <w:spacing w:after="0" w:line="200" w:lineRule="exact"/>
        <w:rPr>
          <w:sz w:val="20"/>
          <w:szCs w:val="20"/>
          <w:color w:val="auto"/>
        </w:rPr>
      </w:pPr>
    </w:p>
    <w:p>
      <w:pPr>
        <w:spacing w:after="0" w:line="208" w:lineRule="exact"/>
        <w:rPr>
          <w:sz w:val="20"/>
          <w:szCs w:val="20"/>
          <w:color w:val="auto"/>
        </w:rPr>
      </w:pPr>
    </w:p>
    <w:p>
      <w:pPr>
        <w:jc w:val="both"/>
        <w:ind w:firstLine="601"/>
        <w:spacing w:after="0" w:line="25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SCA Adjustment</w:t>
      </w:r>
      <w:r>
        <w:rPr>
          <w:rFonts w:ascii="Arial" w:cs="Arial" w:eastAsia="Arial" w:hAnsi="Arial"/>
          <w:sz w:val="20"/>
          <w:szCs w:val="20"/>
          <w:color w:val="auto"/>
        </w:rPr>
        <w:t>” means, as of the dates as provided in this Agreement, the adjustment that would be applied to the Closing Final Premium if the Closing were to occur on such date, with respect to the period from the DTFA Pricing Date through the close of business on the last Business Day prior to such date, stated as a percentage and calculated in accordance with the methodology and procedures set forth in Section G of the Procedures Manual</w:t>
      </w:r>
    </w:p>
    <w:p>
      <w:pPr>
        <w:spacing w:after="0" w:line="367"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w:t>
      </w:r>
      <w:r>
        <w:rPr>
          <w:rFonts w:ascii="Arial" w:cs="Arial" w:eastAsia="Arial" w:hAnsi="Arial"/>
          <w:sz w:val="20"/>
          <w:szCs w:val="20"/>
          <w:color w:val="auto"/>
        </w:rPr>
        <w:t>” means the Securities and Exchange Commission.</w:t>
      </w:r>
    </w:p>
    <w:p>
      <w:pPr>
        <w:spacing w:after="0" w:line="200" w:lineRule="exact"/>
        <w:rPr>
          <w:sz w:val="20"/>
          <w:szCs w:val="20"/>
          <w:color w:val="auto"/>
        </w:rPr>
      </w:pPr>
    </w:p>
    <w:p>
      <w:pPr>
        <w:spacing w:after="0" w:line="208"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Securities Act</w:t>
      </w:r>
      <w:r>
        <w:rPr>
          <w:rFonts w:ascii="Arial" w:cs="Arial" w:eastAsia="Arial" w:hAnsi="Arial"/>
          <w:sz w:val="20"/>
          <w:szCs w:val="20"/>
          <w:color w:val="auto"/>
        </w:rPr>
        <w:t>” means the Securities Act of 1933.</w:t>
      </w:r>
    </w:p>
    <w:p>
      <w:pPr>
        <w:spacing w:after="0" w:line="200" w:lineRule="exact"/>
        <w:rPr>
          <w:sz w:val="20"/>
          <w:szCs w:val="20"/>
          <w:color w:val="auto"/>
        </w:rPr>
      </w:pPr>
    </w:p>
    <w:p>
      <w:pPr>
        <w:spacing w:after="0" w:line="208" w:lineRule="exact"/>
        <w:rPr>
          <w:sz w:val="20"/>
          <w:szCs w:val="20"/>
          <w:color w:val="auto"/>
        </w:rPr>
      </w:pPr>
    </w:p>
    <w:p>
      <w:pPr>
        <w:ind w:left="600"/>
        <w:spacing w:after="0"/>
        <w:rPr>
          <w:sz w:val="20"/>
          <w:szCs w:val="20"/>
          <w:color w:val="auto"/>
        </w:rPr>
      </w:pPr>
      <w:r>
        <w:rPr>
          <w:rFonts w:ascii="Arial" w:cs="Arial" w:eastAsia="Arial" w:hAnsi="Arial"/>
          <w:sz w:val="20"/>
          <w:szCs w:val="20"/>
          <w:color w:val="auto"/>
        </w:rPr>
        <w:t>“[ *** ]” is defined in the introduction section of the Procedures Manual.</w:t>
      </w:r>
    </w:p>
    <w:p>
      <w:pPr>
        <w:spacing w:after="0" w:line="200" w:lineRule="exact"/>
        <w:rPr>
          <w:sz w:val="20"/>
          <w:szCs w:val="20"/>
          <w:color w:val="auto"/>
        </w:rPr>
      </w:pPr>
    </w:p>
    <w:p>
      <w:pPr>
        <w:spacing w:after="0" w:line="208"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Signing Classification Errors</w:t>
      </w:r>
      <w:r>
        <w:rPr>
          <w:rFonts w:ascii="Arial" w:cs="Arial" w:eastAsia="Arial" w:hAnsi="Arial"/>
          <w:sz w:val="20"/>
          <w:szCs w:val="20"/>
          <w:color w:val="auto"/>
        </w:rPr>
        <w:t xml:space="preserve">” is defined in </w:t>
      </w:r>
      <w:r>
        <w:rPr>
          <w:rFonts w:ascii="Arial" w:cs="Arial" w:eastAsia="Arial" w:hAnsi="Arial"/>
          <w:sz w:val="20"/>
          <w:szCs w:val="20"/>
          <w:u w:val="single" w:color="auto"/>
          <w:color w:val="auto"/>
        </w:rPr>
        <w:t>Section 2.4(c)</w:t>
      </w:r>
      <w:r>
        <w:rPr>
          <w:rFonts w:ascii="Arial" w:cs="Arial" w:eastAsia="Arial" w:hAnsi="Arial"/>
          <w:sz w:val="20"/>
          <w:szCs w:val="20"/>
          <w:color w:val="auto"/>
        </w:rPr>
        <w:t>.</w:t>
      </w:r>
    </w:p>
    <w:p>
      <w:pPr>
        <w:spacing w:after="0" w:line="200" w:lineRule="exact"/>
        <w:rPr>
          <w:sz w:val="20"/>
          <w:szCs w:val="20"/>
          <w:color w:val="auto"/>
        </w:rPr>
      </w:pPr>
    </w:p>
    <w:p>
      <w:pPr>
        <w:spacing w:after="0" w:line="208" w:lineRule="exact"/>
        <w:rPr>
          <w:sz w:val="20"/>
          <w:szCs w:val="20"/>
          <w:color w:val="auto"/>
        </w:rPr>
      </w:pPr>
    </w:p>
    <w:p>
      <w:pPr>
        <w:jc w:val="both"/>
        <w:ind w:firstLine="601"/>
        <w:spacing w:after="0" w:line="29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Single Life Mortality Correction</w:t>
      </w:r>
      <w:r>
        <w:rPr>
          <w:rFonts w:ascii="Arial" w:cs="Arial" w:eastAsia="Arial" w:hAnsi="Arial"/>
          <w:sz w:val="18"/>
          <w:szCs w:val="18"/>
          <w:color w:val="auto"/>
        </w:rPr>
        <w:t>” means the adjustment to the Dry-Run Post-Solicitation Premiums, the Preliminary Post-Solicitation Premium, the Interim Post-Closing Post-Solicitation Premium or the Post-Closing Post-Solicitation Premium, as applicable, as calculated in accordance with the methodologies and procedures set forth in Section B of the Procedures Manual, as a result of a data correction respecting the death of a Covered Life who elected a Single Life Annuity that occurred on or before the Annuity Commencement Date.</w:t>
      </w:r>
    </w:p>
    <w:p>
      <w:pPr>
        <w:spacing w:after="0" w:line="317" w:lineRule="exact"/>
        <w:rPr>
          <w:sz w:val="20"/>
          <w:szCs w:val="20"/>
          <w:color w:val="auto"/>
        </w:rPr>
      </w:pPr>
    </w:p>
    <w:tbl>
      <w:tblPr>
        <w:tblLayout w:type="fixed"/>
        <w:tblInd w:w="600" w:type="dxa"/>
        <w:tblCellMar>
          <w:top w:w="0" w:type="dxa"/>
          <w:left w:w="0" w:type="dxa"/>
          <w:bottom w:w="0" w:type="dxa"/>
          <w:right w:w="0" w:type="dxa"/>
        </w:tblCellMar>
      </w:tblPr>
      <w:tr>
        <w:trPr>
          <w:trHeight w:val="230"/>
        </w:trPr>
        <w:tc>
          <w:tcPr>
            <w:tcW w:w="3900" w:type="dxa"/>
            <w:vAlign w:val="bottom"/>
            <w:gridSpan w:val="4"/>
          </w:tcPr>
          <w:p>
            <w:pPr>
              <w:spacing w:after="0"/>
              <w:rPr>
                <w:sz w:val="20"/>
                <w:szCs w:val="20"/>
                <w:color w:val="auto"/>
              </w:rPr>
            </w:pPr>
            <w:r>
              <w:rPr>
                <w:rFonts w:ascii="Arial" w:cs="Arial" w:eastAsia="Arial" w:hAnsi="Arial"/>
                <w:sz w:val="20"/>
                <w:szCs w:val="20"/>
                <w:color w:val="auto"/>
                <w:w w:val="95"/>
              </w:rPr>
              <w:t>“Solicited Adjusted Annuity Premium” means [</w:t>
            </w:r>
          </w:p>
        </w:tc>
        <w:tc>
          <w:tcPr>
            <w:tcW w:w="660" w:type="dxa"/>
            <w:vAlign w:val="bottom"/>
          </w:tcPr>
          <w:p>
            <w:pPr>
              <w:jc w:val="right"/>
              <w:ind w:right="80"/>
              <w:spacing w:after="0"/>
              <w:rPr>
                <w:sz w:val="20"/>
                <w:szCs w:val="20"/>
                <w:color w:val="auto"/>
              </w:rPr>
            </w:pPr>
            <w:r>
              <w:rPr>
                <w:rFonts w:ascii="Arial" w:cs="Arial" w:eastAsia="Arial" w:hAnsi="Arial"/>
                <w:sz w:val="20"/>
                <w:szCs w:val="20"/>
                <w:color w:val="auto"/>
              </w:rPr>
              <w:t>***</w:t>
            </w:r>
          </w:p>
        </w:tc>
        <w:tc>
          <w:tcPr>
            <w:tcW w:w="5100" w:type="dxa"/>
            <w:vAlign w:val="bottom"/>
            <w:gridSpan w:val="5"/>
          </w:tcPr>
          <w:p>
            <w:pPr>
              <w:ind w:left="180"/>
              <w:spacing w:after="0"/>
              <w:rPr>
                <w:sz w:val="20"/>
                <w:szCs w:val="20"/>
                <w:color w:val="auto"/>
              </w:rPr>
            </w:pPr>
            <w:r>
              <w:rPr>
                <w:rFonts w:ascii="Arial" w:cs="Arial" w:eastAsia="Arial" w:hAnsi="Arial"/>
                <w:sz w:val="20"/>
                <w:szCs w:val="20"/>
                <w:color w:val="auto"/>
                <w:w w:val="89"/>
              </w:rPr>
              <w:t>], as the same may be revised in accordance with Section 2.4.</w:t>
            </w:r>
          </w:p>
        </w:tc>
      </w:tr>
      <w:tr>
        <w:trPr>
          <w:trHeight w:val="20"/>
        </w:trPr>
        <w:tc>
          <w:tcPr>
            <w:tcW w:w="80" w:type="dxa"/>
            <w:vAlign w:val="bottom"/>
          </w:tcPr>
          <w:p>
            <w:pPr>
              <w:spacing w:after="0" w:line="20" w:lineRule="exact"/>
              <w:rPr>
                <w:sz w:val="1"/>
                <w:szCs w:val="1"/>
                <w:color w:val="auto"/>
              </w:rPr>
            </w:pPr>
          </w:p>
        </w:tc>
        <w:tc>
          <w:tcPr>
            <w:tcW w:w="2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618"/>
        </w:trPr>
        <w:tc>
          <w:tcPr>
            <w:tcW w:w="3900" w:type="dxa"/>
            <w:vAlign w:val="bottom"/>
            <w:gridSpan w:val="4"/>
          </w:tcPr>
          <w:p>
            <w:pPr>
              <w:spacing w:after="0"/>
              <w:rPr>
                <w:sz w:val="20"/>
                <w:szCs w:val="20"/>
                <w:color w:val="auto"/>
              </w:rPr>
            </w:pPr>
            <w:r>
              <w:rPr>
                <w:rFonts w:ascii="Arial" w:cs="Arial" w:eastAsia="Arial" w:hAnsi="Arial"/>
                <w:sz w:val="20"/>
                <w:szCs w:val="20"/>
                <w:color w:val="auto"/>
              </w:rPr>
              <w:t>“Solicited Annuity Premium” means [   ***</w:t>
            </w:r>
          </w:p>
        </w:tc>
        <w:tc>
          <w:tcPr>
            <w:tcW w:w="5760" w:type="dxa"/>
            <w:vAlign w:val="bottom"/>
            <w:gridSpan w:val="6"/>
          </w:tcPr>
          <w:p>
            <w:pPr>
              <w:ind w:left="60"/>
              <w:spacing w:after="0"/>
              <w:rPr>
                <w:sz w:val="20"/>
                <w:szCs w:val="20"/>
                <w:color w:val="auto"/>
              </w:rPr>
            </w:pPr>
            <w:r>
              <w:rPr>
                <w:rFonts w:ascii="Arial" w:cs="Arial" w:eastAsia="Arial" w:hAnsi="Arial"/>
                <w:sz w:val="20"/>
                <w:szCs w:val="20"/>
                <w:color w:val="auto"/>
              </w:rPr>
              <w:t>], as the same may be revised in accordance with Section 2.4.</w:t>
            </w:r>
          </w:p>
        </w:tc>
      </w:tr>
      <w:tr>
        <w:trPr>
          <w:trHeight w:val="20"/>
        </w:trPr>
        <w:tc>
          <w:tcPr>
            <w:tcW w:w="80" w:type="dxa"/>
            <w:vAlign w:val="bottom"/>
          </w:tcPr>
          <w:p>
            <w:pPr>
              <w:spacing w:after="0" w:line="20" w:lineRule="exact"/>
              <w:rPr>
                <w:sz w:val="1"/>
                <w:szCs w:val="1"/>
                <w:color w:val="auto"/>
              </w:rPr>
            </w:pPr>
          </w:p>
        </w:tc>
        <w:tc>
          <w:tcPr>
            <w:tcW w:w="222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7"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Solicited Electing Lives</w:t>
      </w:r>
      <w:r>
        <w:rPr>
          <w:rFonts w:ascii="Arial" w:cs="Arial" w:eastAsia="Arial" w:hAnsi="Arial"/>
          <w:sz w:val="20"/>
          <w:szCs w:val="20"/>
          <w:color w:val="auto"/>
        </w:rPr>
        <w:t>” means the Solicited Lives who make a Lump-Sum Election.</w:t>
      </w:r>
    </w:p>
    <w:p>
      <w:pPr>
        <w:spacing w:after="0" w:line="200" w:lineRule="exact"/>
        <w:rPr>
          <w:sz w:val="20"/>
          <w:szCs w:val="20"/>
          <w:color w:val="auto"/>
        </w:rPr>
      </w:pPr>
    </w:p>
    <w:p>
      <w:pPr>
        <w:spacing w:after="0" w:line="208" w:lineRule="exact"/>
        <w:rPr>
          <w:sz w:val="20"/>
          <w:szCs w:val="20"/>
          <w:color w:val="auto"/>
        </w:rPr>
      </w:pPr>
    </w:p>
    <w:p>
      <w:pPr>
        <w:jc w:val="both"/>
        <w:ind w:firstLine="601"/>
        <w:spacing w:after="0" w:line="261"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Solicited Lives</w:t>
      </w:r>
      <w:r>
        <w:rPr>
          <w:rFonts w:ascii="Arial" w:cs="Arial" w:eastAsia="Arial" w:hAnsi="Arial"/>
          <w:sz w:val="20"/>
          <w:szCs w:val="20"/>
          <w:color w:val="auto"/>
        </w:rPr>
        <w:t>” means those Priced Lives who will be offered the Lump-Sum Election in connection with the Lump-Sum Solicitation, it being understood that, as the context may require, a Priced Life shall be considered a Solicited Life with respect to the portion of his or her benefit that is eligible for a Lump-Sum Solicitation.</w:t>
      </w:r>
    </w:p>
    <w:p>
      <w:pPr>
        <w:spacing w:after="0" w:line="364"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Solicited Non-Electing Lives</w:t>
      </w:r>
      <w:r>
        <w:rPr>
          <w:rFonts w:ascii="Arial" w:cs="Arial" w:eastAsia="Arial" w:hAnsi="Arial"/>
          <w:sz w:val="20"/>
          <w:szCs w:val="20"/>
          <w:color w:val="auto"/>
        </w:rPr>
        <w:t>” means those Solicited Lives who do not make a Lump-Sum Election.</w:t>
      </w:r>
    </w:p>
    <w:p>
      <w:pPr>
        <w:spacing w:after="0" w:line="200" w:lineRule="exact"/>
        <w:rPr>
          <w:sz w:val="20"/>
          <w:szCs w:val="20"/>
          <w:color w:val="auto"/>
        </w:rPr>
      </w:pPr>
    </w:p>
    <w:p>
      <w:pPr>
        <w:spacing w:after="0" w:line="208"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Standard Termination</w:t>
      </w:r>
      <w:r>
        <w:rPr>
          <w:rFonts w:ascii="Arial" w:cs="Arial" w:eastAsia="Arial" w:hAnsi="Arial"/>
          <w:sz w:val="20"/>
          <w:szCs w:val="20"/>
          <w:color w:val="auto"/>
        </w:rPr>
        <w:t>” means a termination described in ERISA § 4041(b).</w:t>
      </w:r>
    </w:p>
    <w:p>
      <w:pPr>
        <w:spacing w:after="0" w:line="200" w:lineRule="exact"/>
        <w:rPr>
          <w:sz w:val="20"/>
          <w:szCs w:val="20"/>
          <w:color w:val="auto"/>
        </w:rPr>
      </w:pPr>
    </w:p>
    <w:p>
      <w:pPr>
        <w:spacing w:after="0" w:line="208"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Statutory Basis</w:t>
      </w:r>
      <w:r>
        <w:rPr>
          <w:rFonts w:ascii="Arial" w:cs="Arial" w:eastAsia="Arial" w:hAnsi="Arial"/>
          <w:sz w:val="20"/>
          <w:szCs w:val="20"/>
          <w:color w:val="auto"/>
        </w:rPr>
        <w:t xml:space="preserve">” is defined in </w:t>
      </w:r>
      <w:r>
        <w:rPr>
          <w:rFonts w:ascii="Arial" w:cs="Arial" w:eastAsia="Arial" w:hAnsi="Arial"/>
          <w:sz w:val="20"/>
          <w:szCs w:val="20"/>
          <w:u w:val="single" w:color="auto"/>
          <w:color w:val="auto"/>
        </w:rPr>
        <w:t>Section 10.2(d)(i)(A)</w:t>
      </w:r>
      <w:r>
        <w:rPr>
          <w:rFonts w:ascii="Arial" w:cs="Arial" w:eastAsia="Arial" w:hAnsi="Arial"/>
          <w:sz w:val="20"/>
          <w:szCs w:val="20"/>
          <w:color w:val="auto"/>
        </w:rPr>
        <w:t>.</w:t>
      </w:r>
    </w:p>
    <w:p>
      <w:pPr>
        <w:spacing w:after="0" w:line="200" w:lineRule="exact"/>
        <w:rPr>
          <w:sz w:val="20"/>
          <w:szCs w:val="20"/>
          <w:color w:val="auto"/>
        </w:rPr>
      </w:pPr>
    </w:p>
    <w:p>
      <w:pPr>
        <w:spacing w:after="0" w:line="208"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Statutory Reserves</w:t>
      </w:r>
      <w:r>
        <w:rPr>
          <w:rFonts w:ascii="Arial" w:cs="Arial" w:eastAsia="Arial" w:hAnsi="Arial"/>
          <w:sz w:val="20"/>
          <w:szCs w:val="20"/>
          <w:color w:val="auto"/>
        </w:rPr>
        <w:t xml:space="preserve">” is defined in </w:t>
      </w:r>
      <w:r>
        <w:rPr>
          <w:rFonts w:ascii="Arial" w:cs="Arial" w:eastAsia="Arial" w:hAnsi="Arial"/>
          <w:sz w:val="20"/>
          <w:szCs w:val="20"/>
          <w:u w:val="single" w:color="auto"/>
          <w:color w:val="auto"/>
        </w:rPr>
        <w:t>Section 2.3(c)</w:t>
      </w:r>
      <w:r>
        <w:rPr>
          <w:rFonts w:ascii="Arial" w:cs="Arial" w:eastAsia="Arial" w:hAnsi="Arial"/>
          <w:sz w:val="20"/>
          <w:szCs w:val="20"/>
          <w:color w:val="auto"/>
        </w:rPr>
        <w:t>.</w:t>
      </w:r>
    </w:p>
    <w:p>
      <w:pPr>
        <w:spacing w:after="0" w:line="200" w:lineRule="exact"/>
        <w:rPr>
          <w:sz w:val="20"/>
          <w:szCs w:val="20"/>
          <w:color w:val="auto"/>
        </w:rPr>
      </w:pPr>
    </w:p>
    <w:p>
      <w:pPr>
        <w:spacing w:after="0" w:line="208" w:lineRule="exact"/>
        <w:rPr>
          <w:sz w:val="20"/>
          <w:szCs w:val="20"/>
          <w:color w:val="auto"/>
        </w:rPr>
      </w:pPr>
    </w:p>
    <w:p>
      <w:pPr>
        <w:jc w:val="both"/>
        <w:ind w:firstLine="601"/>
        <w:spacing w:after="0" w:line="27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Subsidiary</w:t>
      </w:r>
      <w:r>
        <w:rPr>
          <w:rFonts w:ascii="Arial" w:cs="Arial" w:eastAsia="Arial" w:hAnsi="Arial"/>
          <w:sz w:val="20"/>
          <w:szCs w:val="20"/>
          <w:color w:val="auto"/>
        </w:rPr>
        <w:t>” means, with respect to any Person, any Person with respect to which the subject Person owns, directly or indirectly, at least 50% of the outstanding equity interests, voting rights or profits interests</w:t>
      </w:r>
    </w:p>
    <w:p>
      <w:pPr>
        <w:sectPr>
          <w:pgSz w:w="11900" w:h="16838" w:orient="portrait"/>
          <w:cols w:equalWidth="0" w:num="1">
            <w:col w:w="11420"/>
          </w:cols>
          <w:pgMar w:left="240" w:top="757" w:right="239" w:bottom="1440" w:gutter="0" w:footer="0" w:header="0"/>
        </w:sect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18</w:t>
      </w:r>
    </w:p>
    <w:p>
      <w:pPr>
        <w:sectPr>
          <w:pgSz w:w="11900" w:h="16838" w:orient="portrait"/>
          <w:cols w:equalWidth="0" w:num="1">
            <w:col w:w="11420"/>
          </w:cols>
          <w:pgMar w:left="240" w:top="757" w:right="239" w:bottom="1440" w:gutter="0" w:footer="0" w:header="0"/>
          <w:type w:val="continuous"/>
        </w:sectPr>
      </w:pPr>
    </w:p>
    <w:bookmarkStart w:id="29" w:name="page30"/>
    <w:bookmarkEnd w:id="29"/>
    <w:p>
      <w:pPr>
        <w:spacing w:after="0"/>
        <w:rPr>
          <w:sz w:val="20"/>
          <w:szCs w:val="20"/>
          <w:color w:val="auto"/>
        </w:rPr>
      </w:pPr>
      <w:r>
        <w:rPr>
          <w:rFonts w:ascii="Arial" w:cs="Arial" w:eastAsia="Arial" w:hAnsi="Arial"/>
          <w:sz w:val="20"/>
          <w:szCs w:val="20"/>
          <w:color w:val="auto"/>
        </w:rPr>
        <w:t>or otherwise has the right to control or direct the business affairs of such Person (whether by board representation or otherwise).</w:t>
      </w:r>
    </w:p>
    <w:p>
      <w:pPr>
        <w:spacing w:after="0" w:line="200" w:lineRule="exact"/>
        <w:rPr>
          <w:sz w:val="20"/>
          <w:szCs w:val="20"/>
          <w:color w:val="auto"/>
        </w:rPr>
      </w:pPr>
    </w:p>
    <w:p>
      <w:pPr>
        <w:spacing w:after="0" w:line="208" w:lineRule="exact"/>
        <w:rPr>
          <w:sz w:val="20"/>
          <w:szCs w:val="20"/>
          <w:color w:val="auto"/>
        </w:rPr>
      </w:pPr>
    </w:p>
    <w:p>
      <w:pPr>
        <w:jc w:val="both"/>
        <w:ind w:firstLine="601"/>
        <w:spacing w:after="0" w:line="30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Target Closing Date</w:t>
      </w:r>
      <w:r>
        <w:rPr>
          <w:rFonts w:ascii="Arial" w:cs="Arial" w:eastAsia="Arial" w:hAnsi="Arial"/>
          <w:sz w:val="18"/>
          <w:szCs w:val="18"/>
          <w:color w:val="auto"/>
        </w:rPr>
        <w:t>” means (</w:t>
      </w:r>
      <w:r>
        <w:rPr>
          <w:rFonts w:ascii="Arial" w:cs="Arial" w:eastAsia="Arial" w:hAnsi="Arial"/>
          <w:sz w:val="18"/>
          <w:szCs w:val="18"/>
          <w:u w:val="single" w:color="auto"/>
          <w:color w:val="auto"/>
        </w:rPr>
        <w:t>i</w:t>
      </w:r>
      <w:r>
        <w:rPr>
          <w:rFonts w:ascii="Arial" w:cs="Arial" w:eastAsia="Arial" w:hAnsi="Arial"/>
          <w:sz w:val="18"/>
          <w:szCs w:val="18"/>
          <w:color w:val="auto"/>
        </w:rPr>
        <w:t>) if the Form 500 has been filed with the PBGC on or prior to August 31, 2012: November 1, 2012; (</w:t>
      </w:r>
      <w:r>
        <w:rPr>
          <w:rFonts w:ascii="Arial" w:cs="Arial" w:eastAsia="Arial" w:hAnsi="Arial"/>
          <w:sz w:val="18"/>
          <w:szCs w:val="18"/>
          <w:u w:val="single" w:color="auto"/>
          <w:color w:val="auto"/>
        </w:rPr>
        <w:t>ii</w:t>
      </w:r>
      <w:r>
        <w:rPr>
          <w:rFonts w:ascii="Arial" w:cs="Arial" w:eastAsia="Arial" w:hAnsi="Arial"/>
          <w:sz w:val="18"/>
          <w:szCs w:val="18"/>
          <w:color w:val="auto"/>
        </w:rPr>
        <w:t>) if the Form 500 has been filed with the PBGC after August 31, 2012 and prior to October 1, 2012: December 3, 2012; or (</w:t>
      </w:r>
      <w:r>
        <w:rPr>
          <w:rFonts w:ascii="Arial" w:cs="Arial" w:eastAsia="Arial" w:hAnsi="Arial"/>
          <w:sz w:val="18"/>
          <w:szCs w:val="18"/>
          <w:u w:val="single" w:color="auto"/>
          <w:color w:val="auto"/>
        </w:rPr>
        <w:t>iii</w:t>
      </w:r>
      <w:r>
        <w:rPr>
          <w:rFonts w:ascii="Arial" w:cs="Arial" w:eastAsia="Arial" w:hAnsi="Arial"/>
          <w:sz w:val="18"/>
          <w:szCs w:val="18"/>
          <w:color w:val="auto"/>
        </w:rPr>
        <w:t>) otherwise such other date on or prior to the Outside Date, that the Insurer, the Company and the Independent Fiduciary may mutually agree.</w:t>
      </w:r>
    </w:p>
    <w:p>
      <w:pPr>
        <w:spacing w:after="0" w:line="327" w:lineRule="exact"/>
        <w:rPr>
          <w:sz w:val="20"/>
          <w:szCs w:val="20"/>
          <w:color w:val="auto"/>
        </w:rPr>
      </w:pPr>
    </w:p>
    <w:p>
      <w:pPr>
        <w:jc w:val="both"/>
        <w:ind w:firstLine="601"/>
        <w:spacing w:after="0" w:line="261"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Target Closing Date Adjustment</w:t>
      </w:r>
      <w:r>
        <w:rPr>
          <w:rFonts w:ascii="Arial" w:cs="Arial" w:eastAsia="Arial" w:hAnsi="Arial"/>
          <w:sz w:val="20"/>
          <w:szCs w:val="20"/>
          <w:color w:val="auto"/>
        </w:rPr>
        <w:t>” means the adjustment to the Dry-Run Closing Premiums, the Preliminary Closing Premium and the Revised Preliminary Closing Premium, stated as a percentage and calculated in accordance with the methodology and procedures set forth in Section E of the Procedures Manual.</w:t>
      </w:r>
    </w:p>
    <w:p>
      <w:pPr>
        <w:spacing w:after="0" w:line="364"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Tax Qualified</w:t>
      </w:r>
      <w:r>
        <w:rPr>
          <w:rFonts w:ascii="Arial" w:cs="Arial" w:eastAsia="Arial" w:hAnsi="Arial"/>
          <w:sz w:val="20"/>
          <w:szCs w:val="20"/>
          <w:color w:val="auto"/>
        </w:rPr>
        <w:t>” means qualified by the Code for preferential tax treatment under Code §§ 401(a) and 501(a).</w:t>
      </w:r>
    </w:p>
    <w:p>
      <w:pPr>
        <w:spacing w:after="0" w:line="200" w:lineRule="exact"/>
        <w:rPr>
          <w:sz w:val="20"/>
          <w:szCs w:val="20"/>
          <w:color w:val="auto"/>
        </w:rPr>
      </w:pPr>
    </w:p>
    <w:p>
      <w:pPr>
        <w:spacing w:after="0" w:line="208"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Tax Position</w:t>
      </w:r>
      <w:r>
        <w:rPr>
          <w:rFonts w:ascii="Arial" w:cs="Arial" w:eastAsia="Arial" w:hAnsi="Arial"/>
          <w:sz w:val="20"/>
          <w:szCs w:val="20"/>
          <w:color w:val="auto"/>
        </w:rPr>
        <w:t xml:space="preserve">” is defined in </w:t>
      </w:r>
      <w:r>
        <w:rPr>
          <w:rFonts w:ascii="Arial" w:cs="Arial" w:eastAsia="Arial" w:hAnsi="Arial"/>
          <w:sz w:val="20"/>
          <w:szCs w:val="20"/>
          <w:u w:val="single" w:color="auto"/>
          <w:color w:val="auto"/>
        </w:rPr>
        <w:t>Section 10.2(d)(i)(A)</w:t>
      </w:r>
      <w:r>
        <w:rPr>
          <w:rFonts w:ascii="Arial" w:cs="Arial" w:eastAsia="Arial" w:hAnsi="Arial"/>
          <w:sz w:val="20"/>
          <w:szCs w:val="20"/>
          <w:color w:val="auto"/>
        </w:rPr>
        <w:t>.</w:t>
      </w:r>
    </w:p>
    <w:p>
      <w:pPr>
        <w:spacing w:after="0" w:line="200" w:lineRule="exact"/>
        <w:rPr>
          <w:sz w:val="20"/>
          <w:szCs w:val="20"/>
          <w:color w:val="auto"/>
        </w:rPr>
      </w:pPr>
    </w:p>
    <w:p>
      <w:pPr>
        <w:spacing w:after="0" w:line="208"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TCF</w:t>
      </w:r>
      <w:r>
        <w:rPr>
          <w:rFonts w:ascii="Arial" w:cs="Arial" w:eastAsia="Arial" w:hAnsi="Arial"/>
          <w:sz w:val="20"/>
          <w:szCs w:val="20"/>
          <w:color w:val="auto"/>
        </w:rPr>
        <w:t xml:space="preserve">” is an amount that is payable in accordance with </w:t>
      </w:r>
      <w:r>
        <w:rPr>
          <w:rFonts w:ascii="Arial" w:cs="Arial" w:eastAsia="Arial" w:hAnsi="Arial"/>
          <w:sz w:val="20"/>
          <w:szCs w:val="20"/>
          <w:u w:val="single" w:color="auto"/>
          <w:color w:val="auto"/>
        </w:rPr>
        <w:t>Section 2.14</w:t>
      </w:r>
      <w:r>
        <w:rPr>
          <w:rFonts w:ascii="Arial" w:cs="Arial" w:eastAsia="Arial" w:hAnsi="Arial"/>
          <w:sz w:val="20"/>
          <w:szCs w:val="20"/>
          <w:color w:val="auto"/>
        </w:rPr>
        <w:t xml:space="preserve"> and is defined in Section J of the Procedures Manual.</w:t>
      </w:r>
    </w:p>
    <w:p>
      <w:pPr>
        <w:spacing w:after="0" w:line="200" w:lineRule="exact"/>
        <w:rPr>
          <w:sz w:val="20"/>
          <w:szCs w:val="20"/>
          <w:color w:val="auto"/>
        </w:rPr>
      </w:pPr>
    </w:p>
    <w:p>
      <w:pPr>
        <w:spacing w:after="0" w:line="208"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Third Party Claim</w:t>
      </w:r>
      <w:r>
        <w:rPr>
          <w:rFonts w:ascii="Arial" w:cs="Arial" w:eastAsia="Arial" w:hAnsi="Arial"/>
          <w:sz w:val="20"/>
          <w:szCs w:val="20"/>
          <w:color w:val="auto"/>
        </w:rPr>
        <w:t xml:space="preserve">” is defined in </w:t>
      </w:r>
      <w:r>
        <w:rPr>
          <w:rFonts w:ascii="Arial" w:cs="Arial" w:eastAsia="Arial" w:hAnsi="Arial"/>
          <w:sz w:val="20"/>
          <w:szCs w:val="20"/>
          <w:u w:val="single" w:color="auto"/>
          <w:color w:val="auto"/>
        </w:rPr>
        <w:t>Section 9.1</w:t>
      </w:r>
      <w:r>
        <w:rPr>
          <w:rFonts w:ascii="Arial" w:cs="Arial" w:eastAsia="Arial" w:hAnsi="Arial"/>
          <w:sz w:val="20"/>
          <w:szCs w:val="20"/>
          <w:color w:val="auto"/>
        </w:rPr>
        <w:t>.</w:t>
      </w:r>
    </w:p>
    <w:p>
      <w:pPr>
        <w:spacing w:after="0" w:line="200" w:lineRule="exact"/>
        <w:rPr>
          <w:sz w:val="20"/>
          <w:szCs w:val="20"/>
          <w:color w:val="auto"/>
        </w:rPr>
      </w:pPr>
    </w:p>
    <w:p>
      <w:pPr>
        <w:spacing w:after="0" w:line="208"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Transaction</w:t>
      </w:r>
      <w:r>
        <w:rPr>
          <w:rFonts w:ascii="Arial" w:cs="Arial" w:eastAsia="Arial" w:hAnsi="Arial"/>
          <w:sz w:val="20"/>
          <w:szCs w:val="20"/>
          <w:color w:val="auto"/>
        </w:rPr>
        <w:t>” means the transaction contemplated to close on the Closing Date by this Agreement.</w:t>
      </w:r>
    </w:p>
    <w:p>
      <w:pPr>
        <w:spacing w:after="0" w:line="200" w:lineRule="exact"/>
        <w:rPr>
          <w:sz w:val="20"/>
          <w:szCs w:val="20"/>
          <w:color w:val="auto"/>
        </w:rPr>
      </w:pPr>
    </w:p>
    <w:p>
      <w:pPr>
        <w:spacing w:after="0" w:line="208"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Transaction Announcements</w:t>
      </w:r>
      <w:r>
        <w:rPr>
          <w:rFonts w:ascii="Arial" w:cs="Arial" w:eastAsia="Arial" w:hAnsi="Arial"/>
          <w:sz w:val="20"/>
          <w:szCs w:val="20"/>
          <w:color w:val="auto"/>
        </w:rPr>
        <w:t xml:space="preserve">” is defined in </w:t>
      </w:r>
      <w:r>
        <w:rPr>
          <w:rFonts w:ascii="Arial" w:cs="Arial" w:eastAsia="Arial" w:hAnsi="Arial"/>
          <w:sz w:val="20"/>
          <w:szCs w:val="20"/>
          <w:u w:val="single" w:color="auto"/>
          <w:color w:val="auto"/>
        </w:rPr>
        <w:t>Section 6.4(a)</w:t>
      </w:r>
      <w:r>
        <w:rPr>
          <w:rFonts w:ascii="Arial" w:cs="Arial" w:eastAsia="Arial" w:hAnsi="Arial"/>
          <w:sz w:val="20"/>
          <w:szCs w:val="20"/>
          <w:color w:val="auto"/>
        </w:rPr>
        <w:t>.</w:t>
      </w:r>
    </w:p>
    <w:p>
      <w:pPr>
        <w:spacing w:after="0" w:line="200" w:lineRule="exact"/>
        <w:rPr>
          <w:sz w:val="20"/>
          <w:szCs w:val="20"/>
          <w:color w:val="auto"/>
        </w:rPr>
      </w:pPr>
    </w:p>
    <w:p>
      <w:pPr>
        <w:spacing w:after="0" w:line="208" w:lineRule="exact"/>
        <w:rPr>
          <w:sz w:val="20"/>
          <w:szCs w:val="20"/>
          <w:color w:val="auto"/>
        </w:rPr>
      </w:pPr>
    </w:p>
    <w:p>
      <w:pPr>
        <w:jc w:val="both"/>
        <w:ind w:firstLine="601"/>
        <w:spacing w:after="0" w:line="261"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Transaction MAC</w:t>
      </w:r>
      <w:r>
        <w:rPr>
          <w:rFonts w:ascii="Arial" w:cs="Arial" w:eastAsia="Arial" w:hAnsi="Arial"/>
          <w:sz w:val="20"/>
          <w:szCs w:val="20"/>
          <w:color w:val="auto"/>
        </w:rPr>
        <w:t>” means the occurrence of any fact, circumstance, change, development, condition or event subsequent to the DTFA Execution Date that, individually or in the aggregate, would or would reasonably be expected to result in the Liquidity Requirement of the Transaction exceeding the Liquidity Cap.</w:t>
      </w:r>
    </w:p>
    <w:p>
      <w:pPr>
        <w:spacing w:after="0" w:line="36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Transferred Assets</w:t>
      </w:r>
      <w:r>
        <w:rPr>
          <w:rFonts w:ascii="Arial" w:cs="Arial" w:eastAsia="Arial" w:hAnsi="Arial"/>
          <w:sz w:val="18"/>
          <w:szCs w:val="18"/>
          <w:color w:val="auto"/>
        </w:rPr>
        <w:t>” means the assets included in the Final Plan Portfolio, and any Transferred Liabilities associated with those assets.</w:t>
      </w:r>
    </w:p>
    <w:p>
      <w:pPr>
        <w:spacing w:after="0" w:line="200" w:lineRule="exact"/>
        <w:rPr>
          <w:sz w:val="20"/>
          <w:szCs w:val="20"/>
          <w:color w:val="auto"/>
        </w:rPr>
      </w:pPr>
    </w:p>
    <w:p>
      <w:pPr>
        <w:spacing w:after="0" w:line="231" w:lineRule="exact"/>
        <w:rPr>
          <w:sz w:val="20"/>
          <w:szCs w:val="20"/>
          <w:color w:val="auto"/>
        </w:rPr>
      </w:pPr>
    </w:p>
    <w:p>
      <w:pPr>
        <w:jc w:val="both"/>
        <w:ind w:firstLine="601"/>
        <w:spacing w:after="0" w:line="261"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Transferred Assets Schedule</w:t>
      </w:r>
      <w:r>
        <w:rPr>
          <w:rFonts w:ascii="Arial" w:cs="Arial" w:eastAsia="Arial" w:hAnsi="Arial"/>
          <w:sz w:val="20"/>
          <w:szCs w:val="20"/>
          <w:color w:val="auto"/>
        </w:rPr>
        <w:t xml:space="preserve">” means the statement of Transferred Assets in the form of the Schedule of Transferred Assets attached hereto as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as produced in accordance with </w:t>
      </w:r>
      <w:r>
        <w:rPr>
          <w:rFonts w:ascii="Arial" w:cs="Arial" w:eastAsia="Arial" w:hAnsi="Arial"/>
          <w:sz w:val="20"/>
          <w:szCs w:val="20"/>
          <w:u w:val="single" w:color="auto"/>
          <w:color w:val="auto"/>
        </w:rPr>
        <w:t>Section 2.9(a)</w:t>
      </w:r>
      <w:r>
        <w:rPr>
          <w:rFonts w:ascii="Arial" w:cs="Arial" w:eastAsia="Arial" w:hAnsi="Arial"/>
          <w:sz w:val="20"/>
          <w:szCs w:val="20"/>
          <w:color w:val="auto"/>
        </w:rPr>
        <w:t xml:space="preserve"> and updated in accordance with </w:t>
      </w:r>
      <w:r>
        <w:rPr>
          <w:rFonts w:ascii="Arial" w:cs="Arial" w:eastAsia="Arial" w:hAnsi="Arial"/>
          <w:sz w:val="20"/>
          <w:szCs w:val="20"/>
          <w:u w:val="single" w:color="auto"/>
          <w:color w:val="auto"/>
        </w:rPr>
        <w:t>Section 2.10(b)(iii)</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Section 2.11(c)</w:t>
      </w:r>
      <w:r>
        <w:rPr>
          <w:rFonts w:ascii="Arial" w:cs="Arial" w:eastAsia="Arial" w:hAnsi="Arial"/>
          <w:sz w:val="20"/>
          <w:szCs w:val="20"/>
          <w:color w:val="auto"/>
        </w:rPr>
        <w:t xml:space="preserve"> </w:t>
      </w:r>
      <w:r>
        <w:rPr>
          <w:rFonts w:ascii="Arial" w:cs="Arial" w:eastAsia="Arial" w:hAnsi="Arial"/>
          <w:sz w:val="20"/>
          <w:szCs w:val="20"/>
          <w:u w:val="single" w:color="auto"/>
          <w:color w:val="auto"/>
        </w:rPr>
        <w:t>(iii)</w:t>
      </w:r>
      <w:r>
        <w:rPr>
          <w:rFonts w:ascii="Arial" w:cs="Arial" w:eastAsia="Arial" w:hAnsi="Arial"/>
          <w:sz w:val="20"/>
          <w:szCs w:val="20"/>
          <w:color w:val="auto"/>
        </w:rPr>
        <w:t>.</w:t>
      </w:r>
    </w:p>
    <w:p>
      <w:pPr>
        <w:spacing w:after="0" w:line="364" w:lineRule="exact"/>
        <w:rPr>
          <w:sz w:val="20"/>
          <w:szCs w:val="20"/>
          <w:color w:val="auto"/>
        </w:rPr>
      </w:pPr>
    </w:p>
    <w:p>
      <w:pPr>
        <w:jc w:val="both"/>
        <w:ind w:firstLine="601"/>
        <w:spacing w:after="0" w:line="27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Transferred Liabilities</w:t>
      </w:r>
      <w:r>
        <w:rPr>
          <w:rFonts w:ascii="Arial" w:cs="Arial" w:eastAsia="Arial" w:hAnsi="Arial"/>
          <w:sz w:val="20"/>
          <w:szCs w:val="20"/>
          <w:color w:val="auto"/>
        </w:rPr>
        <w:t xml:space="preserve">” means any and all expenses, obligations and other Liabilities relating to the ownership of any Transferred Asset, including [ *** ]. [ *** ] are set forth on </w:t>
      </w:r>
      <w:r>
        <w:rPr>
          <w:rFonts w:ascii="Arial" w:cs="Arial" w:eastAsia="Arial" w:hAnsi="Arial"/>
          <w:sz w:val="20"/>
          <w:szCs w:val="20"/>
          <w:u w:val="single" w:color="auto"/>
          <w:color w:val="auto"/>
        </w:rPr>
        <w:t>Exhibit C</w:t>
      </w:r>
      <w:r>
        <w:rPr>
          <w:rFonts w:ascii="Arial" w:cs="Arial" w:eastAsia="Arial" w:hAnsi="Arial"/>
          <w:sz w:val="20"/>
          <w:szCs w:val="20"/>
          <w:color w:val="auto"/>
        </w:rPr>
        <w:t>.</w:t>
      </w:r>
    </w:p>
    <w:p>
      <w:pPr>
        <w:spacing w:after="0" w:line="349"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Uncovered Claim</w:t>
      </w:r>
      <w:r>
        <w:rPr>
          <w:rFonts w:ascii="Arial" w:cs="Arial" w:eastAsia="Arial" w:hAnsi="Arial"/>
          <w:sz w:val="20"/>
          <w:szCs w:val="20"/>
          <w:color w:val="auto"/>
        </w:rPr>
        <w:t xml:space="preserve">” is defined in </w:t>
      </w:r>
      <w:r>
        <w:rPr>
          <w:rFonts w:ascii="Arial" w:cs="Arial" w:eastAsia="Arial" w:hAnsi="Arial"/>
          <w:sz w:val="20"/>
          <w:szCs w:val="20"/>
          <w:u w:val="single" w:color="auto"/>
          <w:color w:val="auto"/>
        </w:rPr>
        <w:t>Section 9.2(c)</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600"/>
        <w:spacing w:after="0"/>
        <w:rPr>
          <w:sz w:val="20"/>
          <w:szCs w:val="20"/>
          <w:color w:val="auto"/>
        </w:rPr>
      </w:pPr>
      <w:r>
        <w:rPr>
          <w:rFonts w:ascii="Arial" w:cs="Arial" w:eastAsia="Arial" w:hAnsi="Arial"/>
          <w:sz w:val="20"/>
          <w:szCs w:val="20"/>
          <w:color w:val="auto"/>
        </w:rPr>
        <w:t xml:space="preserve">Section 1.2 </w:t>
      </w:r>
      <w:r>
        <w:rPr>
          <w:rFonts w:ascii="Arial" w:cs="Arial" w:eastAsia="Arial" w:hAnsi="Arial"/>
          <w:sz w:val="20"/>
          <w:szCs w:val="20"/>
          <w:u w:val="single" w:color="auto"/>
          <w:color w:val="auto"/>
        </w:rPr>
        <w:t>Interpretation</w:t>
      </w:r>
      <w:r>
        <w:rPr>
          <w:rFonts w:ascii="Arial" w:cs="Arial" w:eastAsia="Arial" w:hAnsi="Arial"/>
          <w:sz w:val="20"/>
          <w:szCs w:val="20"/>
          <w:color w:val="auto"/>
        </w:rPr>
        <w:t>.</w:t>
      </w:r>
    </w:p>
    <w:p>
      <w:pPr>
        <w:spacing w:after="0" w:line="246" w:lineRule="exact"/>
        <w:rPr>
          <w:sz w:val="20"/>
          <w:szCs w:val="20"/>
          <w:color w:val="auto"/>
        </w:rPr>
      </w:pPr>
    </w:p>
    <w:p>
      <w:pPr>
        <w:ind w:firstLine="601"/>
        <w:spacing w:after="0" w:line="275" w:lineRule="auto"/>
        <w:tabs>
          <w:tab w:leader="none" w:pos="1424" w:val="left"/>
        </w:tabs>
        <w:numPr>
          <w:ilvl w:val="0"/>
          <w:numId w:val="4"/>
        </w:numPr>
        <w:rPr>
          <w:rFonts w:ascii="Arial" w:cs="Arial" w:eastAsia="Arial" w:hAnsi="Arial"/>
          <w:sz w:val="20"/>
          <w:szCs w:val="20"/>
          <w:color w:val="auto"/>
        </w:rPr>
      </w:pPr>
      <w:r>
        <w:rPr>
          <w:rFonts w:ascii="Arial" w:cs="Arial" w:eastAsia="Arial" w:hAnsi="Arial"/>
          <w:sz w:val="20"/>
          <w:szCs w:val="20"/>
          <w:color w:val="auto"/>
        </w:rPr>
        <w:t>Whenever the words “include,” “includes” or “including” are used in this Agreement they shall be deemed to be followed by the words “without limitation.” The use of “or” is not intended to be exclusive unless expressly indicated otherwise.</w:t>
      </w:r>
    </w:p>
    <w:p>
      <w:pPr>
        <w:sectPr>
          <w:pgSz w:w="11900" w:h="16838" w:orient="portrait"/>
          <w:cols w:equalWidth="0" w:num="1">
            <w:col w:w="11420"/>
          </w:cols>
          <w:pgMar w:left="240" w:top="757" w:right="23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19</w:t>
      </w:r>
    </w:p>
    <w:p>
      <w:pPr>
        <w:sectPr>
          <w:pgSz w:w="11900" w:h="16838" w:orient="portrait"/>
          <w:cols w:equalWidth="0" w:num="1">
            <w:col w:w="11420"/>
          </w:cols>
          <w:pgMar w:left="240" w:top="757" w:right="239" w:bottom="1440" w:gutter="0" w:footer="0" w:header="0"/>
          <w:type w:val="continuous"/>
        </w:sectPr>
      </w:pPr>
    </w:p>
    <w:bookmarkStart w:id="30" w:name="page31"/>
    <w:bookmarkEnd w:id="30"/>
    <w:p>
      <w:pPr>
        <w:jc w:val="both"/>
        <w:ind w:firstLine="601"/>
        <w:spacing w:after="0" w:line="261" w:lineRule="auto"/>
        <w:tabs>
          <w:tab w:leader="none" w:pos="1435" w:val="left"/>
        </w:tabs>
        <w:numPr>
          <w:ilvl w:val="0"/>
          <w:numId w:val="5"/>
        </w:numPr>
        <w:rPr>
          <w:rFonts w:ascii="Arial" w:cs="Arial" w:eastAsia="Arial" w:hAnsi="Arial"/>
          <w:sz w:val="20"/>
          <w:szCs w:val="20"/>
          <w:color w:val="auto"/>
        </w:rPr>
      </w:pPr>
      <w:r>
        <w:rPr>
          <w:rFonts w:ascii="Arial" w:cs="Arial" w:eastAsia="Arial" w:hAnsi="Arial"/>
          <w:sz w:val="20"/>
          <w:szCs w:val="20"/>
          <w:color w:val="auto"/>
        </w:rPr>
        <w:t>Words denoting any gender shall include all genders. The meanings given to terms defined herein shall be equally applicable to both singular and plural forms of such terms. Where a word or phrase is defined herein, each of its other grammatical forms shall have a corresponding meaning.</w:t>
      </w:r>
    </w:p>
    <w:p>
      <w:pPr>
        <w:spacing w:after="0" w:line="200" w:lineRule="exact"/>
        <w:rPr>
          <w:rFonts w:ascii="Arial" w:cs="Arial" w:eastAsia="Arial" w:hAnsi="Arial"/>
          <w:sz w:val="20"/>
          <w:szCs w:val="20"/>
          <w:color w:val="auto"/>
        </w:rPr>
      </w:pPr>
    </w:p>
    <w:p>
      <w:pPr>
        <w:ind w:firstLine="601"/>
        <w:spacing w:after="0" w:line="275" w:lineRule="auto"/>
        <w:tabs>
          <w:tab w:leader="none" w:pos="1424" w:val="left"/>
        </w:tabs>
        <w:numPr>
          <w:ilvl w:val="0"/>
          <w:numId w:val="5"/>
        </w:numPr>
        <w:rPr>
          <w:rFonts w:ascii="Arial" w:cs="Arial" w:eastAsia="Arial" w:hAnsi="Arial"/>
          <w:sz w:val="20"/>
          <w:szCs w:val="20"/>
          <w:color w:val="auto"/>
        </w:rPr>
      </w:pPr>
      <w:r>
        <w:rPr>
          <w:rFonts w:ascii="Arial" w:cs="Arial" w:eastAsia="Arial" w:hAnsi="Arial"/>
          <w:sz w:val="20"/>
          <w:szCs w:val="20"/>
          <w:color w:val="auto"/>
        </w:rPr>
        <w:t>The Appendices, Exhibits and Disclosure Letters to this Agreement, the Procedures Manual and the Identified CD-ROM are incorporated by reference and made a part of this Agreement as if set forth fully in this Agreement.</w:t>
      </w:r>
    </w:p>
    <w:p>
      <w:pPr>
        <w:spacing w:after="0" w:line="186" w:lineRule="exact"/>
        <w:rPr>
          <w:rFonts w:ascii="Arial" w:cs="Arial" w:eastAsia="Arial" w:hAnsi="Arial"/>
          <w:sz w:val="20"/>
          <w:szCs w:val="20"/>
          <w:color w:val="auto"/>
        </w:rPr>
      </w:pPr>
    </w:p>
    <w:p>
      <w:pPr>
        <w:ind w:firstLine="601"/>
        <w:spacing w:after="0" w:line="275" w:lineRule="auto"/>
        <w:tabs>
          <w:tab w:leader="none" w:pos="1435" w:val="left"/>
        </w:tabs>
        <w:numPr>
          <w:ilvl w:val="0"/>
          <w:numId w:val="5"/>
        </w:numPr>
        <w:rPr>
          <w:rFonts w:ascii="Arial" w:cs="Arial" w:eastAsia="Arial" w:hAnsi="Arial"/>
          <w:sz w:val="20"/>
          <w:szCs w:val="20"/>
          <w:color w:val="auto"/>
        </w:rPr>
      </w:pPr>
      <w:r>
        <w:rPr>
          <w:rFonts w:ascii="Arial" w:cs="Arial" w:eastAsia="Arial" w:hAnsi="Arial"/>
          <w:sz w:val="20"/>
          <w:szCs w:val="20"/>
          <w:color w:val="auto"/>
        </w:rPr>
        <w:t>A reference to any party to this Agreement or any other agreement or document shall include such party's successors and permitted assigns.</w:t>
      </w:r>
    </w:p>
    <w:p>
      <w:pPr>
        <w:spacing w:after="0" w:line="186" w:lineRule="exact"/>
        <w:rPr>
          <w:rFonts w:ascii="Arial" w:cs="Arial" w:eastAsia="Arial" w:hAnsi="Arial"/>
          <w:sz w:val="20"/>
          <w:szCs w:val="20"/>
          <w:color w:val="auto"/>
        </w:rPr>
      </w:pPr>
    </w:p>
    <w:p>
      <w:pPr>
        <w:ind w:firstLine="601"/>
        <w:spacing w:after="0" w:line="302" w:lineRule="auto"/>
        <w:tabs>
          <w:tab w:leader="none" w:pos="1424" w:val="left"/>
        </w:tabs>
        <w:numPr>
          <w:ilvl w:val="0"/>
          <w:numId w:val="5"/>
        </w:numPr>
        <w:rPr>
          <w:rFonts w:ascii="Arial" w:cs="Arial" w:eastAsia="Arial" w:hAnsi="Arial"/>
          <w:sz w:val="19"/>
          <w:szCs w:val="19"/>
          <w:color w:val="auto"/>
        </w:rPr>
      </w:pPr>
      <w:r>
        <w:rPr>
          <w:rFonts w:ascii="Arial" w:cs="Arial" w:eastAsia="Arial" w:hAnsi="Arial"/>
          <w:sz w:val="19"/>
          <w:szCs w:val="19"/>
          <w:color w:val="auto"/>
        </w:rPr>
        <w:t>A reference to any Law or to any provision of any Law shall include any amendment thereto, any modification or re-enactment thereof, any Law substituted therefor and all regulations and statutory instruments issued thereunder or pursuant thereto.</w:t>
      </w:r>
    </w:p>
    <w:p>
      <w:pPr>
        <w:spacing w:after="0" w:line="163" w:lineRule="exact"/>
        <w:rPr>
          <w:rFonts w:ascii="Arial" w:cs="Arial" w:eastAsia="Arial" w:hAnsi="Arial"/>
          <w:sz w:val="19"/>
          <w:szCs w:val="19"/>
          <w:color w:val="auto"/>
        </w:rPr>
      </w:pPr>
    </w:p>
    <w:p>
      <w:pPr>
        <w:ind w:firstLine="601"/>
        <w:spacing w:after="0" w:line="275" w:lineRule="auto"/>
        <w:tabs>
          <w:tab w:leader="none" w:pos="1402" w:val="left"/>
        </w:tabs>
        <w:numPr>
          <w:ilvl w:val="0"/>
          <w:numId w:val="5"/>
        </w:numPr>
        <w:rPr>
          <w:rFonts w:ascii="Arial" w:cs="Arial" w:eastAsia="Arial" w:hAnsi="Arial"/>
          <w:sz w:val="20"/>
          <w:szCs w:val="20"/>
          <w:color w:val="auto"/>
        </w:rPr>
      </w:pPr>
      <w:r>
        <w:rPr>
          <w:rFonts w:ascii="Arial" w:cs="Arial" w:eastAsia="Arial" w:hAnsi="Arial"/>
          <w:sz w:val="20"/>
          <w:szCs w:val="20"/>
          <w:color w:val="auto"/>
        </w:rPr>
        <w:t>All references to “$” and dollars shall refer to United States currency. All references to the word “days” shall refer to calendar days unless otherwise specified in a particular case.</w:t>
      </w:r>
    </w:p>
    <w:p>
      <w:pPr>
        <w:spacing w:after="0" w:line="186" w:lineRule="exact"/>
        <w:rPr>
          <w:rFonts w:ascii="Arial" w:cs="Arial" w:eastAsia="Arial" w:hAnsi="Arial"/>
          <w:sz w:val="20"/>
          <w:szCs w:val="20"/>
          <w:color w:val="auto"/>
        </w:rPr>
      </w:pPr>
    </w:p>
    <w:p>
      <w:pPr>
        <w:jc w:val="both"/>
        <w:ind w:firstLine="601"/>
        <w:spacing w:after="0" w:line="261" w:lineRule="auto"/>
        <w:tabs>
          <w:tab w:leader="none" w:pos="1435" w:val="left"/>
        </w:tabs>
        <w:numPr>
          <w:ilvl w:val="0"/>
          <w:numId w:val="5"/>
        </w:numPr>
        <w:rPr>
          <w:rFonts w:ascii="Arial" w:cs="Arial" w:eastAsia="Arial" w:hAnsi="Arial"/>
          <w:sz w:val="20"/>
          <w:szCs w:val="20"/>
          <w:color w:val="auto"/>
        </w:rPr>
      </w:pPr>
      <w:r>
        <w:rPr>
          <w:rFonts w:ascii="Arial" w:cs="Arial" w:eastAsia="Arial" w:hAnsi="Arial"/>
          <w:sz w:val="20"/>
          <w:szCs w:val="20"/>
          <w:color w:val="auto"/>
        </w:rPr>
        <w:t xml:space="preserve">All references to any financial or accounting terms shall be defined in accordance with GAAP;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as to Insurer's accounting, the accounting terms shall be in accordance with relevant state insurance statutory accounting principles (including applicable permitted practices).</w:t>
      </w:r>
    </w:p>
    <w:p>
      <w:pPr>
        <w:spacing w:after="0" w:line="200" w:lineRule="exact"/>
        <w:rPr>
          <w:rFonts w:ascii="Arial" w:cs="Arial" w:eastAsia="Arial" w:hAnsi="Arial"/>
          <w:sz w:val="20"/>
          <w:szCs w:val="20"/>
          <w:color w:val="auto"/>
        </w:rPr>
      </w:pPr>
    </w:p>
    <w:p>
      <w:pPr>
        <w:ind w:firstLine="601"/>
        <w:spacing w:after="0" w:line="333" w:lineRule="auto"/>
        <w:tabs>
          <w:tab w:leader="none" w:pos="1435" w:val="left"/>
        </w:tabs>
        <w:numPr>
          <w:ilvl w:val="0"/>
          <w:numId w:val="5"/>
        </w:numPr>
        <w:rPr>
          <w:rFonts w:ascii="Arial" w:cs="Arial" w:eastAsia="Arial" w:hAnsi="Arial"/>
          <w:sz w:val="18"/>
          <w:szCs w:val="18"/>
          <w:color w:val="auto"/>
        </w:rPr>
      </w:pPr>
      <w:r>
        <w:rPr>
          <w:rFonts w:ascii="Arial" w:cs="Arial" w:eastAsia="Arial" w:hAnsi="Arial"/>
          <w:sz w:val="18"/>
          <w:szCs w:val="18"/>
          <w:color w:val="auto"/>
        </w:rPr>
        <w:t>Reference to any agreement (including this Agreement), document or instrument means such agreement, document or instrument as amended or modified and in effect from time to time in accordance with the terms thereof and, if applicable, the terms hereof.</w:t>
      </w:r>
    </w:p>
    <w:p>
      <w:pPr>
        <w:spacing w:after="0" w:line="139" w:lineRule="exact"/>
        <w:rPr>
          <w:rFonts w:ascii="Arial" w:cs="Arial" w:eastAsia="Arial" w:hAnsi="Arial"/>
          <w:sz w:val="18"/>
          <w:szCs w:val="18"/>
          <w:color w:val="auto"/>
        </w:rPr>
      </w:pPr>
    </w:p>
    <w:p>
      <w:pPr>
        <w:jc w:val="both"/>
        <w:ind w:firstLine="601"/>
        <w:spacing w:after="0" w:line="261" w:lineRule="auto"/>
        <w:tabs>
          <w:tab w:leader="none" w:pos="1390" w:val="left"/>
        </w:tabs>
        <w:numPr>
          <w:ilvl w:val="0"/>
          <w:numId w:val="5"/>
        </w:numPr>
        <w:rPr>
          <w:rFonts w:ascii="Arial" w:cs="Arial" w:eastAsia="Arial" w:hAnsi="Arial"/>
          <w:sz w:val="20"/>
          <w:szCs w:val="20"/>
          <w:color w:val="auto"/>
        </w:rPr>
      </w:pPr>
      <w:r>
        <w:rPr>
          <w:rFonts w:ascii="Arial" w:cs="Arial" w:eastAsia="Arial" w:hAnsi="Arial"/>
          <w:sz w:val="20"/>
          <w:szCs w:val="20"/>
          <w:color w:val="auto"/>
        </w:rPr>
        <w:t>The words “hereof,” “herein” and “hereunder” and words of similar import when used in this Agreement shall refer to this Agreement as a whole and not to any particular provision of this Agreement, and Section, Appendix, Exhibit, Schedule and Letter references are to this Agreement unless otherwise specified.</w:t>
      </w:r>
    </w:p>
    <w:p>
      <w:pPr>
        <w:spacing w:after="0" w:line="200" w:lineRule="exact"/>
        <w:rPr>
          <w:rFonts w:ascii="Arial" w:cs="Arial" w:eastAsia="Arial" w:hAnsi="Arial"/>
          <w:sz w:val="20"/>
          <w:szCs w:val="20"/>
          <w:color w:val="auto"/>
        </w:rPr>
      </w:pPr>
    </w:p>
    <w:p>
      <w:pPr>
        <w:jc w:val="both"/>
        <w:ind w:firstLine="601"/>
        <w:spacing w:after="0" w:line="255" w:lineRule="auto"/>
        <w:tabs>
          <w:tab w:leader="none" w:pos="1390" w:val="left"/>
        </w:tabs>
        <w:numPr>
          <w:ilvl w:val="0"/>
          <w:numId w:val="5"/>
        </w:numPr>
        <w:rPr>
          <w:rFonts w:ascii="Arial" w:cs="Arial" w:eastAsia="Arial" w:hAnsi="Arial"/>
          <w:sz w:val="20"/>
          <w:szCs w:val="20"/>
          <w:color w:val="auto"/>
        </w:rPr>
      </w:pPr>
      <w:r>
        <w:rPr>
          <w:rFonts w:ascii="Arial" w:cs="Arial" w:eastAsia="Arial" w:hAnsi="Arial"/>
          <w:sz w:val="20"/>
          <w:szCs w:val="20"/>
          <w:color w:val="auto"/>
        </w:rPr>
        <w:t>The Parties each hereby acknowledge that (</w:t>
      </w:r>
      <w:r>
        <w:rPr>
          <w:rFonts w:ascii="Arial" w:cs="Arial" w:eastAsia="Arial" w:hAnsi="Arial"/>
          <w:sz w:val="20"/>
          <w:szCs w:val="20"/>
          <w:u w:val="single" w:color="auto"/>
          <w:color w:val="auto"/>
        </w:rPr>
        <w:t>i</w:t>
      </w:r>
      <w:r>
        <w:rPr>
          <w:rFonts w:ascii="Arial" w:cs="Arial" w:eastAsia="Arial" w:hAnsi="Arial"/>
          <w:sz w:val="20"/>
          <w:szCs w:val="20"/>
          <w:color w:val="auto"/>
        </w:rPr>
        <w:t>) the Parties jointly and equally participated in the drafting of this Agreement and all other agreements contemplated hereby, (</w:t>
      </w:r>
      <w:r>
        <w:rPr>
          <w:rFonts w:ascii="Arial" w:cs="Arial" w:eastAsia="Arial" w:hAnsi="Arial"/>
          <w:sz w:val="20"/>
          <w:szCs w:val="20"/>
          <w:u w:val="single" w:color="auto"/>
          <w:color w:val="auto"/>
        </w:rPr>
        <w:t>ii</w:t>
      </w:r>
      <w:r>
        <w:rPr>
          <w:rFonts w:ascii="Arial" w:cs="Arial" w:eastAsia="Arial" w:hAnsi="Arial"/>
          <w:sz w:val="20"/>
          <w:szCs w:val="20"/>
          <w:color w:val="auto"/>
        </w:rPr>
        <w:t>) the Parties have each been adequately represented and advised by legal counsel with respect to this Agreement and the transactions contemplated hereby, and (</w:t>
      </w:r>
      <w:r>
        <w:rPr>
          <w:rFonts w:ascii="Arial" w:cs="Arial" w:eastAsia="Arial" w:hAnsi="Arial"/>
          <w:sz w:val="20"/>
          <w:szCs w:val="20"/>
          <w:u w:val="single" w:color="auto"/>
          <w:color w:val="auto"/>
        </w:rPr>
        <w:t>iii</w:t>
      </w:r>
      <w:r>
        <w:rPr>
          <w:rFonts w:ascii="Arial" w:cs="Arial" w:eastAsia="Arial" w:hAnsi="Arial"/>
          <w:sz w:val="20"/>
          <w:szCs w:val="20"/>
          <w:color w:val="auto"/>
        </w:rPr>
        <w:t>) no presumption shall be made that any provision of this Agreement shall be construed against any Party by reason of such role in the drafting of this Agreement and any other agreement contemplated hereby.</w:t>
      </w:r>
    </w:p>
    <w:p>
      <w:pPr>
        <w:spacing w:after="0" w:line="205" w:lineRule="exact"/>
        <w:rPr>
          <w:rFonts w:ascii="Arial" w:cs="Arial" w:eastAsia="Arial" w:hAnsi="Arial"/>
          <w:sz w:val="20"/>
          <w:szCs w:val="20"/>
          <w:color w:val="auto"/>
        </w:rPr>
      </w:pPr>
    </w:p>
    <w:p>
      <w:pPr>
        <w:jc w:val="both"/>
        <w:ind w:firstLine="601"/>
        <w:spacing w:after="0" w:line="261" w:lineRule="auto"/>
        <w:tabs>
          <w:tab w:leader="none" w:pos="1435" w:val="left"/>
        </w:tabs>
        <w:numPr>
          <w:ilvl w:val="0"/>
          <w:numId w:val="5"/>
        </w:numPr>
        <w:rPr>
          <w:rFonts w:ascii="Arial" w:cs="Arial" w:eastAsia="Arial" w:hAnsi="Arial"/>
          <w:sz w:val="20"/>
          <w:szCs w:val="20"/>
          <w:color w:val="auto"/>
        </w:rPr>
      </w:pPr>
      <w:r>
        <w:rPr>
          <w:rFonts w:ascii="Arial" w:cs="Arial" w:eastAsia="Arial" w:hAnsi="Arial"/>
          <w:sz w:val="20"/>
          <w:szCs w:val="20"/>
          <w:color w:val="auto"/>
        </w:rPr>
        <w:t xml:space="preserve">The Table of Contents and the headings of the Articles and Sections herein are inserted for convenience of reference only and are not intended to be a part of, or to affect the meaning or interpretation of, this Agreement;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this </w:t>
      </w:r>
      <w:r>
        <w:rPr>
          <w:rFonts w:ascii="Arial" w:cs="Arial" w:eastAsia="Arial" w:hAnsi="Arial"/>
          <w:sz w:val="20"/>
          <w:szCs w:val="20"/>
          <w:u w:val="single" w:color="auto"/>
          <w:color w:val="auto"/>
        </w:rPr>
        <w:t>Section 1.2(k)</w:t>
      </w:r>
      <w:r>
        <w:rPr>
          <w:rFonts w:ascii="Arial" w:cs="Arial" w:eastAsia="Arial" w:hAnsi="Arial"/>
          <w:sz w:val="20"/>
          <w:szCs w:val="20"/>
          <w:color w:val="auto"/>
        </w:rPr>
        <w:t xml:space="preserve"> shall not apply to the Table of Contents and the headings in Procedures Manual.</w:t>
      </w:r>
    </w:p>
    <w:p>
      <w:pPr>
        <w:spacing w:after="0" w:line="200" w:lineRule="exact"/>
        <w:rPr>
          <w:rFonts w:ascii="Arial" w:cs="Arial" w:eastAsia="Arial" w:hAnsi="Arial"/>
          <w:sz w:val="20"/>
          <w:szCs w:val="20"/>
          <w:color w:val="auto"/>
        </w:rPr>
      </w:pPr>
    </w:p>
    <w:p>
      <w:pPr>
        <w:jc w:val="both"/>
        <w:ind w:firstLine="601"/>
        <w:spacing w:after="0" w:line="261" w:lineRule="auto"/>
        <w:tabs>
          <w:tab w:leader="none" w:pos="1390" w:val="left"/>
        </w:tabs>
        <w:numPr>
          <w:ilvl w:val="0"/>
          <w:numId w:val="5"/>
        </w:numPr>
        <w:rPr>
          <w:rFonts w:ascii="Arial" w:cs="Arial" w:eastAsia="Arial" w:hAnsi="Arial"/>
          <w:sz w:val="20"/>
          <w:szCs w:val="20"/>
          <w:color w:val="auto"/>
        </w:rPr>
      </w:pPr>
      <w:r>
        <w:rPr>
          <w:rFonts w:ascii="Arial" w:cs="Arial" w:eastAsia="Arial" w:hAnsi="Arial"/>
          <w:sz w:val="20"/>
          <w:szCs w:val="20"/>
          <w:color w:val="auto"/>
        </w:rPr>
        <w:t>If there is any conflict between this Agreement (excluding the Procedures Manual and the Identified CD-ROM) and the Procedures Manual or the Identified CD-Rom, this Agreement (excluding the Procedures Manual and the Identified CD-ROM) shall control and govern in all respects.</w:t>
      </w:r>
    </w:p>
    <w:p>
      <w:pPr>
        <w:spacing w:after="0" w:line="200" w:lineRule="exact"/>
        <w:rPr>
          <w:rFonts w:ascii="Arial" w:cs="Arial" w:eastAsia="Arial" w:hAnsi="Arial"/>
          <w:sz w:val="20"/>
          <w:szCs w:val="20"/>
          <w:color w:val="auto"/>
        </w:rPr>
      </w:pPr>
    </w:p>
    <w:p>
      <w:pPr>
        <w:ind w:firstLine="601"/>
        <w:spacing w:after="0" w:line="275" w:lineRule="auto"/>
        <w:tabs>
          <w:tab w:leader="none" w:pos="1491" w:val="left"/>
        </w:tabs>
        <w:numPr>
          <w:ilvl w:val="0"/>
          <w:numId w:val="5"/>
        </w:numPr>
        <w:rPr>
          <w:rFonts w:ascii="Arial" w:cs="Arial" w:eastAsia="Arial" w:hAnsi="Arial"/>
          <w:sz w:val="20"/>
          <w:szCs w:val="20"/>
          <w:color w:val="auto"/>
        </w:rPr>
      </w:pPr>
      <w:r>
        <w:rPr>
          <w:rFonts w:ascii="Arial" w:cs="Arial" w:eastAsia="Arial" w:hAnsi="Arial"/>
          <w:sz w:val="20"/>
          <w:szCs w:val="20"/>
          <w:color w:val="auto"/>
        </w:rPr>
        <w:t>All capitalized terms not defined in the Procedures Manual, any Disclosure Letter or any Appendix will have the meanings ascribed to them in this Agreement. The representations and warranties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ectPr>
          <w:pgSz w:w="11900" w:h="16838" w:orient="portrait"/>
          <w:cols w:equalWidth="0" w:num="1">
            <w:col w:w="11420"/>
          </w:cols>
          <w:pgMar w:left="240" w:top="556" w:right="239" w:bottom="1440" w:gutter="0" w:footer="0" w:header="0"/>
        </w:sectPr>
      </w:pPr>
    </w:p>
    <w:bookmarkStart w:id="31" w:name="page32"/>
    <w:bookmarkEnd w:id="31"/>
    <w:p>
      <w:pPr>
        <w:jc w:val="both"/>
        <w:spacing w:after="0" w:line="280" w:lineRule="auto"/>
        <w:rPr>
          <w:sz w:val="20"/>
          <w:szCs w:val="20"/>
          <w:color w:val="auto"/>
        </w:rPr>
      </w:pPr>
      <w:r>
        <w:rPr>
          <w:rFonts w:ascii="Arial" w:cs="Arial" w:eastAsia="Arial" w:hAnsi="Arial"/>
          <w:sz w:val="18"/>
          <w:szCs w:val="18"/>
          <w:color w:val="auto"/>
        </w:rPr>
        <w:t>of the Company, the Independent Fiduciary, the Insurer and the Insurer Parent in this Agreement are made and given, and the covenants are agreed to, subject to the disclosures and exceptions set forth in their respective Disclosure Letters. The disclosure of any matter in any section of a Disclosure Letter shall be a disclosure for all purposes of this Agreement and all other sections of such Disclosure Letter to which such matter relates to the extent that the applicability of such matter to such other section of the Disclosure Letter is reasonably apparent on its face. The Disclosure Letters have been arranged in sections corresponding to the sections and paragraphs of this Agreement for the convenience of the Parties. The listing of any matter by the Company, the Independent Fiduciary or the Insurer in its Disclosure Letter shall expressly not constitute an admission by such Party, or to otherwise imply, that any such matter is material, is required to be disclosed under this Agreement or falls within relevant minimum thresholds or materiality standards set forth in this Agreement. No disclosure in a Disclosure Letter relating to any possible breach or violation of any contract or Law will be construed as an admission or indication that any such breach or violation exists or has actually occurred. In no event will the listing by the Company, the Independent Fiduciary or the Insurer of any matter in its Disclosure Letter expand the scope of such Party's representations, warranties or covenants set forth in this Agreement. All attachments to the Disclosure Letter are incorporated by reference into the Disclosure Letter in which they are directly or indirectly referenced. The information contained in the Disclosure Letter is in all events provided subject to the applicable Confidentiality Agreement.</w:t>
      </w:r>
    </w:p>
    <w:p>
      <w:pPr>
        <w:spacing w:after="0" w:line="200" w:lineRule="exact"/>
        <w:rPr>
          <w:sz w:val="20"/>
          <w:szCs w:val="20"/>
          <w:color w:val="auto"/>
        </w:rPr>
      </w:pPr>
    </w:p>
    <w:p>
      <w:pPr>
        <w:spacing w:after="0" w:line="349"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ARTICLE II</w:t>
      </w:r>
    </w:p>
    <w:p>
      <w:pPr>
        <w:spacing w:after="0" w:line="30"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PURCHASE OF SINGLE PREMIUM GROUP ANNUITY CONTRACT</w:t>
      </w:r>
    </w:p>
    <w:p>
      <w:pPr>
        <w:spacing w:after="0" w:line="224" w:lineRule="exact"/>
        <w:rPr>
          <w:sz w:val="20"/>
          <w:szCs w:val="20"/>
          <w:color w:val="auto"/>
        </w:rPr>
      </w:pPr>
    </w:p>
    <w:p>
      <w:pPr>
        <w:ind w:left="600" w:right="5260" w:hanging="600"/>
        <w:spacing w:after="0" w:line="485" w:lineRule="auto"/>
        <w:tabs>
          <w:tab w:leader="none" w:pos="361" w:val="left"/>
        </w:tabs>
        <w:numPr>
          <w:ilvl w:val="0"/>
          <w:numId w:val="6"/>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Group Annuity Contract Issuance and Final Plan Portfolio Transfer </w:t>
      </w:r>
      <w:r>
        <w:rPr>
          <w:rFonts w:ascii="Arial" w:cs="Arial" w:eastAsia="Arial" w:hAnsi="Arial"/>
          <w:sz w:val="20"/>
          <w:szCs w:val="20"/>
          <w:color w:val="auto"/>
        </w:rPr>
        <w:t xml:space="preserve">Section 2.1 </w:t>
      </w:r>
      <w:r>
        <w:rPr>
          <w:rFonts w:ascii="Arial" w:cs="Arial" w:eastAsia="Arial" w:hAnsi="Arial"/>
          <w:sz w:val="20"/>
          <w:szCs w:val="20"/>
          <w:u w:val="single" w:color="auto"/>
          <w:color w:val="auto"/>
        </w:rPr>
        <w:t>Closing</w:t>
      </w:r>
      <w:r>
        <w:rPr>
          <w:rFonts w:ascii="Arial" w:cs="Arial" w:eastAsia="Arial" w:hAnsi="Arial"/>
          <w:sz w:val="20"/>
          <w:szCs w:val="20"/>
          <w:color w:val="auto"/>
        </w:rPr>
        <w:t>.</w:t>
      </w:r>
    </w:p>
    <w:p>
      <w:pPr>
        <w:jc w:val="both"/>
        <w:ind w:right="20" w:firstLine="601"/>
        <w:spacing w:after="0" w:line="265" w:lineRule="auto"/>
        <w:tabs>
          <w:tab w:leader="none" w:pos="1424" w:val="left"/>
        </w:tabs>
        <w:numPr>
          <w:ilvl w:val="1"/>
          <w:numId w:val="6"/>
        </w:numPr>
        <w:rPr>
          <w:rFonts w:ascii="Arial" w:cs="Arial" w:eastAsia="Arial" w:hAnsi="Arial"/>
          <w:sz w:val="19"/>
          <w:szCs w:val="19"/>
          <w:color w:val="auto"/>
        </w:rPr>
      </w:pPr>
      <w:r>
        <w:rPr>
          <w:rFonts w:ascii="Arial" w:cs="Arial" w:eastAsia="Arial" w:hAnsi="Arial"/>
          <w:sz w:val="19"/>
          <w:szCs w:val="19"/>
          <w:color w:val="auto"/>
        </w:rPr>
        <w:t>At the Closing (</w:t>
      </w:r>
      <w:r>
        <w:rPr>
          <w:rFonts w:ascii="Arial" w:cs="Arial" w:eastAsia="Arial" w:hAnsi="Arial"/>
          <w:sz w:val="19"/>
          <w:szCs w:val="19"/>
          <w:u w:val="single" w:color="auto"/>
          <w:color w:val="auto"/>
        </w:rPr>
        <w:t>i</w:t>
      </w:r>
      <w:r>
        <w:rPr>
          <w:rFonts w:ascii="Arial" w:cs="Arial" w:eastAsia="Arial" w:hAnsi="Arial"/>
          <w:sz w:val="19"/>
          <w:szCs w:val="19"/>
          <w:color w:val="auto"/>
        </w:rPr>
        <w:t>) the Insurer shall issue to the Plan and deliver to the Plan Trustee the Group Annuity Contract (the “</w:t>
      </w:r>
      <w:r>
        <w:rPr>
          <w:rFonts w:ascii="Arial" w:cs="Arial" w:eastAsia="Arial" w:hAnsi="Arial"/>
          <w:sz w:val="19"/>
          <w:szCs w:val="19"/>
          <w:u w:val="single" w:color="auto"/>
          <w:color w:val="auto"/>
        </w:rPr>
        <w:t>Group</w:t>
      </w:r>
      <w:r>
        <w:rPr>
          <w:rFonts w:ascii="Arial" w:cs="Arial" w:eastAsia="Arial" w:hAnsi="Arial"/>
          <w:sz w:val="19"/>
          <w:szCs w:val="19"/>
          <w:color w:val="auto"/>
        </w:rPr>
        <w:t xml:space="preserve"> </w:t>
      </w:r>
      <w:r>
        <w:rPr>
          <w:rFonts w:ascii="Arial" w:cs="Arial" w:eastAsia="Arial" w:hAnsi="Arial"/>
          <w:sz w:val="19"/>
          <w:szCs w:val="19"/>
          <w:u w:val="single" w:color="auto"/>
          <w:color w:val="auto"/>
        </w:rPr>
        <w:t>Annuity Contract Issuance</w:t>
      </w:r>
      <w:r>
        <w:rPr>
          <w:rFonts w:ascii="Arial" w:cs="Arial" w:eastAsia="Arial" w:hAnsi="Arial"/>
          <w:sz w:val="19"/>
          <w:szCs w:val="19"/>
          <w:color w:val="auto"/>
        </w:rPr>
        <w:t>”); (</w:t>
      </w:r>
      <w:r>
        <w:rPr>
          <w:rFonts w:ascii="Arial" w:cs="Arial" w:eastAsia="Arial" w:hAnsi="Arial"/>
          <w:sz w:val="19"/>
          <w:szCs w:val="19"/>
          <w:u w:val="single" w:color="auto"/>
          <w:color w:val="auto"/>
        </w:rPr>
        <w:t>ii</w:t>
      </w:r>
      <w:r>
        <w:rPr>
          <w:rFonts w:ascii="Arial" w:cs="Arial" w:eastAsia="Arial" w:hAnsi="Arial"/>
          <w:sz w:val="19"/>
          <w:szCs w:val="19"/>
          <w:color w:val="auto"/>
        </w:rPr>
        <w:t>) the Independent Fiduciary shall irrevocably direct the Plan Trustee to (</w:t>
      </w:r>
      <w:r>
        <w:rPr>
          <w:rFonts w:ascii="Arial" w:cs="Arial" w:eastAsia="Arial" w:hAnsi="Arial"/>
          <w:sz w:val="19"/>
          <w:szCs w:val="19"/>
          <w:u w:val="single" w:color="auto"/>
          <w:color w:val="auto"/>
        </w:rPr>
        <w:t>A</w:t>
      </w:r>
      <w:r>
        <w:rPr>
          <w:rFonts w:ascii="Arial" w:cs="Arial" w:eastAsia="Arial" w:hAnsi="Arial"/>
          <w:sz w:val="19"/>
          <w:szCs w:val="19"/>
          <w:color w:val="auto"/>
        </w:rPr>
        <w:t xml:space="preserve">) assign, transfer and deliver to the Insurer the Transferred Assets as set forth on the Final Asset Statement (other than the assets of Contract 300 Portfolio P listed on the Final Asset Statement) in accordance with the procedures set forth in </w:t>
      </w:r>
      <w:r>
        <w:rPr>
          <w:rFonts w:ascii="Arial" w:cs="Arial" w:eastAsia="Arial" w:hAnsi="Arial"/>
          <w:sz w:val="19"/>
          <w:szCs w:val="19"/>
          <w:u w:val="single" w:color="auto"/>
          <w:color w:val="auto"/>
        </w:rPr>
        <w:t>Appendix 2.1-A</w:t>
      </w:r>
      <w:r>
        <w:rPr>
          <w:rFonts w:ascii="Arial" w:cs="Arial" w:eastAsia="Arial" w:hAnsi="Arial"/>
          <w:sz w:val="19"/>
          <w:szCs w:val="19"/>
          <w:color w:val="auto"/>
        </w:rPr>
        <w:t>, in an amount up to the Closing Final Premium and (</w:t>
      </w:r>
      <w:r>
        <w:rPr>
          <w:rFonts w:ascii="Arial" w:cs="Arial" w:eastAsia="Arial" w:hAnsi="Arial"/>
          <w:sz w:val="19"/>
          <w:szCs w:val="19"/>
          <w:u w:val="single" w:color="auto"/>
          <w:color w:val="auto"/>
        </w:rPr>
        <w:t>B</w:t>
      </w:r>
      <w:r>
        <w:rPr>
          <w:rFonts w:ascii="Arial" w:cs="Arial" w:eastAsia="Arial" w:hAnsi="Arial"/>
          <w:sz w:val="19"/>
          <w:szCs w:val="19"/>
          <w:color w:val="auto"/>
        </w:rPr>
        <w:t>) pay to the Insurer an amount of Cash (the “</w:t>
      </w:r>
      <w:r>
        <w:rPr>
          <w:rFonts w:ascii="Arial" w:cs="Arial" w:eastAsia="Arial" w:hAnsi="Arial"/>
          <w:sz w:val="19"/>
          <w:szCs w:val="19"/>
          <w:u w:val="single" w:color="auto"/>
          <w:color w:val="auto"/>
        </w:rPr>
        <w:t>Cash Closing Payment</w:t>
      </w:r>
      <w:r>
        <w:rPr>
          <w:rFonts w:ascii="Arial" w:cs="Arial" w:eastAsia="Arial" w:hAnsi="Arial"/>
          <w:sz w:val="19"/>
          <w:szCs w:val="19"/>
          <w:color w:val="auto"/>
        </w:rPr>
        <w:t>”) equal to the excess, if any, of the Closing Final Premium over the aggregate Final Pre-Closing Asset Valuation of the assets in the Final Plan Portfolio (collectively, the “</w:t>
      </w:r>
      <w:r>
        <w:rPr>
          <w:rFonts w:ascii="Arial" w:cs="Arial" w:eastAsia="Arial" w:hAnsi="Arial"/>
          <w:sz w:val="19"/>
          <w:szCs w:val="19"/>
          <w:u w:val="single" w:color="auto"/>
          <w:color w:val="auto"/>
        </w:rPr>
        <w:t>Closing Asset Transfers</w:t>
      </w:r>
      <w:r>
        <w:rPr>
          <w:rFonts w:ascii="Arial" w:cs="Arial" w:eastAsia="Arial" w:hAnsi="Arial"/>
          <w:sz w:val="19"/>
          <w:szCs w:val="19"/>
          <w:color w:val="auto"/>
        </w:rPr>
        <w:t>”); and (</w:t>
      </w:r>
      <w:r>
        <w:rPr>
          <w:rFonts w:ascii="Arial" w:cs="Arial" w:eastAsia="Arial" w:hAnsi="Arial"/>
          <w:sz w:val="19"/>
          <w:szCs w:val="19"/>
          <w:u w:val="single" w:color="auto"/>
          <w:color w:val="auto"/>
        </w:rPr>
        <w:t>iii</w:t>
      </w:r>
      <w:r>
        <w:rPr>
          <w:rFonts w:ascii="Arial" w:cs="Arial" w:eastAsia="Arial" w:hAnsi="Arial"/>
          <w:sz w:val="19"/>
          <w:szCs w:val="19"/>
          <w:color w:val="auto"/>
        </w:rPr>
        <w:t>) Insurer Parent, together with the Company, shall issue a Joint Written Direction to the Escrow Agent directing the Escrow Agent to transfer all cash and other assets held in the Escrow Account to an account designated by the Company. As of the Closing Date, the Insurer shall, pursuant to the terms of the Group Annuity Contract, unconditionally and irrevocably guarantee the full payment of all Annuity Payments as set forth in the Group Annuity Contract in respect of each Covered Life, Contingent Life and any applicable Beneficiary, and will assume all investment risk associated with the Final Plan Portfolio.</w:t>
      </w:r>
    </w:p>
    <w:p>
      <w:pPr>
        <w:spacing w:after="0" w:line="200" w:lineRule="exact"/>
        <w:rPr>
          <w:rFonts w:ascii="Arial" w:cs="Arial" w:eastAsia="Arial" w:hAnsi="Arial"/>
          <w:sz w:val="19"/>
          <w:szCs w:val="19"/>
          <w:color w:val="auto"/>
        </w:rPr>
      </w:pPr>
    </w:p>
    <w:p>
      <w:pPr>
        <w:jc w:val="both"/>
        <w:ind w:right="20" w:firstLine="601"/>
        <w:spacing w:after="0" w:line="252" w:lineRule="auto"/>
        <w:tabs>
          <w:tab w:leader="none" w:pos="1435" w:val="left"/>
        </w:tabs>
        <w:numPr>
          <w:ilvl w:val="1"/>
          <w:numId w:val="6"/>
        </w:numPr>
        <w:rPr>
          <w:rFonts w:ascii="Arial" w:cs="Arial" w:eastAsia="Arial" w:hAnsi="Arial"/>
          <w:sz w:val="20"/>
          <w:szCs w:val="20"/>
          <w:color w:val="auto"/>
        </w:rPr>
      </w:pPr>
      <w:r>
        <w:rPr>
          <w:rFonts w:ascii="Arial" w:cs="Arial" w:eastAsia="Arial" w:hAnsi="Arial"/>
          <w:sz w:val="20"/>
          <w:szCs w:val="20"/>
          <w:color w:val="auto"/>
        </w:rPr>
        <w:t xml:space="preserve">On the terms and subject to the conditions set forth in this Agreement, the consummation of the Group Annuity Contract Issuance, issuance of the Joint Written Direction referenced in </w:t>
      </w:r>
      <w:r>
        <w:rPr>
          <w:rFonts w:ascii="Arial" w:cs="Arial" w:eastAsia="Arial" w:hAnsi="Arial"/>
          <w:sz w:val="20"/>
          <w:szCs w:val="20"/>
          <w:u w:val="single" w:color="auto"/>
          <w:color w:val="auto"/>
        </w:rPr>
        <w:t>Section 2.1(a)(iii)</w:t>
      </w:r>
      <w:r>
        <w:rPr>
          <w:rFonts w:ascii="Arial" w:cs="Arial" w:eastAsia="Arial" w:hAnsi="Arial"/>
          <w:sz w:val="20"/>
          <w:szCs w:val="20"/>
          <w:color w:val="auto"/>
        </w:rPr>
        <w:t>, and the Closing Asset Transfers (the “</w:t>
      </w:r>
      <w:r>
        <w:rPr>
          <w:rFonts w:ascii="Arial" w:cs="Arial" w:eastAsia="Arial" w:hAnsi="Arial"/>
          <w:sz w:val="20"/>
          <w:szCs w:val="20"/>
          <w:u w:val="single" w:color="auto"/>
          <w:color w:val="auto"/>
        </w:rPr>
        <w:t>Closing</w:t>
      </w:r>
      <w:r>
        <w:rPr>
          <w:rFonts w:ascii="Arial" w:cs="Arial" w:eastAsia="Arial" w:hAnsi="Arial"/>
          <w:sz w:val="20"/>
          <w:szCs w:val="20"/>
          <w:color w:val="auto"/>
        </w:rPr>
        <w:t>”) shall take place at the offices of Jones Day located at 222 East 41st Street, New York, NY 10017-6702 (or such other location as will be mutually agreed upon by the Company and the Insurer) on (</w:t>
      </w:r>
      <w:r>
        <w:rPr>
          <w:rFonts w:ascii="Arial" w:cs="Arial" w:eastAsia="Arial" w:hAnsi="Arial"/>
          <w:sz w:val="20"/>
          <w:szCs w:val="20"/>
          <w:u w:val="single" w:color="auto"/>
          <w:color w:val="auto"/>
        </w:rPr>
        <w:t>i</w:t>
      </w:r>
      <w:r>
        <w:rPr>
          <w:rFonts w:ascii="Arial" w:cs="Arial" w:eastAsia="Arial" w:hAnsi="Arial"/>
          <w:sz w:val="20"/>
          <w:szCs w:val="20"/>
          <w:color w:val="auto"/>
        </w:rPr>
        <w:t xml:space="preserve">) November 1, 2012, if at least three Business Days prior to November 1, 2012, all of the conditions set forth in </w:t>
      </w:r>
      <w:r>
        <w:rPr>
          <w:rFonts w:ascii="Arial" w:cs="Arial" w:eastAsia="Arial" w:hAnsi="Arial"/>
          <w:sz w:val="20"/>
          <w:szCs w:val="20"/>
          <w:u w:val="single" w:color="auto"/>
          <w:color w:val="auto"/>
        </w:rPr>
        <w:t>Article VIII</w:t>
      </w:r>
      <w:r>
        <w:rPr>
          <w:rFonts w:ascii="Arial" w:cs="Arial" w:eastAsia="Arial" w:hAnsi="Arial"/>
          <w:sz w:val="20"/>
          <w:szCs w:val="20"/>
          <w:color w:val="auto"/>
        </w:rPr>
        <w:t xml:space="preserve"> have been satisfied or waived (other than (</w:t>
      </w:r>
      <w:r>
        <w:rPr>
          <w:rFonts w:ascii="Arial" w:cs="Arial" w:eastAsia="Arial" w:hAnsi="Arial"/>
          <w:sz w:val="20"/>
          <w:szCs w:val="20"/>
          <w:u w:val="single" w:color="auto"/>
          <w:color w:val="auto"/>
        </w:rPr>
        <w:t>a</w:t>
      </w:r>
      <w:r>
        <w:rPr>
          <w:rFonts w:ascii="Arial" w:cs="Arial" w:eastAsia="Arial" w:hAnsi="Arial"/>
          <w:sz w:val="20"/>
          <w:szCs w:val="20"/>
          <w:color w:val="auto"/>
        </w:rPr>
        <w:t>) conditions that by their nature or pursuant to this Agreement are to be satisfied at or immediately prior to the Closing, but subject to the satisfaction or, where permitted, waiver of those conditions, or (</w:t>
      </w:r>
      <w:r>
        <w:rPr>
          <w:rFonts w:ascii="Arial" w:cs="Arial" w:eastAsia="Arial" w:hAnsi="Arial"/>
          <w:sz w:val="20"/>
          <w:szCs w:val="20"/>
          <w:u w:val="single" w:color="auto"/>
          <w:color w:val="auto"/>
        </w:rPr>
        <w:t>b</w:t>
      </w:r>
      <w:r>
        <w:rPr>
          <w:rFonts w:ascii="Arial" w:cs="Arial" w:eastAsia="Arial" w:hAnsi="Arial"/>
          <w:sz w:val="20"/>
          <w:szCs w:val="20"/>
          <w:color w:val="auto"/>
        </w:rPr>
        <w:t>) conditions with respect</w:t>
      </w:r>
    </w:p>
    <w:p>
      <w:pPr>
        <w:spacing w:after="0" w:line="196"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21</w:t>
      </w:r>
    </w:p>
    <w:p>
      <w:pPr>
        <w:sectPr>
          <w:pgSz w:w="11900" w:h="16838" w:orient="portrait"/>
          <w:cols w:equalWidth="0" w:num="1">
            <w:col w:w="11440"/>
          </w:cols>
          <w:pgMar w:left="240" w:top="556" w:right="219" w:bottom="1440" w:gutter="0" w:footer="0" w:header="0"/>
        </w:sectPr>
      </w:pPr>
    </w:p>
    <w:bookmarkStart w:id="32" w:name="page33"/>
    <w:bookmarkEnd w:id="32"/>
    <w:p>
      <w:pPr>
        <w:jc w:val="both"/>
        <w:spacing w:after="0" w:line="282" w:lineRule="auto"/>
        <w:rPr>
          <w:sz w:val="20"/>
          <w:szCs w:val="20"/>
          <w:color w:val="auto"/>
        </w:rPr>
      </w:pPr>
      <w:r>
        <w:rPr>
          <w:rFonts w:ascii="Arial" w:cs="Arial" w:eastAsia="Arial" w:hAnsi="Arial"/>
          <w:sz w:val="18"/>
          <w:szCs w:val="18"/>
          <w:color w:val="auto"/>
        </w:rPr>
        <w:t>to the conclusion of the PBGC Review Period, which must conclude at or any time prior to Closing),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December 3, 2012, if at least one Business Day prior to December 3, 2012, all of the conditions set forth in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have been satisfied or waived (other than (</w:t>
      </w:r>
      <w:r>
        <w:rPr>
          <w:rFonts w:ascii="Arial" w:cs="Arial" w:eastAsia="Arial" w:hAnsi="Arial"/>
          <w:sz w:val="18"/>
          <w:szCs w:val="18"/>
          <w:u w:val="single" w:color="auto"/>
          <w:color w:val="auto"/>
        </w:rPr>
        <w:t>a</w:t>
      </w:r>
      <w:r>
        <w:rPr>
          <w:rFonts w:ascii="Arial" w:cs="Arial" w:eastAsia="Arial" w:hAnsi="Arial"/>
          <w:sz w:val="18"/>
          <w:szCs w:val="18"/>
          <w:color w:val="auto"/>
        </w:rPr>
        <w:t>) conditions that by their nature or pursuant to this Agreement are to be satisfied at or immediately prior to the Closing, but subject to the satisfaction or, where permitted, waiver of those conditions, or (</w:t>
      </w:r>
      <w:r>
        <w:rPr>
          <w:rFonts w:ascii="Arial" w:cs="Arial" w:eastAsia="Arial" w:hAnsi="Arial"/>
          <w:sz w:val="18"/>
          <w:szCs w:val="18"/>
          <w:u w:val="single" w:color="auto"/>
          <w:color w:val="auto"/>
        </w:rPr>
        <w:t>b</w:t>
      </w:r>
      <w:r>
        <w:rPr>
          <w:rFonts w:ascii="Arial" w:cs="Arial" w:eastAsia="Arial" w:hAnsi="Arial"/>
          <w:sz w:val="18"/>
          <w:szCs w:val="18"/>
          <w:color w:val="auto"/>
        </w:rPr>
        <w:t>) conditions with respect to the conclusion of the PBGC Review Period, which must conclude at or any time prior to Closing) or (</w:t>
      </w:r>
      <w:r>
        <w:rPr>
          <w:rFonts w:ascii="Arial" w:cs="Arial" w:eastAsia="Arial" w:hAnsi="Arial"/>
          <w:sz w:val="18"/>
          <w:szCs w:val="18"/>
          <w:u w:val="single" w:color="auto"/>
          <w:color w:val="auto"/>
        </w:rPr>
        <w:t>iii</w:t>
      </w:r>
      <w:r>
        <w:rPr>
          <w:rFonts w:ascii="Arial" w:cs="Arial" w:eastAsia="Arial" w:hAnsi="Arial"/>
          <w:sz w:val="18"/>
          <w:szCs w:val="18"/>
          <w:color w:val="auto"/>
        </w:rPr>
        <w:t xml:space="preserve">) if the Closing has not occurred on or prior to December 3, 2012, three (3) Business Days following the first date that all of the conditions set forth in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have been satisfied or waived (other than (</w:t>
      </w:r>
      <w:r>
        <w:rPr>
          <w:rFonts w:ascii="Arial" w:cs="Arial" w:eastAsia="Arial" w:hAnsi="Arial"/>
          <w:sz w:val="18"/>
          <w:szCs w:val="18"/>
          <w:u w:val="single" w:color="auto"/>
          <w:color w:val="auto"/>
        </w:rPr>
        <w:t>a</w:t>
      </w:r>
      <w:r>
        <w:rPr>
          <w:rFonts w:ascii="Arial" w:cs="Arial" w:eastAsia="Arial" w:hAnsi="Arial"/>
          <w:sz w:val="18"/>
          <w:szCs w:val="18"/>
          <w:color w:val="auto"/>
        </w:rPr>
        <w:t>) conditions that by their nature or pursuant to this Agreement are to be satisfied at or immediately prior to the Closing, but subject to the satisfaction or, where permitted, waiver of those conditions, or (</w:t>
      </w:r>
      <w:r>
        <w:rPr>
          <w:rFonts w:ascii="Arial" w:cs="Arial" w:eastAsia="Arial" w:hAnsi="Arial"/>
          <w:sz w:val="18"/>
          <w:szCs w:val="18"/>
          <w:u w:val="single" w:color="auto"/>
          <w:color w:val="auto"/>
        </w:rPr>
        <w:t>b</w:t>
      </w:r>
      <w:r>
        <w:rPr>
          <w:rFonts w:ascii="Arial" w:cs="Arial" w:eastAsia="Arial" w:hAnsi="Arial"/>
          <w:sz w:val="18"/>
          <w:szCs w:val="18"/>
          <w:color w:val="auto"/>
        </w:rPr>
        <w:t>) conditions with respect to the conclusion of the PBGC Review Period, which must conclude at or any time prior to Closing). The date on which the Closing occurs is referred to in this Agreement as the “</w:t>
      </w:r>
      <w:r>
        <w:rPr>
          <w:rFonts w:ascii="Arial" w:cs="Arial" w:eastAsia="Arial" w:hAnsi="Arial"/>
          <w:sz w:val="18"/>
          <w:szCs w:val="18"/>
          <w:u w:val="single" w:color="auto"/>
          <w:color w:val="auto"/>
        </w:rPr>
        <w:t>Closing Date</w:t>
      </w:r>
      <w:r>
        <w:rPr>
          <w:rFonts w:ascii="Arial" w:cs="Arial" w:eastAsia="Arial" w:hAnsi="Arial"/>
          <w:sz w:val="18"/>
          <w:szCs w:val="18"/>
          <w:color w:val="auto"/>
        </w:rPr>
        <w:t>.”</w:t>
      </w:r>
    </w:p>
    <w:p>
      <w:pPr>
        <w:spacing w:after="0" w:line="189" w:lineRule="exact"/>
        <w:rPr>
          <w:sz w:val="20"/>
          <w:szCs w:val="20"/>
          <w:color w:val="auto"/>
        </w:rPr>
      </w:pPr>
    </w:p>
    <w:p>
      <w:pPr>
        <w:ind w:left="600"/>
        <w:spacing w:after="0"/>
        <w:rPr>
          <w:sz w:val="20"/>
          <w:szCs w:val="20"/>
          <w:color w:val="auto"/>
        </w:rPr>
      </w:pPr>
      <w:r>
        <w:rPr>
          <w:rFonts w:ascii="Arial" w:cs="Arial" w:eastAsia="Arial" w:hAnsi="Arial"/>
          <w:sz w:val="20"/>
          <w:szCs w:val="20"/>
          <w:color w:val="auto"/>
        </w:rPr>
        <w:t xml:space="preserve">Section 2.2 </w:t>
      </w:r>
      <w:r>
        <w:rPr>
          <w:rFonts w:ascii="Arial" w:cs="Arial" w:eastAsia="Arial" w:hAnsi="Arial"/>
          <w:sz w:val="20"/>
          <w:szCs w:val="20"/>
          <w:u w:val="single" w:color="auto"/>
          <w:color w:val="auto"/>
        </w:rPr>
        <w:t>Deliveries at Closing</w:t>
      </w:r>
      <w:r>
        <w:rPr>
          <w:rFonts w:ascii="Arial" w:cs="Arial" w:eastAsia="Arial" w:hAnsi="Arial"/>
          <w:sz w:val="20"/>
          <w:szCs w:val="20"/>
          <w:color w:val="auto"/>
        </w:rPr>
        <w:t>.</w:t>
      </w:r>
    </w:p>
    <w:p>
      <w:pPr>
        <w:spacing w:after="0" w:line="246" w:lineRule="exact"/>
        <w:rPr>
          <w:sz w:val="20"/>
          <w:szCs w:val="20"/>
          <w:color w:val="auto"/>
        </w:rPr>
      </w:pPr>
    </w:p>
    <w:p>
      <w:pPr>
        <w:jc w:val="both"/>
        <w:ind w:firstLine="601"/>
        <w:spacing w:after="0" w:line="261" w:lineRule="auto"/>
        <w:tabs>
          <w:tab w:leader="none" w:pos="1041" w:val="left"/>
        </w:tabs>
        <w:numPr>
          <w:ilvl w:val="0"/>
          <w:numId w:val="7"/>
        </w:numPr>
        <w:rPr>
          <w:rFonts w:ascii="Arial" w:cs="Arial" w:eastAsia="Arial" w:hAnsi="Arial"/>
          <w:sz w:val="20"/>
          <w:szCs w:val="20"/>
          <w:color w:val="auto"/>
        </w:rPr>
      </w:pPr>
      <w:r>
        <w:rPr>
          <w:rFonts w:ascii="Arial" w:cs="Arial" w:eastAsia="Arial" w:hAnsi="Arial"/>
          <w:sz w:val="20"/>
          <w:szCs w:val="20"/>
          <w:color w:val="auto"/>
        </w:rPr>
        <w:t>At the Closing, (</w:t>
      </w:r>
      <w:r>
        <w:rPr>
          <w:rFonts w:ascii="Arial" w:cs="Arial" w:eastAsia="Arial" w:hAnsi="Arial"/>
          <w:sz w:val="20"/>
          <w:szCs w:val="20"/>
          <w:u w:val="single" w:color="auto"/>
          <w:color w:val="auto"/>
        </w:rPr>
        <w:t>i</w:t>
      </w:r>
      <w:r>
        <w:rPr>
          <w:rFonts w:ascii="Arial" w:cs="Arial" w:eastAsia="Arial" w:hAnsi="Arial"/>
          <w:sz w:val="20"/>
          <w:szCs w:val="20"/>
          <w:color w:val="auto"/>
        </w:rPr>
        <w:t>) with respect to the items set forth in clauses (i), (ii), (iii), (iv), (v) and (vii) below, the Independent Fiduciary shall or shall direct the Plan Trustee, as applicable, to deliver to the Insurer, with a copy to the Company and (</w:t>
      </w:r>
      <w:r>
        <w:rPr>
          <w:rFonts w:ascii="Arial" w:cs="Arial" w:eastAsia="Arial" w:hAnsi="Arial"/>
          <w:sz w:val="20"/>
          <w:szCs w:val="20"/>
          <w:u w:val="single" w:color="auto"/>
          <w:color w:val="auto"/>
        </w:rPr>
        <w:t>ii</w:t>
      </w:r>
      <w:r>
        <w:rPr>
          <w:rFonts w:ascii="Arial" w:cs="Arial" w:eastAsia="Arial" w:hAnsi="Arial"/>
          <w:sz w:val="20"/>
          <w:szCs w:val="20"/>
          <w:color w:val="auto"/>
        </w:rPr>
        <w:t>) with respect to the items set forth in clauses (vi) and (viii) below, the Company shall deliver to the Insurer:</w:t>
      </w:r>
    </w:p>
    <w:p>
      <w:pPr>
        <w:spacing w:after="0" w:line="200" w:lineRule="exact"/>
        <w:rPr>
          <w:rFonts w:ascii="Arial" w:cs="Arial" w:eastAsia="Arial" w:hAnsi="Arial"/>
          <w:sz w:val="20"/>
          <w:szCs w:val="20"/>
          <w:color w:val="auto"/>
        </w:rPr>
      </w:pPr>
    </w:p>
    <w:p>
      <w:pPr>
        <w:ind w:left="600" w:firstLine="602"/>
        <w:spacing w:after="0" w:line="275" w:lineRule="auto"/>
        <w:tabs>
          <w:tab w:leader="none" w:pos="1990" w:val="left"/>
        </w:tabs>
        <w:numPr>
          <w:ilvl w:val="1"/>
          <w:numId w:val="7"/>
        </w:numPr>
        <w:rPr>
          <w:rFonts w:ascii="Arial" w:cs="Arial" w:eastAsia="Arial" w:hAnsi="Arial"/>
          <w:sz w:val="20"/>
          <w:szCs w:val="20"/>
          <w:color w:val="auto"/>
        </w:rPr>
      </w:pPr>
      <w:r>
        <w:rPr>
          <w:rFonts w:ascii="Arial" w:cs="Arial" w:eastAsia="Arial" w:hAnsi="Arial"/>
          <w:sz w:val="20"/>
          <w:szCs w:val="20"/>
          <w:color w:val="auto"/>
        </w:rPr>
        <w:t xml:space="preserve">a certificate, dated as of the Closing Date, signed by an officer of the Independent Fiduciary certifying as to the satisfaction of the conditions specified in </w:t>
      </w:r>
      <w:r>
        <w:rPr>
          <w:rFonts w:ascii="Arial" w:cs="Arial" w:eastAsia="Arial" w:hAnsi="Arial"/>
          <w:sz w:val="20"/>
          <w:szCs w:val="20"/>
          <w:u w:val="single" w:color="auto"/>
          <w:color w:val="auto"/>
        </w:rPr>
        <w:t>Section 8.3(a)</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Section 8.3(b)</w:t>
      </w:r>
      <w:r>
        <w:rPr>
          <w:rFonts w:ascii="Arial" w:cs="Arial" w:eastAsia="Arial" w:hAnsi="Arial"/>
          <w:sz w:val="20"/>
          <w:szCs w:val="20"/>
          <w:color w:val="auto"/>
        </w:rPr>
        <w:t xml:space="preserve"> each as to the Independent Fiduciary;</w:t>
      </w:r>
    </w:p>
    <w:p>
      <w:pPr>
        <w:spacing w:after="0" w:line="186" w:lineRule="exact"/>
        <w:rPr>
          <w:rFonts w:ascii="Arial" w:cs="Arial" w:eastAsia="Arial" w:hAnsi="Arial"/>
          <w:sz w:val="20"/>
          <w:szCs w:val="20"/>
          <w:color w:val="auto"/>
        </w:rPr>
      </w:pPr>
    </w:p>
    <w:p>
      <w:pPr>
        <w:ind w:left="2040" w:hanging="838"/>
        <w:spacing w:after="0"/>
        <w:tabs>
          <w:tab w:leader="none" w:pos="2040" w:val="left"/>
        </w:tabs>
        <w:numPr>
          <w:ilvl w:val="1"/>
          <w:numId w:val="7"/>
        </w:numPr>
        <w:rPr>
          <w:rFonts w:ascii="Arial" w:cs="Arial" w:eastAsia="Arial" w:hAnsi="Arial"/>
          <w:sz w:val="20"/>
          <w:szCs w:val="20"/>
          <w:color w:val="auto"/>
        </w:rPr>
      </w:pPr>
      <w:r>
        <w:rPr>
          <w:rFonts w:ascii="Arial" w:cs="Arial" w:eastAsia="Arial" w:hAnsi="Arial"/>
          <w:sz w:val="20"/>
          <w:szCs w:val="20"/>
          <w:color w:val="auto"/>
        </w:rPr>
        <w:t>the Bill of Sale (including all schedules thereto), duly executed by the Plan Trustee;</w:t>
      </w:r>
    </w:p>
    <w:p>
      <w:pPr>
        <w:sectPr>
          <w:pgSz w:w="11900" w:h="16838" w:orient="portrait"/>
          <w:cols w:equalWidth="0" w:num="1">
            <w:col w:w="11420"/>
          </w:cols>
          <w:pgMar w:left="240" w:top="556" w:right="239" w:bottom="1440" w:gutter="0" w:footer="0" w:header="0"/>
        </w:sectPr>
      </w:pPr>
    </w:p>
    <w:p>
      <w:pPr>
        <w:spacing w:after="0" w:line="246" w:lineRule="exact"/>
        <w:rPr>
          <w:sz w:val="20"/>
          <w:szCs w:val="20"/>
          <w:color w:val="auto"/>
        </w:rPr>
      </w:pPr>
    </w:p>
    <w:p>
      <w:pPr>
        <w:ind w:left="1200"/>
        <w:spacing w:after="0"/>
        <w:rPr>
          <w:sz w:val="20"/>
          <w:szCs w:val="20"/>
          <w:color w:val="auto"/>
        </w:rPr>
      </w:pPr>
      <w:r>
        <w:rPr>
          <w:rFonts w:ascii="Arial" w:cs="Arial" w:eastAsia="Arial" w:hAnsi="Arial"/>
          <w:sz w:val="20"/>
          <w:szCs w:val="20"/>
          <w:color w:val="auto"/>
        </w:rPr>
        <w:t>(iii)</w:t>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 Transfer Documentation and [</w:t>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 Transfer Documentation, duly executed by the Plan</w:t>
      </w:r>
    </w:p>
    <w:p>
      <w:pPr>
        <w:spacing w:after="0" w:line="48" w:lineRule="exact"/>
        <w:rPr>
          <w:sz w:val="20"/>
          <w:szCs w:val="20"/>
          <w:color w:val="auto"/>
        </w:rPr>
      </w:pPr>
    </w:p>
    <w:p>
      <w:pPr>
        <w:sectPr>
          <w:pgSz w:w="11900" w:h="16838" w:orient="portrait"/>
          <w:cols w:equalWidth="0" w:num="6">
            <w:col w:w="1500" w:space="600"/>
            <w:col w:w="60" w:space="360"/>
            <w:col w:w="300" w:space="480"/>
            <w:col w:w="2600" w:space="360"/>
            <w:col w:w="300" w:space="480"/>
            <w:col w:w="4380"/>
          </w:cols>
          <w:pgMar w:left="240" w:top="556" w:right="239" w:bottom="1440" w:gutter="0" w:footer="0" w:header="0"/>
          <w:type w:val="continuous"/>
        </w:sectPr>
      </w:pPr>
    </w:p>
    <w:p>
      <w:pPr>
        <w:ind w:left="600"/>
        <w:spacing w:after="0"/>
        <w:rPr>
          <w:sz w:val="20"/>
          <w:szCs w:val="20"/>
          <w:color w:val="auto"/>
        </w:rPr>
      </w:pPr>
      <w:r>
        <w:rPr>
          <w:rFonts w:ascii="Arial" w:cs="Arial" w:eastAsia="Arial" w:hAnsi="Arial"/>
          <w:sz w:val="17"/>
          <w:szCs w:val="17"/>
          <w:color w:val="auto"/>
        </w:rPr>
        <w:t>Trustee;</w:t>
      </w:r>
    </w:p>
    <w:p>
      <w:pPr>
        <w:sectPr>
          <w:pgSz w:w="11900" w:h="16838" w:orient="portrait"/>
          <w:cols w:equalWidth="0" w:num="1">
            <w:col w:w="11420"/>
          </w:cols>
          <w:pgMar w:left="240" w:top="556" w:right="239" w:bottom="1440" w:gutter="0" w:footer="0" w:header="0"/>
          <w:type w:val="continuous"/>
        </w:sectPr>
      </w:pPr>
    </w:p>
    <w:p>
      <w:pPr>
        <w:spacing w:after="0" w:line="262" w:lineRule="exact"/>
        <w:rPr>
          <w:sz w:val="20"/>
          <w:szCs w:val="20"/>
          <w:color w:val="auto"/>
        </w:rPr>
      </w:pPr>
    </w:p>
    <w:p>
      <w:pPr>
        <w:ind w:left="2100" w:hanging="898"/>
        <w:spacing w:after="0"/>
        <w:tabs>
          <w:tab w:leader="none" w:pos="2100" w:val="left"/>
        </w:tabs>
        <w:numPr>
          <w:ilvl w:val="0"/>
          <w:numId w:val="8"/>
        </w:numPr>
        <w:rPr>
          <w:rFonts w:ascii="Arial" w:cs="Arial" w:eastAsia="Arial" w:hAnsi="Arial"/>
          <w:sz w:val="20"/>
          <w:szCs w:val="20"/>
          <w:color w:val="auto"/>
        </w:rPr>
      </w:pPr>
      <w:r>
        <w:rPr>
          <w:rFonts w:ascii="Arial" w:cs="Arial" w:eastAsia="Arial" w:hAnsi="Arial"/>
          <w:sz w:val="20"/>
          <w:szCs w:val="20"/>
          <w:color w:val="auto"/>
        </w:rPr>
        <w:t>a written acknowledgement of the receipt of the Group Annuity Contract signed by the Plan Trustee;</w:t>
      </w:r>
    </w:p>
    <w:p>
      <w:pPr>
        <w:spacing w:after="0" w:line="245" w:lineRule="exact"/>
        <w:rPr>
          <w:rFonts w:ascii="Arial" w:cs="Arial" w:eastAsia="Arial" w:hAnsi="Arial"/>
          <w:sz w:val="20"/>
          <w:szCs w:val="20"/>
          <w:color w:val="auto"/>
        </w:rPr>
      </w:pPr>
    </w:p>
    <w:p>
      <w:pPr>
        <w:ind w:left="2040" w:hanging="838"/>
        <w:spacing w:after="0"/>
        <w:tabs>
          <w:tab w:leader="none" w:pos="2040" w:val="left"/>
        </w:tabs>
        <w:numPr>
          <w:ilvl w:val="0"/>
          <w:numId w:val="8"/>
        </w:numPr>
        <w:rPr>
          <w:rFonts w:ascii="Arial" w:cs="Arial" w:eastAsia="Arial" w:hAnsi="Arial"/>
          <w:sz w:val="19"/>
          <w:szCs w:val="19"/>
          <w:color w:val="auto"/>
        </w:rPr>
      </w:pPr>
      <w:r>
        <w:rPr>
          <w:rFonts w:ascii="Arial" w:cs="Arial" w:eastAsia="Arial" w:hAnsi="Arial"/>
          <w:sz w:val="19"/>
          <w:szCs w:val="19"/>
          <w:color w:val="auto"/>
        </w:rPr>
        <w:t>the Group Annuity Contract (including all exhibits and attachments thereto), duly executed by the Plan Trustee;</w:t>
      </w:r>
    </w:p>
    <w:p>
      <w:pPr>
        <w:spacing w:after="0" w:line="257" w:lineRule="exact"/>
        <w:rPr>
          <w:rFonts w:ascii="Arial" w:cs="Arial" w:eastAsia="Arial" w:hAnsi="Arial"/>
          <w:sz w:val="19"/>
          <w:szCs w:val="19"/>
          <w:color w:val="auto"/>
        </w:rPr>
      </w:pPr>
    </w:p>
    <w:p>
      <w:pPr>
        <w:ind w:left="600" w:firstLine="602"/>
        <w:spacing w:after="0" w:line="333" w:lineRule="auto"/>
        <w:tabs>
          <w:tab w:leader="none" w:pos="2091"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a certificate, dated as of the Closing Date, signed by a duly authorized officer of the Company certifying as to the satisfaction of the conditions specified in </w:t>
      </w:r>
      <w:r>
        <w:rPr>
          <w:rFonts w:ascii="Arial" w:cs="Arial" w:eastAsia="Arial" w:hAnsi="Arial"/>
          <w:sz w:val="18"/>
          <w:szCs w:val="18"/>
          <w:u w:val="single" w:color="auto"/>
          <w:color w:val="auto"/>
        </w:rPr>
        <w:t>Section 8.3(a)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8.3(b)</w:t>
      </w:r>
      <w:r>
        <w:rPr>
          <w:rFonts w:ascii="Arial" w:cs="Arial" w:eastAsia="Arial" w:hAnsi="Arial"/>
          <w:sz w:val="18"/>
          <w:szCs w:val="18"/>
          <w:color w:val="auto"/>
        </w:rPr>
        <w:t xml:space="preserve">, in each case, as to the Company, and </w:t>
      </w:r>
      <w:r>
        <w:rPr>
          <w:rFonts w:ascii="Arial" w:cs="Arial" w:eastAsia="Arial" w:hAnsi="Arial"/>
          <w:sz w:val="18"/>
          <w:szCs w:val="18"/>
          <w:u w:val="single" w:color="auto"/>
          <w:color w:val="auto"/>
        </w:rPr>
        <w:t>Section 8.3(c)</w:t>
      </w:r>
      <w:r>
        <w:rPr>
          <w:rFonts w:ascii="Arial" w:cs="Arial" w:eastAsia="Arial" w:hAnsi="Arial"/>
          <w:sz w:val="18"/>
          <w:szCs w:val="18"/>
          <w:color w:val="auto"/>
        </w:rPr>
        <w:t>;</w:t>
      </w:r>
    </w:p>
    <w:p>
      <w:pPr>
        <w:spacing w:after="0" w:line="139" w:lineRule="exact"/>
        <w:rPr>
          <w:rFonts w:ascii="Arial" w:cs="Arial" w:eastAsia="Arial" w:hAnsi="Arial"/>
          <w:sz w:val="18"/>
          <w:szCs w:val="18"/>
          <w:color w:val="auto"/>
        </w:rPr>
      </w:pPr>
    </w:p>
    <w:p>
      <w:pPr>
        <w:jc w:val="both"/>
        <w:ind w:left="600" w:firstLine="602"/>
        <w:spacing w:after="0" w:line="261" w:lineRule="auto"/>
        <w:tabs>
          <w:tab w:leader="none" w:pos="2146" w:val="left"/>
        </w:tabs>
        <w:numPr>
          <w:ilvl w:val="0"/>
          <w:numId w:val="8"/>
        </w:numPr>
        <w:rPr>
          <w:rFonts w:ascii="Arial" w:cs="Arial" w:eastAsia="Arial" w:hAnsi="Arial"/>
          <w:sz w:val="20"/>
          <w:szCs w:val="20"/>
          <w:color w:val="auto"/>
        </w:rPr>
      </w:pPr>
      <w:r>
        <w:rPr>
          <w:rFonts w:ascii="Arial" w:cs="Arial" w:eastAsia="Arial" w:hAnsi="Arial"/>
          <w:sz w:val="20"/>
          <w:szCs w:val="20"/>
          <w:color w:val="auto"/>
        </w:rPr>
        <w:t xml:space="preserve">the Plan Trustee Agreement, duly executed by the Independent Fiduciary and the Plan Trustee (or evidence of any alternative arrangements as shall have been agreed by the Insurer and the Company pursuant to the last sentence of </w:t>
      </w:r>
      <w:r>
        <w:rPr>
          <w:rFonts w:ascii="Arial" w:cs="Arial" w:eastAsia="Arial" w:hAnsi="Arial"/>
          <w:sz w:val="20"/>
          <w:szCs w:val="20"/>
          <w:u w:val="single" w:color="auto"/>
          <w:color w:val="auto"/>
        </w:rPr>
        <w:t>Section 6.3(b)</w:t>
      </w:r>
      <w:r>
        <w:rPr>
          <w:rFonts w:ascii="Arial" w:cs="Arial" w:eastAsia="Arial" w:hAnsi="Arial"/>
          <w:sz w:val="20"/>
          <w:szCs w:val="20"/>
          <w:color w:val="auto"/>
        </w:rPr>
        <w:t>); and</w:t>
      </w:r>
    </w:p>
    <w:p>
      <w:pPr>
        <w:spacing w:after="0" w:line="201" w:lineRule="exact"/>
        <w:rPr>
          <w:sz w:val="20"/>
          <w:szCs w:val="20"/>
          <w:color w:val="auto"/>
        </w:rPr>
      </w:pPr>
    </w:p>
    <w:tbl>
      <w:tblPr>
        <w:tblLayout w:type="fixed"/>
        <w:tblInd w:w="600" w:type="dxa"/>
        <w:tblCellMar>
          <w:top w:w="0" w:type="dxa"/>
          <w:left w:w="0" w:type="dxa"/>
          <w:bottom w:w="0" w:type="dxa"/>
          <w:right w:w="0" w:type="dxa"/>
        </w:tblCellMar>
      </w:tblPr>
      <w:tr>
        <w:trPr>
          <w:trHeight w:val="238"/>
        </w:trPr>
        <w:tc>
          <w:tcPr>
            <w:tcW w:w="1300" w:type="dxa"/>
            <w:vAlign w:val="bottom"/>
            <w:gridSpan w:val="2"/>
          </w:tcPr>
          <w:p>
            <w:pPr>
              <w:ind w:left="600"/>
              <w:spacing w:after="0"/>
              <w:rPr>
                <w:sz w:val="20"/>
                <w:szCs w:val="20"/>
                <w:color w:val="auto"/>
              </w:rPr>
            </w:pPr>
            <w:r>
              <w:rPr>
                <w:rFonts w:ascii="Arial" w:cs="Arial" w:eastAsia="Arial" w:hAnsi="Arial"/>
                <w:sz w:val="20"/>
                <w:szCs w:val="20"/>
                <w:color w:val="auto"/>
              </w:rPr>
              <w:t>(viii)</w:t>
            </w:r>
          </w:p>
        </w:tc>
        <w:tc>
          <w:tcPr>
            <w:tcW w:w="1940" w:type="dxa"/>
            <w:vAlign w:val="bottom"/>
          </w:tcPr>
          <w:p>
            <w:pPr>
              <w:ind w:left="300"/>
              <w:spacing w:after="0"/>
              <w:rPr>
                <w:sz w:val="20"/>
                <w:szCs w:val="20"/>
                <w:color w:val="auto"/>
              </w:rPr>
            </w:pPr>
            <w:r>
              <w:rPr>
                <w:rFonts w:ascii="Arial" w:cs="Arial" w:eastAsia="Arial" w:hAnsi="Arial"/>
                <w:sz w:val="20"/>
                <w:szCs w:val="20"/>
                <w:color w:val="auto"/>
              </w:rPr>
              <w:t>an instruction to [</w:t>
            </w:r>
          </w:p>
        </w:tc>
        <w:tc>
          <w:tcPr>
            <w:tcW w:w="700" w:type="dxa"/>
            <w:vAlign w:val="bottom"/>
          </w:tcPr>
          <w:p>
            <w:pPr>
              <w:jc w:val="right"/>
              <w:ind w:right="140"/>
              <w:spacing w:after="0"/>
              <w:rPr>
                <w:sz w:val="20"/>
                <w:szCs w:val="20"/>
                <w:color w:val="auto"/>
              </w:rPr>
            </w:pPr>
            <w:r>
              <w:rPr>
                <w:rFonts w:ascii="Arial" w:cs="Arial" w:eastAsia="Arial" w:hAnsi="Arial"/>
                <w:sz w:val="20"/>
                <w:szCs w:val="20"/>
                <w:color w:val="auto"/>
              </w:rPr>
              <w:t>***</w:t>
            </w:r>
          </w:p>
        </w:tc>
        <w:tc>
          <w:tcPr>
            <w:tcW w:w="6880" w:type="dxa"/>
            <w:vAlign w:val="bottom"/>
          </w:tcPr>
          <w:p>
            <w:pPr>
              <w:ind w:left="220"/>
              <w:spacing w:after="0"/>
              <w:rPr>
                <w:sz w:val="20"/>
                <w:szCs w:val="20"/>
                <w:color w:val="auto"/>
              </w:rPr>
            </w:pPr>
            <w:r>
              <w:rPr>
                <w:rFonts w:ascii="Arial" w:cs="Arial" w:eastAsia="Arial" w:hAnsi="Arial"/>
                <w:sz w:val="20"/>
                <w:szCs w:val="20"/>
                <w:color w:val="auto"/>
                <w:w w:val="93"/>
              </w:rPr>
              <w:t>], duly executed by the Plan Investment Fiduciary, in the form attached hereto as</w:t>
            </w:r>
          </w:p>
        </w:tc>
      </w:tr>
      <w:tr>
        <w:trPr>
          <w:trHeight w:val="209"/>
        </w:trPr>
        <w:tc>
          <w:tcPr>
            <w:tcW w:w="1300" w:type="dxa"/>
            <w:vAlign w:val="bottom"/>
            <w:gridSpan w:val="2"/>
          </w:tcPr>
          <w:p>
            <w:pPr>
              <w:spacing w:after="0" w:line="209" w:lineRule="exact"/>
              <w:rPr>
                <w:sz w:val="20"/>
                <w:szCs w:val="20"/>
                <w:color w:val="auto"/>
              </w:rPr>
            </w:pPr>
            <w:r>
              <w:rPr>
                <w:rFonts w:ascii="Arial" w:cs="Arial" w:eastAsia="Arial" w:hAnsi="Arial"/>
                <w:sz w:val="20"/>
                <w:szCs w:val="20"/>
                <w:color w:val="auto"/>
              </w:rPr>
              <w:t>Exhibit D.</w:t>
            </w:r>
          </w:p>
        </w:tc>
        <w:tc>
          <w:tcPr>
            <w:tcW w:w="19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80" w:type="dxa"/>
            <w:vAlign w:val="bottom"/>
          </w:tcPr>
          <w:p>
            <w:pPr>
              <w:spacing w:after="0"/>
              <w:rPr>
                <w:sz w:val="18"/>
                <w:szCs w:val="18"/>
                <w:color w:val="auto"/>
              </w:rPr>
            </w:pPr>
          </w:p>
        </w:tc>
      </w:tr>
      <w:tr>
        <w:trPr>
          <w:trHeight w:val="20"/>
        </w:trPr>
        <w:tc>
          <w:tcPr>
            <w:tcW w:w="7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r>
    </w:tbl>
    <w:p>
      <w:pPr>
        <w:spacing w:after="0" w:line="254" w:lineRule="exact"/>
        <w:rPr>
          <w:sz w:val="20"/>
          <w:szCs w:val="20"/>
          <w:color w:val="auto"/>
        </w:rPr>
      </w:pPr>
    </w:p>
    <w:p>
      <w:pPr>
        <w:ind w:firstLine="601"/>
        <w:spacing w:after="0" w:line="275" w:lineRule="auto"/>
        <w:tabs>
          <w:tab w:leader="none" w:pos="1112" w:val="left"/>
        </w:tabs>
        <w:numPr>
          <w:ilvl w:val="0"/>
          <w:numId w:val="9"/>
        </w:numPr>
        <w:rPr>
          <w:rFonts w:ascii="Arial" w:cs="Arial" w:eastAsia="Arial" w:hAnsi="Arial"/>
          <w:sz w:val="20"/>
          <w:szCs w:val="20"/>
          <w:color w:val="auto"/>
        </w:rPr>
      </w:pPr>
      <w:r>
        <w:rPr>
          <w:rFonts w:ascii="Arial" w:cs="Arial" w:eastAsia="Arial" w:hAnsi="Arial"/>
          <w:sz w:val="20"/>
          <w:szCs w:val="20"/>
          <w:color w:val="auto"/>
        </w:rPr>
        <w:t>At the Closing, the Insurer will deliver to the Plan Trustee, with a copy to the Independent Fiduciary and the Company, the following duly executed documents and other items: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ectPr>
          <w:pgSz w:w="11900" w:h="16838" w:orient="portrait"/>
          <w:cols w:equalWidth="0" w:num="1">
            <w:col w:w="11420"/>
          </w:cols>
          <w:pgMar w:left="240" w:top="556" w:right="239" w:bottom="1440" w:gutter="0" w:footer="0" w:header="0"/>
          <w:type w:val="continuous"/>
        </w:sectPr>
      </w:pPr>
    </w:p>
    <w:bookmarkStart w:id="33" w:name="page34"/>
    <w:bookmarkEnd w:id="33"/>
    <w:p>
      <w:pPr>
        <w:ind w:left="1600" w:hanging="398"/>
        <w:spacing w:after="0"/>
        <w:tabs>
          <w:tab w:leader="none" w:pos="1600" w:val="left"/>
        </w:tabs>
        <w:numPr>
          <w:ilvl w:val="0"/>
          <w:numId w:val="10"/>
        </w:numPr>
        <w:rPr>
          <w:rFonts w:ascii="Arial" w:cs="Arial" w:eastAsia="Arial" w:hAnsi="Arial"/>
          <w:sz w:val="20"/>
          <w:szCs w:val="20"/>
          <w:color w:val="auto"/>
        </w:rPr>
      </w:pPr>
      <w:r>
        <w:rPr>
          <w:rFonts w:ascii="Arial" w:cs="Arial" w:eastAsia="Arial" w:hAnsi="Arial"/>
          <w:sz w:val="20"/>
          <w:szCs w:val="20"/>
          <w:color w:val="auto"/>
        </w:rPr>
        <w:t>the Group Annuity Contract (including all exhibits and attachments thereto), duly executed by the Insurer;</w:t>
      </w:r>
    </w:p>
    <w:p>
      <w:pPr>
        <w:spacing w:after="0" w:line="245" w:lineRule="exact"/>
        <w:rPr>
          <w:rFonts w:ascii="Arial" w:cs="Arial" w:eastAsia="Arial" w:hAnsi="Arial"/>
          <w:sz w:val="20"/>
          <w:szCs w:val="20"/>
          <w:color w:val="auto"/>
        </w:rPr>
      </w:pPr>
    </w:p>
    <w:p>
      <w:pPr>
        <w:ind w:left="1640" w:hanging="438"/>
        <w:spacing w:after="0"/>
        <w:tabs>
          <w:tab w:leader="none" w:pos="1640" w:val="left"/>
        </w:tabs>
        <w:numPr>
          <w:ilvl w:val="0"/>
          <w:numId w:val="10"/>
        </w:numPr>
        <w:rPr>
          <w:rFonts w:ascii="Arial" w:cs="Arial" w:eastAsia="Arial" w:hAnsi="Arial"/>
          <w:sz w:val="20"/>
          <w:szCs w:val="20"/>
          <w:color w:val="auto"/>
        </w:rPr>
      </w:pPr>
      <w:r>
        <w:rPr>
          <w:rFonts w:ascii="Arial" w:cs="Arial" w:eastAsia="Arial" w:hAnsi="Arial"/>
          <w:sz w:val="20"/>
          <w:szCs w:val="20"/>
          <w:color w:val="auto"/>
        </w:rPr>
        <w:t>the Bill of Sale, duly executed by the Insurer;</w:t>
      </w:r>
    </w:p>
    <w:p>
      <w:pPr>
        <w:spacing w:after="0" w:line="246" w:lineRule="exact"/>
        <w:rPr>
          <w:sz w:val="20"/>
          <w:szCs w:val="20"/>
          <w:color w:val="auto"/>
        </w:rPr>
      </w:pPr>
    </w:p>
    <w:p>
      <w:pPr>
        <w:ind w:left="1200"/>
        <w:spacing w:after="0"/>
        <w:tabs>
          <w:tab w:leader="none" w:pos="1680" w:val="left"/>
          <w:tab w:leader="none" w:pos="2000" w:val="left"/>
          <w:tab w:leader="none" w:pos="2660" w:val="left"/>
          <w:tab w:leader="none" w:pos="5420" w:val="left"/>
          <w:tab w:leader="none" w:pos="6080" w:val="left"/>
        </w:tabs>
        <w:rPr>
          <w:sz w:val="20"/>
          <w:szCs w:val="20"/>
          <w:color w:val="auto"/>
        </w:rPr>
      </w:pPr>
      <w:r>
        <w:rPr>
          <w:rFonts w:ascii="Arial" w:cs="Arial" w:eastAsia="Arial" w:hAnsi="Arial"/>
          <w:sz w:val="20"/>
          <w:szCs w:val="20"/>
          <w:color w:val="auto"/>
        </w:rPr>
        <w:t>(iii)</w:t>
        <w:tab/>
        <w:t>[</w:t>
        <w:tab/>
        <w:t>***</w:t>
      </w:r>
      <w:r>
        <w:rPr>
          <w:sz w:val="20"/>
          <w:szCs w:val="20"/>
          <w:color w:val="auto"/>
        </w:rPr>
        <w:tab/>
      </w:r>
      <w:r>
        <w:rPr>
          <w:rFonts w:ascii="Arial" w:cs="Arial" w:eastAsia="Arial" w:hAnsi="Arial"/>
          <w:sz w:val="20"/>
          <w:szCs w:val="20"/>
          <w:color w:val="auto"/>
        </w:rPr>
        <w:t>] Transfer Documentation and [</w:t>
        <w:tab/>
        <w:t>***</w:t>
      </w:r>
      <w:r>
        <w:rPr>
          <w:sz w:val="20"/>
          <w:szCs w:val="20"/>
          <w:color w:val="auto"/>
        </w:rPr>
        <w:tab/>
      </w:r>
      <w:r>
        <w:rPr>
          <w:rFonts w:ascii="Arial" w:cs="Arial" w:eastAsia="Arial" w:hAnsi="Arial"/>
          <w:sz w:val="18"/>
          <w:szCs w:val="18"/>
          <w:color w:val="auto"/>
        </w:rPr>
        <w:t>] Transfer Documentation, duly executed by the Insurer;</w:t>
      </w:r>
    </w:p>
    <w:p>
      <w:pPr>
        <w:spacing w:after="0" w:line="246" w:lineRule="exact"/>
        <w:rPr>
          <w:sz w:val="20"/>
          <w:szCs w:val="20"/>
          <w:color w:val="auto"/>
        </w:rPr>
      </w:pPr>
    </w:p>
    <w:p>
      <w:pPr>
        <w:jc w:val="both"/>
        <w:ind w:left="600" w:firstLine="602"/>
        <w:spacing w:after="0" w:line="261" w:lineRule="auto"/>
        <w:tabs>
          <w:tab w:leader="none" w:pos="1713" w:val="left"/>
        </w:tabs>
        <w:numPr>
          <w:ilvl w:val="0"/>
          <w:numId w:val="11"/>
        </w:numPr>
        <w:rPr>
          <w:rFonts w:ascii="Arial" w:cs="Arial" w:eastAsia="Arial" w:hAnsi="Arial"/>
          <w:sz w:val="20"/>
          <w:szCs w:val="20"/>
          <w:color w:val="auto"/>
        </w:rPr>
      </w:pPr>
      <w:r>
        <w:rPr>
          <w:rFonts w:ascii="Arial" w:cs="Arial" w:eastAsia="Arial" w:hAnsi="Arial"/>
          <w:sz w:val="20"/>
          <w:szCs w:val="20"/>
          <w:color w:val="auto"/>
        </w:rPr>
        <w:t>a certificate, dated as of the Closing Date, signed by a duly authorized officer of the Insurer certifying that Contract 300 Portfolio P remains in the Guaranteed Separate Account and that the assets in Contract 300 Portfolio P are part of the consideration for the Group Annuity Contract;</w:t>
      </w:r>
    </w:p>
    <w:p>
      <w:pPr>
        <w:spacing w:after="0" w:line="200" w:lineRule="exact"/>
        <w:rPr>
          <w:rFonts w:ascii="Arial" w:cs="Arial" w:eastAsia="Arial" w:hAnsi="Arial"/>
          <w:sz w:val="20"/>
          <w:szCs w:val="20"/>
          <w:color w:val="auto"/>
        </w:rPr>
      </w:pPr>
    </w:p>
    <w:p>
      <w:pPr>
        <w:ind w:left="1640" w:hanging="438"/>
        <w:spacing w:after="0"/>
        <w:tabs>
          <w:tab w:leader="none" w:pos="1640" w:val="left"/>
        </w:tabs>
        <w:numPr>
          <w:ilvl w:val="0"/>
          <w:numId w:val="11"/>
        </w:numPr>
        <w:rPr>
          <w:rFonts w:ascii="Arial" w:cs="Arial" w:eastAsia="Arial" w:hAnsi="Arial"/>
          <w:sz w:val="20"/>
          <w:szCs w:val="20"/>
          <w:color w:val="auto"/>
        </w:rPr>
      </w:pPr>
      <w:r>
        <w:rPr>
          <w:rFonts w:ascii="Arial" w:cs="Arial" w:eastAsia="Arial" w:hAnsi="Arial"/>
          <w:sz w:val="20"/>
          <w:szCs w:val="20"/>
          <w:color w:val="auto"/>
        </w:rPr>
        <w:t xml:space="preserve">evidence of Governmental Approvals set forth in </w:t>
      </w:r>
      <w:r>
        <w:rPr>
          <w:rFonts w:ascii="Arial" w:cs="Arial" w:eastAsia="Arial" w:hAnsi="Arial"/>
          <w:sz w:val="20"/>
          <w:szCs w:val="20"/>
          <w:u w:val="single" w:color="auto"/>
          <w:color w:val="auto"/>
        </w:rPr>
        <w:t>Appendix 8.2(d)</w:t>
      </w:r>
      <w:r>
        <w:rPr>
          <w:rFonts w:ascii="Arial" w:cs="Arial" w:eastAsia="Arial" w:hAnsi="Arial"/>
          <w:sz w:val="20"/>
          <w:szCs w:val="20"/>
          <w:color w:val="auto"/>
        </w:rPr>
        <w:t>;</w:t>
      </w:r>
    </w:p>
    <w:p>
      <w:pPr>
        <w:spacing w:after="0" w:line="245" w:lineRule="exact"/>
        <w:rPr>
          <w:rFonts w:ascii="Arial" w:cs="Arial" w:eastAsia="Arial" w:hAnsi="Arial"/>
          <w:sz w:val="20"/>
          <w:szCs w:val="20"/>
          <w:color w:val="auto"/>
        </w:rPr>
      </w:pPr>
    </w:p>
    <w:p>
      <w:pPr>
        <w:ind w:left="600" w:firstLine="602"/>
        <w:spacing w:after="0" w:line="275" w:lineRule="auto"/>
        <w:tabs>
          <w:tab w:leader="none" w:pos="1834" w:val="left"/>
        </w:tabs>
        <w:numPr>
          <w:ilvl w:val="0"/>
          <w:numId w:val="11"/>
        </w:numPr>
        <w:rPr>
          <w:rFonts w:ascii="Arial" w:cs="Arial" w:eastAsia="Arial" w:hAnsi="Arial"/>
          <w:sz w:val="20"/>
          <w:szCs w:val="20"/>
          <w:color w:val="auto"/>
        </w:rPr>
      </w:pPr>
      <w:r>
        <w:rPr>
          <w:rFonts w:ascii="Arial" w:cs="Arial" w:eastAsia="Arial" w:hAnsi="Arial"/>
          <w:sz w:val="20"/>
          <w:szCs w:val="20"/>
          <w:color w:val="auto"/>
        </w:rPr>
        <w:t xml:space="preserve">a certificate, dated as of the Closing Date, signed by a duly authorized officer of the Insurer certifying as to the satisfaction of the conditions specified in </w:t>
      </w:r>
      <w:r>
        <w:rPr>
          <w:rFonts w:ascii="Arial" w:cs="Arial" w:eastAsia="Arial" w:hAnsi="Arial"/>
          <w:sz w:val="20"/>
          <w:szCs w:val="20"/>
          <w:u w:val="single" w:color="auto"/>
          <w:color w:val="auto"/>
        </w:rPr>
        <w:t>Section 8.2(a)</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Section 8.2(c)</w:t>
      </w:r>
      <w:r>
        <w:rPr>
          <w:rFonts w:ascii="Arial" w:cs="Arial" w:eastAsia="Arial" w:hAnsi="Arial"/>
          <w:sz w:val="20"/>
          <w:szCs w:val="20"/>
          <w:color w:val="auto"/>
        </w:rPr>
        <w:t>, in each case, as to the Insurer; and</w:t>
      </w:r>
    </w:p>
    <w:p>
      <w:pPr>
        <w:spacing w:after="0" w:line="186" w:lineRule="exact"/>
        <w:rPr>
          <w:rFonts w:ascii="Arial" w:cs="Arial" w:eastAsia="Arial" w:hAnsi="Arial"/>
          <w:sz w:val="20"/>
          <w:szCs w:val="20"/>
          <w:color w:val="auto"/>
        </w:rPr>
      </w:pPr>
    </w:p>
    <w:p>
      <w:pPr>
        <w:ind w:left="600" w:firstLine="602"/>
        <w:spacing w:after="0" w:line="275" w:lineRule="auto"/>
        <w:tabs>
          <w:tab w:leader="none" w:pos="1815" w:val="left"/>
        </w:tabs>
        <w:numPr>
          <w:ilvl w:val="0"/>
          <w:numId w:val="11"/>
        </w:numPr>
        <w:rPr>
          <w:rFonts w:ascii="Arial" w:cs="Arial" w:eastAsia="Arial" w:hAnsi="Arial"/>
          <w:sz w:val="20"/>
          <w:szCs w:val="20"/>
          <w:color w:val="auto"/>
        </w:rPr>
      </w:pPr>
      <w:r>
        <w:rPr>
          <w:rFonts w:ascii="Arial" w:cs="Arial" w:eastAsia="Arial" w:hAnsi="Arial"/>
          <w:sz w:val="20"/>
          <w:szCs w:val="20"/>
          <w:color w:val="auto"/>
        </w:rPr>
        <w:t xml:space="preserve">the Plan Trustee Agreement, duly executed by the Insurer (or evidence of any alternative arrangements as shall have been agreed by the Insurer and the Company pursuant to the last sentence of </w:t>
      </w:r>
      <w:r>
        <w:rPr>
          <w:rFonts w:ascii="Arial" w:cs="Arial" w:eastAsia="Arial" w:hAnsi="Arial"/>
          <w:sz w:val="20"/>
          <w:szCs w:val="20"/>
          <w:u w:val="single" w:color="auto"/>
          <w:color w:val="auto"/>
        </w:rPr>
        <w:t>Section 6.3(b)</w:t>
      </w:r>
      <w:r>
        <w:rPr>
          <w:rFonts w:ascii="Arial" w:cs="Arial" w:eastAsia="Arial" w:hAnsi="Arial"/>
          <w:sz w:val="20"/>
          <w:szCs w:val="20"/>
          <w:color w:val="auto"/>
        </w:rPr>
        <w:t>).</w:t>
      </w:r>
    </w:p>
    <w:p>
      <w:pPr>
        <w:spacing w:after="0" w:line="149" w:lineRule="exact"/>
        <w:rPr>
          <w:sz w:val="20"/>
          <w:szCs w:val="20"/>
          <w:color w:val="auto"/>
        </w:rPr>
      </w:pPr>
    </w:p>
    <w:p>
      <w:pPr>
        <w:ind w:left="600"/>
        <w:spacing w:after="0"/>
        <w:tabs>
          <w:tab w:leader="none" w:pos="1680" w:val="left"/>
        </w:tabs>
        <w:rPr>
          <w:sz w:val="20"/>
          <w:szCs w:val="20"/>
          <w:color w:val="auto"/>
        </w:rPr>
      </w:pPr>
      <w:r>
        <w:rPr>
          <w:rFonts w:ascii="Arial" w:cs="Arial" w:eastAsia="Arial" w:hAnsi="Arial"/>
          <w:sz w:val="20"/>
          <w:szCs w:val="20"/>
          <w:color w:val="auto"/>
        </w:rPr>
        <w:t>Section 2.3</w:t>
      </w:r>
      <w:r>
        <w:rPr>
          <w:sz w:val="20"/>
          <w:szCs w:val="20"/>
          <w:color w:val="auto"/>
        </w:rPr>
        <w:tab/>
      </w:r>
      <w:r>
        <w:rPr>
          <w:rFonts w:ascii="Arial" w:cs="Arial" w:eastAsia="Arial" w:hAnsi="Arial"/>
          <w:sz w:val="18"/>
          <w:szCs w:val="18"/>
          <w:u w:val="single" w:color="auto"/>
          <w:color w:val="auto"/>
        </w:rPr>
        <w:t>Final Plan Portfolio and Contract 300 Portfolio P</w:t>
      </w:r>
      <w:r>
        <w:rPr>
          <w:rFonts w:ascii="Arial" w:cs="Arial" w:eastAsia="Arial" w:hAnsi="Arial"/>
          <w:sz w:val="18"/>
          <w:szCs w:val="18"/>
          <w:color w:val="auto"/>
        </w:rPr>
        <w:t>.</w:t>
      </w:r>
    </w:p>
    <w:p>
      <w:pPr>
        <w:spacing w:after="0" w:line="246" w:lineRule="exact"/>
        <w:rPr>
          <w:sz w:val="20"/>
          <w:szCs w:val="20"/>
          <w:color w:val="auto"/>
        </w:rPr>
      </w:pPr>
    </w:p>
    <w:p>
      <w:pPr>
        <w:ind w:left="1020" w:hanging="419"/>
        <w:spacing w:after="0"/>
        <w:tabs>
          <w:tab w:leader="none" w:pos="1020" w:val="left"/>
        </w:tabs>
        <w:numPr>
          <w:ilvl w:val="0"/>
          <w:numId w:val="12"/>
        </w:numPr>
        <w:rPr>
          <w:rFonts w:ascii="Arial" w:cs="Arial" w:eastAsia="Arial" w:hAnsi="Arial"/>
          <w:sz w:val="20"/>
          <w:szCs w:val="20"/>
          <w:color w:val="auto"/>
        </w:rPr>
      </w:pPr>
      <w:r>
        <w:rPr>
          <w:rFonts w:ascii="Arial" w:cs="Arial" w:eastAsia="Arial" w:hAnsi="Arial"/>
          <w:sz w:val="20"/>
          <w:szCs w:val="20"/>
          <w:color w:val="auto"/>
        </w:rPr>
        <w:t>Prior to the Closing, the Insurer will cause Contract 300 Portfolio P to remain in the Guaranteed Separate Account.</w:t>
      </w:r>
    </w:p>
    <w:p>
      <w:pPr>
        <w:spacing w:after="0" w:line="45" w:lineRule="exact"/>
        <w:rPr>
          <w:rFonts w:ascii="Arial" w:cs="Arial" w:eastAsia="Arial" w:hAnsi="Arial"/>
          <w:sz w:val="20"/>
          <w:szCs w:val="20"/>
          <w:color w:val="auto"/>
        </w:rPr>
      </w:pPr>
    </w:p>
    <w:p>
      <w:pPr>
        <w:ind w:left="1160" w:hanging="559"/>
        <w:spacing w:after="0"/>
        <w:tabs>
          <w:tab w:leader="none" w:pos="1160" w:val="left"/>
        </w:tabs>
        <w:numPr>
          <w:ilvl w:val="0"/>
          <w:numId w:val="12"/>
        </w:numPr>
        <w:rPr>
          <w:rFonts w:ascii="Arial" w:cs="Arial" w:eastAsia="Arial" w:hAnsi="Arial"/>
          <w:sz w:val="19"/>
          <w:szCs w:val="19"/>
          <w:color w:val="auto"/>
        </w:rPr>
      </w:pPr>
      <w:r>
        <w:rPr>
          <w:rFonts w:ascii="Arial" w:cs="Arial" w:eastAsia="Arial" w:hAnsi="Arial"/>
          <w:sz w:val="19"/>
          <w:szCs w:val="19"/>
          <w:color w:val="auto"/>
        </w:rPr>
        <w:t>Upon the Group Annuity Contract Issuance, the Insurer may allocate to the General Account an amount of the Final Plan</w:t>
      </w:r>
    </w:p>
    <w:p>
      <w:pPr>
        <w:spacing w:after="0" w:line="220" w:lineRule="exact"/>
        <w:rPr>
          <w:sz w:val="20"/>
          <w:szCs w:val="20"/>
          <w:color w:val="auto"/>
        </w:rPr>
      </w:pPr>
    </w:p>
    <w:p>
      <w:pPr>
        <w:jc w:val="both"/>
        <w:spacing w:after="0" w:line="275" w:lineRule="auto"/>
        <w:rPr>
          <w:sz w:val="20"/>
          <w:szCs w:val="20"/>
          <w:color w:val="auto"/>
        </w:rPr>
      </w:pPr>
      <w:r>
        <w:rPr>
          <w:rFonts w:ascii="Arial" w:cs="Arial" w:eastAsia="Arial" w:hAnsi="Arial"/>
          <w:sz w:val="20"/>
          <w:szCs w:val="20"/>
          <w:color w:val="auto"/>
        </w:rPr>
        <w:t>Portfolio not greater than the lesser of (i) [ *** ], and the Insurer will allocate the balance of the Final Plan Portfolio to the Guaranteed Separate Account.</w:t>
      </w:r>
    </w:p>
    <w:p>
      <w:pPr>
        <w:spacing w:after="0" w:line="186" w:lineRule="exact"/>
        <w:rPr>
          <w:sz w:val="20"/>
          <w:szCs w:val="20"/>
          <w:color w:val="auto"/>
        </w:rPr>
      </w:pPr>
    </w:p>
    <w:p>
      <w:pPr>
        <w:ind w:left="600"/>
        <w:spacing w:after="0"/>
        <w:tabs>
          <w:tab w:leader="none" w:pos="1000" w:val="left"/>
        </w:tabs>
        <w:rPr>
          <w:sz w:val="20"/>
          <w:szCs w:val="20"/>
          <w:color w:val="auto"/>
        </w:rPr>
      </w:pPr>
      <w:r>
        <w:rPr>
          <w:rFonts w:ascii="Arial" w:cs="Arial" w:eastAsia="Arial" w:hAnsi="Arial"/>
          <w:sz w:val="20"/>
          <w:szCs w:val="20"/>
          <w:color w:val="auto"/>
        </w:rPr>
        <w:t>(c)</w:t>
        <w:tab/>
        <w:t xml:space="preserve">For purposes of this </w:t>
      </w:r>
      <w:r>
        <w:rPr>
          <w:rFonts w:ascii="Arial" w:cs="Arial" w:eastAsia="Arial" w:hAnsi="Arial"/>
          <w:sz w:val="20"/>
          <w:szCs w:val="20"/>
          <w:u w:val="single" w:color="auto"/>
          <w:color w:val="auto"/>
        </w:rPr>
        <w:t>Section 2.3</w:t>
      </w:r>
      <w:r>
        <w:rPr>
          <w:rFonts w:ascii="Arial" w:cs="Arial" w:eastAsia="Arial" w:hAnsi="Arial"/>
          <w:sz w:val="20"/>
          <w:szCs w:val="20"/>
          <w:color w:val="auto"/>
        </w:rPr>
        <w:t>, the following definitions shall apply:</w:t>
      </w:r>
    </w:p>
    <w:p>
      <w:pPr>
        <w:spacing w:after="0" w:line="208" w:lineRule="exact"/>
        <w:rPr>
          <w:sz w:val="20"/>
          <w:szCs w:val="20"/>
          <w:color w:val="auto"/>
        </w:rPr>
      </w:pPr>
    </w:p>
    <w:p>
      <w:pPr>
        <w:jc w:val="both"/>
        <w:ind w:firstLine="601"/>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Non-Separate Account Amount</w:t>
      </w:r>
      <w:r>
        <w:rPr>
          <w:rFonts w:ascii="Arial" w:cs="Arial" w:eastAsia="Arial" w:hAnsi="Arial"/>
          <w:sz w:val="19"/>
          <w:szCs w:val="19"/>
          <w:color w:val="auto"/>
        </w:rPr>
        <w:t>” equals the [ *** ] as of the Closing Date minus the greater of (a) or (b), where (</w:t>
      </w:r>
      <w:r>
        <w:rPr>
          <w:rFonts w:ascii="Arial" w:cs="Arial" w:eastAsia="Arial" w:hAnsi="Arial"/>
          <w:sz w:val="19"/>
          <w:szCs w:val="19"/>
          <w:u w:val="single" w:color="auto"/>
          <w:color w:val="auto"/>
        </w:rPr>
        <w:t>a</w:t>
      </w:r>
      <w:r>
        <w:rPr>
          <w:rFonts w:ascii="Arial" w:cs="Arial" w:eastAsia="Arial" w:hAnsi="Arial"/>
          <w:sz w:val="19"/>
          <w:szCs w:val="19"/>
          <w:color w:val="auto"/>
        </w:rPr>
        <w:t>) equals the Closing Final [ *** ], and (</w:t>
      </w:r>
      <w:r>
        <w:rPr>
          <w:rFonts w:ascii="Arial" w:cs="Arial" w:eastAsia="Arial" w:hAnsi="Arial"/>
          <w:sz w:val="19"/>
          <w:szCs w:val="19"/>
          <w:u w:val="single" w:color="auto"/>
          <w:color w:val="auto"/>
        </w:rPr>
        <w:t>b</w:t>
      </w:r>
      <w:r>
        <w:rPr>
          <w:rFonts w:ascii="Arial" w:cs="Arial" w:eastAsia="Arial" w:hAnsi="Arial"/>
          <w:sz w:val="19"/>
          <w:szCs w:val="19"/>
          <w:color w:val="auto"/>
        </w:rPr>
        <w:t xml:space="preserve">) equals zero;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in no event may the Non-Separate Account Amount be less than zero</w:t>
      </w:r>
    </w:p>
    <w:p>
      <w:pPr>
        <w:spacing w:after="0" w:line="326" w:lineRule="exact"/>
        <w:rPr>
          <w:sz w:val="20"/>
          <w:szCs w:val="20"/>
          <w:color w:val="auto"/>
        </w:rPr>
      </w:pPr>
    </w:p>
    <w:p>
      <w:pPr>
        <w:jc w:val="both"/>
        <w:ind w:firstLine="601"/>
        <w:spacing w:after="0" w:line="261"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Statutory Reserve</w:t>
      </w:r>
      <w:r>
        <w:rPr>
          <w:rFonts w:ascii="Arial" w:cs="Arial" w:eastAsia="Arial" w:hAnsi="Arial"/>
          <w:sz w:val="20"/>
          <w:szCs w:val="20"/>
          <w:color w:val="auto"/>
        </w:rPr>
        <w:t>” means the amount of statutory reserves established by the Insurer as of the Closing Date, with respect to the liabilities covered by the Group Annuity Contract, in accordance with statutory accounting principles prescribed or permitted by New Jersey Law.</w:t>
      </w:r>
    </w:p>
    <w:p>
      <w:pPr>
        <w:spacing w:after="0" w:line="163" w:lineRule="exact"/>
        <w:rPr>
          <w:sz w:val="20"/>
          <w:szCs w:val="20"/>
          <w:color w:val="auto"/>
        </w:rPr>
      </w:pPr>
    </w:p>
    <w:p>
      <w:pPr>
        <w:ind w:firstLine="601"/>
        <w:spacing w:after="0" w:line="275" w:lineRule="auto"/>
        <w:tabs>
          <w:tab w:leader="none" w:pos="1040" w:val="left"/>
        </w:tabs>
        <w:numPr>
          <w:ilvl w:val="1"/>
          <w:numId w:val="13"/>
        </w:numPr>
        <w:rPr>
          <w:rFonts w:ascii="Arial" w:cs="Arial" w:eastAsia="Arial" w:hAnsi="Arial"/>
          <w:sz w:val="20"/>
          <w:szCs w:val="20"/>
          <w:color w:val="auto"/>
        </w:rPr>
      </w:pPr>
      <w:r>
        <w:rPr>
          <w:rFonts w:ascii="Arial" w:cs="Arial" w:eastAsia="Arial" w:hAnsi="Arial"/>
          <w:sz w:val="20"/>
          <w:szCs w:val="20"/>
          <w:color w:val="auto"/>
        </w:rPr>
        <w:t>The allocation of assets (including Contract 300 Portfolio P) between the General Account and the Guaranteed Separate Account following the Closing Date shall be governed by the terms of the Group Annuity Contract.</w:t>
      </w:r>
    </w:p>
    <w:p>
      <w:pPr>
        <w:spacing w:after="0" w:line="144" w:lineRule="exact"/>
        <w:rPr>
          <w:rFonts w:ascii="Arial" w:cs="Arial" w:eastAsia="Arial" w:hAnsi="Arial"/>
          <w:sz w:val="20"/>
          <w:szCs w:val="20"/>
          <w:color w:val="auto"/>
        </w:rPr>
      </w:pPr>
    </w:p>
    <w:p>
      <w:pPr>
        <w:ind w:left="360" w:hanging="360"/>
        <w:spacing w:after="0"/>
        <w:tabs>
          <w:tab w:leader="none" w:pos="360" w:val="left"/>
        </w:tabs>
        <w:numPr>
          <w:ilvl w:val="0"/>
          <w:numId w:val="14"/>
        </w:numPr>
        <w:rPr>
          <w:rFonts w:ascii="Arial" w:cs="Arial" w:eastAsia="Arial" w:hAnsi="Arial"/>
          <w:sz w:val="20"/>
          <w:szCs w:val="20"/>
          <w:b w:val="1"/>
          <w:bCs w:val="1"/>
          <w:color w:val="auto"/>
        </w:rPr>
      </w:pPr>
      <w:r>
        <w:rPr>
          <w:rFonts w:ascii="Arial" w:cs="Arial" w:eastAsia="Arial" w:hAnsi="Arial"/>
          <w:sz w:val="20"/>
          <w:szCs w:val="20"/>
          <w:b w:val="1"/>
          <w:bCs w:val="1"/>
          <w:color w:val="auto"/>
        </w:rPr>
        <w:t>Calculation of Closing Final Premium</w:t>
      </w:r>
    </w:p>
    <w:p>
      <w:pPr>
        <w:spacing w:after="0" w:line="225" w:lineRule="exact"/>
        <w:rPr>
          <w:sz w:val="20"/>
          <w:szCs w:val="20"/>
          <w:color w:val="auto"/>
        </w:rPr>
      </w:pPr>
    </w:p>
    <w:p>
      <w:pPr>
        <w:ind w:left="600"/>
        <w:spacing w:after="0"/>
        <w:tabs>
          <w:tab w:leader="none" w:pos="1680" w:val="left"/>
        </w:tabs>
        <w:rPr>
          <w:sz w:val="20"/>
          <w:szCs w:val="20"/>
          <w:color w:val="auto"/>
        </w:rPr>
      </w:pPr>
      <w:r>
        <w:rPr>
          <w:rFonts w:ascii="Arial" w:cs="Arial" w:eastAsia="Arial" w:hAnsi="Arial"/>
          <w:sz w:val="20"/>
          <w:szCs w:val="20"/>
          <w:color w:val="auto"/>
        </w:rPr>
        <w:t>Section 2.4</w:t>
      </w:r>
      <w:r>
        <w:rPr>
          <w:sz w:val="20"/>
          <w:szCs w:val="20"/>
          <w:color w:val="auto"/>
        </w:rPr>
        <w:tab/>
      </w:r>
      <w:r>
        <w:rPr>
          <w:rFonts w:ascii="Arial" w:cs="Arial" w:eastAsia="Arial" w:hAnsi="Arial"/>
          <w:sz w:val="18"/>
          <w:szCs w:val="18"/>
          <w:u w:val="single" w:color="auto"/>
          <w:color w:val="auto"/>
        </w:rPr>
        <w:t>Calculation of Base Annuity Premium and Solicited Adjusted Annuity Premium</w:t>
      </w:r>
      <w:r>
        <w:rPr>
          <w:rFonts w:ascii="Arial" w:cs="Arial" w:eastAsia="Arial" w:hAnsi="Arial"/>
          <w:sz w:val="18"/>
          <w:szCs w:val="18"/>
          <w:color w:val="auto"/>
        </w:rPr>
        <w:t>.</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ectPr>
          <w:pgSz w:w="11900" w:h="16838" w:orient="portrait"/>
          <w:cols w:equalWidth="0" w:num="1">
            <w:col w:w="11420"/>
          </w:cols>
          <w:pgMar w:left="240" w:top="556" w:right="239" w:bottom="1440" w:gutter="0" w:footer="0" w:header="0"/>
        </w:sectPr>
      </w:pPr>
    </w:p>
    <w:bookmarkStart w:id="34" w:name="page35"/>
    <w:bookmarkEnd w:id="34"/>
    <w:p>
      <w:pPr>
        <w:jc w:val="both"/>
        <w:ind w:firstLine="601"/>
        <w:spacing w:after="0" w:line="278" w:lineRule="auto"/>
        <w:tabs>
          <w:tab w:leader="none" w:pos="1073"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Base Annuity Premium</w:t>
      </w:r>
      <w:r>
        <w:rPr>
          <w:rFonts w:ascii="Arial" w:cs="Arial" w:eastAsia="Arial" w:hAnsi="Arial"/>
          <w:sz w:val="18"/>
          <w:szCs w:val="18"/>
          <w:color w:val="auto"/>
        </w:rPr>
        <w:t>. The Solicited Annuity Premium, the Non-Solicited Annuity Premium, and the resulting Base Annuity Premium as of the DTFA Pricing Date, as calculated by the Insurer, initially do not give effect to any correction of Classification Errors. The definitive life-by-life list provided by the Insurer or any of its Affiliates containing information (excluding any information regarding monthly benefit amounts) with respect to each Non-Solicited Life and each Solicited Life (together with any other life-by-life information which may subsequently be provided by the Insurer or any of its Affiliates to the Independent Third Party to complete the calculations required by this Agreement, the “</w:t>
      </w:r>
      <w:r>
        <w:rPr>
          <w:rFonts w:ascii="Arial" w:cs="Arial" w:eastAsia="Arial" w:hAnsi="Arial"/>
          <w:sz w:val="18"/>
          <w:szCs w:val="18"/>
          <w:u w:val="single" w:color="auto"/>
          <w:color w:val="auto"/>
        </w:rPr>
        <w:t>Insurer Provided Life-by-Life Information</w:t>
      </w:r>
      <w:r>
        <w:rPr>
          <w:rFonts w:ascii="Arial" w:cs="Arial" w:eastAsia="Arial" w:hAnsi="Arial"/>
          <w:sz w:val="18"/>
          <w:szCs w:val="18"/>
          <w:color w:val="auto"/>
        </w:rPr>
        <w:t xml:space="preserve">”) was provided to the Independent Third Party on May 29, 2012. The Independent Third Party has been directed to certify to the Company that (i) the Priced Lives referenced in </w:t>
      </w:r>
      <w:r>
        <w:rPr>
          <w:rFonts w:ascii="Arial" w:cs="Arial" w:eastAsia="Arial" w:hAnsi="Arial"/>
          <w:sz w:val="18"/>
          <w:szCs w:val="18"/>
          <w:u w:val="single" w:color="auto"/>
          <w:color w:val="auto"/>
        </w:rPr>
        <w:t>Appendix 1.2</w:t>
      </w:r>
      <w:r>
        <w:rPr>
          <w:rFonts w:ascii="Arial" w:cs="Arial" w:eastAsia="Arial" w:hAnsi="Arial"/>
          <w:sz w:val="18"/>
          <w:szCs w:val="18"/>
          <w:color w:val="auto"/>
        </w:rPr>
        <w:t xml:space="preserve"> are the same as the lives (by numeric identifier, excluding any letter identifiers) set forth on the Participant Premium Calculations Tab, which shall be completed</w:t>
      </w:r>
    </w:p>
    <w:tbl>
      <w:tblPr>
        <w:tblLayout w:type="fixed"/>
        <w:tblInd w:w="0" w:type="dxa"/>
        <w:tblCellMar>
          <w:top w:w="0" w:type="dxa"/>
          <w:left w:w="0" w:type="dxa"/>
          <w:bottom w:w="0" w:type="dxa"/>
          <w:right w:w="0" w:type="dxa"/>
        </w:tblCellMar>
      </w:tblPr>
      <w:tr>
        <w:trPr>
          <w:trHeight w:val="222"/>
        </w:trPr>
        <w:tc>
          <w:tcPr>
            <w:tcW w:w="7260" w:type="dxa"/>
            <w:vAlign w:val="bottom"/>
            <w:gridSpan w:val="4"/>
          </w:tcPr>
          <w:p>
            <w:pPr>
              <w:spacing w:after="0" w:line="222" w:lineRule="exact"/>
              <w:rPr>
                <w:sz w:val="20"/>
                <w:szCs w:val="20"/>
                <w:color w:val="auto"/>
              </w:rPr>
            </w:pPr>
            <w:r>
              <w:rPr>
                <w:rFonts w:ascii="Arial" w:cs="Arial" w:eastAsia="Arial" w:hAnsi="Arial"/>
                <w:sz w:val="20"/>
                <w:szCs w:val="20"/>
                <w:color w:val="auto"/>
                <w:w w:val="97"/>
              </w:rPr>
              <w:t>in accordance with the [ *** ] process, (ii) the Solicited Annuity Premium is equal to [</w:t>
            </w:r>
          </w:p>
        </w:tc>
        <w:tc>
          <w:tcPr>
            <w:tcW w:w="800" w:type="dxa"/>
            <w:vAlign w:val="bottom"/>
          </w:tcPr>
          <w:p>
            <w:pPr>
              <w:jc w:val="right"/>
              <w:ind w:right="240"/>
              <w:spacing w:after="0" w:line="222" w:lineRule="exact"/>
              <w:rPr>
                <w:sz w:val="20"/>
                <w:szCs w:val="20"/>
                <w:color w:val="auto"/>
              </w:rPr>
            </w:pPr>
            <w:r>
              <w:rPr>
                <w:rFonts w:ascii="Arial" w:cs="Arial" w:eastAsia="Arial" w:hAnsi="Arial"/>
                <w:sz w:val="20"/>
                <w:szCs w:val="20"/>
                <w:color w:val="auto"/>
              </w:rPr>
              <w:t>***</w:t>
            </w:r>
          </w:p>
        </w:tc>
        <w:tc>
          <w:tcPr>
            <w:tcW w:w="1680" w:type="dxa"/>
            <w:vAlign w:val="bottom"/>
            <w:gridSpan w:val="2"/>
          </w:tcPr>
          <w:p>
            <w:pPr>
              <w:jc w:val="right"/>
              <w:ind w:right="20"/>
              <w:spacing w:after="0" w:line="222" w:lineRule="exact"/>
              <w:rPr>
                <w:sz w:val="20"/>
                <w:szCs w:val="20"/>
                <w:color w:val="auto"/>
              </w:rPr>
            </w:pPr>
            <w:r>
              <w:rPr>
                <w:rFonts w:ascii="Arial" w:cs="Arial" w:eastAsia="Arial" w:hAnsi="Arial"/>
                <w:sz w:val="20"/>
                <w:szCs w:val="20"/>
                <w:color w:val="auto"/>
              </w:rPr>
              <w:t>] the Non-Solicited</w:t>
            </w:r>
          </w:p>
        </w:tc>
        <w:tc>
          <w:tcPr>
            <w:tcW w:w="1680" w:type="dxa"/>
            <w:vAlign w:val="bottom"/>
            <w:gridSpan w:val="2"/>
          </w:tcPr>
          <w:p>
            <w:pPr>
              <w:jc w:val="right"/>
              <w:spacing w:after="0" w:line="222" w:lineRule="exact"/>
              <w:rPr>
                <w:sz w:val="20"/>
                <w:szCs w:val="20"/>
                <w:color w:val="auto"/>
              </w:rPr>
            </w:pPr>
            <w:r>
              <w:rPr>
                <w:rFonts w:ascii="Arial" w:cs="Arial" w:eastAsia="Arial" w:hAnsi="Arial"/>
                <w:sz w:val="20"/>
                <w:szCs w:val="20"/>
                <w:color w:val="auto"/>
                <w:w w:val="96"/>
              </w:rPr>
              <w:t>Annuity Premium is</w:t>
            </w:r>
          </w:p>
        </w:tc>
      </w:tr>
      <w:tr>
        <w:trPr>
          <w:trHeight w:val="209"/>
        </w:trPr>
        <w:tc>
          <w:tcPr>
            <w:tcW w:w="1040" w:type="dxa"/>
            <w:vAlign w:val="bottom"/>
          </w:tcPr>
          <w:p>
            <w:pPr>
              <w:spacing w:after="0" w:line="209" w:lineRule="exact"/>
              <w:rPr>
                <w:sz w:val="20"/>
                <w:szCs w:val="20"/>
                <w:color w:val="auto"/>
              </w:rPr>
            </w:pPr>
            <w:r>
              <w:rPr>
                <w:rFonts w:ascii="Arial" w:cs="Arial" w:eastAsia="Arial" w:hAnsi="Arial"/>
                <w:sz w:val="20"/>
                <w:szCs w:val="20"/>
                <w:color w:val="auto"/>
              </w:rPr>
              <w:t>equal to [</w:t>
            </w:r>
          </w:p>
        </w:tc>
        <w:tc>
          <w:tcPr>
            <w:tcW w:w="840" w:type="dxa"/>
            <w:vAlign w:val="bottom"/>
          </w:tcPr>
          <w:p>
            <w:pPr>
              <w:jc w:val="right"/>
              <w:ind w:right="220"/>
              <w:spacing w:after="0" w:line="209" w:lineRule="exact"/>
              <w:rPr>
                <w:sz w:val="20"/>
                <w:szCs w:val="20"/>
                <w:color w:val="auto"/>
              </w:rPr>
            </w:pPr>
            <w:r>
              <w:rPr>
                <w:rFonts w:ascii="Arial" w:cs="Arial" w:eastAsia="Arial" w:hAnsi="Arial"/>
                <w:sz w:val="20"/>
                <w:szCs w:val="20"/>
                <w:color w:val="auto"/>
              </w:rPr>
              <w:t>***</w:t>
            </w:r>
          </w:p>
        </w:tc>
        <w:tc>
          <w:tcPr>
            <w:tcW w:w="7860" w:type="dxa"/>
            <w:vAlign w:val="bottom"/>
            <w:gridSpan w:val="5"/>
          </w:tcPr>
          <w:p>
            <w:pPr>
              <w:jc w:val="right"/>
              <w:ind w:right="20"/>
              <w:spacing w:after="0" w:line="209" w:lineRule="exact"/>
              <w:rPr>
                <w:sz w:val="20"/>
                <w:szCs w:val="20"/>
                <w:color w:val="auto"/>
              </w:rPr>
            </w:pPr>
            <w:r>
              <w:rPr>
                <w:rFonts w:ascii="Arial" w:cs="Arial" w:eastAsia="Arial" w:hAnsi="Arial"/>
                <w:sz w:val="20"/>
                <w:szCs w:val="20"/>
                <w:color w:val="auto"/>
              </w:rPr>
              <w:t>] (such certification, including the matters described in Section 2.4(b), below, the “Initial</w:t>
            </w:r>
          </w:p>
        </w:tc>
        <w:tc>
          <w:tcPr>
            <w:tcW w:w="1680" w:type="dxa"/>
            <w:vAlign w:val="bottom"/>
            <w:gridSpan w:val="2"/>
          </w:tcPr>
          <w:p>
            <w:pPr>
              <w:jc w:val="right"/>
              <w:spacing w:after="0" w:line="209" w:lineRule="exact"/>
              <w:rPr>
                <w:sz w:val="20"/>
                <w:szCs w:val="20"/>
                <w:color w:val="auto"/>
              </w:rPr>
            </w:pPr>
            <w:r>
              <w:rPr>
                <w:rFonts w:ascii="Arial" w:cs="Arial" w:eastAsia="Arial" w:hAnsi="Arial"/>
                <w:sz w:val="20"/>
                <w:szCs w:val="20"/>
                <w:color w:val="auto"/>
              </w:rPr>
              <w:t>Certification”). The</w:t>
            </w:r>
          </w:p>
        </w:tc>
      </w:tr>
      <w:tr>
        <w:trPr>
          <w:trHeight w:val="20"/>
        </w:trPr>
        <w:tc>
          <w:tcPr>
            <w:tcW w:w="10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bl>
    <w:p>
      <w:pPr>
        <w:spacing w:after="0" w:line="16" w:lineRule="exact"/>
        <w:rPr>
          <w:sz w:val="20"/>
          <w:szCs w:val="20"/>
          <w:color w:val="auto"/>
        </w:rPr>
      </w:pPr>
    </w:p>
    <w:p>
      <w:pPr>
        <w:jc w:val="both"/>
        <w:spacing w:after="0" w:line="252" w:lineRule="auto"/>
        <w:rPr>
          <w:sz w:val="20"/>
          <w:szCs w:val="20"/>
          <w:color w:val="auto"/>
        </w:rPr>
      </w:pPr>
      <w:r>
        <w:rPr>
          <w:rFonts w:ascii="Arial" w:cs="Arial" w:eastAsia="Arial" w:hAnsi="Arial"/>
          <w:sz w:val="20"/>
          <w:szCs w:val="20"/>
          <w:color w:val="auto"/>
        </w:rPr>
        <w:t xml:space="preserve">Independent Third Party will be directed to deliver this Initial Certification as soon as practicable following the DTFA Execution Date, and in no event later than 5 Business Days following the DTFA Execution Date. If the Independent Third Party does not, within such five (5) Business Day time period, certify the Non-Solicited Annuity Premium or the Solicited Annuity Premium calculated by the Insurer, then the Insurer shall so notify the Company and advise the Company of the reasons thereof, if known, and for a period of five (5) Business Days, seek to reasonably cooperate with the Independent Third Party to identify the reasons for the failure to certify and seek to resolve all items causing such failure to certify, and following the resolution of any such items the Insurer shall inform the Company within five (5) Business Days thereafter and the Insurer and the Company shall jointly direct the Independent Third Party to provide the certification contemplated by this </w:t>
      </w:r>
      <w:r>
        <w:rPr>
          <w:rFonts w:ascii="Arial" w:cs="Arial" w:eastAsia="Arial" w:hAnsi="Arial"/>
          <w:sz w:val="20"/>
          <w:szCs w:val="20"/>
          <w:u w:val="single" w:color="auto"/>
          <w:color w:val="auto"/>
        </w:rPr>
        <w:t>Section 2.4(a)</w:t>
      </w:r>
      <w:r>
        <w:rPr>
          <w:rFonts w:ascii="Arial" w:cs="Arial" w:eastAsia="Arial" w:hAnsi="Arial"/>
          <w:sz w:val="20"/>
          <w:szCs w:val="20"/>
          <w:color w:val="auto"/>
        </w:rPr>
        <w:t>.</w:t>
      </w:r>
    </w:p>
    <w:p>
      <w:pPr>
        <w:spacing w:after="0" w:line="209" w:lineRule="exact"/>
        <w:rPr>
          <w:sz w:val="20"/>
          <w:szCs w:val="20"/>
          <w:color w:val="auto"/>
        </w:rPr>
      </w:pPr>
    </w:p>
    <w:p>
      <w:pPr>
        <w:jc w:val="both"/>
        <w:ind w:firstLine="601"/>
        <w:spacing w:after="0" w:line="286" w:lineRule="auto"/>
        <w:tabs>
          <w:tab w:leader="none" w:pos="1035"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Solicited Adjusted Annuity Premium</w:t>
      </w:r>
      <w:r>
        <w:rPr>
          <w:rFonts w:ascii="Arial" w:cs="Arial" w:eastAsia="Arial" w:hAnsi="Arial"/>
          <w:sz w:val="18"/>
          <w:szCs w:val="18"/>
          <w:color w:val="auto"/>
        </w:rPr>
        <w:t>. The Solicited Adjusted Annuity Premium as of the DTFA Pricing Date as calculated by the Insurer, initially does not give effect to any correction of the Signing Classification Errors. The Independent Third Party has been directed to</w:t>
      </w:r>
    </w:p>
    <w:p>
      <w:pPr>
        <w:spacing w:after="0"/>
        <w:rPr>
          <w:rFonts w:ascii="Arial" w:cs="Arial" w:eastAsia="Arial" w:hAnsi="Arial"/>
          <w:sz w:val="18"/>
          <w:szCs w:val="18"/>
          <w:color w:val="auto"/>
        </w:rPr>
      </w:pPr>
      <w:r>
        <w:rPr>
          <w:rFonts w:ascii="Arial" w:cs="Arial" w:eastAsia="Arial" w:hAnsi="Arial"/>
          <w:sz w:val="18"/>
          <w:szCs w:val="18"/>
          <w:color w:val="auto"/>
        </w:rPr>
        <w:t>certify to the Company that, in accordance with Section A of the Procedures Manual, the Solicited Adjusted Annuity Premium is equal to the</w:t>
      </w:r>
    </w:p>
    <w:p>
      <w:pPr>
        <w:spacing w:after="0" w:line="220"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sum of the aggregate solicited annuity premium after applying [ *** ], as set forth on the Participant Premium Calculation Tab, which shall be completed in accordance with [ *** ]. The Independent Third Party will be directed to deliver this certification as soon as</w:t>
      </w:r>
    </w:p>
    <w:p>
      <w:pPr>
        <w:jc w:val="both"/>
        <w:spacing w:after="0" w:line="275" w:lineRule="auto"/>
        <w:rPr>
          <w:sz w:val="20"/>
          <w:szCs w:val="20"/>
          <w:color w:val="auto"/>
        </w:rPr>
      </w:pPr>
      <w:r>
        <w:rPr>
          <w:rFonts w:ascii="Arial" w:cs="Arial" w:eastAsia="Arial" w:hAnsi="Arial"/>
          <w:sz w:val="18"/>
          <w:szCs w:val="18"/>
          <w:color w:val="auto"/>
        </w:rPr>
        <w:t>practicable following the DTFA Execution Date, and in no event later than five (5) Business Days following DTFA Execution Date. If the Independent Third Party does not, within such five (5) Business Day time period, certify the Solicited Adjusted Annuity Premium calculated by the Insurer, then the Insurer shall so notify the Company and advise the Company of the reasons thereof, if known, and for a period of five</w:t>
      </w:r>
    </w:p>
    <w:p>
      <w:pPr>
        <w:spacing w:after="0" w:line="2" w:lineRule="exact"/>
        <w:rPr>
          <w:sz w:val="20"/>
          <w:szCs w:val="20"/>
          <w:color w:val="auto"/>
        </w:rPr>
      </w:pPr>
    </w:p>
    <w:p>
      <w:pPr>
        <w:jc w:val="both"/>
        <w:spacing w:after="0" w:line="251" w:lineRule="auto"/>
        <w:tabs>
          <w:tab w:leader="none" w:pos="290" w:val="left"/>
        </w:tabs>
        <w:numPr>
          <w:ilvl w:val="0"/>
          <w:numId w:val="17"/>
        </w:numPr>
        <w:rPr>
          <w:rFonts w:ascii="Arial" w:cs="Arial" w:eastAsia="Arial" w:hAnsi="Arial"/>
          <w:sz w:val="20"/>
          <w:szCs w:val="20"/>
          <w:color w:val="auto"/>
        </w:rPr>
      </w:pPr>
      <w:r>
        <w:rPr>
          <w:rFonts w:ascii="Arial" w:cs="Arial" w:eastAsia="Arial" w:hAnsi="Arial"/>
          <w:sz w:val="20"/>
          <w:szCs w:val="20"/>
          <w:color w:val="auto"/>
        </w:rPr>
        <w:t xml:space="preserve">Business Days, seek to reasonably cooperate with the Independent Third Party to identify the reasons for the failure to certify and seek to resolve all items causing such failure to certify, and following the resolution of any such items the Insurer shall inform the Company within five (5) Business Days thereafter and the Insurer and the Company shall jointly direct the Independent Third Party to provide the certification contemplated by this </w:t>
      </w:r>
      <w:r>
        <w:rPr>
          <w:rFonts w:ascii="Arial" w:cs="Arial" w:eastAsia="Arial" w:hAnsi="Arial"/>
          <w:sz w:val="20"/>
          <w:szCs w:val="20"/>
          <w:u w:val="single" w:color="auto"/>
          <w:color w:val="auto"/>
        </w:rPr>
        <w:t>Section 2.4(b)</w:t>
      </w:r>
      <w:r>
        <w:rPr>
          <w:rFonts w:ascii="Arial" w:cs="Arial" w:eastAsia="Arial" w:hAnsi="Arial"/>
          <w:sz w:val="20"/>
          <w:szCs w:val="20"/>
          <w:color w:val="auto"/>
        </w:rPr>
        <w:t>.</w:t>
      </w:r>
    </w:p>
    <w:p>
      <w:pPr>
        <w:spacing w:after="0" w:line="209" w:lineRule="exact"/>
        <w:rPr>
          <w:rFonts w:ascii="Arial" w:cs="Arial" w:eastAsia="Arial" w:hAnsi="Arial"/>
          <w:sz w:val="20"/>
          <w:szCs w:val="20"/>
          <w:color w:val="auto"/>
        </w:rPr>
      </w:pPr>
    </w:p>
    <w:p>
      <w:pPr>
        <w:jc w:val="both"/>
        <w:ind w:firstLine="601"/>
        <w:spacing w:after="0" w:line="285" w:lineRule="auto"/>
        <w:tabs>
          <w:tab w:leader="none" w:pos="1048" w:val="left"/>
        </w:tabs>
        <w:numPr>
          <w:ilvl w:val="1"/>
          <w:numId w:val="17"/>
        </w:numPr>
        <w:rPr>
          <w:rFonts w:ascii="Arial" w:cs="Arial" w:eastAsia="Arial" w:hAnsi="Arial"/>
          <w:sz w:val="18"/>
          <w:szCs w:val="18"/>
          <w:color w:val="auto"/>
        </w:rPr>
      </w:pPr>
      <w:r>
        <w:rPr>
          <w:rFonts w:ascii="Arial" w:cs="Arial" w:eastAsia="Arial" w:hAnsi="Arial"/>
          <w:sz w:val="18"/>
          <w:szCs w:val="18"/>
          <w:u w:val="single" w:color="auto"/>
          <w:color w:val="auto"/>
        </w:rPr>
        <w:t>Signing Classification Errors</w:t>
      </w:r>
      <w:r>
        <w:rPr>
          <w:rFonts w:ascii="Arial" w:cs="Arial" w:eastAsia="Arial" w:hAnsi="Arial"/>
          <w:sz w:val="18"/>
          <w:szCs w:val="18"/>
          <w:color w:val="auto"/>
        </w:rPr>
        <w:t>. On or prior to the date that is the later of (x) thirty (30) days following the DTFA Execution Date or (y) 14 days after the delivery by the Company to the Insurer of a revised list of Priced Lives, indicating whether each such Priced Life is a Solicited Life or a Non-Solicited Life correcting for the Classification Errors indentified prior to the DTFA Execution Date (the “</w:t>
      </w:r>
      <w:r>
        <w:rPr>
          <w:rFonts w:ascii="Arial" w:cs="Arial" w:eastAsia="Arial" w:hAnsi="Arial"/>
          <w:sz w:val="18"/>
          <w:szCs w:val="18"/>
          <w:u w:val="single" w:color="auto"/>
          <w:color w:val="auto"/>
        </w:rPr>
        <w:t>Signing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Classification Errors</w:t>
      </w:r>
      <w:r>
        <w:rPr>
          <w:rFonts w:ascii="Arial" w:cs="Arial" w:eastAsia="Arial" w:hAnsi="Arial"/>
          <w:sz w:val="18"/>
          <w:szCs w:val="18"/>
          <w:color w:val="auto"/>
        </w:rPr>
        <w:t>”), the Insurer shall deliver to the Company and to the Independent Third Party an updated Identified CD-ROM and a revised calculation of the Solicited Annuity Premium, the Non-Solicited Annuity Premium (and the resulting Base Annuity Premium), and the Solicited Adjusted Annuity Premium, in each case as of the DTFA Pricing Date. The Insurer shall calculate the Solicited Annuity Premium, the Non-Solicited Annuity Premium (and the resulting Base Annuity Premium), and the Solicited Adjusted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ectPr>
          <w:pgSz w:w="11900" w:h="16838" w:orient="portrait"/>
          <w:cols w:equalWidth="0" w:num="1">
            <w:col w:w="11420"/>
          </w:cols>
          <w:pgMar w:left="240" w:top="556" w:right="239" w:bottom="1440" w:gutter="0" w:footer="0" w:header="0"/>
        </w:sectPr>
      </w:pPr>
    </w:p>
    <w:bookmarkStart w:id="35" w:name="page36"/>
    <w:bookmarkEnd w:id="35"/>
    <w:p>
      <w:pPr>
        <w:jc w:val="both"/>
        <w:spacing w:after="0" w:line="278" w:lineRule="auto"/>
        <w:rPr>
          <w:sz w:val="20"/>
          <w:szCs w:val="20"/>
          <w:color w:val="auto"/>
        </w:rPr>
      </w:pPr>
      <w:r>
        <w:rPr>
          <w:rFonts w:ascii="Arial" w:cs="Arial" w:eastAsia="Arial" w:hAnsi="Arial"/>
          <w:sz w:val="18"/>
          <w:szCs w:val="18"/>
          <w:color w:val="auto"/>
        </w:rPr>
        <w:t xml:space="preserve">Annuity Premium in accordance with the methodologies, [ *** ] (including methodologies relating to [ *** ]), that were applied by the Insurer in calculating the original Non-Solicited Annuity Premium, the Solicited Annuity Premium, and the Solicited Adjusted Annuity Premium, as applicable. Such revised calculations shall be made solely to give effect to the correction of the Signing Classification Errors (which for the avoidance of doubt shall be only as to the lives set forth in </w:t>
      </w:r>
      <w:r>
        <w:rPr>
          <w:rFonts w:ascii="Arial" w:cs="Arial" w:eastAsia="Arial" w:hAnsi="Arial"/>
          <w:sz w:val="18"/>
          <w:szCs w:val="18"/>
          <w:u w:val="single" w:color="auto"/>
          <w:color w:val="auto"/>
        </w:rPr>
        <w:t>Section 2.4(a)</w:t>
      </w:r>
      <w:r>
        <w:rPr>
          <w:rFonts w:ascii="Arial" w:cs="Arial" w:eastAsia="Arial" w:hAnsi="Arial"/>
          <w:sz w:val="18"/>
          <w:szCs w:val="18"/>
          <w:color w:val="auto"/>
        </w:rPr>
        <w:t xml:space="preserve"> of the Company Disclosure Letter). The Company and the Insurer shall jointly direct the Independent Third Party to, within five (5) Business Days of delivery of such revised calculations, certify to the Company and the Insurer (such certification, the “</w:t>
      </w:r>
      <w:r>
        <w:rPr>
          <w:rFonts w:ascii="Arial" w:cs="Arial" w:eastAsia="Arial" w:hAnsi="Arial"/>
          <w:sz w:val="18"/>
          <w:szCs w:val="18"/>
          <w:u w:val="single" w:color="auto"/>
          <w:color w:val="auto"/>
        </w:rPr>
        <w:t>Revised Certification</w:t>
      </w:r>
      <w:r>
        <w:rPr>
          <w:rFonts w:ascii="Arial" w:cs="Arial" w:eastAsia="Arial" w:hAnsi="Arial"/>
          <w:sz w:val="18"/>
          <w:szCs w:val="18"/>
          <w:color w:val="auto"/>
        </w:rPr>
        <w:t>”), that (i) such revised calculations were limited to the Signing Classification Errors, and the Solicited Annuity Premium, Non-Solicited Annuity Premium and Solicited Adjusted Annuity Premium</w:t>
      </w:r>
    </w:p>
    <w:p>
      <w:pPr>
        <w:spacing w:after="0" w:line="4"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are the same for all other [ *** ] calculations with respect to Solicited Lives and Non-Solicited Lives not affected by the Signing Classification Errors, (ii) (A) the revised Solicited Annuity Premium and the Non-Solicited Annuity Premium, respectively, on the Summary</w:t>
      </w:r>
    </w:p>
    <w:p>
      <w:pPr>
        <w:spacing w:after="0" w:line="1" w:lineRule="exact"/>
        <w:rPr>
          <w:sz w:val="20"/>
          <w:szCs w:val="20"/>
          <w:color w:val="auto"/>
        </w:rPr>
      </w:pPr>
    </w:p>
    <w:p>
      <w:pPr>
        <w:spacing w:after="0" w:line="248" w:lineRule="auto"/>
        <w:rPr>
          <w:sz w:val="20"/>
          <w:szCs w:val="20"/>
          <w:color w:val="auto"/>
        </w:rPr>
      </w:pPr>
      <w:r>
        <w:rPr>
          <w:rFonts w:ascii="Arial" w:cs="Arial" w:eastAsia="Arial" w:hAnsi="Arial"/>
          <w:sz w:val="20"/>
          <w:szCs w:val="20"/>
          <w:color w:val="auto"/>
        </w:rPr>
        <w:t>Version-Vita Premium Build-Up Tool, is equal to the sum of the aggregate [ *** ], respectively, set forth on the revised Participant Premium Calculation Tab, which shall be completed in accordance with the [ *** ] and (B) the revised Solicited Adjusted Annuity</w:t>
      </w:r>
    </w:p>
    <w:p>
      <w:pPr>
        <w:spacing w:after="0"/>
        <w:rPr>
          <w:sz w:val="20"/>
          <w:szCs w:val="20"/>
          <w:color w:val="auto"/>
        </w:rPr>
      </w:pPr>
      <w:r>
        <w:rPr>
          <w:rFonts w:ascii="Arial" w:cs="Arial" w:eastAsia="Arial" w:hAnsi="Arial"/>
          <w:sz w:val="18"/>
          <w:szCs w:val="18"/>
          <w:color w:val="auto"/>
        </w:rPr>
        <w:t>Premium on the Summary Version-Vita Premium Build-Up Tool is equal to the sum of the aggregate solicited annuity premium after applying</w:t>
      </w:r>
    </w:p>
    <w:p>
      <w:pPr>
        <w:spacing w:after="0" w:line="200" w:lineRule="exact"/>
        <w:rPr>
          <w:sz w:val="20"/>
          <w:szCs w:val="20"/>
          <w:color w:val="auto"/>
        </w:rPr>
      </w:pPr>
    </w:p>
    <w:p>
      <w:pPr>
        <w:spacing w:after="0" w:line="227" w:lineRule="exact"/>
        <w:rPr>
          <w:sz w:val="20"/>
          <w:szCs w:val="20"/>
          <w:color w:val="auto"/>
        </w:rPr>
      </w:pPr>
    </w:p>
    <w:p>
      <w:pPr>
        <w:spacing w:after="0" w:line="254" w:lineRule="auto"/>
        <w:rPr>
          <w:sz w:val="20"/>
          <w:szCs w:val="20"/>
          <w:color w:val="auto"/>
        </w:rPr>
      </w:pPr>
      <w:r>
        <w:rPr>
          <w:rFonts w:ascii="Arial" w:cs="Arial" w:eastAsia="Arial" w:hAnsi="Arial"/>
          <w:sz w:val="20"/>
          <w:szCs w:val="20"/>
          <w:color w:val="auto"/>
        </w:rPr>
        <w:t>the [ *** ], as set forth on the revised Participant Premium Calculation Tab for each Solicited Life which shall be completed in accordance with [ *** ], and (iii) the average [ *** ] for lives who are affected by a Signing Classification Error and have become Solicited Lives as a result of such Signing Classification Error will [ *** ]. If the Independent Third Party does not, within such 5</w:t>
      </w:r>
    </w:p>
    <w:p>
      <w:pPr>
        <w:spacing w:after="0" w:line="1"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 xml:space="preserve">Business Day time period, make such certifications, then the Insurer shall so notify the Company and advise the Company of the reasons thereof, if known, and for a period of five (5) Business Days, seek to reasonably cooperate with the Independent Third Party to identify the reasons for the failure to certify and seek to resolve all items causing such failure to certify, and following the resolution of any such items the Insurer shall inform the Company within five (5) Business Days thereafter and the Insurer and the Company shall jointly direct the Independent Third Party to provide the certification contemplated by this </w:t>
      </w:r>
      <w:r>
        <w:rPr>
          <w:rFonts w:ascii="Arial" w:cs="Arial" w:eastAsia="Arial" w:hAnsi="Arial"/>
          <w:sz w:val="20"/>
          <w:szCs w:val="20"/>
          <w:u w:val="single" w:color="auto"/>
          <w:color w:val="auto"/>
        </w:rPr>
        <w:t>Section 2.4(c)</w:t>
      </w:r>
      <w:r>
        <w:rPr>
          <w:rFonts w:ascii="Arial" w:cs="Arial" w:eastAsia="Arial" w:hAnsi="Arial"/>
          <w:sz w:val="20"/>
          <w:szCs w:val="20"/>
          <w:color w:val="auto"/>
        </w:rPr>
        <w:t xml:space="preserve">. Following the calculations in this </w:t>
      </w:r>
      <w:r>
        <w:rPr>
          <w:rFonts w:ascii="Arial" w:cs="Arial" w:eastAsia="Arial" w:hAnsi="Arial"/>
          <w:sz w:val="20"/>
          <w:szCs w:val="20"/>
          <w:u w:val="single" w:color="auto"/>
          <w:color w:val="auto"/>
        </w:rPr>
        <w:t>Sections 2.4(c)</w:t>
      </w:r>
      <w:r>
        <w:rPr>
          <w:rFonts w:ascii="Arial" w:cs="Arial" w:eastAsia="Arial" w:hAnsi="Arial"/>
          <w:sz w:val="20"/>
          <w:szCs w:val="20"/>
          <w:color w:val="auto"/>
        </w:rPr>
        <w:t>, the revised Solicited Annuity Premium, the Non-Solicited Annuity Premium (and the resulting Base Annuity Premium), and the Solicited Adjusted Annuity Premium shall replace the previous calculations of the Solicited Annuity Premium, the Non-Solicited Annuity Premium, the Solicited Adjusted Annuity Premium, as applicable.</w:t>
      </w:r>
    </w:p>
    <w:p>
      <w:pPr>
        <w:spacing w:after="0" w:line="214" w:lineRule="exact"/>
        <w:rPr>
          <w:sz w:val="20"/>
          <w:szCs w:val="20"/>
          <w:color w:val="auto"/>
        </w:rPr>
      </w:pPr>
    </w:p>
    <w:p>
      <w:pPr>
        <w:jc w:val="both"/>
        <w:ind w:firstLine="601"/>
        <w:spacing w:after="0" w:line="282" w:lineRule="auto"/>
        <w:tabs>
          <w:tab w:leader="none" w:pos="121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Additional Classification Errors</w:t>
      </w:r>
      <w:r>
        <w:rPr>
          <w:rFonts w:ascii="Arial" w:cs="Arial" w:eastAsia="Arial" w:hAnsi="Arial"/>
          <w:sz w:val="18"/>
          <w:szCs w:val="18"/>
          <w:color w:val="auto"/>
        </w:rPr>
        <w:t>. If any Additional Classification Errors are reported to the Insurer, the Insurer shall, in connection with the calculation of whichever of the Dry-Run Post-Solicitation Premium, Preliminary Post-Solicitation Premium, Interim Post-Closing Post-Solicitation Premium or Post-Closing Post-Solicitation Premium is to be next calculated by the Insurer pursuant to this</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9"/>
          <w:szCs w:val="19"/>
          <w:color w:val="auto"/>
        </w:rPr>
        <w:t>Agreement, deliver to the Company and to the Independent Third Party a calculation of the resulting Additional Classification Error</w:t>
      </w:r>
    </w:p>
    <w:p>
      <w:pPr>
        <w:spacing w:after="0" w:line="222"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Correction. The Insurer shall calculate such Additional Classification Error Correction in accordance with the methodologies, [ *** ] (including methodologies relating to [ *** ]), that were applied by the Insurer in calculating the original Non-Solicited Annuity</w:t>
      </w:r>
    </w:p>
    <w:p>
      <w:pPr>
        <w:spacing w:after="0" w:line="1"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Premium, the Solicited Annuity Premium, and the Solicited Adjusted Annuity Premium, as applicable. In connection with the calculations described in the preceding sentence, the Insurer shall also deliver to the Independent Third Party the data inputs in respect of such Additional Classification Errors that are required to populate the “Average Incremental [ *** ] Charge for lives with increases in Solicited Base and Adjusted Annuity Premiums due to Classification changes or benefit increases” table set forth in the Post-Solicitation Premium Tab. The Company and the Insurer shall jointly direct the Independent Third Party to, within five (5) Business Days of delivery of such revised</w:t>
      </w:r>
    </w:p>
    <w:p>
      <w:pPr>
        <w:spacing w:after="0" w:line="3" w:lineRule="exact"/>
        <w:rPr>
          <w:sz w:val="20"/>
          <w:szCs w:val="20"/>
          <w:color w:val="auto"/>
        </w:rPr>
      </w:pPr>
    </w:p>
    <w:p>
      <w:pPr>
        <w:jc w:val="both"/>
        <w:spacing w:after="0" w:line="252" w:lineRule="auto"/>
        <w:rPr>
          <w:sz w:val="20"/>
          <w:szCs w:val="20"/>
          <w:color w:val="auto"/>
        </w:rPr>
      </w:pPr>
      <w:r>
        <w:rPr>
          <w:rFonts w:ascii="Arial" w:cs="Arial" w:eastAsia="Arial" w:hAnsi="Arial"/>
          <w:sz w:val="20"/>
          <w:szCs w:val="20"/>
          <w:color w:val="auto"/>
        </w:rPr>
        <w:t>calculations, certify to the Company and the Insurer that the average [ *** ] within each [ *** ] for lives who are affected by a Signing Classification Error, an Additional Classification Error and have become Solicited Lives as a result of such Signing Classification Error or</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ectPr>
          <w:pgSz w:w="11900" w:h="16838" w:orient="portrait"/>
          <w:cols w:equalWidth="0" w:num="1">
            <w:col w:w="11420"/>
          </w:cols>
          <w:pgMar w:left="240" w:top="556"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color w:val="auto"/>
        </w:rPr>
        <w:t>Additional Classification Error, or who were affected by a Benefit Amount Correction, will not be greater than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0"/>
          <w:szCs w:val="20"/>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 multiplied by the</w:t>
      </w:r>
    </w:p>
    <w:p>
      <w:pPr>
        <w:spacing w:after="0" w:line="37" w:lineRule="exact"/>
        <w:rPr>
          <w:sz w:val="20"/>
          <w:szCs w:val="20"/>
          <w:color w:val="auto"/>
        </w:rPr>
      </w:pPr>
    </w:p>
    <w:p>
      <w:pPr>
        <w:sectPr>
          <w:pgSz w:w="11900" w:h="16838" w:orient="portrait"/>
          <w:cols w:equalWidth="0" w:num="3">
            <w:col w:w="9000" w:space="260"/>
            <w:col w:w="300" w:space="360"/>
            <w:col w:w="1500"/>
          </w:cols>
          <w:pgMar w:left="240" w:top="556" w:right="239" w:bottom="1440" w:gutter="0" w:footer="0" w:header="0"/>
        </w:sectPr>
      </w:pPr>
    </w:p>
    <w:p>
      <w:pPr>
        <w:spacing w:after="0"/>
        <w:tabs>
          <w:tab w:leader="none" w:pos="960" w:val="left"/>
          <w:tab w:leader="none" w:pos="1620" w:val="left"/>
          <w:tab w:leader="none" w:pos="4060" w:val="left"/>
          <w:tab w:leader="none" w:pos="4700" w:val="left"/>
        </w:tabs>
        <w:rPr>
          <w:sz w:val="20"/>
          <w:szCs w:val="20"/>
          <w:color w:val="auto"/>
        </w:rPr>
      </w:pPr>
      <w:r>
        <w:rPr>
          <w:rFonts w:ascii="Arial" w:cs="Arial" w:eastAsia="Arial" w:hAnsi="Arial"/>
          <w:sz w:val="20"/>
          <w:szCs w:val="20"/>
          <w:color w:val="auto"/>
        </w:rPr>
        <w:t>average [</w:t>
        <w:tab/>
        <w:t>***</w:t>
      </w:r>
      <w:r>
        <w:rPr>
          <w:sz w:val="20"/>
          <w:szCs w:val="20"/>
          <w:color w:val="auto"/>
        </w:rPr>
        <w:tab/>
      </w:r>
      <w:r>
        <w:rPr>
          <w:rFonts w:ascii="Arial" w:cs="Arial" w:eastAsia="Arial" w:hAnsi="Arial"/>
          <w:sz w:val="20"/>
          <w:szCs w:val="20"/>
          <w:color w:val="auto"/>
        </w:rPr>
        <w:t>] for all Solicited Lives in [</w:t>
        <w:tab/>
        <w:t>***</w:t>
      </w:r>
      <w:r>
        <w:rPr>
          <w:sz w:val="20"/>
          <w:szCs w:val="20"/>
          <w:color w:val="auto"/>
        </w:rPr>
        <w:tab/>
      </w:r>
      <w:r>
        <w:rPr>
          <w:rFonts w:ascii="Arial" w:cs="Arial" w:eastAsia="Arial" w:hAnsi="Arial"/>
          <w:sz w:val="20"/>
          <w:szCs w:val="20"/>
          <w:color w:val="auto"/>
        </w:rPr>
        <w:t>].</w:t>
      </w:r>
    </w:p>
    <w:p>
      <w:pPr>
        <w:sectPr>
          <w:pgSz w:w="11900" w:h="16838" w:orient="portrait"/>
          <w:cols w:equalWidth="0" w:num="1">
            <w:col w:w="11420"/>
          </w:cols>
          <w:pgMar w:left="240" w:top="556" w:right="239" w:bottom="1440" w:gutter="0" w:footer="0" w:header="0"/>
          <w:type w:val="continuous"/>
        </w:sectPr>
      </w:pPr>
    </w:p>
    <w:p>
      <w:pPr>
        <w:spacing w:after="0" w:line="227" w:lineRule="exact"/>
        <w:rPr>
          <w:sz w:val="20"/>
          <w:szCs w:val="20"/>
          <w:color w:val="auto"/>
        </w:rPr>
      </w:pPr>
    </w:p>
    <w:p>
      <w:pPr>
        <w:jc w:val="both"/>
        <w:ind w:firstLine="601"/>
        <w:spacing w:after="0" w:line="280" w:lineRule="auto"/>
        <w:tabs>
          <w:tab w:leader="none" w:pos="1023"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Benefit Amount Corrections</w:t>
      </w:r>
      <w:r>
        <w:rPr>
          <w:rFonts w:ascii="Arial" w:cs="Arial" w:eastAsia="Arial" w:hAnsi="Arial"/>
          <w:sz w:val="18"/>
          <w:szCs w:val="18"/>
          <w:color w:val="auto"/>
        </w:rPr>
        <w:t>. If any Benefit Amount Increases are reported to the Insurer, the Insurer shall, in connection with the calculation of whichever of the Dry-Run Post-Solicitation Premium, Preliminary Post-Solicitation Premium, Interim Post-Closing Post-Solicitation Premium or Post-Closing Post-Solicitation Premium is to be next calculated by the Insurer pursuant to this Agreement, deliver to the Company and to the Independent Third Party a calculation of the resulting Benefit Amount Correction. The Insurer shall calculate such</w:t>
      </w:r>
    </w:p>
    <w:p>
      <w:pPr>
        <w:spacing w:after="0" w:line="3"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Benefit Amount Correction in accordance with the methodologies, [ *** ] (including methodologies relating to [ *** ]), that were applied by the Insurer in calculating the original Non-Solicited Annuity Premium, the Solicited Annuity Premium, and the Solicited Adjusted Annuity Premium, as applicable. In connection with the calculations described in the preceding sentence, the Insurer shall also deliver to the Independent Third Party the data inputs in respect of such Benefit Amount Increases that are required to populate the “Average Incremental</w:t>
      </w:r>
    </w:p>
    <w:p>
      <w:pPr>
        <w:spacing w:after="0" w:line="3" w:lineRule="exact"/>
        <w:rPr>
          <w:sz w:val="20"/>
          <w:szCs w:val="20"/>
          <w:color w:val="auto"/>
        </w:rPr>
      </w:pPr>
    </w:p>
    <w:p>
      <w:pPr>
        <w:ind w:left="360" w:hanging="360"/>
        <w:spacing w:after="0"/>
        <w:tabs>
          <w:tab w:leader="none" w:pos="360" w:val="left"/>
        </w:tabs>
        <w:numPr>
          <w:ilvl w:val="0"/>
          <w:numId w:val="20"/>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18"/>
          <w:szCs w:val="18"/>
          <w:color w:val="auto"/>
        </w:rPr>
        <w:t>] for lives with increases in Solicited Base and Adjusted Annuity Premiums due to Classification changes or benefit increases”</w:t>
      </w:r>
    </w:p>
    <w:p>
      <w:pPr>
        <w:spacing w:after="0" w:line="7"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18"/>
          <w:szCs w:val="18"/>
          <w:color w:val="auto"/>
        </w:rPr>
        <w:t>table set forth in the Post-Solicitation Premium Spreadsheet. The Company and the Insurer shall jointly direct the Independent Third Party to,</w:t>
      </w:r>
    </w:p>
    <w:p>
      <w:pPr>
        <w:spacing w:after="0" w:line="228" w:lineRule="exact"/>
        <w:rPr>
          <w:sz w:val="20"/>
          <w:szCs w:val="20"/>
          <w:color w:val="auto"/>
        </w:rPr>
      </w:pPr>
    </w:p>
    <w:p>
      <w:pPr>
        <w:spacing w:after="0" w:line="271" w:lineRule="auto"/>
        <w:rPr>
          <w:sz w:val="20"/>
          <w:szCs w:val="20"/>
          <w:color w:val="auto"/>
        </w:rPr>
      </w:pPr>
      <w:r>
        <w:rPr>
          <w:rFonts w:ascii="Arial" w:cs="Arial" w:eastAsia="Arial" w:hAnsi="Arial"/>
          <w:sz w:val="19"/>
          <w:szCs w:val="19"/>
          <w:color w:val="auto"/>
        </w:rPr>
        <w:t>within five (5) Business Days of delivery of such revised calculations, certify to the Company and the Insurer that the average [ *** ] within each [ *** ] for lives who are affected by a Signing Classification Error, an Additional Classification Error and have become</w:t>
      </w:r>
    </w:p>
    <w:p>
      <w:pPr>
        <w:spacing w:after="0" w:line="257" w:lineRule="auto"/>
        <w:rPr>
          <w:sz w:val="20"/>
          <w:szCs w:val="20"/>
          <w:color w:val="auto"/>
        </w:rPr>
      </w:pPr>
      <w:r>
        <w:rPr>
          <w:rFonts w:ascii="Arial" w:cs="Arial" w:eastAsia="Arial" w:hAnsi="Arial"/>
          <w:sz w:val="20"/>
          <w:szCs w:val="20"/>
          <w:color w:val="auto"/>
        </w:rPr>
        <w:t>Solicited Lives as a result of such Signing Classification Error or Additional Classification Error, or who were affected by a Benefit Amount Correction, will not be greater than [ *** ]% multiplied by the average [ *** ] for all Solicited Lives [ *** ].</w:t>
      </w:r>
    </w:p>
    <w:p>
      <w:pPr>
        <w:spacing w:after="0" w:line="200" w:lineRule="exact"/>
        <w:rPr>
          <w:sz w:val="20"/>
          <w:szCs w:val="20"/>
          <w:color w:val="auto"/>
        </w:rPr>
      </w:pPr>
    </w:p>
    <w:p>
      <w:pPr>
        <w:spacing w:after="0" w:line="203" w:lineRule="exact"/>
        <w:rPr>
          <w:sz w:val="20"/>
          <w:szCs w:val="20"/>
          <w:color w:val="auto"/>
        </w:rPr>
      </w:pPr>
    </w:p>
    <w:p>
      <w:pPr>
        <w:ind w:left="600"/>
        <w:spacing w:after="0"/>
        <w:tabs>
          <w:tab w:leader="none" w:pos="1680" w:val="left"/>
        </w:tabs>
        <w:rPr>
          <w:sz w:val="20"/>
          <w:szCs w:val="20"/>
          <w:color w:val="auto"/>
        </w:rPr>
      </w:pPr>
      <w:r>
        <w:rPr>
          <w:rFonts w:ascii="Arial" w:cs="Arial" w:eastAsia="Arial" w:hAnsi="Arial"/>
          <w:sz w:val="20"/>
          <w:szCs w:val="20"/>
          <w:color w:val="auto"/>
        </w:rPr>
        <w:t>Section 2.5</w:t>
      </w:r>
      <w:r>
        <w:rPr>
          <w:sz w:val="20"/>
          <w:szCs w:val="20"/>
          <w:color w:val="auto"/>
        </w:rPr>
        <w:tab/>
      </w:r>
      <w:r>
        <w:rPr>
          <w:rFonts w:ascii="Arial" w:cs="Arial" w:eastAsia="Arial" w:hAnsi="Arial"/>
          <w:sz w:val="18"/>
          <w:szCs w:val="18"/>
          <w:u w:val="single" w:color="auto"/>
          <w:color w:val="auto"/>
        </w:rPr>
        <w:t>Calculation of Revised Base Annuity Premium</w:t>
      </w:r>
      <w:r>
        <w:rPr>
          <w:rFonts w:ascii="Arial" w:cs="Arial" w:eastAsia="Arial" w:hAnsi="Arial"/>
          <w:sz w:val="18"/>
          <w:szCs w:val="18"/>
          <w:color w:val="auto"/>
        </w:rPr>
        <w:t>.</w:t>
      </w:r>
    </w:p>
    <w:p>
      <w:pPr>
        <w:spacing w:after="0" w:line="246" w:lineRule="exact"/>
        <w:rPr>
          <w:sz w:val="20"/>
          <w:szCs w:val="20"/>
          <w:color w:val="auto"/>
        </w:rPr>
      </w:pPr>
    </w:p>
    <w:p>
      <w:pPr>
        <w:jc w:val="both"/>
        <w:ind w:firstLine="601"/>
        <w:spacing w:after="0" w:line="286" w:lineRule="auto"/>
        <w:tabs>
          <w:tab w:leader="none" w:pos="1073"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Lump-Sum Election Data</w:t>
      </w:r>
      <w:r>
        <w:rPr>
          <w:rFonts w:ascii="Arial" w:cs="Arial" w:eastAsia="Arial" w:hAnsi="Arial"/>
          <w:sz w:val="18"/>
          <w:szCs w:val="18"/>
          <w:color w:val="auto"/>
        </w:rPr>
        <w:t>. On or prior to the date that is three (3) Business Days following the end of the Lump-Sum Election Period, the Company shall deliver to the Insurer and the Independent Third Party a statement setting forth a life-by-life list of each Solicited</w:t>
      </w:r>
    </w:p>
    <w:p>
      <w:pPr>
        <w:spacing w:after="0"/>
        <w:tabs>
          <w:tab w:leader="none" w:pos="10980" w:val="left"/>
        </w:tabs>
        <w:rPr>
          <w:sz w:val="20"/>
          <w:szCs w:val="20"/>
          <w:color w:val="auto"/>
        </w:rPr>
      </w:pPr>
      <w:r>
        <w:rPr>
          <w:rFonts w:ascii="Arial" w:cs="Arial" w:eastAsia="Arial" w:hAnsi="Arial"/>
          <w:sz w:val="19"/>
          <w:szCs w:val="19"/>
          <w:color w:val="auto"/>
        </w:rPr>
        <w:t>Life who made a Lump-Sum Election and each Solicited Life who did not make a Lump-Sum Election and any Solicited Life who [</w:t>
      </w:r>
      <w:r>
        <w:rPr>
          <w:sz w:val="20"/>
          <w:szCs w:val="20"/>
          <w:color w:val="auto"/>
        </w:rPr>
        <w:tab/>
      </w:r>
      <w:r>
        <w:rPr>
          <w:rFonts w:ascii="Arial" w:cs="Arial" w:eastAsia="Arial" w:hAnsi="Arial"/>
          <w:sz w:val="20"/>
          <w:szCs w:val="20"/>
          <w:color w:val="auto"/>
        </w:rPr>
        <w:t>***</w:t>
      </w:r>
    </w:p>
    <w:p>
      <w:pPr>
        <w:spacing w:after="0" w:line="8" w:lineRule="exact"/>
        <w:rPr>
          <w:sz w:val="20"/>
          <w:szCs w:val="20"/>
          <w:color w:val="auto"/>
        </w:rPr>
      </w:pPr>
    </w:p>
    <w:p>
      <w:pPr>
        <w:ind w:left="200"/>
        <w:spacing w:after="0"/>
        <w:rPr>
          <w:sz w:val="20"/>
          <w:szCs w:val="20"/>
          <w:color w:val="auto"/>
        </w:rPr>
      </w:pPr>
      <w:r>
        <w:rPr>
          <w:rFonts w:ascii="Arial" w:cs="Arial" w:eastAsia="Arial" w:hAnsi="Arial"/>
          <w:sz w:val="20"/>
          <w:szCs w:val="20"/>
          <w:color w:val="auto"/>
        </w:rPr>
        <w:t>], together with reasonable supporting documentation (the “</w:t>
      </w:r>
      <w:r>
        <w:rPr>
          <w:rFonts w:ascii="Arial" w:cs="Arial" w:eastAsia="Arial" w:hAnsi="Arial"/>
          <w:sz w:val="20"/>
          <w:szCs w:val="20"/>
          <w:u w:val="single" w:color="auto"/>
          <w:color w:val="auto"/>
        </w:rPr>
        <w:t>Lump-Sum Data</w:t>
      </w:r>
      <w:r>
        <w:rPr>
          <w:rFonts w:ascii="Arial" w:cs="Arial" w:eastAsia="Arial" w:hAnsi="Arial"/>
          <w:sz w:val="20"/>
          <w:szCs w:val="20"/>
          <w:color w:val="auto"/>
        </w:rPr>
        <w:t>”).</w:t>
      </w:r>
    </w:p>
    <w:p>
      <w:pPr>
        <w:spacing w:after="0" w:line="228" w:lineRule="exact"/>
        <w:rPr>
          <w:sz w:val="20"/>
          <w:szCs w:val="20"/>
          <w:color w:val="auto"/>
        </w:rPr>
      </w:pPr>
    </w:p>
    <w:p>
      <w:pPr>
        <w:jc w:val="both"/>
        <w:ind w:firstLine="601"/>
        <w:spacing w:after="0" w:line="286" w:lineRule="auto"/>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Revised Base Annuity Premium</w:t>
      </w:r>
      <w:r>
        <w:rPr>
          <w:rFonts w:ascii="Arial" w:cs="Arial" w:eastAsia="Arial" w:hAnsi="Arial"/>
          <w:sz w:val="18"/>
          <w:szCs w:val="18"/>
          <w:color w:val="auto"/>
        </w:rPr>
        <w:t>. Within three (3) Business Days following the receipt of the Lump-Sum Data, the Insurer shall deliver to the Company and to the Independent Third Party a calculation of the Non-Electing Solicited Adjusted Annuity Premium and the</w:t>
      </w:r>
    </w:p>
    <w:p>
      <w:pPr>
        <w:spacing w:after="0"/>
        <w:rPr>
          <w:rFonts w:ascii="Arial" w:cs="Arial" w:eastAsia="Arial" w:hAnsi="Arial"/>
          <w:sz w:val="18"/>
          <w:szCs w:val="18"/>
          <w:color w:val="auto"/>
        </w:rPr>
      </w:pPr>
      <w:r>
        <w:rPr>
          <w:rFonts w:ascii="Arial" w:cs="Arial" w:eastAsia="Arial" w:hAnsi="Arial"/>
          <w:sz w:val="19"/>
          <w:szCs w:val="19"/>
          <w:color w:val="auto"/>
        </w:rPr>
        <w:t>Non-Electing Annuity Premium, and the calculation of the Revised Base Annuity Premium, in each case calculated in accordance with</w:t>
      </w:r>
    </w:p>
    <w:p>
      <w:pPr>
        <w:spacing w:after="0" w:line="220"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Section A of the Procedures Manual. The Insurer shall also deliver to the Company a calculation of the estimated [ *** ], and the estimated [ *** ] as of such date. The Insurer and the Company shall jointly direct the Independent Third Party to, within 5 Business</w:t>
      </w:r>
    </w:p>
    <w:p>
      <w:pPr>
        <w:jc w:val="both"/>
        <w:spacing w:after="0" w:line="344" w:lineRule="auto"/>
        <w:rPr>
          <w:sz w:val="20"/>
          <w:szCs w:val="20"/>
          <w:color w:val="auto"/>
        </w:rPr>
      </w:pPr>
      <w:r>
        <w:rPr>
          <w:rFonts w:ascii="Arial" w:cs="Arial" w:eastAsia="Arial" w:hAnsi="Arial"/>
          <w:sz w:val="18"/>
          <w:szCs w:val="18"/>
          <w:color w:val="auto"/>
        </w:rPr>
        <w:t>Days following receipt of such calculations, certify to the Company that (i) the Solicited Lives set forth on the Participant Premium Calculations Tab who did not make a Lump-Sum Election were also designated by the Lump Sum Data as not having made a Lump-Sum Election, and the Solicited Lives set forth on the Participant Premium Calculations Tab who did make a Lump-Sum Election were also designated by the Lump Sum Data as having made a Lump-Sum Election and (ii) the Non-Electing Annuity Premium, as calculated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Insurer, is equal to the aggregate solicited adjusted annuity premium for each [ *** ] who did not make a Lump-Sum Election, then multiplied by [ *** ] (as defined in the Procedures Manual) for each [ *** ]. The Independent Third Party shall use its calculation</w:t>
      </w:r>
    </w:p>
    <w:p>
      <w:pPr>
        <w:jc w:val="both"/>
        <w:spacing w:after="0" w:line="257" w:lineRule="auto"/>
        <w:rPr>
          <w:sz w:val="20"/>
          <w:szCs w:val="20"/>
          <w:color w:val="auto"/>
        </w:rPr>
      </w:pPr>
      <w:r>
        <w:rPr>
          <w:rFonts w:ascii="Arial" w:cs="Arial" w:eastAsia="Arial" w:hAnsi="Arial"/>
          <w:sz w:val="20"/>
          <w:szCs w:val="20"/>
          <w:color w:val="auto"/>
        </w:rPr>
        <w:t xml:space="preserve">of the Non-Electing Annuity Premium as may be revised pursuant to </w:t>
      </w:r>
      <w:r>
        <w:rPr>
          <w:rFonts w:ascii="Arial" w:cs="Arial" w:eastAsia="Arial" w:hAnsi="Arial"/>
          <w:sz w:val="20"/>
          <w:szCs w:val="20"/>
          <w:u w:val="single" w:color="auto"/>
          <w:color w:val="auto"/>
        </w:rPr>
        <w:t>Section 2.5(c)</w:t>
      </w:r>
      <w:r>
        <w:rPr>
          <w:rFonts w:ascii="Arial" w:cs="Arial" w:eastAsia="Arial" w:hAnsi="Arial"/>
          <w:sz w:val="20"/>
          <w:szCs w:val="20"/>
          <w:color w:val="auto"/>
        </w:rPr>
        <w:t xml:space="preserve">, in connection with any future calculations it makes pursuant to </w:t>
      </w:r>
      <w:r>
        <w:rPr>
          <w:rFonts w:ascii="Arial" w:cs="Arial" w:eastAsia="Arial" w:hAnsi="Arial"/>
          <w:sz w:val="20"/>
          <w:szCs w:val="20"/>
          <w:u w:val="single" w:color="auto"/>
          <w:color w:val="auto"/>
        </w:rPr>
        <w:t>Section 2.7</w:t>
      </w:r>
      <w:r>
        <w:rPr>
          <w:rFonts w:ascii="Arial" w:cs="Arial" w:eastAsia="Arial" w:hAnsi="Arial"/>
          <w:sz w:val="20"/>
          <w:szCs w:val="20"/>
          <w:color w:val="auto"/>
        </w:rPr>
        <w:t xml:space="preserve">, </w:t>
      </w:r>
      <w:r>
        <w:rPr>
          <w:rFonts w:ascii="Arial" w:cs="Arial" w:eastAsia="Arial" w:hAnsi="Arial"/>
          <w:sz w:val="20"/>
          <w:szCs w:val="20"/>
          <w:u w:val="single" w:color="auto"/>
          <w:color w:val="auto"/>
        </w:rPr>
        <w:t>2.8</w:t>
      </w:r>
      <w:r>
        <w:rPr>
          <w:rFonts w:ascii="Arial" w:cs="Arial" w:eastAsia="Arial" w:hAnsi="Arial"/>
          <w:sz w:val="20"/>
          <w:szCs w:val="20"/>
          <w:color w:val="auto"/>
        </w:rPr>
        <w:t xml:space="preserve">, </w:t>
      </w:r>
      <w:r>
        <w:rPr>
          <w:rFonts w:ascii="Arial" w:cs="Arial" w:eastAsia="Arial" w:hAnsi="Arial"/>
          <w:sz w:val="20"/>
          <w:szCs w:val="20"/>
          <w:u w:val="single" w:color="auto"/>
          <w:color w:val="auto"/>
        </w:rPr>
        <w:t>2.9</w:t>
      </w:r>
      <w:r>
        <w:rPr>
          <w:rFonts w:ascii="Arial" w:cs="Arial" w:eastAsia="Arial" w:hAnsi="Arial"/>
          <w:sz w:val="20"/>
          <w:szCs w:val="20"/>
          <w:color w:val="auto"/>
        </w:rPr>
        <w:t xml:space="preserve">, </w:t>
      </w:r>
      <w:r>
        <w:rPr>
          <w:rFonts w:ascii="Arial" w:cs="Arial" w:eastAsia="Arial" w:hAnsi="Arial"/>
          <w:sz w:val="20"/>
          <w:szCs w:val="20"/>
          <w:u w:val="single" w:color="auto"/>
          <w:color w:val="auto"/>
        </w:rPr>
        <w:t>2.10</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2.11</w:t>
      </w:r>
      <w:r>
        <w:rPr>
          <w:rFonts w:ascii="Arial" w:cs="Arial" w:eastAsia="Arial" w:hAnsi="Arial"/>
          <w:sz w:val="20"/>
          <w:szCs w:val="20"/>
          <w:color w:val="auto"/>
        </w:rPr>
        <w:t>.</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ectPr>
          <w:pgSz w:w="11900" w:h="16838" w:orient="portrait"/>
          <w:cols w:equalWidth="0" w:num="1">
            <w:col w:w="11420"/>
          </w:cols>
          <w:pgMar w:left="240" w:top="556" w:right="239" w:bottom="1440" w:gutter="0" w:footer="0" w:header="0"/>
          <w:type w:val="continuous"/>
        </w:sectPr>
      </w:pPr>
    </w:p>
    <w:bookmarkStart w:id="37" w:name="page38"/>
    <w:bookmarkEnd w:id="37"/>
    <w:p>
      <w:pPr>
        <w:jc w:val="both"/>
        <w:ind w:firstLine="601"/>
        <w:spacing w:after="0" w:line="283" w:lineRule="auto"/>
        <w:tabs>
          <w:tab w:leader="none" w:pos="1025" w:val="left"/>
        </w:tabs>
        <w:numPr>
          <w:ilvl w:val="0"/>
          <w:numId w:val="23"/>
        </w:numPr>
        <w:rPr>
          <w:rFonts w:ascii="Arial" w:cs="Arial" w:eastAsia="Arial" w:hAnsi="Arial"/>
          <w:sz w:val="18"/>
          <w:szCs w:val="18"/>
          <w:color w:val="auto"/>
        </w:rPr>
      </w:pPr>
      <w:r>
        <w:rPr>
          <w:rFonts w:ascii="Arial" w:cs="Arial" w:eastAsia="Arial" w:hAnsi="Arial"/>
          <w:sz w:val="18"/>
          <w:szCs w:val="18"/>
          <w:color w:val="auto"/>
        </w:rPr>
        <w:t>If the calculations by the Independent Third Party differ from the amounts calculated by the Insurer, the Insurer shall, for a period of five (5) Business Days, seek to reasonably cooperate with the Company and the Independent Third Party to identify the reasons for the difference and seek to resolve all such differences, and shall deliver the revised calculations, if any, to the Company within five (5) Business Days thereafter. In the event the Insurer, the Company and the Independent Third Party do not identify or resolve all such differences, the Company and the Insurer shall jointly direct the Independent Third Party to, within two (2) Business Days, make any revisions to the Non-Electing Solicited Adjusted Annuity Premium, Non-Electing Annuity Premium, and Revised Base Annuity Premium that were agreed upon by the Company and the Insurer and restate the Non-Electing Solicited Adjusted Annuity Premium, Non-Electing Annuity Premium, and Revised Base Annuity Premium, and provide the Company and the Insurer with such revised calculations.</w:t>
      </w:r>
    </w:p>
    <w:p>
      <w:pPr>
        <w:spacing w:after="0" w:line="187" w:lineRule="exact"/>
        <w:rPr>
          <w:rFonts w:ascii="Arial" w:cs="Arial" w:eastAsia="Arial" w:hAnsi="Arial"/>
          <w:sz w:val="18"/>
          <w:szCs w:val="18"/>
          <w:color w:val="auto"/>
        </w:rPr>
      </w:pPr>
    </w:p>
    <w:p>
      <w:pPr>
        <w:ind w:left="1040" w:hanging="43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As soon as practicable after July 20, 2012, the Company will provide to the Insurer a statement setting forth the Company's good</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faith estimate of a life-by-life list of each Solicited Life who made a Lump-Sum Election and each Solicited Life who did not make a Lump-</w:t>
      </w:r>
    </w:p>
    <w:tbl>
      <w:tblPr>
        <w:tblLayout w:type="fixed"/>
        <w:tblInd w:w="0" w:type="dxa"/>
        <w:tblCellMar>
          <w:top w:w="0" w:type="dxa"/>
          <w:left w:w="0" w:type="dxa"/>
          <w:bottom w:w="0" w:type="dxa"/>
          <w:right w:w="0" w:type="dxa"/>
        </w:tblCellMar>
      </w:tblPr>
      <w:tr>
        <w:trPr>
          <w:trHeight w:val="222"/>
        </w:trPr>
        <w:tc>
          <w:tcPr>
            <w:tcW w:w="3780" w:type="dxa"/>
            <w:vAlign w:val="bottom"/>
          </w:tcPr>
          <w:p>
            <w:pPr>
              <w:spacing w:after="0" w:line="222" w:lineRule="exact"/>
              <w:rPr>
                <w:sz w:val="20"/>
                <w:szCs w:val="20"/>
                <w:color w:val="auto"/>
              </w:rPr>
            </w:pPr>
            <w:r>
              <w:rPr>
                <w:rFonts w:ascii="Arial" w:cs="Arial" w:eastAsia="Arial" w:hAnsi="Arial"/>
                <w:sz w:val="20"/>
                <w:szCs w:val="20"/>
                <w:color w:val="auto"/>
              </w:rPr>
              <w:t>Sum Election and any Solicited Life [   ***</w:t>
            </w:r>
          </w:p>
        </w:tc>
        <w:tc>
          <w:tcPr>
            <w:tcW w:w="7640" w:type="dxa"/>
            <w:vAlign w:val="bottom"/>
            <w:gridSpan w:val="4"/>
          </w:tcPr>
          <w:p>
            <w:pPr>
              <w:jc w:val="right"/>
              <w:spacing w:after="0" w:line="222" w:lineRule="exact"/>
              <w:rPr>
                <w:sz w:val="20"/>
                <w:szCs w:val="20"/>
                <w:color w:val="auto"/>
              </w:rPr>
            </w:pPr>
            <w:r>
              <w:rPr>
                <w:rFonts w:ascii="Arial" w:cs="Arial" w:eastAsia="Arial" w:hAnsi="Arial"/>
                <w:sz w:val="20"/>
                <w:szCs w:val="20"/>
                <w:color w:val="auto"/>
                <w:w w:val="93"/>
              </w:rPr>
              <w:t>](the “Estimated Lump-Sum Data”). As soon as practicable after the receipt of the Estimated</w:t>
            </w:r>
          </w:p>
        </w:tc>
      </w:tr>
      <w:tr>
        <w:trPr>
          <w:trHeight w:val="20"/>
        </w:trPr>
        <w:tc>
          <w:tcPr>
            <w:tcW w:w="4480" w:type="dxa"/>
            <w:vAlign w:val="bottom"/>
            <w:gridSpan w:val="2"/>
          </w:tcPr>
          <w:p>
            <w:pPr>
              <w:spacing w:after="0" w:line="20" w:lineRule="exact"/>
              <w:rPr>
                <w:sz w:val="1"/>
                <w:szCs w:val="1"/>
                <w:color w:val="auto"/>
              </w:rPr>
            </w:pPr>
          </w:p>
        </w:tc>
        <w:tc>
          <w:tcPr>
            <w:tcW w:w="220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r>
      <w:tr>
        <w:trPr>
          <w:trHeight w:val="247"/>
        </w:trPr>
        <w:tc>
          <w:tcPr>
            <w:tcW w:w="8000" w:type="dxa"/>
            <w:vAlign w:val="bottom"/>
            <w:gridSpan w:val="4"/>
          </w:tcPr>
          <w:p>
            <w:pPr>
              <w:spacing w:after="0"/>
              <w:rPr>
                <w:sz w:val="20"/>
                <w:szCs w:val="20"/>
                <w:color w:val="auto"/>
              </w:rPr>
            </w:pPr>
            <w:r>
              <w:rPr>
                <w:rFonts w:ascii="Arial" w:cs="Arial" w:eastAsia="Arial" w:hAnsi="Arial"/>
                <w:sz w:val="20"/>
                <w:szCs w:val="20"/>
                <w:color w:val="auto"/>
                <w:w w:val="98"/>
              </w:rPr>
              <w:t>Lump-Sum Data, the Insurer will provide to the Company its good faith estimate of the [   ***</w:t>
            </w:r>
          </w:p>
        </w:tc>
        <w:tc>
          <w:tcPr>
            <w:tcW w:w="3420" w:type="dxa"/>
            <w:vAlign w:val="bottom"/>
          </w:tcPr>
          <w:p>
            <w:pPr>
              <w:jc w:val="right"/>
              <w:spacing w:after="0"/>
              <w:rPr>
                <w:sz w:val="20"/>
                <w:szCs w:val="20"/>
                <w:color w:val="auto"/>
              </w:rPr>
            </w:pPr>
            <w:r>
              <w:rPr>
                <w:rFonts w:ascii="Arial" w:cs="Arial" w:eastAsia="Arial" w:hAnsi="Arial"/>
                <w:sz w:val="20"/>
                <w:szCs w:val="20"/>
                <w:color w:val="auto"/>
                <w:w w:val="98"/>
              </w:rPr>
              <w:t>] as of date of delivery of the Estimated</w:t>
            </w:r>
          </w:p>
        </w:tc>
      </w:tr>
      <w:tr>
        <w:trPr>
          <w:trHeight w:val="256"/>
        </w:trPr>
        <w:tc>
          <w:tcPr>
            <w:tcW w:w="3780" w:type="dxa"/>
            <w:vAlign w:val="bottom"/>
          </w:tcPr>
          <w:p>
            <w:pPr>
              <w:spacing w:after="0"/>
              <w:rPr>
                <w:sz w:val="20"/>
                <w:szCs w:val="20"/>
                <w:color w:val="auto"/>
              </w:rPr>
            </w:pPr>
            <w:r>
              <w:rPr>
                <w:rFonts w:ascii="Arial" w:cs="Arial" w:eastAsia="Arial" w:hAnsi="Arial"/>
                <w:sz w:val="20"/>
                <w:szCs w:val="20"/>
                <w:color w:val="auto"/>
              </w:rPr>
              <w:t>Lump-Sum Data.</w:t>
            </w:r>
          </w:p>
        </w:tc>
        <w:tc>
          <w:tcPr>
            <w:tcW w:w="700" w:type="dxa"/>
            <w:vAlign w:val="bottom"/>
          </w:tcPr>
          <w:p>
            <w:pPr>
              <w:spacing w:after="0"/>
              <w:rPr>
                <w:sz w:val="22"/>
                <w:szCs w:val="22"/>
                <w:color w:val="auto"/>
              </w:rPr>
            </w:pPr>
          </w:p>
        </w:tc>
        <w:tc>
          <w:tcPr>
            <w:tcW w:w="22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3420" w:type="dxa"/>
            <w:vAlign w:val="bottom"/>
          </w:tcPr>
          <w:p>
            <w:pPr>
              <w:spacing w:after="0"/>
              <w:rPr>
                <w:sz w:val="22"/>
                <w:szCs w:val="22"/>
                <w:color w:val="auto"/>
              </w:rPr>
            </w:pPr>
          </w:p>
        </w:tc>
      </w:tr>
    </w:tbl>
    <w:p>
      <w:pPr>
        <w:spacing w:after="0" w:line="219" w:lineRule="exact"/>
        <w:rPr>
          <w:sz w:val="20"/>
          <w:szCs w:val="20"/>
          <w:color w:val="auto"/>
        </w:rPr>
      </w:pPr>
    </w:p>
    <w:p>
      <w:pPr>
        <w:ind w:left="1020" w:hanging="419"/>
        <w:spacing w:after="0"/>
        <w:tabs>
          <w:tab w:leader="none" w:pos="1020" w:val="left"/>
        </w:tabs>
        <w:numPr>
          <w:ilvl w:val="0"/>
          <w:numId w:val="24"/>
        </w:numPr>
        <w:rPr>
          <w:rFonts w:ascii="Arial" w:cs="Arial" w:eastAsia="Arial" w:hAnsi="Arial"/>
          <w:sz w:val="20"/>
          <w:szCs w:val="20"/>
          <w:color w:val="auto"/>
        </w:rPr>
      </w:pPr>
      <w:r>
        <w:rPr>
          <w:rFonts w:ascii="Arial" w:cs="Arial" w:eastAsia="Arial" w:hAnsi="Arial"/>
          <w:sz w:val="20"/>
          <w:szCs w:val="20"/>
          <w:u w:val="single" w:color="auto"/>
          <w:color w:val="auto"/>
        </w:rPr>
        <w:t>Dry-Run Post-Solicitation Premium; Preliminary Post-Solicitation Premium</w:t>
      </w:r>
      <w:r>
        <w:rPr>
          <w:rFonts w:ascii="Arial" w:cs="Arial" w:eastAsia="Arial" w:hAnsi="Arial"/>
          <w:sz w:val="20"/>
          <w:szCs w:val="20"/>
          <w:color w:val="auto"/>
        </w:rPr>
        <w:t>.</w:t>
      </w:r>
    </w:p>
    <w:p>
      <w:pPr>
        <w:spacing w:after="0" w:line="245" w:lineRule="exact"/>
        <w:rPr>
          <w:rFonts w:ascii="Arial" w:cs="Arial" w:eastAsia="Arial" w:hAnsi="Arial"/>
          <w:sz w:val="20"/>
          <w:szCs w:val="20"/>
          <w:color w:val="auto"/>
        </w:rPr>
      </w:pPr>
    </w:p>
    <w:p>
      <w:pPr>
        <w:jc w:val="both"/>
        <w:ind w:left="600" w:firstLine="602"/>
        <w:spacing w:after="0" w:line="282" w:lineRule="auto"/>
        <w:tabs>
          <w:tab w:leader="none" w:pos="1990" w:val="left"/>
        </w:tabs>
        <w:numPr>
          <w:ilvl w:val="1"/>
          <w:numId w:val="24"/>
        </w:numPr>
        <w:rPr>
          <w:rFonts w:ascii="Arial" w:cs="Arial" w:eastAsia="Arial" w:hAnsi="Arial"/>
          <w:sz w:val="18"/>
          <w:szCs w:val="18"/>
          <w:color w:val="auto"/>
        </w:rPr>
      </w:pPr>
      <w:r>
        <w:rPr>
          <w:rFonts w:ascii="Arial" w:cs="Arial" w:eastAsia="Arial" w:hAnsi="Arial"/>
          <w:sz w:val="18"/>
          <w:szCs w:val="18"/>
          <w:color w:val="auto"/>
        </w:rPr>
        <w:t>In connection with the calculation of each Dry-Run Closing Premium, the Insurer shall deliver to the Company a calculation of such Dry-Run Post-Solicitation Premium. The “</w:t>
      </w:r>
      <w:r>
        <w:rPr>
          <w:rFonts w:ascii="Arial" w:cs="Arial" w:eastAsia="Arial" w:hAnsi="Arial"/>
          <w:sz w:val="18"/>
          <w:szCs w:val="18"/>
          <w:u w:val="single" w:color="auto"/>
          <w:color w:val="auto"/>
        </w:rPr>
        <w:t>Dry-Run Post-Solicitation Premium</w:t>
      </w:r>
      <w:r>
        <w:rPr>
          <w:rFonts w:ascii="Arial" w:cs="Arial" w:eastAsia="Arial" w:hAnsi="Arial"/>
          <w:sz w:val="18"/>
          <w:szCs w:val="18"/>
          <w:color w:val="auto"/>
        </w:rPr>
        <w:t>” shall be an amount, calculated by the Insurer, equal to (</w:t>
      </w:r>
      <w:r>
        <w:rPr>
          <w:rFonts w:ascii="Arial" w:cs="Arial" w:eastAsia="Arial" w:hAnsi="Arial"/>
          <w:sz w:val="18"/>
          <w:szCs w:val="18"/>
          <w:u w:val="single" w:color="auto"/>
          <w:color w:val="auto"/>
        </w:rPr>
        <w:t>i</w:t>
      </w:r>
      <w:r>
        <w:rPr>
          <w:rFonts w:ascii="Arial" w:cs="Arial" w:eastAsia="Arial" w:hAnsi="Arial"/>
          <w:sz w:val="18"/>
          <w:szCs w:val="18"/>
          <w:color w:val="auto"/>
        </w:rPr>
        <w:t xml:space="preserve">) the Non-Solicited Annuity Premium, </w:t>
      </w:r>
      <w:r>
        <w:rPr>
          <w:rFonts w:ascii="Arial" w:cs="Arial" w:eastAsia="Arial" w:hAnsi="Arial"/>
          <w:sz w:val="18"/>
          <w:szCs w:val="18"/>
          <w:i w:val="1"/>
          <w:iCs w:val="1"/>
          <w:color w:val="auto"/>
        </w:rPr>
        <w:t>plus</w:t>
      </w:r>
      <w:r>
        <w:rPr>
          <w:rFonts w:ascii="Arial" w:cs="Arial" w:eastAsia="Arial" w:hAnsi="Arial"/>
          <w:sz w:val="18"/>
          <w:szCs w:val="18"/>
          <w:color w:val="auto"/>
        </w:rPr>
        <w:t xml:space="preserve">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the Non-Electing Annuity Premium, </w:t>
      </w:r>
      <w:r>
        <w:rPr>
          <w:rFonts w:ascii="Arial" w:cs="Arial" w:eastAsia="Arial" w:hAnsi="Arial"/>
          <w:sz w:val="18"/>
          <w:szCs w:val="18"/>
          <w:i w:val="1"/>
          <w:iCs w:val="1"/>
          <w:color w:val="auto"/>
        </w:rPr>
        <w:t>minus</w:t>
      </w:r>
      <w:r>
        <w:rPr>
          <w:rFonts w:ascii="Arial" w:cs="Arial" w:eastAsia="Arial" w:hAnsi="Arial"/>
          <w:sz w:val="18"/>
          <w:szCs w:val="18"/>
          <w:color w:val="auto"/>
        </w:rPr>
        <w:t xml:space="preserve"> (</w:t>
      </w:r>
      <w:r>
        <w:rPr>
          <w:rFonts w:ascii="Arial" w:cs="Arial" w:eastAsia="Arial" w:hAnsi="Arial"/>
          <w:sz w:val="18"/>
          <w:szCs w:val="18"/>
          <w:u w:val="single" w:color="auto"/>
          <w:color w:val="auto"/>
        </w:rPr>
        <w:t>iii</w:t>
      </w:r>
      <w:r>
        <w:rPr>
          <w:rFonts w:ascii="Arial" w:cs="Arial" w:eastAsia="Arial" w:hAnsi="Arial"/>
          <w:sz w:val="18"/>
          <w:szCs w:val="18"/>
          <w:color w:val="auto"/>
        </w:rPr>
        <w:t>) the Dry-Run</w:t>
      </w:r>
    </w:p>
    <w:p>
      <w:pPr>
        <w:spacing w:after="0" w:line="2" w:lineRule="exact"/>
        <w:rPr>
          <w:sz w:val="20"/>
          <w:szCs w:val="20"/>
          <w:color w:val="auto"/>
        </w:rPr>
      </w:pPr>
    </w:p>
    <w:p>
      <w:pPr>
        <w:jc w:val="both"/>
        <w:ind w:left="600"/>
        <w:spacing w:after="0" w:line="272" w:lineRule="auto"/>
        <w:rPr>
          <w:sz w:val="20"/>
          <w:szCs w:val="20"/>
          <w:color w:val="auto"/>
        </w:rPr>
      </w:pPr>
      <w:r>
        <w:rPr>
          <w:rFonts w:ascii="Arial" w:cs="Arial" w:eastAsia="Arial" w:hAnsi="Arial"/>
          <w:sz w:val="19"/>
          <w:szCs w:val="19"/>
          <w:color w:val="auto"/>
        </w:rPr>
        <w:t xml:space="preserve">Single Life Mortality Correction </w:t>
      </w:r>
      <w:r>
        <w:rPr>
          <w:rFonts w:ascii="Arial" w:cs="Arial" w:eastAsia="Arial" w:hAnsi="Arial"/>
          <w:sz w:val="19"/>
          <w:szCs w:val="19"/>
          <w:i w:val="1"/>
          <w:iCs w:val="1"/>
          <w:color w:val="auto"/>
        </w:rPr>
        <w:t>plus</w:t>
      </w:r>
      <w:r>
        <w:rPr>
          <w:rFonts w:ascii="Arial" w:cs="Arial" w:eastAsia="Arial" w:hAnsi="Arial"/>
          <w:sz w:val="19"/>
          <w:szCs w:val="19"/>
          <w:color w:val="auto"/>
        </w:rPr>
        <w:t xml:space="preserve"> ( </w:t>
      </w:r>
      <w:r>
        <w:rPr>
          <w:rFonts w:ascii="Arial" w:cs="Arial" w:eastAsia="Arial" w:hAnsi="Arial"/>
          <w:sz w:val="19"/>
          <w:szCs w:val="19"/>
          <w:u w:val="single" w:color="auto"/>
          <w:color w:val="auto"/>
        </w:rPr>
        <w:t>iv</w:t>
      </w:r>
      <w:r>
        <w:rPr>
          <w:rFonts w:ascii="Arial" w:cs="Arial" w:eastAsia="Arial" w:hAnsi="Arial"/>
          <w:sz w:val="19"/>
          <w:szCs w:val="19"/>
          <w:color w:val="auto"/>
        </w:rPr>
        <w:t xml:space="preserve">) the Dry-Run [ *** ], </w:t>
      </w:r>
      <w:r>
        <w:rPr>
          <w:rFonts w:ascii="Arial" w:cs="Arial" w:eastAsia="Arial" w:hAnsi="Arial"/>
          <w:sz w:val="19"/>
          <w:szCs w:val="19"/>
          <w:i w:val="1"/>
          <w:iCs w:val="1"/>
          <w:color w:val="auto"/>
        </w:rPr>
        <w:t>plus</w:t>
      </w:r>
      <w:r>
        <w:rPr>
          <w:rFonts w:ascii="Arial" w:cs="Arial" w:eastAsia="Arial" w:hAnsi="Arial"/>
          <w:sz w:val="19"/>
          <w:szCs w:val="19"/>
          <w:color w:val="auto"/>
        </w:rPr>
        <w:t xml:space="preserve"> (</w:t>
      </w:r>
      <w:r>
        <w:rPr>
          <w:rFonts w:ascii="Arial" w:cs="Arial" w:eastAsia="Arial" w:hAnsi="Arial"/>
          <w:sz w:val="19"/>
          <w:szCs w:val="19"/>
          <w:u w:val="single" w:color="auto"/>
          <w:color w:val="auto"/>
        </w:rPr>
        <w:t>v</w:t>
      </w:r>
      <w:r>
        <w:rPr>
          <w:rFonts w:ascii="Arial" w:cs="Arial" w:eastAsia="Arial" w:hAnsi="Arial"/>
          <w:sz w:val="19"/>
          <w:szCs w:val="19"/>
          <w:color w:val="auto"/>
        </w:rPr>
        <w:t xml:space="preserve">) the Dry-Run Additional Classification Error Correction, </w:t>
      </w:r>
      <w:r>
        <w:rPr>
          <w:rFonts w:ascii="Arial" w:cs="Arial" w:eastAsia="Arial" w:hAnsi="Arial"/>
          <w:sz w:val="19"/>
          <w:szCs w:val="19"/>
          <w:i w:val="1"/>
          <w:iCs w:val="1"/>
          <w:color w:val="auto"/>
        </w:rPr>
        <w:t xml:space="preserve">plus </w:t>
      </w:r>
      <w:r>
        <w:rPr>
          <w:rFonts w:ascii="Arial" w:cs="Arial" w:eastAsia="Arial" w:hAnsi="Arial"/>
          <w:sz w:val="19"/>
          <w:szCs w:val="19"/>
          <w:color w:val="auto"/>
        </w:rPr>
        <w:t>(</w:t>
      </w:r>
      <w:r>
        <w:rPr>
          <w:rFonts w:ascii="Arial" w:cs="Arial" w:eastAsia="Arial" w:hAnsi="Arial"/>
          <w:sz w:val="19"/>
          <w:szCs w:val="19"/>
          <w:u w:val="single" w:color="auto"/>
          <w:color w:val="auto"/>
        </w:rPr>
        <w:t>vi</w:t>
      </w:r>
      <w:r>
        <w:rPr>
          <w:rFonts w:ascii="Arial" w:cs="Arial" w:eastAsia="Arial" w:hAnsi="Arial"/>
          <w:sz w:val="19"/>
          <w:szCs w:val="19"/>
          <w:color w:val="auto"/>
        </w:rPr>
        <w:t>) the Dry-Run Benefit Amount Correction. For the avoidance of doubt, the Dry-Run GAAP Liability Correction, the Dry-Run</w:t>
      </w:r>
      <w:r>
        <w:rPr>
          <w:rFonts w:ascii="Arial" w:cs="Arial" w:eastAsia="Arial" w:hAnsi="Arial"/>
          <w:sz w:val="19"/>
          <w:szCs w:val="19"/>
          <w:i w:val="1"/>
          <w:iCs w:val="1"/>
          <w:color w:val="auto"/>
        </w:rPr>
        <w:t xml:space="preserve"> </w:t>
      </w:r>
      <w:r>
        <w:rPr>
          <w:rFonts w:ascii="Arial" w:cs="Arial" w:eastAsia="Arial" w:hAnsi="Arial"/>
          <w:sz w:val="19"/>
          <w:szCs w:val="19"/>
          <w:color w:val="auto"/>
        </w:rPr>
        <w:t>Additional Classification Error Correction and the Dry-Run Benefit Amount Correction could be negative numbers.</w:t>
      </w:r>
    </w:p>
    <w:p>
      <w:pPr>
        <w:spacing w:after="0" w:line="190" w:lineRule="exact"/>
        <w:rPr>
          <w:sz w:val="20"/>
          <w:szCs w:val="20"/>
          <w:color w:val="auto"/>
        </w:rPr>
      </w:pPr>
    </w:p>
    <w:p>
      <w:pPr>
        <w:jc w:val="both"/>
        <w:ind w:left="600" w:firstLine="602"/>
        <w:spacing w:after="0" w:line="282" w:lineRule="auto"/>
        <w:tabs>
          <w:tab w:leader="none" w:pos="2046" w:val="left"/>
        </w:tabs>
        <w:numPr>
          <w:ilvl w:val="0"/>
          <w:numId w:val="25"/>
        </w:numPr>
        <w:rPr>
          <w:rFonts w:ascii="Arial" w:cs="Arial" w:eastAsia="Arial" w:hAnsi="Arial"/>
          <w:sz w:val="18"/>
          <w:szCs w:val="18"/>
          <w:color w:val="auto"/>
        </w:rPr>
      </w:pPr>
      <w:r>
        <w:rPr>
          <w:rFonts w:ascii="Arial" w:cs="Arial" w:eastAsia="Arial" w:hAnsi="Arial"/>
          <w:sz w:val="18"/>
          <w:szCs w:val="18"/>
          <w:color w:val="auto"/>
        </w:rPr>
        <w:t>On the date that is twenty-three (23) days prior to the Target Closing Date, the Insurer shall deliver to the Company a calculation of the Preliminary Post-Solicitation Premium. The “</w:t>
      </w:r>
      <w:r>
        <w:rPr>
          <w:rFonts w:ascii="Arial" w:cs="Arial" w:eastAsia="Arial" w:hAnsi="Arial"/>
          <w:sz w:val="18"/>
          <w:szCs w:val="18"/>
          <w:u w:val="single" w:color="auto"/>
          <w:color w:val="auto"/>
        </w:rPr>
        <w:t>Preliminary Post-Solicitation Premium</w:t>
      </w:r>
      <w:r>
        <w:rPr>
          <w:rFonts w:ascii="Arial" w:cs="Arial" w:eastAsia="Arial" w:hAnsi="Arial"/>
          <w:sz w:val="18"/>
          <w:szCs w:val="18"/>
          <w:color w:val="auto"/>
        </w:rPr>
        <w:t>” shall be an amount, calculated by the Insurer, equal to (</w:t>
      </w:r>
      <w:r>
        <w:rPr>
          <w:rFonts w:ascii="Arial" w:cs="Arial" w:eastAsia="Arial" w:hAnsi="Arial"/>
          <w:sz w:val="18"/>
          <w:szCs w:val="18"/>
          <w:u w:val="single" w:color="auto"/>
          <w:color w:val="auto"/>
        </w:rPr>
        <w:t>i</w:t>
      </w:r>
      <w:r>
        <w:rPr>
          <w:rFonts w:ascii="Arial" w:cs="Arial" w:eastAsia="Arial" w:hAnsi="Arial"/>
          <w:sz w:val="18"/>
          <w:szCs w:val="18"/>
          <w:color w:val="auto"/>
        </w:rPr>
        <w:t xml:space="preserve">) the Non-Solicited Annuity Premium, </w:t>
      </w:r>
      <w:r>
        <w:rPr>
          <w:rFonts w:ascii="Arial" w:cs="Arial" w:eastAsia="Arial" w:hAnsi="Arial"/>
          <w:sz w:val="18"/>
          <w:szCs w:val="18"/>
          <w:i w:val="1"/>
          <w:iCs w:val="1"/>
          <w:color w:val="auto"/>
        </w:rPr>
        <w:t>plus</w:t>
      </w:r>
      <w:r>
        <w:rPr>
          <w:rFonts w:ascii="Arial" w:cs="Arial" w:eastAsia="Arial" w:hAnsi="Arial"/>
          <w:sz w:val="18"/>
          <w:szCs w:val="18"/>
          <w:color w:val="auto"/>
        </w:rPr>
        <w:t xml:space="preserve">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the Non-Electing Annuity Premium, </w:t>
      </w:r>
      <w:r>
        <w:rPr>
          <w:rFonts w:ascii="Arial" w:cs="Arial" w:eastAsia="Arial" w:hAnsi="Arial"/>
          <w:sz w:val="18"/>
          <w:szCs w:val="18"/>
          <w:i w:val="1"/>
          <w:iCs w:val="1"/>
          <w:color w:val="auto"/>
        </w:rPr>
        <w:t>minus</w:t>
      </w:r>
      <w:r>
        <w:rPr>
          <w:rFonts w:ascii="Arial" w:cs="Arial" w:eastAsia="Arial" w:hAnsi="Arial"/>
          <w:sz w:val="18"/>
          <w:szCs w:val="18"/>
          <w:color w:val="auto"/>
        </w:rPr>
        <w:t xml:space="preserve"> (</w:t>
      </w:r>
      <w:r>
        <w:rPr>
          <w:rFonts w:ascii="Arial" w:cs="Arial" w:eastAsia="Arial" w:hAnsi="Arial"/>
          <w:sz w:val="18"/>
          <w:szCs w:val="18"/>
          <w:u w:val="single" w:color="auto"/>
          <w:color w:val="auto"/>
        </w:rPr>
        <w:t>iii</w:t>
      </w:r>
      <w:r>
        <w:rPr>
          <w:rFonts w:ascii="Arial" w:cs="Arial" w:eastAsia="Arial" w:hAnsi="Arial"/>
          <w:sz w:val="18"/>
          <w:szCs w:val="18"/>
          <w:color w:val="auto"/>
        </w:rPr>
        <w:t>) the</w:t>
      </w:r>
    </w:p>
    <w:p>
      <w:pPr>
        <w:spacing w:after="0" w:line="2" w:lineRule="exact"/>
        <w:rPr>
          <w:sz w:val="20"/>
          <w:szCs w:val="20"/>
          <w:color w:val="auto"/>
        </w:rPr>
      </w:pPr>
    </w:p>
    <w:p>
      <w:pPr>
        <w:ind w:left="600"/>
        <w:spacing w:after="0" w:line="261" w:lineRule="auto"/>
        <w:rPr>
          <w:sz w:val="20"/>
          <w:szCs w:val="20"/>
          <w:color w:val="auto"/>
        </w:rPr>
      </w:pPr>
      <w:r>
        <w:rPr>
          <w:rFonts w:ascii="Arial" w:cs="Arial" w:eastAsia="Arial" w:hAnsi="Arial"/>
          <w:sz w:val="19"/>
          <w:szCs w:val="19"/>
          <w:color w:val="auto"/>
        </w:rPr>
        <w:t xml:space="preserve">Preliminary Single Life Mortality Correction </w:t>
      </w:r>
      <w:r>
        <w:rPr>
          <w:rFonts w:ascii="Arial" w:cs="Arial" w:eastAsia="Arial" w:hAnsi="Arial"/>
          <w:sz w:val="19"/>
          <w:szCs w:val="19"/>
          <w:i w:val="1"/>
          <w:iCs w:val="1"/>
          <w:color w:val="auto"/>
        </w:rPr>
        <w:t>plus</w:t>
      </w:r>
      <w:r>
        <w:rPr>
          <w:rFonts w:ascii="Arial" w:cs="Arial" w:eastAsia="Arial" w:hAnsi="Arial"/>
          <w:sz w:val="19"/>
          <w:szCs w:val="19"/>
          <w:color w:val="auto"/>
        </w:rPr>
        <w:t xml:space="preserve"> (</w:t>
      </w:r>
      <w:r>
        <w:rPr>
          <w:rFonts w:ascii="Arial" w:cs="Arial" w:eastAsia="Arial" w:hAnsi="Arial"/>
          <w:sz w:val="19"/>
          <w:szCs w:val="19"/>
          <w:u w:val="single" w:color="auto"/>
          <w:color w:val="auto"/>
        </w:rPr>
        <w:t>iv</w:t>
      </w:r>
      <w:r>
        <w:rPr>
          <w:rFonts w:ascii="Arial" w:cs="Arial" w:eastAsia="Arial" w:hAnsi="Arial"/>
          <w:sz w:val="19"/>
          <w:szCs w:val="19"/>
          <w:color w:val="auto"/>
        </w:rPr>
        <w:t xml:space="preserve">) the Preliminary [ *** ], </w:t>
      </w:r>
      <w:r>
        <w:rPr>
          <w:rFonts w:ascii="Arial" w:cs="Arial" w:eastAsia="Arial" w:hAnsi="Arial"/>
          <w:sz w:val="19"/>
          <w:szCs w:val="19"/>
          <w:i w:val="1"/>
          <w:iCs w:val="1"/>
          <w:color w:val="auto"/>
        </w:rPr>
        <w:t>plus</w:t>
      </w:r>
      <w:r>
        <w:rPr>
          <w:rFonts w:ascii="Arial" w:cs="Arial" w:eastAsia="Arial" w:hAnsi="Arial"/>
          <w:sz w:val="19"/>
          <w:szCs w:val="19"/>
          <w:color w:val="auto"/>
        </w:rPr>
        <w:t xml:space="preserve"> ( </w:t>
      </w:r>
      <w:r>
        <w:rPr>
          <w:rFonts w:ascii="Arial" w:cs="Arial" w:eastAsia="Arial" w:hAnsi="Arial"/>
          <w:sz w:val="19"/>
          <w:szCs w:val="19"/>
          <w:u w:val="single" w:color="auto"/>
          <w:color w:val="auto"/>
        </w:rPr>
        <w:t>v</w:t>
      </w:r>
      <w:r>
        <w:rPr>
          <w:rFonts w:ascii="Arial" w:cs="Arial" w:eastAsia="Arial" w:hAnsi="Arial"/>
          <w:sz w:val="19"/>
          <w:szCs w:val="19"/>
          <w:color w:val="auto"/>
        </w:rPr>
        <w:t xml:space="preserve">) the Preliminary Additional Classification Error Correction, </w:t>
      </w:r>
      <w:r>
        <w:rPr>
          <w:rFonts w:ascii="Arial" w:cs="Arial" w:eastAsia="Arial" w:hAnsi="Arial"/>
          <w:sz w:val="19"/>
          <w:szCs w:val="19"/>
          <w:i w:val="1"/>
          <w:iCs w:val="1"/>
          <w:color w:val="auto"/>
        </w:rPr>
        <w:t>plus</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vi</w:t>
      </w:r>
      <w:r>
        <w:rPr>
          <w:rFonts w:ascii="Arial" w:cs="Arial" w:eastAsia="Arial" w:hAnsi="Arial"/>
          <w:sz w:val="19"/>
          <w:szCs w:val="19"/>
          <w:color w:val="auto"/>
        </w:rPr>
        <w:t>) the Preliminary Benefit Amount Correction. In connection with the delivery of the Preliminary Post-</w:t>
      </w:r>
    </w:p>
    <w:tbl>
      <w:tblPr>
        <w:tblLayout w:type="fixed"/>
        <w:tblInd w:w="600" w:type="dxa"/>
        <w:tblCellMar>
          <w:top w:w="0" w:type="dxa"/>
          <w:left w:w="0" w:type="dxa"/>
          <w:bottom w:w="0" w:type="dxa"/>
          <w:right w:w="0" w:type="dxa"/>
        </w:tblCellMar>
      </w:tblPr>
      <w:tr>
        <w:trPr>
          <w:trHeight w:val="220"/>
        </w:trPr>
        <w:tc>
          <w:tcPr>
            <w:tcW w:w="7920" w:type="dxa"/>
            <w:vAlign w:val="bottom"/>
            <w:gridSpan w:val="6"/>
          </w:tcPr>
          <w:p>
            <w:pPr>
              <w:spacing w:after="0" w:line="220" w:lineRule="exact"/>
              <w:rPr>
                <w:sz w:val="20"/>
                <w:szCs w:val="20"/>
                <w:color w:val="auto"/>
              </w:rPr>
            </w:pPr>
            <w:r>
              <w:rPr>
                <w:rFonts w:ascii="Arial" w:cs="Arial" w:eastAsia="Arial" w:hAnsi="Arial"/>
                <w:sz w:val="20"/>
                <w:szCs w:val="20"/>
                <w:color w:val="auto"/>
                <w:w w:val="92"/>
              </w:rPr>
              <w:t>Solicitation Premium, the Insurer shall calculate and deliver to the Company a calculation of the [</w:t>
            </w:r>
          </w:p>
        </w:tc>
        <w:tc>
          <w:tcPr>
            <w:tcW w:w="640" w:type="dxa"/>
            <w:vAlign w:val="bottom"/>
          </w:tcPr>
          <w:p>
            <w:pPr>
              <w:jc w:val="right"/>
              <w:ind w:right="80"/>
              <w:spacing w:after="0" w:line="220" w:lineRule="exact"/>
              <w:rPr>
                <w:sz w:val="20"/>
                <w:szCs w:val="20"/>
                <w:color w:val="auto"/>
              </w:rPr>
            </w:pPr>
            <w:r>
              <w:rPr>
                <w:rFonts w:ascii="Arial" w:cs="Arial" w:eastAsia="Arial" w:hAnsi="Arial"/>
                <w:sz w:val="20"/>
                <w:szCs w:val="20"/>
                <w:color w:val="auto"/>
              </w:rPr>
              <w:t>***</w:t>
            </w:r>
          </w:p>
        </w:tc>
        <w:tc>
          <w:tcPr>
            <w:tcW w:w="2260" w:type="dxa"/>
            <w:vAlign w:val="bottom"/>
          </w:tcPr>
          <w:p>
            <w:pPr>
              <w:jc w:val="right"/>
              <w:spacing w:after="0" w:line="220" w:lineRule="exact"/>
              <w:rPr>
                <w:sz w:val="20"/>
                <w:szCs w:val="20"/>
                <w:color w:val="auto"/>
              </w:rPr>
            </w:pPr>
            <w:r>
              <w:rPr>
                <w:rFonts w:ascii="Arial" w:cs="Arial" w:eastAsia="Arial" w:hAnsi="Arial"/>
                <w:sz w:val="20"/>
                <w:szCs w:val="20"/>
                <w:color w:val="auto"/>
                <w:w w:val="95"/>
              </w:rPr>
              <w:t>], calculated as of the date</w:t>
            </w:r>
          </w:p>
        </w:tc>
      </w:tr>
      <w:tr>
        <w:trPr>
          <w:trHeight w:val="209"/>
        </w:trPr>
        <w:tc>
          <w:tcPr>
            <w:tcW w:w="5000" w:type="dxa"/>
            <w:vAlign w:val="bottom"/>
          </w:tcPr>
          <w:p>
            <w:pPr>
              <w:spacing w:after="0" w:line="209" w:lineRule="exact"/>
              <w:rPr>
                <w:sz w:val="20"/>
                <w:szCs w:val="20"/>
                <w:color w:val="auto"/>
              </w:rPr>
            </w:pPr>
            <w:r>
              <w:rPr>
                <w:rFonts w:ascii="Arial" w:cs="Arial" w:eastAsia="Arial" w:hAnsi="Arial"/>
                <w:sz w:val="20"/>
                <w:szCs w:val="20"/>
                <w:color w:val="auto"/>
                <w:w w:val="94"/>
              </w:rPr>
              <w:t>that is thirty (30) days prior to the Target Closing Date (the [</w:t>
            </w:r>
          </w:p>
        </w:tc>
        <w:tc>
          <w:tcPr>
            <w:tcW w:w="620" w:type="dxa"/>
            <w:vAlign w:val="bottom"/>
          </w:tcPr>
          <w:p>
            <w:pPr>
              <w:jc w:val="right"/>
              <w:ind w:right="80"/>
              <w:spacing w:after="0" w:line="209" w:lineRule="exact"/>
              <w:rPr>
                <w:sz w:val="20"/>
                <w:szCs w:val="20"/>
                <w:color w:val="auto"/>
              </w:rPr>
            </w:pPr>
            <w:r>
              <w:rPr>
                <w:rFonts w:ascii="Arial" w:cs="Arial" w:eastAsia="Arial" w:hAnsi="Arial"/>
                <w:sz w:val="20"/>
                <w:szCs w:val="20"/>
                <w:color w:val="auto"/>
              </w:rPr>
              <w:t>***</w:t>
            </w:r>
          </w:p>
        </w:tc>
        <w:tc>
          <w:tcPr>
            <w:tcW w:w="2300" w:type="dxa"/>
            <w:vAlign w:val="bottom"/>
            <w:gridSpan w:val="4"/>
          </w:tcPr>
          <w:p>
            <w:pPr>
              <w:jc w:val="right"/>
              <w:spacing w:after="0" w:line="209" w:lineRule="exact"/>
              <w:rPr>
                <w:sz w:val="20"/>
                <w:szCs w:val="20"/>
                <w:color w:val="auto"/>
              </w:rPr>
            </w:pPr>
            <w:r>
              <w:rPr>
                <w:rFonts w:ascii="Arial" w:cs="Arial" w:eastAsia="Arial" w:hAnsi="Arial"/>
                <w:sz w:val="20"/>
                <w:szCs w:val="20"/>
                <w:color w:val="auto"/>
              </w:rPr>
              <w:t>]); provided that, [   ***</w:t>
            </w:r>
          </w:p>
        </w:tc>
        <w:tc>
          <w:tcPr>
            <w:tcW w:w="2900" w:type="dxa"/>
            <w:vAlign w:val="bottom"/>
            <w:gridSpan w:val="2"/>
          </w:tcPr>
          <w:p>
            <w:pPr>
              <w:jc w:val="right"/>
              <w:spacing w:after="0" w:line="209" w:lineRule="exact"/>
              <w:rPr>
                <w:sz w:val="20"/>
                <w:szCs w:val="20"/>
                <w:color w:val="auto"/>
              </w:rPr>
            </w:pPr>
            <w:r>
              <w:rPr>
                <w:rFonts w:ascii="Arial" w:cs="Arial" w:eastAsia="Arial" w:hAnsi="Arial"/>
                <w:sz w:val="20"/>
                <w:szCs w:val="20"/>
                <w:color w:val="auto"/>
              </w:rPr>
              <w:t>], for purposes of calculating the</w:t>
            </w:r>
          </w:p>
        </w:tc>
      </w:tr>
      <w:tr>
        <w:trPr>
          <w:trHeight w:val="20"/>
        </w:trPr>
        <w:tc>
          <w:tcPr>
            <w:tcW w:w="6040" w:type="dxa"/>
            <w:vAlign w:val="bottom"/>
            <w:gridSpan w:val="3"/>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900" w:type="dxa"/>
            <w:vAlign w:val="bottom"/>
            <w:gridSpan w:val="2"/>
          </w:tcPr>
          <w:p>
            <w:pPr>
              <w:spacing w:after="0" w:line="20" w:lineRule="exact"/>
              <w:rPr>
                <w:sz w:val="1"/>
                <w:szCs w:val="1"/>
                <w:color w:val="auto"/>
              </w:rPr>
            </w:pPr>
          </w:p>
        </w:tc>
      </w:tr>
      <w:tr>
        <w:trPr>
          <w:trHeight w:val="247"/>
        </w:trPr>
        <w:tc>
          <w:tcPr>
            <w:tcW w:w="7160" w:type="dxa"/>
            <w:vAlign w:val="bottom"/>
            <w:gridSpan w:val="5"/>
          </w:tcPr>
          <w:p>
            <w:pPr>
              <w:spacing w:after="0"/>
              <w:rPr>
                <w:sz w:val="20"/>
                <w:szCs w:val="20"/>
                <w:color w:val="auto"/>
              </w:rPr>
            </w:pPr>
            <w:r>
              <w:rPr>
                <w:rFonts w:ascii="Arial" w:cs="Arial" w:eastAsia="Arial" w:hAnsi="Arial"/>
                <w:sz w:val="20"/>
                <w:szCs w:val="20"/>
                <w:color w:val="auto"/>
              </w:rPr>
              <w:t>Closing PFS Adjustment only, shall not exceed the calculation of the estimated [</w:t>
            </w:r>
          </w:p>
        </w:tc>
        <w:tc>
          <w:tcPr>
            <w:tcW w:w="760" w:type="dxa"/>
            <w:vAlign w:val="bottom"/>
          </w:tcPr>
          <w:p>
            <w:pPr>
              <w:jc w:val="right"/>
              <w:ind w:right="300"/>
              <w:spacing w:after="0"/>
              <w:rPr>
                <w:sz w:val="20"/>
                <w:szCs w:val="20"/>
                <w:color w:val="auto"/>
              </w:rPr>
            </w:pPr>
            <w:r>
              <w:rPr>
                <w:rFonts w:ascii="Arial" w:cs="Arial" w:eastAsia="Arial" w:hAnsi="Arial"/>
                <w:sz w:val="20"/>
                <w:szCs w:val="20"/>
                <w:color w:val="auto"/>
              </w:rPr>
              <w:t>***</w:t>
            </w:r>
          </w:p>
        </w:tc>
        <w:tc>
          <w:tcPr>
            <w:tcW w:w="2900" w:type="dxa"/>
            <w:vAlign w:val="bottom"/>
            <w:gridSpan w:val="2"/>
          </w:tcPr>
          <w:p>
            <w:pPr>
              <w:jc w:val="right"/>
              <w:spacing w:after="0"/>
              <w:rPr>
                <w:sz w:val="20"/>
                <w:szCs w:val="20"/>
                <w:color w:val="auto"/>
              </w:rPr>
            </w:pPr>
            <w:r>
              <w:rPr>
                <w:rFonts w:ascii="Arial" w:cs="Arial" w:eastAsia="Arial" w:hAnsi="Arial"/>
                <w:sz w:val="20"/>
                <w:szCs w:val="20"/>
                <w:color w:val="auto"/>
              </w:rPr>
              <w:t>] for the most recently delivered</w:t>
            </w:r>
          </w:p>
        </w:tc>
      </w:tr>
      <w:tr>
        <w:trPr>
          <w:trHeight w:val="238"/>
        </w:trPr>
        <w:tc>
          <w:tcPr>
            <w:tcW w:w="5000" w:type="dxa"/>
            <w:vAlign w:val="bottom"/>
          </w:tcPr>
          <w:p>
            <w:pPr>
              <w:spacing w:after="0"/>
              <w:rPr>
                <w:sz w:val="20"/>
                <w:szCs w:val="20"/>
                <w:color w:val="auto"/>
              </w:rPr>
            </w:pPr>
            <w:r>
              <w:rPr>
                <w:rFonts w:ascii="Arial" w:cs="Arial" w:eastAsia="Arial" w:hAnsi="Arial"/>
                <w:sz w:val="20"/>
                <w:szCs w:val="20"/>
                <w:color w:val="auto"/>
              </w:rPr>
              <w:t>calculation of the Dry-Run Closing Premium, plus [   ***</w:t>
            </w:r>
          </w:p>
        </w:tc>
        <w:tc>
          <w:tcPr>
            <w:tcW w:w="5820" w:type="dxa"/>
            <w:vAlign w:val="bottom"/>
            <w:gridSpan w:val="7"/>
          </w:tcPr>
          <w:p>
            <w:pPr>
              <w:jc w:val="right"/>
              <w:spacing w:after="0"/>
              <w:rPr>
                <w:sz w:val="20"/>
                <w:szCs w:val="20"/>
                <w:color w:val="auto"/>
              </w:rPr>
            </w:pPr>
            <w:r>
              <w:rPr>
                <w:rFonts w:ascii="Arial" w:cs="Arial" w:eastAsia="Arial" w:hAnsi="Arial"/>
                <w:sz w:val="20"/>
                <w:szCs w:val="20"/>
                <w:color w:val="auto"/>
                <w:w w:val="98"/>
              </w:rPr>
              <w:t>], and shall not be less than the calculation of the estimated [   ***</w:t>
            </w:r>
          </w:p>
        </w:tc>
      </w:tr>
      <w:tr>
        <w:trPr>
          <w:trHeight w:val="256"/>
        </w:trPr>
        <w:tc>
          <w:tcPr>
            <w:tcW w:w="7160" w:type="dxa"/>
            <w:vAlign w:val="bottom"/>
            <w:gridSpan w:val="5"/>
          </w:tcPr>
          <w:p>
            <w:pPr>
              <w:ind w:left="200"/>
              <w:spacing w:after="0"/>
              <w:rPr>
                <w:sz w:val="20"/>
                <w:szCs w:val="20"/>
                <w:color w:val="auto"/>
              </w:rPr>
            </w:pPr>
            <w:r>
              <w:rPr>
                <w:rFonts w:ascii="Arial" w:cs="Arial" w:eastAsia="Arial" w:hAnsi="Arial"/>
                <w:sz w:val="20"/>
                <w:szCs w:val="20"/>
                <w:color w:val="auto"/>
                <w:w w:val="93"/>
              </w:rPr>
              <w:t>] for the most recently delivered calculation of the Dry-Run Closing Premium minus [</w:t>
            </w:r>
          </w:p>
        </w:tc>
        <w:tc>
          <w:tcPr>
            <w:tcW w:w="760" w:type="dxa"/>
            <w:vAlign w:val="bottom"/>
          </w:tcPr>
          <w:p>
            <w:pPr>
              <w:jc w:val="right"/>
              <w:ind w:right="180"/>
              <w:spacing w:after="0"/>
              <w:rPr>
                <w:sz w:val="20"/>
                <w:szCs w:val="20"/>
                <w:color w:val="auto"/>
              </w:rPr>
            </w:pPr>
            <w:r>
              <w:rPr>
                <w:rFonts w:ascii="Arial" w:cs="Arial" w:eastAsia="Arial" w:hAnsi="Arial"/>
                <w:sz w:val="20"/>
                <w:szCs w:val="20"/>
                <w:color w:val="auto"/>
              </w:rPr>
              <w:t>***</w:t>
            </w:r>
          </w:p>
        </w:tc>
        <w:tc>
          <w:tcPr>
            <w:tcW w:w="640" w:type="dxa"/>
            <w:vAlign w:val="bottom"/>
          </w:tcPr>
          <w:p>
            <w:pPr>
              <w:jc w:val="right"/>
              <w:ind w:right="340"/>
              <w:spacing w:after="0"/>
              <w:rPr>
                <w:sz w:val="20"/>
                <w:szCs w:val="20"/>
                <w:color w:val="auto"/>
              </w:rPr>
            </w:pPr>
            <w:r>
              <w:rPr>
                <w:rFonts w:ascii="Arial" w:cs="Arial" w:eastAsia="Arial" w:hAnsi="Arial"/>
                <w:sz w:val="20"/>
                <w:szCs w:val="20"/>
                <w:color w:val="auto"/>
              </w:rPr>
              <w:t>].</w:t>
            </w:r>
          </w:p>
        </w:tc>
        <w:tc>
          <w:tcPr>
            <w:tcW w:w="2260" w:type="dxa"/>
            <w:vAlign w:val="bottom"/>
          </w:tcPr>
          <w:p>
            <w:pPr>
              <w:spacing w:after="0"/>
              <w:rPr>
                <w:sz w:val="22"/>
                <w:szCs w:val="22"/>
                <w:color w:val="auto"/>
              </w:rPr>
            </w:pPr>
          </w:p>
        </w:tc>
      </w:tr>
    </w:tbl>
    <w:p>
      <w:pPr>
        <w:spacing w:after="0" w:line="219" w:lineRule="exact"/>
        <w:rPr>
          <w:sz w:val="20"/>
          <w:szCs w:val="20"/>
          <w:color w:val="auto"/>
        </w:rPr>
      </w:pPr>
    </w:p>
    <w:p>
      <w:pPr>
        <w:jc w:val="both"/>
        <w:ind w:firstLine="601"/>
        <w:spacing w:after="0" w:line="282" w:lineRule="auto"/>
        <w:tabs>
          <w:tab w:leader="none" w:pos="1009" w:val="left"/>
        </w:tabs>
        <w:numPr>
          <w:ilvl w:val="0"/>
          <w:numId w:val="26"/>
        </w:numPr>
        <w:rPr>
          <w:rFonts w:ascii="Arial" w:cs="Arial" w:eastAsia="Arial" w:hAnsi="Arial"/>
          <w:sz w:val="18"/>
          <w:szCs w:val="18"/>
          <w:color w:val="auto"/>
        </w:rPr>
      </w:pPr>
      <w:r>
        <w:rPr>
          <w:rFonts w:ascii="Arial" w:cs="Arial" w:eastAsia="Arial" w:hAnsi="Arial"/>
          <w:sz w:val="18"/>
          <w:szCs w:val="18"/>
          <w:color w:val="auto"/>
        </w:rPr>
        <w:t>Each Dry-Run Post Solicitation Premium and the Preliminary Post-Solicitation Premium, as well as the [ *** ], shall be reviewed by the Independent Third Party as part of its independent calculation of each Dry-Run Closing Premium, the Preliminary Closing Premium, the Revised Preliminary Closing Premium and the Closing Final Premium, as applicable, it being understood that the Independent Third</w:t>
      </w:r>
    </w:p>
    <w:p>
      <w:pPr>
        <w:spacing w:after="0" w:line="2" w:lineRule="exact"/>
        <w:rPr>
          <w:sz w:val="20"/>
          <w:szCs w:val="20"/>
          <w:color w:val="auto"/>
        </w:rPr>
      </w:pPr>
    </w:p>
    <w:p>
      <w:pPr>
        <w:spacing w:after="0"/>
        <w:tabs>
          <w:tab w:leader="none" w:pos="6980" w:val="left"/>
          <w:tab w:leader="none" w:pos="7640" w:val="left"/>
        </w:tabs>
        <w:rPr>
          <w:sz w:val="20"/>
          <w:szCs w:val="20"/>
          <w:color w:val="auto"/>
        </w:rPr>
      </w:pPr>
      <w:r>
        <w:rPr>
          <w:rFonts w:ascii="Arial" w:cs="Arial" w:eastAsia="Arial" w:hAnsi="Arial"/>
          <w:sz w:val="20"/>
          <w:szCs w:val="20"/>
          <w:color w:val="auto"/>
        </w:rPr>
        <w:t>Party's review of the Preliminary Single Life Mortality Correction, the Preliminary [</w:t>
        <w:tab/>
        <w:t>***</w:t>
      </w:r>
      <w:r>
        <w:rPr>
          <w:sz w:val="20"/>
          <w:szCs w:val="20"/>
          <w:color w:val="auto"/>
        </w:rPr>
        <w:tab/>
      </w:r>
      <w:r>
        <w:rPr>
          <w:rFonts w:ascii="Arial" w:cs="Arial" w:eastAsia="Arial" w:hAnsi="Arial"/>
          <w:sz w:val="18"/>
          <w:szCs w:val="18"/>
          <w:color w:val="auto"/>
        </w:rPr>
        <w:t>], the Preliminary</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ectPr>
          <w:pgSz w:w="11900" w:h="16838" w:orient="portrait"/>
          <w:cols w:equalWidth="0" w:num="1">
            <w:col w:w="11420"/>
          </w:cols>
          <w:pgMar w:left="240" w:top="556" w:right="239" w:bottom="1440" w:gutter="0" w:footer="0" w:header="0"/>
        </w:sectPr>
      </w:pPr>
    </w:p>
    <w:bookmarkStart w:id="38" w:name="page39"/>
    <w:bookmarkEnd w:id="38"/>
    <w:p>
      <w:pPr>
        <w:spacing w:after="0" w:line="275" w:lineRule="auto"/>
        <w:rPr>
          <w:sz w:val="20"/>
          <w:szCs w:val="20"/>
          <w:color w:val="auto"/>
        </w:rPr>
      </w:pPr>
      <w:r>
        <w:rPr>
          <w:rFonts w:ascii="Arial" w:cs="Arial" w:eastAsia="Arial" w:hAnsi="Arial"/>
          <w:sz w:val="20"/>
          <w:szCs w:val="20"/>
          <w:color w:val="auto"/>
        </w:rPr>
        <w:t>Additional Classification Error Correction and the Preliminary Benefit Amount Correction will be limited to applying the [ *** ] process set forth in the Procedures Manual.</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00" w:type="dxa"/>
            <w:vAlign w:val="bottom"/>
            <w:gridSpan w:val="7"/>
          </w:tcPr>
          <w:p>
            <w:pPr>
              <w:ind w:left="600"/>
              <w:spacing w:after="0"/>
              <w:rPr>
                <w:sz w:val="20"/>
                <w:szCs w:val="20"/>
                <w:color w:val="auto"/>
              </w:rPr>
            </w:pPr>
            <w:r>
              <w:rPr>
                <w:rFonts w:ascii="Arial" w:cs="Arial" w:eastAsia="Arial" w:hAnsi="Arial"/>
                <w:sz w:val="20"/>
                <w:szCs w:val="20"/>
                <w:color w:val="auto"/>
                <w:w w:val="95"/>
              </w:rPr>
              <w:t>Section 2.6  Determination and Valuation of Final Plan Portfolio.</w:t>
            </w:r>
          </w:p>
        </w:tc>
        <w:tc>
          <w:tcPr>
            <w:tcW w:w="34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0"/>
        </w:trPr>
        <w:tc>
          <w:tcPr>
            <w:tcW w:w="17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560" w:type="dxa"/>
            <w:vAlign w:val="bottom"/>
            <w:gridSpan w:val="4"/>
            <w:shd w:val="clear" w:color="auto" w:fill="000000"/>
          </w:tcPr>
          <w:p>
            <w:pPr>
              <w:spacing w:after="0" w:line="20" w:lineRule="exact"/>
              <w:rPr>
                <w:sz w:val="1"/>
                <w:szCs w:val="1"/>
                <w:color w:val="auto"/>
              </w:rPr>
            </w:pPr>
          </w:p>
        </w:tc>
        <w:tc>
          <w:tcPr>
            <w:tcW w:w="36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484"/>
        </w:trPr>
        <w:tc>
          <w:tcPr>
            <w:tcW w:w="1700" w:type="dxa"/>
            <w:vAlign w:val="bottom"/>
          </w:tcPr>
          <w:p>
            <w:pPr>
              <w:ind w:left="600"/>
              <w:spacing w:after="0"/>
              <w:rPr>
                <w:sz w:val="20"/>
                <w:szCs w:val="20"/>
                <w:color w:val="auto"/>
              </w:rPr>
            </w:pPr>
            <w:r>
              <w:rPr>
                <w:rFonts w:ascii="Arial" w:cs="Arial" w:eastAsia="Arial" w:hAnsi="Arial"/>
                <w:sz w:val="20"/>
                <w:szCs w:val="20"/>
                <w:color w:val="auto"/>
              </w:rPr>
              <w:t>(a)   On [</w:t>
            </w:r>
          </w:p>
        </w:tc>
        <w:tc>
          <w:tcPr>
            <w:tcW w:w="600" w:type="dxa"/>
            <w:vAlign w:val="bottom"/>
          </w:tcPr>
          <w:p>
            <w:pPr>
              <w:jc w:val="right"/>
              <w:ind w:right="120"/>
              <w:spacing w:after="0"/>
              <w:rPr>
                <w:sz w:val="20"/>
                <w:szCs w:val="20"/>
                <w:color w:val="auto"/>
              </w:rPr>
            </w:pPr>
            <w:r>
              <w:rPr>
                <w:rFonts w:ascii="Arial" w:cs="Arial" w:eastAsia="Arial" w:hAnsi="Arial"/>
                <w:sz w:val="20"/>
                <w:szCs w:val="20"/>
                <w:color w:val="auto"/>
              </w:rPr>
              <w:t>***</w:t>
            </w:r>
          </w:p>
        </w:tc>
        <w:tc>
          <w:tcPr>
            <w:tcW w:w="7180" w:type="dxa"/>
            <w:vAlign w:val="bottom"/>
            <w:gridSpan w:val="6"/>
          </w:tcPr>
          <w:p>
            <w:pPr>
              <w:ind w:left="240"/>
              <w:spacing w:after="0"/>
              <w:rPr>
                <w:sz w:val="20"/>
                <w:szCs w:val="20"/>
                <w:color w:val="auto"/>
              </w:rPr>
            </w:pPr>
            <w:r>
              <w:rPr>
                <w:rFonts w:ascii="Arial" w:cs="Arial" w:eastAsia="Arial" w:hAnsi="Arial"/>
                <w:sz w:val="20"/>
                <w:szCs w:val="20"/>
                <w:color w:val="auto"/>
                <w:w w:val="97"/>
              </w:rPr>
              <w:t>] (or if the Lump-Sum Data has not been delivered on or prior to the date that is [</w:t>
            </w:r>
          </w:p>
        </w:tc>
        <w:tc>
          <w:tcPr>
            <w:tcW w:w="700" w:type="dxa"/>
            <w:vAlign w:val="bottom"/>
          </w:tcPr>
          <w:p>
            <w:pPr>
              <w:jc w:val="right"/>
              <w:ind w:right="140"/>
              <w:spacing w:after="0"/>
              <w:rPr>
                <w:sz w:val="20"/>
                <w:szCs w:val="20"/>
                <w:color w:val="auto"/>
              </w:rPr>
            </w:pPr>
            <w:r>
              <w:rPr>
                <w:rFonts w:ascii="Arial" w:cs="Arial" w:eastAsia="Arial" w:hAnsi="Arial"/>
                <w:sz w:val="20"/>
                <w:szCs w:val="20"/>
                <w:color w:val="auto"/>
              </w:rPr>
              <w:t>***</w:t>
            </w:r>
          </w:p>
        </w:tc>
        <w:tc>
          <w:tcPr>
            <w:tcW w:w="1240" w:type="dxa"/>
            <w:vAlign w:val="bottom"/>
          </w:tcPr>
          <w:p>
            <w:pPr>
              <w:jc w:val="right"/>
              <w:spacing w:after="0"/>
              <w:rPr>
                <w:sz w:val="20"/>
                <w:szCs w:val="20"/>
                <w:color w:val="auto"/>
              </w:rPr>
            </w:pPr>
            <w:r>
              <w:rPr>
                <w:rFonts w:ascii="Arial" w:cs="Arial" w:eastAsia="Arial" w:hAnsi="Arial"/>
                <w:sz w:val="20"/>
                <w:szCs w:val="20"/>
                <w:color w:val="auto"/>
              </w:rPr>
              <w:t>], as soon as</w:t>
            </w:r>
          </w:p>
        </w:tc>
      </w:tr>
      <w:tr>
        <w:trPr>
          <w:trHeight w:val="238"/>
        </w:trPr>
        <w:tc>
          <w:tcPr>
            <w:tcW w:w="1700" w:type="dxa"/>
            <w:vAlign w:val="bottom"/>
          </w:tcPr>
          <w:p>
            <w:pPr>
              <w:spacing w:after="0"/>
              <w:rPr>
                <w:sz w:val="20"/>
                <w:szCs w:val="20"/>
                <w:color w:val="auto"/>
              </w:rPr>
            </w:pPr>
            <w:r>
              <w:rPr>
                <w:rFonts w:ascii="Arial" w:cs="Arial" w:eastAsia="Arial" w:hAnsi="Arial"/>
                <w:sz w:val="20"/>
                <w:szCs w:val="20"/>
                <w:color w:val="auto"/>
              </w:rPr>
              <w:t>practicable after [</w:t>
            </w:r>
          </w:p>
        </w:tc>
        <w:tc>
          <w:tcPr>
            <w:tcW w:w="600" w:type="dxa"/>
            <w:vAlign w:val="bottom"/>
          </w:tcPr>
          <w:p>
            <w:pPr>
              <w:jc w:val="right"/>
              <w:ind w:right="140"/>
              <w:spacing w:after="0"/>
              <w:rPr>
                <w:sz w:val="20"/>
                <w:szCs w:val="20"/>
                <w:color w:val="auto"/>
              </w:rPr>
            </w:pPr>
            <w:r>
              <w:rPr>
                <w:rFonts w:ascii="Arial" w:cs="Arial" w:eastAsia="Arial" w:hAnsi="Arial"/>
                <w:sz w:val="20"/>
                <w:szCs w:val="20"/>
                <w:color w:val="auto"/>
              </w:rPr>
              <w:t>***</w:t>
            </w:r>
          </w:p>
        </w:tc>
        <w:tc>
          <w:tcPr>
            <w:tcW w:w="1300" w:type="dxa"/>
            <w:vAlign w:val="bottom"/>
          </w:tcPr>
          <w:p>
            <w:pPr>
              <w:ind w:left="200"/>
              <w:spacing w:after="0"/>
              <w:rPr>
                <w:sz w:val="20"/>
                <w:szCs w:val="20"/>
                <w:color w:val="auto"/>
              </w:rPr>
            </w:pPr>
            <w:r>
              <w:rPr>
                <w:rFonts w:ascii="Arial" w:cs="Arial" w:eastAsia="Arial" w:hAnsi="Arial"/>
                <w:sz w:val="20"/>
                <w:szCs w:val="20"/>
                <w:color w:val="auto"/>
              </w:rPr>
              <w:t>] and the [</w:t>
            </w:r>
          </w:p>
        </w:tc>
        <w:tc>
          <w:tcPr>
            <w:tcW w:w="680" w:type="dxa"/>
            <w:vAlign w:val="bottom"/>
          </w:tcPr>
          <w:p>
            <w:pPr>
              <w:jc w:val="right"/>
              <w:ind w:right="220"/>
              <w:spacing w:after="0"/>
              <w:rPr>
                <w:sz w:val="20"/>
                <w:szCs w:val="20"/>
                <w:color w:val="auto"/>
              </w:rPr>
            </w:pPr>
            <w:r>
              <w:rPr>
                <w:rFonts w:ascii="Arial" w:cs="Arial" w:eastAsia="Arial" w:hAnsi="Arial"/>
                <w:sz w:val="20"/>
                <w:szCs w:val="20"/>
                <w:color w:val="auto"/>
              </w:rPr>
              <w:t>***</w:t>
            </w:r>
          </w:p>
        </w:tc>
        <w:tc>
          <w:tcPr>
            <w:tcW w:w="7140" w:type="dxa"/>
            <w:vAlign w:val="bottom"/>
            <w:gridSpan w:val="6"/>
          </w:tcPr>
          <w:p>
            <w:pPr>
              <w:jc w:val="right"/>
              <w:spacing w:after="0"/>
              <w:rPr>
                <w:sz w:val="20"/>
                <w:szCs w:val="20"/>
                <w:color w:val="auto"/>
              </w:rPr>
            </w:pPr>
            <w:r>
              <w:rPr>
                <w:rFonts w:ascii="Arial" w:cs="Arial" w:eastAsia="Arial" w:hAnsi="Arial"/>
                <w:sz w:val="20"/>
                <w:szCs w:val="20"/>
                <w:color w:val="auto"/>
                <w:w w:val="94"/>
              </w:rPr>
              <w:t>] each calendar month thereafter until the earlier to occur of the Closing Date and the</w:t>
            </w:r>
          </w:p>
        </w:tc>
      </w:tr>
      <w:tr>
        <w:trPr>
          <w:trHeight w:val="238"/>
        </w:trPr>
        <w:tc>
          <w:tcPr>
            <w:tcW w:w="5120" w:type="dxa"/>
            <w:vAlign w:val="bottom"/>
            <w:gridSpan w:val="5"/>
          </w:tcPr>
          <w:p>
            <w:pPr>
              <w:spacing w:after="0"/>
              <w:rPr>
                <w:sz w:val="20"/>
                <w:szCs w:val="20"/>
                <w:color w:val="auto"/>
              </w:rPr>
            </w:pPr>
            <w:r>
              <w:rPr>
                <w:rFonts w:ascii="Arial" w:cs="Arial" w:eastAsia="Arial" w:hAnsi="Arial"/>
                <w:sz w:val="20"/>
                <w:szCs w:val="20"/>
                <w:color w:val="auto"/>
                <w:w w:val="96"/>
              </w:rPr>
              <w:t>termination of this Agreement, and again on dates that are [</w:t>
            </w:r>
          </w:p>
        </w:tc>
        <w:tc>
          <w:tcPr>
            <w:tcW w:w="740" w:type="dxa"/>
            <w:vAlign w:val="bottom"/>
          </w:tcPr>
          <w:p>
            <w:pPr>
              <w:jc w:val="right"/>
              <w:ind w:right="160"/>
              <w:spacing w:after="0"/>
              <w:rPr>
                <w:sz w:val="20"/>
                <w:szCs w:val="20"/>
                <w:color w:val="auto"/>
              </w:rPr>
            </w:pPr>
            <w:r>
              <w:rPr>
                <w:rFonts w:ascii="Arial" w:cs="Arial" w:eastAsia="Arial" w:hAnsi="Arial"/>
                <w:sz w:val="20"/>
                <w:szCs w:val="20"/>
                <w:color w:val="auto"/>
              </w:rPr>
              <w:t>***</w:t>
            </w:r>
          </w:p>
        </w:tc>
        <w:tc>
          <w:tcPr>
            <w:tcW w:w="140" w:type="dxa"/>
            <w:vAlign w:val="bottom"/>
          </w:tcPr>
          <w:p>
            <w:pPr>
              <w:spacing w:after="0"/>
              <w:rPr>
                <w:sz w:val="20"/>
                <w:szCs w:val="20"/>
                <w:color w:val="auto"/>
              </w:rPr>
            </w:pPr>
          </w:p>
        </w:tc>
        <w:tc>
          <w:tcPr>
            <w:tcW w:w="5420" w:type="dxa"/>
            <w:vAlign w:val="bottom"/>
            <w:gridSpan w:val="3"/>
          </w:tcPr>
          <w:p>
            <w:pPr>
              <w:jc w:val="right"/>
              <w:spacing w:after="0"/>
              <w:rPr>
                <w:sz w:val="20"/>
                <w:szCs w:val="20"/>
                <w:color w:val="auto"/>
              </w:rPr>
            </w:pPr>
            <w:r>
              <w:rPr>
                <w:rFonts w:ascii="Arial" w:cs="Arial" w:eastAsia="Arial" w:hAnsi="Arial"/>
                <w:sz w:val="20"/>
                <w:szCs w:val="20"/>
                <w:color w:val="auto"/>
                <w:w w:val="95"/>
              </w:rPr>
              <w:t>] to the Target Closing Date, the Plan Investment Fiduciary shall</w:t>
            </w:r>
          </w:p>
        </w:tc>
      </w:tr>
      <w:tr>
        <w:trPr>
          <w:trHeight w:val="256"/>
        </w:trPr>
        <w:tc>
          <w:tcPr>
            <w:tcW w:w="3600" w:type="dxa"/>
            <w:vAlign w:val="bottom"/>
            <w:gridSpan w:val="3"/>
          </w:tcPr>
          <w:p>
            <w:pPr>
              <w:spacing w:after="0"/>
              <w:rPr>
                <w:sz w:val="20"/>
                <w:szCs w:val="20"/>
                <w:color w:val="auto"/>
              </w:rPr>
            </w:pPr>
            <w:r>
              <w:rPr>
                <w:rFonts w:ascii="Arial" w:cs="Arial" w:eastAsia="Arial" w:hAnsi="Arial"/>
                <w:sz w:val="20"/>
                <w:szCs w:val="20"/>
                <w:color w:val="auto"/>
                <w:w w:val="95"/>
              </w:rPr>
              <w:t>deliver to the Insurer a statement of each [</w:t>
            </w:r>
          </w:p>
        </w:tc>
        <w:tc>
          <w:tcPr>
            <w:tcW w:w="680" w:type="dxa"/>
            <w:vAlign w:val="bottom"/>
          </w:tcPr>
          <w:p>
            <w:pPr>
              <w:jc w:val="right"/>
              <w:ind w:right="40"/>
              <w:spacing w:after="0"/>
              <w:rPr>
                <w:sz w:val="20"/>
                <w:szCs w:val="20"/>
                <w:color w:val="auto"/>
              </w:rPr>
            </w:pPr>
            <w:r>
              <w:rPr>
                <w:rFonts w:ascii="Arial" w:cs="Arial" w:eastAsia="Arial" w:hAnsi="Arial"/>
                <w:sz w:val="20"/>
                <w:szCs w:val="20"/>
                <w:color w:val="auto"/>
              </w:rPr>
              <w:t>***</w:t>
            </w:r>
          </w:p>
        </w:tc>
        <w:tc>
          <w:tcPr>
            <w:tcW w:w="7140" w:type="dxa"/>
            <w:vAlign w:val="bottom"/>
            <w:gridSpan w:val="6"/>
          </w:tcPr>
          <w:p>
            <w:pPr>
              <w:jc w:val="right"/>
              <w:spacing w:after="0"/>
              <w:rPr>
                <w:sz w:val="20"/>
                <w:szCs w:val="20"/>
                <w:color w:val="auto"/>
              </w:rPr>
            </w:pPr>
            <w:r>
              <w:rPr>
                <w:rFonts w:ascii="Arial" w:cs="Arial" w:eastAsia="Arial" w:hAnsi="Arial"/>
                <w:sz w:val="20"/>
                <w:szCs w:val="20"/>
                <w:color w:val="auto"/>
                <w:w w:val="97"/>
              </w:rPr>
              <w:t>], and, if applicable, one or more Newcos and the assets held therein, that the Plan</w:t>
            </w:r>
          </w:p>
        </w:tc>
      </w:tr>
    </w:tbl>
    <w:p>
      <w:pPr>
        <w:spacing w:after="0"/>
        <w:rPr>
          <w:sz w:val="20"/>
          <w:szCs w:val="20"/>
          <w:color w:val="auto"/>
        </w:rPr>
      </w:pPr>
      <w:r>
        <w:rPr>
          <w:rFonts w:ascii="Arial" w:cs="Arial" w:eastAsia="Arial" w:hAnsi="Arial"/>
          <w:sz w:val="18"/>
          <w:szCs w:val="18"/>
          <w:color w:val="auto"/>
        </w:rPr>
        <w:t>Trustee intends to transfer to the Insurer at Closing or that are part of Contract 300 Portfolio P that will remain in the Guaranteed Separate</w:t>
      </w:r>
    </w:p>
    <w:p>
      <w:pPr>
        <w:spacing w:after="0" w:line="31" w:lineRule="exact"/>
        <w:rPr>
          <w:sz w:val="20"/>
          <w:szCs w:val="20"/>
          <w:color w:val="auto"/>
        </w:rPr>
      </w:pPr>
    </w:p>
    <w:p>
      <w:pPr>
        <w:jc w:val="both"/>
        <w:spacing w:after="0" w:line="261" w:lineRule="auto"/>
        <w:rPr>
          <w:sz w:val="20"/>
          <w:szCs w:val="20"/>
          <w:color w:val="auto"/>
        </w:rPr>
      </w:pPr>
      <w:r>
        <w:rPr>
          <w:rFonts w:ascii="Arial" w:cs="Arial" w:eastAsia="Arial" w:hAnsi="Arial"/>
          <w:sz w:val="19"/>
          <w:szCs w:val="19"/>
          <w:color w:val="auto"/>
        </w:rPr>
        <w:t>Account at the Closing. During the [ *** ] period following the delivery of such statement on the [ *** ] prior to the Target Closing Date, the Insurer and the Company shall cooperate in good faith to agree, in writing, upon a final statement in the form of Exhibit C</w:t>
      </w:r>
    </w:p>
    <w:p>
      <w:pPr>
        <w:jc w:val="both"/>
        <w:spacing w:after="0" w:line="914" w:lineRule="auto"/>
        <w:rPr>
          <w:sz w:val="20"/>
          <w:szCs w:val="20"/>
          <w:color w:val="auto"/>
        </w:rPr>
      </w:pPr>
      <w:r>
        <w:rPr>
          <w:rFonts w:ascii="Arial" w:cs="Arial" w:eastAsia="Arial" w:hAnsi="Arial"/>
          <w:sz w:val="19"/>
          <w:szCs w:val="19"/>
          <w:color w:val="auto"/>
        </w:rPr>
        <w:t>(the “Final Asset Statement”) to be delivered [ *** ] prior to the Target Closing Date, listing each [ *** ], Newco and the assets held therein, that the Plan Trustee intends to transfer to the Insurer at the Closing or that are part of Contract 300 Portfolio P that will remain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line="275" w:lineRule="auto"/>
        <w:rPr>
          <w:sz w:val="20"/>
          <w:szCs w:val="20"/>
          <w:color w:val="auto"/>
        </w:rPr>
      </w:pPr>
      <w:r>
        <w:rPr>
          <w:rFonts w:ascii="Arial" w:cs="Arial" w:eastAsia="Arial" w:hAnsi="Arial"/>
          <w:sz w:val="20"/>
          <w:szCs w:val="20"/>
          <w:color w:val="auto"/>
        </w:rPr>
        <w:t>in the Guaranteed Separate Account at the Closing; provided, that the Insurer may only [ *** ] that constitute an [ *** ] under clauses (i)-(iv), (viii) or (ix)-(xi) of the definition of [ *** ].</w:t>
      </w:r>
    </w:p>
    <w:p>
      <w:pPr>
        <w:spacing w:after="0" w:line="186" w:lineRule="exact"/>
        <w:rPr>
          <w:sz w:val="20"/>
          <w:szCs w:val="20"/>
          <w:color w:val="auto"/>
        </w:rPr>
      </w:pPr>
    </w:p>
    <w:p>
      <w:pPr>
        <w:ind w:left="1040" w:hanging="439"/>
        <w:spacing w:after="0"/>
        <w:tabs>
          <w:tab w:leader="none" w:pos="1040" w:val="left"/>
        </w:tabs>
        <w:numPr>
          <w:ilvl w:val="0"/>
          <w:numId w:val="27"/>
        </w:numPr>
        <w:rPr>
          <w:rFonts w:ascii="Arial" w:cs="Arial" w:eastAsia="Arial" w:hAnsi="Arial"/>
          <w:sz w:val="20"/>
          <w:szCs w:val="20"/>
          <w:color w:val="auto"/>
        </w:rPr>
      </w:pPr>
      <w:r>
        <w:rPr>
          <w:rFonts w:ascii="Arial" w:cs="Arial" w:eastAsia="Arial" w:hAnsi="Arial"/>
          <w:sz w:val="20"/>
          <w:szCs w:val="20"/>
          <w:color w:val="auto"/>
        </w:rPr>
        <w:t xml:space="preserve">On each date identified in </w:t>
      </w:r>
      <w:r>
        <w:rPr>
          <w:rFonts w:ascii="Arial" w:cs="Arial" w:eastAsia="Arial" w:hAnsi="Arial"/>
          <w:sz w:val="20"/>
          <w:szCs w:val="20"/>
          <w:u w:val="single" w:color="auto"/>
          <w:color w:val="auto"/>
        </w:rPr>
        <w:t>Section 2.6(a)</w:t>
      </w:r>
      <w:r>
        <w:rPr>
          <w:rFonts w:ascii="Arial" w:cs="Arial" w:eastAsia="Arial" w:hAnsi="Arial"/>
          <w:sz w:val="20"/>
          <w:szCs w:val="20"/>
          <w:color w:val="auto"/>
        </w:rPr>
        <w:t xml:space="preserve"> above,</w:t>
      </w:r>
    </w:p>
    <w:p>
      <w:pPr>
        <w:spacing w:after="0" w:line="246" w:lineRule="exact"/>
        <w:rPr>
          <w:sz w:val="20"/>
          <w:szCs w:val="20"/>
          <w:color w:val="auto"/>
        </w:rPr>
      </w:pPr>
    </w:p>
    <w:p>
      <w:pPr>
        <w:ind w:left="1660" w:hanging="458"/>
        <w:spacing w:after="0"/>
        <w:tabs>
          <w:tab w:leader="none" w:pos="1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Plan Investment Fiduciary shall deliver to the Insurer a calculation of the value of each asset in the projected Final</w:t>
      </w:r>
    </w:p>
    <w:p>
      <w:pPr>
        <w:spacing w:after="0" w:line="10" w:lineRule="exact"/>
        <w:rPr>
          <w:sz w:val="20"/>
          <w:szCs w:val="20"/>
          <w:color w:val="auto"/>
        </w:rPr>
      </w:pPr>
    </w:p>
    <w:tbl>
      <w:tblPr>
        <w:tblLayout w:type="fixed"/>
        <w:tblInd w:w="600" w:type="dxa"/>
        <w:tblCellMar>
          <w:top w:w="0" w:type="dxa"/>
          <w:left w:w="0" w:type="dxa"/>
          <w:bottom w:w="0" w:type="dxa"/>
          <w:right w:w="0" w:type="dxa"/>
        </w:tblCellMar>
      </w:tblPr>
      <w:tr>
        <w:trPr>
          <w:trHeight w:val="230"/>
        </w:trPr>
        <w:tc>
          <w:tcPr>
            <w:tcW w:w="9800" w:type="dxa"/>
            <w:vAlign w:val="bottom"/>
            <w:gridSpan w:val="6"/>
          </w:tcPr>
          <w:p>
            <w:pPr>
              <w:spacing w:after="0"/>
              <w:rPr>
                <w:sz w:val="20"/>
                <w:szCs w:val="20"/>
                <w:color w:val="auto"/>
              </w:rPr>
            </w:pPr>
            <w:r>
              <w:rPr>
                <w:rFonts w:ascii="Arial" w:cs="Arial" w:eastAsia="Arial" w:hAnsi="Arial"/>
                <w:sz w:val="20"/>
                <w:szCs w:val="20"/>
                <w:color w:val="auto"/>
                <w:w w:val="95"/>
              </w:rPr>
              <w:t>Plan Portfolio, calculated in accordance with the methodology set forth in Appendix 2.6. The valuation date shall be [</w:t>
            </w:r>
          </w:p>
        </w:tc>
        <w:tc>
          <w:tcPr>
            <w:tcW w:w="680" w:type="dxa"/>
            <w:vAlign w:val="bottom"/>
          </w:tcPr>
          <w:p>
            <w:pPr>
              <w:jc w:val="right"/>
              <w:ind w:right="120"/>
              <w:spacing w:after="0"/>
              <w:rPr>
                <w:sz w:val="20"/>
                <w:szCs w:val="20"/>
                <w:color w:val="auto"/>
              </w:rPr>
            </w:pPr>
            <w:r>
              <w:rPr>
                <w:rFonts w:ascii="Arial" w:cs="Arial" w:eastAsia="Arial" w:hAnsi="Arial"/>
                <w:sz w:val="20"/>
                <w:szCs w:val="20"/>
                <w:color w:val="auto"/>
              </w:rPr>
              <w:t>***</w:t>
            </w:r>
          </w:p>
        </w:tc>
        <w:tc>
          <w:tcPr>
            <w:tcW w:w="34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0"/>
        </w:trPr>
        <w:tc>
          <w:tcPr>
            <w:tcW w:w="35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620" w:type="dxa"/>
            <w:vAlign w:val="bottom"/>
            <w:gridSpan w:val="3"/>
          </w:tcPr>
          <w:p>
            <w:pPr>
              <w:spacing w:after="0" w:line="20" w:lineRule="exact"/>
              <w:rPr>
                <w:sz w:val="1"/>
                <w:szCs w:val="1"/>
                <w:color w:val="auto"/>
              </w:rPr>
            </w:pPr>
          </w:p>
        </w:tc>
      </w:tr>
      <w:tr>
        <w:trPr>
          <w:trHeight w:val="247"/>
        </w:trPr>
        <w:tc>
          <w:tcPr>
            <w:tcW w:w="3520" w:type="dxa"/>
            <w:vAlign w:val="bottom"/>
            <w:gridSpan w:val="2"/>
          </w:tcPr>
          <w:p>
            <w:pPr>
              <w:spacing w:after="0"/>
              <w:rPr>
                <w:sz w:val="20"/>
                <w:szCs w:val="20"/>
                <w:color w:val="auto"/>
              </w:rPr>
            </w:pPr>
            <w:r>
              <w:rPr>
                <w:rFonts w:ascii="Arial" w:cs="Arial" w:eastAsia="Arial" w:hAnsi="Arial"/>
                <w:sz w:val="20"/>
                <w:szCs w:val="20"/>
                <w:color w:val="auto"/>
                <w:w w:val="99"/>
              </w:rPr>
              <w:t>except for the delivery dates which are [</w:t>
            </w:r>
          </w:p>
        </w:tc>
        <w:tc>
          <w:tcPr>
            <w:tcW w:w="700" w:type="dxa"/>
            <w:vAlign w:val="bottom"/>
          </w:tcPr>
          <w:p>
            <w:pPr>
              <w:jc w:val="right"/>
              <w:ind w:right="140"/>
              <w:spacing w:after="0"/>
              <w:rPr>
                <w:sz w:val="20"/>
                <w:szCs w:val="20"/>
                <w:color w:val="auto"/>
              </w:rPr>
            </w:pPr>
            <w:r>
              <w:rPr>
                <w:rFonts w:ascii="Arial" w:cs="Arial" w:eastAsia="Arial" w:hAnsi="Arial"/>
                <w:sz w:val="20"/>
                <w:szCs w:val="20"/>
                <w:color w:val="auto"/>
              </w:rPr>
              <w:t>***</w:t>
            </w:r>
          </w:p>
        </w:tc>
        <w:tc>
          <w:tcPr>
            <w:tcW w:w="6600" w:type="dxa"/>
            <w:vAlign w:val="bottom"/>
            <w:gridSpan w:val="5"/>
          </w:tcPr>
          <w:p>
            <w:pPr>
              <w:jc w:val="right"/>
              <w:spacing w:after="0"/>
              <w:rPr>
                <w:sz w:val="20"/>
                <w:szCs w:val="20"/>
                <w:color w:val="auto"/>
              </w:rPr>
            </w:pPr>
            <w:r>
              <w:rPr>
                <w:rFonts w:ascii="Arial" w:cs="Arial" w:eastAsia="Arial" w:hAnsi="Arial"/>
                <w:sz w:val="20"/>
                <w:szCs w:val="20"/>
                <w:color w:val="auto"/>
                <w:w w:val="98"/>
              </w:rPr>
              <w:t>] to the Target Closing Date (such value of the projected Final Plan Portfolio</w:t>
            </w:r>
          </w:p>
        </w:tc>
      </w:tr>
      <w:tr>
        <w:trPr>
          <w:trHeight w:val="256"/>
        </w:trPr>
        <w:tc>
          <w:tcPr>
            <w:tcW w:w="1600" w:type="dxa"/>
            <w:vAlign w:val="bottom"/>
          </w:tcPr>
          <w:p>
            <w:pPr>
              <w:spacing w:after="0"/>
              <w:rPr>
                <w:sz w:val="20"/>
                <w:szCs w:val="20"/>
                <w:color w:val="auto"/>
              </w:rPr>
            </w:pPr>
            <w:r>
              <w:rPr>
                <w:rFonts w:ascii="Arial" w:cs="Arial" w:eastAsia="Arial" w:hAnsi="Arial"/>
                <w:sz w:val="20"/>
                <w:szCs w:val="20"/>
                <w:color w:val="auto"/>
              </w:rPr>
              <w:t>delivered [   ***</w:t>
            </w:r>
          </w:p>
        </w:tc>
        <w:tc>
          <w:tcPr>
            <w:tcW w:w="9220" w:type="dxa"/>
            <w:vAlign w:val="bottom"/>
            <w:gridSpan w:val="7"/>
          </w:tcPr>
          <w:p>
            <w:pPr>
              <w:jc w:val="right"/>
              <w:spacing w:after="0"/>
              <w:rPr>
                <w:sz w:val="20"/>
                <w:szCs w:val="20"/>
                <w:color w:val="auto"/>
              </w:rPr>
            </w:pPr>
            <w:r>
              <w:rPr>
                <w:rFonts w:ascii="Arial" w:cs="Arial" w:eastAsia="Arial" w:hAnsi="Arial"/>
                <w:sz w:val="20"/>
                <w:szCs w:val="20"/>
                <w:color w:val="auto"/>
                <w:w w:val="93"/>
              </w:rPr>
              <w:t>] to the Target Closing Date to be the “Preliminary Plan Portfolio”), in which case the valuation date shall be the</w:t>
            </w:r>
          </w:p>
        </w:tc>
      </w:tr>
    </w:tbl>
    <w:p>
      <w:pPr>
        <w:ind w:left="600" w:firstLine="1"/>
        <w:spacing w:after="0" w:line="257" w:lineRule="auto"/>
        <w:tabs>
          <w:tab w:leader="none" w:pos="975" w:val="left"/>
        </w:tabs>
        <w:numPr>
          <w:ilvl w:val="0"/>
          <w:numId w:val="29"/>
        </w:numPr>
        <w:rPr>
          <w:rFonts w:ascii="Arial" w:cs="Arial" w:eastAsia="Arial" w:hAnsi="Arial"/>
          <w:sz w:val="20"/>
          <w:szCs w:val="20"/>
          <w:color w:val="auto"/>
        </w:rPr>
      </w:pPr>
      <w:r>
        <w:rPr>
          <w:rFonts w:ascii="Arial" w:cs="Arial" w:eastAsia="Arial" w:hAnsi="Arial"/>
          <w:sz w:val="20"/>
          <w:szCs w:val="20"/>
          <w:color w:val="auto"/>
        </w:rPr>
        <w:t>*** ] prior to such delivery date (or in the case of Broker-Quote Public Bonds or [ *** ], as of the close of business on the second Business Day prior to such delivery date);</w:t>
      </w:r>
    </w:p>
    <w:p>
      <w:pPr>
        <w:spacing w:after="0" w:line="202" w:lineRule="exact"/>
        <w:rPr>
          <w:rFonts w:ascii="Arial" w:cs="Arial" w:eastAsia="Arial" w:hAnsi="Arial"/>
          <w:sz w:val="20"/>
          <w:szCs w:val="20"/>
          <w:color w:val="auto"/>
        </w:rPr>
      </w:pPr>
    </w:p>
    <w:p>
      <w:pPr>
        <w:ind w:left="1640" w:hanging="438"/>
        <w:spacing w:after="0"/>
        <w:tabs>
          <w:tab w:leader="none" w:pos="1640" w:val="left"/>
        </w:tabs>
        <w:numPr>
          <w:ilvl w:val="1"/>
          <w:numId w:val="29"/>
        </w:numPr>
        <w:rPr>
          <w:rFonts w:ascii="Arial" w:cs="Arial" w:eastAsia="Arial" w:hAnsi="Arial"/>
          <w:sz w:val="20"/>
          <w:szCs w:val="20"/>
          <w:color w:val="auto"/>
        </w:rPr>
      </w:pPr>
      <w:r>
        <w:rPr>
          <w:rFonts w:ascii="Arial" w:cs="Arial" w:eastAsia="Arial" w:hAnsi="Arial"/>
          <w:sz w:val="20"/>
          <w:szCs w:val="20"/>
          <w:color w:val="auto"/>
        </w:rPr>
        <w:t>the Plan Investment Fiduciary shall deliver to the Insurer the In-Kind Asset Information; and</w:t>
      </w:r>
    </w:p>
    <w:p>
      <w:pPr>
        <w:spacing w:after="0" w:line="245" w:lineRule="exact"/>
        <w:rPr>
          <w:rFonts w:ascii="Arial" w:cs="Arial" w:eastAsia="Arial" w:hAnsi="Arial"/>
          <w:sz w:val="20"/>
          <w:szCs w:val="20"/>
          <w:color w:val="auto"/>
        </w:rPr>
      </w:pPr>
    </w:p>
    <w:p>
      <w:pPr>
        <w:ind w:left="600" w:firstLine="602"/>
        <w:spacing w:after="0" w:line="275" w:lineRule="auto"/>
        <w:tabs>
          <w:tab w:leader="none" w:pos="1723" w:val="left"/>
        </w:tabs>
        <w:numPr>
          <w:ilvl w:val="1"/>
          <w:numId w:val="29"/>
        </w:numPr>
        <w:rPr>
          <w:rFonts w:ascii="Arial" w:cs="Arial" w:eastAsia="Arial" w:hAnsi="Arial"/>
          <w:sz w:val="20"/>
          <w:szCs w:val="20"/>
          <w:color w:val="auto"/>
        </w:rPr>
      </w:pPr>
      <w:r>
        <w:rPr>
          <w:rFonts w:ascii="Arial" w:cs="Arial" w:eastAsia="Arial" w:hAnsi="Arial"/>
          <w:sz w:val="20"/>
          <w:szCs w:val="20"/>
          <w:color w:val="auto"/>
        </w:rPr>
        <w:t>the Plan Investment Fiduciary will deliver to the Independent Third Party the outputs required from POINT to complete the premium calculations contemplated on such date.</w:t>
      </w:r>
    </w:p>
    <w:p>
      <w:pPr>
        <w:spacing w:after="0" w:line="186" w:lineRule="exact"/>
        <w:rPr>
          <w:sz w:val="20"/>
          <w:szCs w:val="20"/>
          <w:color w:val="auto"/>
        </w:rPr>
      </w:pPr>
    </w:p>
    <w:p>
      <w:pPr>
        <w:jc w:val="both"/>
        <w:ind w:firstLine="601"/>
        <w:spacing w:after="0" w:line="286" w:lineRule="auto"/>
        <w:tabs>
          <w:tab w:leader="none" w:pos="1095"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Within three (3) Business Days from each delivery of the list of assets in </w:t>
      </w:r>
      <w:r>
        <w:rPr>
          <w:rFonts w:ascii="Arial" w:cs="Arial" w:eastAsia="Arial" w:hAnsi="Arial"/>
          <w:sz w:val="18"/>
          <w:szCs w:val="18"/>
          <w:u w:val="single" w:color="auto"/>
          <w:color w:val="auto"/>
        </w:rPr>
        <w:t>Section 2.6(a)</w:t>
      </w:r>
      <w:r>
        <w:rPr>
          <w:rFonts w:ascii="Arial" w:cs="Arial" w:eastAsia="Arial" w:hAnsi="Arial"/>
          <w:sz w:val="18"/>
          <w:szCs w:val="18"/>
          <w:color w:val="auto"/>
        </w:rPr>
        <w:t xml:space="preserve"> (other than any such delivery that is required on the date that is 2 days prior to the Target Closing Date), the Insurer shall deliver notice to the Plan Investment Fiduciary, with a</w:t>
      </w:r>
    </w:p>
    <w:tbl>
      <w:tblPr>
        <w:tblLayout w:type="fixed"/>
        <w:tblInd w:w="0" w:type="dxa"/>
        <w:tblCellMar>
          <w:top w:w="0" w:type="dxa"/>
          <w:left w:w="0" w:type="dxa"/>
          <w:bottom w:w="0" w:type="dxa"/>
          <w:right w:w="0" w:type="dxa"/>
        </w:tblCellMar>
      </w:tblPr>
      <w:tr>
        <w:trPr>
          <w:trHeight w:val="256"/>
        </w:trPr>
        <w:tc>
          <w:tcPr>
            <w:tcW w:w="2160" w:type="dxa"/>
            <w:vAlign w:val="bottom"/>
            <w:gridSpan w:val="4"/>
          </w:tcPr>
          <w:p>
            <w:pPr>
              <w:spacing w:after="0"/>
              <w:rPr>
                <w:sz w:val="20"/>
                <w:szCs w:val="20"/>
                <w:color w:val="auto"/>
              </w:rPr>
            </w:pPr>
            <w:r>
              <w:rPr>
                <w:rFonts w:ascii="Arial" w:cs="Arial" w:eastAsia="Arial" w:hAnsi="Arial"/>
                <w:sz w:val="20"/>
                <w:szCs w:val="20"/>
                <w:color w:val="auto"/>
                <w:w w:val="93"/>
              </w:rPr>
              <w:t>copy to the Company, of [</w:t>
            </w:r>
          </w:p>
        </w:tc>
        <w:tc>
          <w:tcPr>
            <w:tcW w:w="64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160" w:type="dxa"/>
            <w:vAlign w:val="bottom"/>
          </w:tcPr>
          <w:p>
            <w:pPr>
              <w:ind w:left="200"/>
              <w:spacing w:after="0"/>
              <w:rPr>
                <w:sz w:val="20"/>
                <w:szCs w:val="20"/>
                <w:color w:val="auto"/>
              </w:rPr>
            </w:pPr>
            <w:r>
              <w:rPr>
                <w:rFonts w:ascii="Arial" w:cs="Arial" w:eastAsia="Arial" w:hAnsi="Arial"/>
                <w:sz w:val="20"/>
                <w:szCs w:val="20"/>
                <w:color w:val="auto"/>
              </w:rPr>
              <w:t>].</w:t>
            </w: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410"/>
        </w:trPr>
        <w:tc>
          <w:tcPr>
            <w:tcW w:w="960" w:type="dxa"/>
            <w:vAlign w:val="bottom"/>
          </w:tcPr>
          <w:p>
            <w:pPr>
              <w:ind w:left="600"/>
              <w:spacing w:after="0"/>
              <w:rPr>
                <w:sz w:val="20"/>
                <w:szCs w:val="20"/>
                <w:color w:val="auto"/>
              </w:rPr>
            </w:pPr>
            <w:r>
              <w:rPr>
                <w:rFonts w:ascii="Arial" w:cs="Arial" w:eastAsia="Arial" w:hAnsi="Arial"/>
                <w:sz w:val="20"/>
                <w:szCs w:val="20"/>
                <w:color w:val="auto"/>
              </w:rPr>
              <w:t>(d)</w:t>
            </w:r>
          </w:p>
        </w:tc>
        <w:tc>
          <w:tcPr>
            <w:tcW w:w="4120" w:type="dxa"/>
            <w:vAlign w:val="bottom"/>
            <w:gridSpan w:val="8"/>
          </w:tcPr>
          <w:p>
            <w:pPr>
              <w:ind w:left="80"/>
              <w:spacing w:after="0"/>
              <w:rPr>
                <w:sz w:val="20"/>
                <w:szCs w:val="20"/>
                <w:color w:val="auto"/>
              </w:rPr>
            </w:pPr>
            <w:r>
              <w:rPr>
                <w:rFonts w:ascii="Arial" w:cs="Arial" w:eastAsia="Arial" w:hAnsi="Arial"/>
                <w:sz w:val="20"/>
                <w:szCs w:val="20"/>
                <w:color w:val="auto"/>
              </w:rPr>
              <w:t>(i) Appendix 2.6(d)(I) sets forth a list of [   ***</w:t>
            </w:r>
          </w:p>
        </w:tc>
        <w:tc>
          <w:tcPr>
            <w:tcW w:w="6340" w:type="dxa"/>
            <w:vAlign w:val="bottom"/>
            <w:gridSpan w:val="8"/>
          </w:tcPr>
          <w:p>
            <w:pPr>
              <w:jc w:val="right"/>
              <w:spacing w:after="0"/>
              <w:rPr>
                <w:sz w:val="20"/>
                <w:szCs w:val="20"/>
                <w:color w:val="auto"/>
              </w:rPr>
            </w:pPr>
            <w:r>
              <w:rPr>
                <w:rFonts w:ascii="Arial" w:cs="Arial" w:eastAsia="Arial" w:hAnsi="Arial"/>
                <w:sz w:val="20"/>
                <w:szCs w:val="20"/>
                <w:color w:val="auto"/>
                <w:w w:val="95"/>
              </w:rPr>
              <w:t>] to the Insurer at Closing. Appendix 2.6(d)(II) sets forth, in ranking order of</w:t>
            </w:r>
          </w:p>
        </w:tc>
      </w:tr>
      <w:tr>
        <w:trPr>
          <w:trHeight w:val="20"/>
        </w:trPr>
        <w:tc>
          <w:tcPr>
            <w:tcW w:w="1280" w:type="dxa"/>
            <w:vAlign w:val="bottom"/>
            <w:gridSpan w:val="2"/>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47"/>
        </w:trPr>
        <w:tc>
          <w:tcPr>
            <w:tcW w:w="2160" w:type="dxa"/>
            <w:vAlign w:val="bottom"/>
            <w:gridSpan w:val="4"/>
          </w:tcPr>
          <w:p>
            <w:pPr>
              <w:spacing w:after="0"/>
              <w:rPr>
                <w:sz w:val="20"/>
                <w:szCs w:val="20"/>
                <w:color w:val="auto"/>
              </w:rPr>
            </w:pPr>
            <w:r>
              <w:rPr>
                <w:rFonts w:ascii="Arial" w:cs="Arial" w:eastAsia="Arial" w:hAnsi="Arial"/>
                <w:sz w:val="20"/>
                <w:szCs w:val="20"/>
                <w:color w:val="auto"/>
              </w:rPr>
              <w:t>preference, additional [</w:t>
            </w:r>
          </w:p>
        </w:tc>
        <w:tc>
          <w:tcPr>
            <w:tcW w:w="640" w:type="dxa"/>
            <w:vAlign w:val="bottom"/>
            <w:gridSpan w:val="2"/>
          </w:tcPr>
          <w:p>
            <w:pPr>
              <w:jc w:val="right"/>
              <w:ind w:right="260"/>
              <w:spacing w:after="0"/>
              <w:rPr>
                <w:sz w:val="20"/>
                <w:szCs w:val="20"/>
                <w:color w:val="auto"/>
              </w:rPr>
            </w:pPr>
            <w:r>
              <w:rPr>
                <w:rFonts w:ascii="Arial" w:cs="Arial" w:eastAsia="Arial" w:hAnsi="Arial"/>
                <w:sz w:val="20"/>
                <w:szCs w:val="20"/>
                <w:color w:val="auto"/>
              </w:rPr>
              <w:t>***</w:t>
            </w:r>
          </w:p>
        </w:tc>
        <w:tc>
          <w:tcPr>
            <w:tcW w:w="6560" w:type="dxa"/>
            <w:vAlign w:val="bottom"/>
            <w:gridSpan w:val="8"/>
          </w:tcPr>
          <w:p>
            <w:pPr>
              <w:ind w:left="200"/>
              <w:spacing w:after="0"/>
              <w:rPr>
                <w:sz w:val="20"/>
                <w:szCs w:val="20"/>
                <w:color w:val="auto"/>
              </w:rPr>
            </w:pPr>
            <w:r>
              <w:rPr>
                <w:rFonts w:ascii="Arial" w:cs="Arial" w:eastAsia="Arial" w:hAnsi="Arial"/>
                <w:sz w:val="20"/>
                <w:szCs w:val="20"/>
                <w:color w:val="auto"/>
                <w:w w:val="98"/>
              </w:rPr>
              <w:t>] and transferred at Closing, either in substitution for or in addition to the [</w:t>
            </w:r>
          </w:p>
        </w:tc>
        <w:tc>
          <w:tcPr>
            <w:tcW w:w="540" w:type="dxa"/>
            <w:vAlign w:val="bottom"/>
          </w:tcPr>
          <w:p>
            <w:pPr>
              <w:jc w:val="right"/>
              <w:spacing w:after="0"/>
              <w:rPr>
                <w:sz w:val="20"/>
                <w:szCs w:val="20"/>
                <w:color w:val="auto"/>
              </w:rPr>
            </w:pPr>
            <w:r>
              <w:rPr>
                <w:rFonts w:ascii="Arial" w:cs="Arial" w:eastAsia="Arial" w:hAnsi="Arial"/>
                <w:sz w:val="20"/>
                <w:szCs w:val="20"/>
                <w:color w:val="auto"/>
              </w:rPr>
              <w:t>***</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w w:val="99"/>
              </w:rPr>
              <w:t>] identified in</w:t>
            </w:r>
          </w:p>
        </w:tc>
      </w:tr>
      <w:tr>
        <w:trPr>
          <w:trHeight w:val="209"/>
        </w:trPr>
        <w:tc>
          <w:tcPr>
            <w:tcW w:w="2160" w:type="dxa"/>
            <w:vAlign w:val="bottom"/>
            <w:gridSpan w:val="4"/>
          </w:tcPr>
          <w:p>
            <w:pPr>
              <w:spacing w:after="0" w:line="209" w:lineRule="exact"/>
              <w:rPr>
                <w:sz w:val="20"/>
                <w:szCs w:val="20"/>
                <w:color w:val="auto"/>
              </w:rPr>
            </w:pPr>
            <w:r>
              <w:rPr>
                <w:rFonts w:ascii="Arial" w:cs="Arial" w:eastAsia="Arial" w:hAnsi="Arial"/>
                <w:sz w:val="20"/>
                <w:szCs w:val="20"/>
                <w:color w:val="auto"/>
              </w:rPr>
              <w:t>Appendix 2.6(d)(I).</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0"/>
        </w:trPr>
        <w:tc>
          <w:tcPr>
            <w:tcW w:w="960" w:type="dxa"/>
            <w:vAlign w:val="bottom"/>
            <w:shd w:val="clear" w:color="auto" w:fill="000000"/>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4080" w:type="dxa"/>
            <w:vAlign w:val="bottom"/>
            <w:gridSpan w:val="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84"/>
        </w:trPr>
        <w:tc>
          <w:tcPr>
            <w:tcW w:w="960" w:type="dxa"/>
            <w:vAlign w:val="bottom"/>
          </w:tcPr>
          <w:p>
            <w:pPr>
              <w:spacing w:after="0"/>
              <w:rPr>
                <w:sz w:val="24"/>
                <w:szCs w:val="24"/>
                <w:color w:val="auto"/>
              </w:rPr>
            </w:pPr>
          </w:p>
        </w:tc>
        <w:tc>
          <w:tcPr>
            <w:tcW w:w="8940" w:type="dxa"/>
            <w:vAlign w:val="bottom"/>
            <w:gridSpan w:val="14"/>
          </w:tcPr>
          <w:p>
            <w:pPr>
              <w:jc w:val="right"/>
              <w:ind w:right="140"/>
              <w:spacing w:after="0"/>
              <w:rPr>
                <w:sz w:val="20"/>
                <w:szCs w:val="20"/>
                <w:color w:val="auto"/>
              </w:rPr>
            </w:pPr>
            <w:r>
              <w:rPr>
                <w:rFonts w:ascii="Arial" w:cs="Arial" w:eastAsia="Arial" w:hAnsi="Arial"/>
                <w:sz w:val="20"/>
                <w:szCs w:val="20"/>
                <w:color w:val="auto"/>
                <w:w w:val="96"/>
              </w:rPr>
              <w:t>(ii)   Insurer may give notice to the Plan Investment Fiduciary anytime before September 1, 2012 that [</w:t>
            </w:r>
          </w:p>
        </w:tc>
        <w:tc>
          <w:tcPr>
            <w:tcW w:w="380" w:type="dxa"/>
            <w:vAlign w:val="bottom"/>
          </w:tcPr>
          <w:p>
            <w:pPr>
              <w:jc w:val="right"/>
              <w:spacing w:after="0"/>
              <w:rPr>
                <w:sz w:val="20"/>
                <w:szCs w:val="20"/>
                <w:color w:val="auto"/>
              </w:rPr>
            </w:pPr>
            <w:r>
              <w:rPr>
                <w:rFonts w:ascii="Arial" w:cs="Arial" w:eastAsia="Arial" w:hAnsi="Arial"/>
                <w:sz w:val="20"/>
                <w:szCs w:val="20"/>
                <w:color w:val="auto"/>
              </w:rPr>
              <w:t>***</w:t>
            </w:r>
          </w:p>
        </w:tc>
        <w:tc>
          <w:tcPr>
            <w:tcW w:w="1140" w:type="dxa"/>
            <w:vAlign w:val="bottom"/>
          </w:tcPr>
          <w:p>
            <w:pPr>
              <w:jc w:val="right"/>
              <w:ind w:right="120"/>
              <w:spacing w:after="0"/>
              <w:rPr>
                <w:sz w:val="20"/>
                <w:szCs w:val="20"/>
                <w:color w:val="auto"/>
              </w:rPr>
            </w:pPr>
            <w:r>
              <w:rPr>
                <w:rFonts w:ascii="Arial" w:cs="Arial" w:eastAsia="Arial" w:hAnsi="Arial"/>
                <w:sz w:val="20"/>
                <w:szCs w:val="20"/>
                <w:color w:val="auto"/>
              </w:rPr>
              <w:t>] any [</w:t>
            </w:r>
          </w:p>
        </w:tc>
      </w:tr>
      <w:tr>
        <w:trPr>
          <w:trHeight w:val="209"/>
        </w:trPr>
        <w:tc>
          <w:tcPr>
            <w:tcW w:w="960" w:type="dxa"/>
            <w:vAlign w:val="bottom"/>
          </w:tcPr>
          <w:p>
            <w:pPr>
              <w:ind w:left="600"/>
              <w:spacing w:after="0" w:line="209" w:lineRule="exact"/>
              <w:rPr>
                <w:sz w:val="20"/>
                <w:szCs w:val="20"/>
                <w:color w:val="auto"/>
              </w:rPr>
            </w:pPr>
            <w:r>
              <w:rPr>
                <w:rFonts w:ascii="Arial" w:cs="Arial" w:eastAsia="Arial" w:hAnsi="Arial"/>
                <w:sz w:val="20"/>
                <w:szCs w:val="20"/>
                <w:color w:val="auto"/>
              </w:rPr>
              <w:t>***</w:t>
            </w:r>
          </w:p>
        </w:tc>
        <w:tc>
          <w:tcPr>
            <w:tcW w:w="5700" w:type="dxa"/>
            <w:vAlign w:val="bottom"/>
            <w:gridSpan w:val="10"/>
          </w:tcPr>
          <w:p>
            <w:pPr>
              <w:ind w:left="300"/>
              <w:spacing w:after="0" w:line="209" w:lineRule="exact"/>
              <w:rPr>
                <w:sz w:val="20"/>
                <w:szCs w:val="20"/>
                <w:color w:val="auto"/>
              </w:rPr>
            </w:pPr>
            <w:r>
              <w:rPr>
                <w:rFonts w:ascii="Arial" w:cs="Arial" w:eastAsia="Arial" w:hAnsi="Arial"/>
                <w:sz w:val="20"/>
                <w:szCs w:val="20"/>
                <w:color w:val="auto"/>
              </w:rPr>
              <w:t>] identified on Appendix 2.6(d)(I) or Appendix 2.6(d)(II) [   ***</w:t>
            </w:r>
          </w:p>
        </w:tc>
        <w:tc>
          <w:tcPr>
            <w:tcW w:w="760" w:type="dxa"/>
            <w:vAlign w:val="bottom"/>
          </w:tcPr>
          <w:p>
            <w:pPr>
              <w:jc w:val="right"/>
              <w:ind w:right="360"/>
              <w:spacing w:after="0" w:line="209" w:lineRule="exact"/>
              <w:rPr>
                <w:sz w:val="20"/>
                <w:szCs w:val="20"/>
                <w:color w:val="auto"/>
              </w:rPr>
            </w:pPr>
            <w:r>
              <w:rPr>
                <w:rFonts w:ascii="Arial" w:cs="Arial" w:eastAsia="Arial" w:hAnsi="Arial"/>
                <w:sz w:val="20"/>
                <w:szCs w:val="20"/>
                <w:color w:val="auto"/>
              </w:rPr>
              <w:t>]:</w:t>
            </w:r>
          </w:p>
        </w:tc>
        <w:tc>
          <w:tcPr>
            <w:tcW w:w="1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443"/>
        </w:trPr>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28</w:t>
            </w:r>
          </w:p>
        </w:tc>
        <w:tc>
          <w:tcPr>
            <w:tcW w:w="8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1420"/>
          </w:cols>
          <w:pgMar w:left="240" w:top="556" w:right="239" w:bottom="1440" w:gutter="0" w:footer="0" w:header="0"/>
        </w:sectPr>
      </w:pPr>
    </w:p>
    <w:bookmarkStart w:id="39" w:name="page40"/>
    <w:bookmarkEnd w:id="39"/>
    <w:p>
      <w:pPr>
        <w:spacing w:after="0" w:line="1" w:lineRule="exact"/>
        <w:rPr>
          <w:sz w:val="20"/>
          <w:szCs w:val="20"/>
          <w:color w:val="auto"/>
        </w:rPr>
      </w:pPr>
    </w:p>
    <w:tbl>
      <w:tblPr>
        <w:tblLayout w:type="fixed"/>
        <w:tblInd w:w="600" w:type="dxa"/>
        <w:tblCellMar>
          <w:top w:w="0" w:type="dxa"/>
          <w:left w:w="0" w:type="dxa"/>
          <w:bottom w:w="0" w:type="dxa"/>
          <w:right w:w="0" w:type="dxa"/>
        </w:tblCellMar>
      </w:tblPr>
      <w:tr>
        <w:trPr>
          <w:trHeight w:val="256"/>
        </w:trPr>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ind w:left="40"/>
              <w:spacing w:after="0"/>
              <w:rPr>
                <w:sz w:val="20"/>
                <w:szCs w:val="20"/>
                <w:color w:val="auto"/>
              </w:rPr>
            </w:pPr>
            <w:r>
              <w:rPr>
                <w:rFonts w:ascii="Arial" w:cs="Arial" w:eastAsia="Arial" w:hAnsi="Arial"/>
                <w:sz w:val="20"/>
                <w:szCs w:val="20"/>
                <w:color w:val="auto"/>
              </w:rPr>
              <w:t>(A)</w:t>
            </w: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gridSpan w:val="2"/>
          </w:tcPr>
          <w:p>
            <w:pPr>
              <w:ind w:left="20"/>
              <w:spacing w:after="0"/>
              <w:rPr>
                <w:sz w:val="20"/>
                <w:szCs w:val="20"/>
                <w:color w:val="auto"/>
              </w:rPr>
            </w:pPr>
            <w:r>
              <w:rPr>
                <w:rFonts w:ascii="Arial" w:cs="Arial" w:eastAsia="Arial" w:hAnsi="Arial"/>
                <w:sz w:val="20"/>
                <w:szCs w:val="20"/>
                <w:color w:val="auto"/>
                <w:w w:val="91"/>
              </w:rPr>
              <w:t>there is [</w:t>
            </w:r>
          </w:p>
        </w:tc>
        <w:tc>
          <w:tcPr>
            <w:tcW w:w="240" w:type="dxa"/>
            <w:vAlign w:val="bottom"/>
          </w:tcPr>
          <w:p>
            <w:pPr>
              <w:spacing w:after="0"/>
              <w:rPr>
                <w:sz w:val="22"/>
                <w:szCs w:val="22"/>
                <w:color w:val="auto"/>
              </w:rPr>
            </w:pPr>
          </w:p>
        </w:tc>
        <w:tc>
          <w:tcPr>
            <w:tcW w:w="300" w:type="dxa"/>
            <w:vAlign w:val="bottom"/>
          </w:tcPr>
          <w:p>
            <w:pPr>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jc w:val="right"/>
              <w:ind w:right="40"/>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28"/>
        </w:trPr>
        <w:tc>
          <w:tcPr>
            <w:tcW w:w="540" w:type="dxa"/>
            <w:vAlign w:val="bottom"/>
            <w:gridSpan w:val="3"/>
            <w:vMerge w:val="restart"/>
          </w:tcPr>
          <w:p>
            <w:pPr>
              <w:spacing w:after="0"/>
              <w:rPr>
                <w:sz w:val="20"/>
                <w:szCs w:val="20"/>
                <w:color w:val="auto"/>
              </w:rPr>
            </w:pPr>
            <w:r>
              <w:rPr>
                <w:rFonts w:ascii="Arial" w:cs="Arial" w:eastAsia="Arial" w:hAnsi="Arial"/>
                <w:sz w:val="20"/>
                <w:szCs w:val="20"/>
                <w:color w:val="auto"/>
              </w:rPr>
              <w:t>or</w:t>
            </w: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ind w:left="40"/>
              <w:spacing w:after="0"/>
              <w:rPr>
                <w:sz w:val="20"/>
                <w:szCs w:val="20"/>
                <w:color w:val="auto"/>
              </w:rPr>
            </w:pPr>
            <w:r>
              <w:rPr>
                <w:rFonts w:ascii="Arial" w:cs="Arial" w:eastAsia="Arial" w:hAnsi="Arial"/>
                <w:sz w:val="20"/>
                <w:szCs w:val="20"/>
                <w:color w:val="auto"/>
              </w:rPr>
              <w:t>(B)</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2"/>
          </w:tcPr>
          <w:p>
            <w:pPr>
              <w:ind w:left="20"/>
              <w:spacing w:after="0"/>
              <w:rPr>
                <w:sz w:val="20"/>
                <w:szCs w:val="20"/>
                <w:color w:val="auto"/>
              </w:rPr>
            </w:pPr>
            <w:r>
              <w:rPr>
                <w:rFonts w:ascii="Arial" w:cs="Arial" w:eastAsia="Arial" w:hAnsi="Arial"/>
                <w:sz w:val="20"/>
                <w:szCs w:val="20"/>
                <w:color w:val="auto"/>
              </w:rPr>
              <w:t>such [</w:t>
            </w:r>
          </w:p>
        </w:tc>
        <w:tc>
          <w:tcPr>
            <w:tcW w:w="54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320" w:type="dxa"/>
            <w:vAlign w:val="bottom"/>
            <w:gridSpan w:val="28"/>
          </w:tcPr>
          <w:p>
            <w:pPr>
              <w:jc w:val="right"/>
              <w:spacing w:after="0"/>
              <w:rPr>
                <w:sz w:val="20"/>
                <w:szCs w:val="20"/>
                <w:color w:val="auto"/>
              </w:rPr>
            </w:pPr>
            <w:r>
              <w:rPr>
                <w:rFonts w:ascii="Arial" w:cs="Arial" w:eastAsia="Arial" w:hAnsi="Arial"/>
                <w:sz w:val="20"/>
                <w:szCs w:val="20"/>
                <w:color w:val="auto"/>
                <w:w w:val="93"/>
              </w:rPr>
              <w:t>] (as such values are set forth on Appendix 2.6(d)(I) or Appendix 2.6(d)(II) as applicable),</w:t>
            </w:r>
          </w:p>
        </w:tc>
        <w:tc>
          <w:tcPr>
            <w:tcW w:w="0" w:type="dxa"/>
            <w:vAlign w:val="bottom"/>
          </w:tcPr>
          <w:p>
            <w:pPr>
              <w:spacing w:after="0"/>
              <w:rPr>
                <w:sz w:val="1"/>
                <w:szCs w:val="1"/>
                <w:color w:val="auto"/>
              </w:rPr>
            </w:pPr>
          </w:p>
        </w:tc>
      </w:tr>
      <w:tr>
        <w:trPr>
          <w:trHeight w:val="265"/>
        </w:trPr>
        <w:tc>
          <w:tcPr>
            <w:tcW w:w="540" w:type="dxa"/>
            <w:vAlign w:val="bottom"/>
            <w:gridSpan w:val="3"/>
            <w:vMerge w:val="continue"/>
          </w:tcPr>
          <w:p>
            <w:pPr>
              <w:spacing w:after="0"/>
              <w:rPr>
                <w:sz w:val="23"/>
                <w:szCs w:val="23"/>
                <w:color w:val="auto"/>
              </w:rPr>
            </w:pPr>
          </w:p>
        </w:tc>
        <w:tc>
          <w:tcPr>
            <w:tcW w:w="2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340" w:type="dxa"/>
            <w:vAlign w:val="bottom"/>
            <w:tcBorders>
              <w:top w:val="single" w:sz="8" w:color="auto"/>
            </w:tcBorders>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560" w:type="dxa"/>
            <w:vAlign w:val="bottom"/>
            <w:tcBorders>
              <w:top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0" w:type="dxa"/>
            <w:vAlign w:val="bottom"/>
            <w:tcBorders>
              <w:top w:val="single" w:sz="8" w:color="auto"/>
            </w:tcBorders>
          </w:tcPr>
          <w:p>
            <w:pPr>
              <w:spacing w:after="0"/>
              <w:rPr>
                <w:sz w:val="23"/>
                <w:szCs w:val="23"/>
                <w:color w:val="auto"/>
              </w:rPr>
            </w:pPr>
          </w:p>
        </w:tc>
        <w:tc>
          <w:tcPr>
            <w:tcW w:w="1000" w:type="dxa"/>
            <w:vAlign w:val="bottom"/>
            <w:tcBorders>
              <w:top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76"/>
        </w:trPr>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ind w:left="40"/>
              <w:spacing w:after="0"/>
              <w:rPr>
                <w:sz w:val="20"/>
                <w:szCs w:val="20"/>
                <w:color w:val="auto"/>
              </w:rPr>
            </w:pPr>
            <w:r>
              <w:rPr>
                <w:rFonts w:ascii="Arial" w:cs="Arial" w:eastAsia="Arial" w:hAnsi="Arial"/>
                <w:sz w:val="20"/>
                <w:szCs w:val="20"/>
                <w:color w:val="auto"/>
              </w:rPr>
              <w:t>(C)</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3"/>
          </w:tcPr>
          <w:p>
            <w:pPr>
              <w:ind w:left="20"/>
              <w:spacing w:after="0"/>
              <w:rPr>
                <w:sz w:val="20"/>
                <w:szCs w:val="20"/>
                <w:color w:val="auto"/>
              </w:rPr>
            </w:pPr>
            <w:r>
              <w:rPr>
                <w:rFonts w:ascii="Arial" w:cs="Arial" w:eastAsia="Arial" w:hAnsi="Arial"/>
                <w:sz w:val="20"/>
                <w:szCs w:val="20"/>
                <w:color w:val="auto"/>
                <w:w w:val="98"/>
              </w:rPr>
              <w:t>Insurer is [</w:t>
            </w:r>
          </w:p>
        </w:tc>
        <w:tc>
          <w:tcPr>
            <w:tcW w:w="460" w:type="dxa"/>
            <w:vAlign w:val="bottom"/>
            <w:gridSpan w:val="3"/>
          </w:tcPr>
          <w:p>
            <w:pPr>
              <w:jc w:val="right"/>
              <w:ind w:right="20"/>
              <w:spacing w:after="0"/>
              <w:rPr>
                <w:sz w:val="20"/>
                <w:szCs w:val="20"/>
                <w:color w:val="auto"/>
              </w:rPr>
            </w:pPr>
            <w:r>
              <w:rPr>
                <w:rFonts w:ascii="Arial" w:cs="Arial" w:eastAsia="Arial" w:hAnsi="Arial"/>
                <w:sz w:val="20"/>
                <w:szCs w:val="20"/>
                <w:color w:val="auto"/>
              </w:rPr>
              <w:t>***</w:t>
            </w:r>
          </w:p>
        </w:tc>
        <w:tc>
          <w:tcPr>
            <w:tcW w:w="1100" w:type="dxa"/>
            <w:vAlign w:val="bottom"/>
            <w:gridSpan w:val="6"/>
          </w:tcPr>
          <w:p>
            <w:pPr>
              <w:ind w:left="340"/>
              <w:spacing w:after="0"/>
              <w:rPr>
                <w:sz w:val="20"/>
                <w:szCs w:val="20"/>
                <w:color w:val="auto"/>
              </w:rPr>
            </w:pPr>
            <w:r>
              <w:rPr>
                <w:rFonts w:ascii="Arial" w:cs="Arial" w:eastAsia="Arial" w:hAnsi="Arial"/>
                <w:sz w:val="20"/>
                <w:szCs w:val="20"/>
                <w:color w:val="auto"/>
              </w:rPr>
              <w:t>] such [</w:t>
            </w:r>
          </w:p>
        </w:tc>
        <w:tc>
          <w:tcPr>
            <w:tcW w:w="620" w:type="dxa"/>
            <w:vAlign w:val="bottom"/>
            <w:gridSpan w:val="2"/>
          </w:tcPr>
          <w:p>
            <w:pPr>
              <w:jc w:val="right"/>
              <w:ind w:right="220"/>
              <w:spacing w:after="0"/>
              <w:rPr>
                <w:sz w:val="20"/>
                <w:szCs w:val="20"/>
                <w:color w:val="auto"/>
              </w:rPr>
            </w:pPr>
            <w:r>
              <w:rPr>
                <w:rFonts w:ascii="Arial" w:cs="Arial" w:eastAsia="Arial" w:hAnsi="Arial"/>
                <w:sz w:val="20"/>
                <w:szCs w:val="20"/>
                <w:color w:val="auto"/>
              </w:rPr>
              <w:t>***</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7"/>
        </w:trPr>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60" w:type="dxa"/>
            <w:vAlign w:val="bottom"/>
            <w:gridSpan w:val="8"/>
          </w:tcPr>
          <w:p>
            <w:pPr>
              <w:ind w:left="60"/>
              <w:spacing w:after="0"/>
              <w:rPr>
                <w:sz w:val="20"/>
                <w:szCs w:val="20"/>
                <w:color w:val="auto"/>
              </w:rPr>
            </w:pPr>
            <w:r>
              <w:rPr>
                <w:rFonts w:ascii="Arial" w:cs="Arial" w:eastAsia="Arial" w:hAnsi="Arial"/>
                <w:sz w:val="20"/>
                <w:szCs w:val="20"/>
                <w:color w:val="auto"/>
              </w:rPr>
              <w:t>(iii)   The portfolio of [</w:t>
            </w:r>
          </w:p>
        </w:tc>
        <w:tc>
          <w:tcPr>
            <w:tcW w:w="540" w:type="dxa"/>
            <w:vAlign w:val="bottom"/>
            <w:gridSpan w:val="2"/>
          </w:tcPr>
          <w:p>
            <w:pPr>
              <w:jc w:val="right"/>
              <w:ind w:right="20"/>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320" w:type="dxa"/>
            <w:vAlign w:val="bottom"/>
            <w:gridSpan w:val="28"/>
          </w:tcPr>
          <w:p>
            <w:pPr>
              <w:jc w:val="right"/>
              <w:spacing w:after="0"/>
              <w:rPr>
                <w:sz w:val="20"/>
                <w:szCs w:val="20"/>
                <w:color w:val="auto"/>
              </w:rPr>
            </w:pPr>
            <w:r>
              <w:rPr>
                <w:rFonts w:ascii="Arial" w:cs="Arial" w:eastAsia="Arial" w:hAnsi="Arial"/>
                <w:sz w:val="20"/>
                <w:szCs w:val="20"/>
                <w:color w:val="auto"/>
                <w:w w:val="95"/>
              </w:rPr>
              <w:t>] set forth on the Final Asset Statement and Transferred Asset Schedule at Closing will</w:t>
            </w:r>
          </w:p>
        </w:tc>
        <w:tc>
          <w:tcPr>
            <w:tcW w:w="0" w:type="dxa"/>
            <w:vAlign w:val="bottom"/>
          </w:tcPr>
          <w:p>
            <w:pPr>
              <w:spacing w:after="0"/>
              <w:rPr>
                <w:sz w:val="1"/>
                <w:szCs w:val="1"/>
                <w:color w:val="auto"/>
              </w:rPr>
            </w:pPr>
          </w:p>
        </w:tc>
      </w:tr>
      <w:tr>
        <w:trPr>
          <w:trHeight w:val="256"/>
        </w:trPr>
        <w:tc>
          <w:tcPr>
            <w:tcW w:w="1160" w:type="dxa"/>
            <w:vAlign w:val="bottom"/>
            <w:gridSpan w:val="6"/>
          </w:tcPr>
          <w:p>
            <w:pPr>
              <w:spacing w:after="0"/>
              <w:rPr>
                <w:sz w:val="20"/>
                <w:szCs w:val="20"/>
                <w:color w:val="auto"/>
              </w:rPr>
            </w:pPr>
            <w:r>
              <w:rPr>
                <w:rFonts w:ascii="Arial" w:cs="Arial" w:eastAsia="Arial" w:hAnsi="Arial"/>
                <w:sz w:val="20"/>
                <w:szCs w:val="20"/>
                <w:color w:val="auto"/>
              </w:rPr>
              <w:t>consist of:</w:t>
            </w:r>
          </w:p>
        </w:tc>
        <w:tc>
          <w:tcPr>
            <w:tcW w:w="4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28"/>
        </w:trPr>
        <w:tc>
          <w:tcPr>
            <w:tcW w:w="540" w:type="dxa"/>
            <w:vAlign w:val="bottom"/>
            <w:gridSpan w:val="3"/>
            <w:vMerge w:val="restart"/>
          </w:tcPr>
          <w:p>
            <w:pPr>
              <w:spacing w:after="0"/>
              <w:rPr>
                <w:sz w:val="20"/>
                <w:szCs w:val="20"/>
                <w:color w:val="auto"/>
              </w:rPr>
            </w:pPr>
            <w:r>
              <w:rPr>
                <w:rFonts w:ascii="Arial" w:cs="Arial" w:eastAsia="Arial" w:hAnsi="Arial"/>
                <w:sz w:val="20"/>
                <w:szCs w:val="20"/>
                <w:color w:val="auto"/>
              </w:rPr>
              <w:t>and</w:t>
            </w: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ind w:left="40"/>
              <w:spacing w:after="0"/>
              <w:rPr>
                <w:sz w:val="20"/>
                <w:szCs w:val="20"/>
                <w:color w:val="auto"/>
              </w:rPr>
            </w:pPr>
            <w:r>
              <w:rPr>
                <w:rFonts w:ascii="Arial" w:cs="Arial" w:eastAsia="Arial" w:hAnsi="Arial"/>
                <w:sz w:val="20"/>
                <w:szCs w:val="20"/>
                <w:color w:val="auto"/>
              </w:rPr>
              <w:t>(D)</w:t>
            </w:r>
          </w:p>
        </w:tc>
        <w:tc>
          <w:tcPr>
            <w:tcW w:w="360" w:type="dxa"/>
            <w:vAlign w:val="bottom"/>
          </w:tcPr>
          <w:p>
            <w:pPr>
              <w:spacing w:after="0"/>
              <w:rPr>
                <w:sz w:val="24"/>
                <w:szCs w:val="24"/>
                <w:color w:val="auto"/>
              </w:rPr>
            </w:pPr>
          </w:p>
        </w:tc>
        <w:tc>
          <w:tcPr>
            <w:tcW w:w="380" w:type="dxa"/>
            <w:vAlign w:val="bottom"/>
            <w:gridSpan w:val="2"/>
          </w:tcPr>
          <w:p>
            <w:pPr>
              <w:ind w:left="120"/>
              <w:spacing w:after="0"/>
              <w:rPr>
                <w:sz w:val="20"/>
                <w:szCs w:val="20"/>
                <w:color w:val="auto"/>
              </w:rPr>
            </w:pPr>
            <w:r>
              <w:rPr>
                <w:rFonts w:ascii="Arial" w:cs="Arial" w:eastAsia="Arial" w:hAnsi="Arial"/>
                <w:sz w:val="20"/>
                <w:szCs w:val="20"/>
                <w:color w:val="auto"/>
              </w:rPr>
              <w:t>[</w:t>
            </w:r>
          </w:p>
        </w:tc>
        <w:tc>
          <w:tcPr>
            <w:tcW w:w="460" w:type="dxa"/>
            <w:vAlign w:val="bottom"/>
          </w:tcPr>
          <w:p>
            <w:pPr>
              <w:jc w:val="center"/>
              <w:spacing w:after="0"/>
              <w:rPr>
                <w:sz w:val="20"/>
                <w:szCs w:val="20"/>
                <w:color w:val="auto"/>
              </w:rPr>
            </w:pPr>
            <w:r>
              <w:rPr>
                <w:rFonts w:ascii="Arial" w:cs="Arial" w:eastAsia="Arial" w:hAnsi="Arial"/>
                <w:sz w:val="20"/>
                <w:szCs w:val="20"/>
                <w:color w:val="auto"/>
              </w:rPr>
              <w:t>***</w:t>
            </w:r>
          </w:p>
        </w:tc>
        <w:tc>
          <w:tcPr>
            <w:tcW w:w="240" w:type="dxa"/>
            <w:vAlign w:val="bottom"/>
          </w:tcPr>
          <w:p>
            <w:pPr>
              <w:spacing w:after="0"/>
              <w:rPr>
                <w:sz w:val="24"/>
                <w:szCs w:val="24"/>
                <w:color w:val="auto"/>
              </w:rPr>
            </w:pPr>
          </w:p>
        </w:tc>
        <w:tc>
          <w:tcPr>
            <w:tcW w:w="4680" w:type="dxa"/>
            <w:vAlign w:val="bottom"/>
            <w:gridSpan w:val="23"/>
          </w:tcPr>
          <w:p>
            <w:pPr>
              <w:ind w:left="40"/>
              <w:spacing w:after="0"/>
              <w:rPr>
                <w:sz w:val="20"/>
                <w:szCs w:val="20"/>
                <w:color w:val="auto"/>
              </w:rPr>
            </w:pPr>
            <w:r>
              <w:rPr>
                <w:rFonts w:ascii="Arial" w:cs="Arial" w:eastAsia="Arial" w:hAnsi="Arial"/>
                <w:sz w:val="20"/>
                <w:szCs w:val="20"/>
                <w:color w:val="auto"/>
              </w:rPr>
              <w:t>] listed on Appendix 2.6(d)(I) other than (x) the [   ***</w:t>
            </w:r>
          </w:p>
        </w:tc>
        <w:tc>
          <w:tcPr>
            <w:tcW w:w="140" w:type="dxa"/>
            <w:vAlign w:val="bottom"/>
          </w:tcPr>
          <w:p>
            <w:pPr>
              <w:spacing w:after="0"/>
              <w:rPr>
                <w:sz w:val="24"/>
                <w:szCs w:val="24"/>
                <w:color w:val="auto"/>
              </w:rPr>
            </w:pPr>
          </w:p>
        </w:tc>
        <w:tc>
          <w:tcPr>
            <w:tcW w:w="2520" w:type="dxa"/>
            <w:vAlign w:val="bottom"/>
            <w:gridSpan w:val="6"/>
          </w:tcPr>
          <w:p>
            <w:pPr>
              <w:jc w:val="right"/>
              <w:ind w:right="60"/>
              <w:spacing w:after="0"/>
              <w:rPr>
                <w:sz w:val="20"/>
                <w:szCs w:val="20"/>
                <w:color w:val="auto"/>
              </w:rPr>
            </w:pPr>
            <w:r>
              <w:rPr>
                <w:rFonts w:ascii="Arial" w:cs="Arial" w:eastAsia="Arial" w:hAnsi="Arial"/>
                <w:sz w:val="20"/>
                <w:szCs w:val="20"/>
                <w:color w:val="auto"/>
              </w:rPr>
              <w:t>] or (y) for which all [   ***</w:t>
            </w:r>
          </w:p>
        </w:tc>
        <w:tc>
          <w:tcPr>
            <w:tcW w:w="44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65"/>
        </w:trPr>
        <w:tc>
          <w:tcPr>
            <w:tcW w:w="540" w:type="dxa"/>
            <w:vAlign w:val="bottom"/>
            <w:gridSpan w:val="3"/>
            <w:vMerge w:val="continue"/>
          </w:tcPr>
          <w:p>
            <w:pPr>
              <w:spacing w:after="0"/>
              <w:rPr>
                <w:sz w:val="23"/>
                <w:szCs w:val="23"/>
                <w:color w:val="auto"/>
              </w:rPr>
            </w:pPr>
          </w:p>
        </w:tc>
        <w:tc>
          <w:tcPr>
            <w:tcW w:w="2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520" w:type="dxa"/>
            <w:vAlign w:val="bottom"/>
            <w:tcBorders>
              <w:top w:val="single" w:sz="8" w:color="auto"/>
            </w:tcBorders>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8"/>
        </w:trPr>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ind w:left="40"/>
              <w:spacing w:after="0"/>
              <w:rPr>
                <w:sz w:val="20"/>
                <w:szCs w:val="20"/>
                <w:color w:val="auto"/>
              </w:rPr>
            </w:pPr>
            <w:r>
              <w:rPr>
                <w:rFonts w:ascii="Arial" w:cs="Arial" w:eastAsia="Arial" w:hAnsi="Arial"/>
                <w:sz w:val="20"/>
                <w:szCs w:val="20"/>
                <w:color w:val="auto"/>
              </w:rPr>
              <w:t>(E)</w:t>
            </w:r>
          </w:p>
        </w:tc>
        <w:tc>
          <w:tcPr>
            <w:tcW w:w="360" w:type="dxa"/>
            <w:vAlign w:val="bottom"/>
          </w:tcPr>
          <w:p>
            <w:pPr>
              <w:spacing w:after="0"/>
              <w:rPr>
                <w:sz w:val="24"/>
                <w:szCs w:val="24"/>
                <w:color w:val="auto"/>
              </w:rPr>
            </w:pPr>
          </w:p>
        </w:tc>
        <w:tc>
          <w:tcPr>
            <w:tcW w:w="380" w:type="dxa"/>
            <w:vAlign w:val="bottom"/>
            <w:gridSpan w:val="2"/>
          </w:tcPr>
          <w:p>
            <w:pPr>
              <w:ind w:left="100"/>
              <w:spacing w:after="0"/>
              <w:rPr>
                <w:sz w:val="20"/>
                <w:szCs w:val="20"/>
                <w:color w:val="auto"/>
              </w:rPr>
            </w:pPr>
            <w:r>
              <w:rPr>
                <w:rFonts w:ascii="Arial" w:cs="Arial" w:eastAsia="Arial" w:hAnsi="Arial"/>
                <w:sz w:val="20"/>
                <w:szCs w:val="20"/>
                <w:color w:val="auto"/>
              </w:rPr>
              <w:t>[</w:t>
            </w:r>
          </w:p>
        </w:tc>
        <w:tc>
          <w:tcPr>
            <w:tcW w:w="460" w:type="dxa"/>
            <w:vAlign w:val="bottom"/>
          </w:tcPr>
          <w:p>
            <w:pPr>
              <w:jc w:val="center"/>
              <w:spacing w:after="0"/>
              <w:rPr>
                <w:sz w:val="20"/>
                <w:szCs w:val="20"/>
                <w:color w:val="auto"/>
              </w:rPr>
            </w:pPr>
            <w:r>
              <w:rPr>
                <w:rFonts w:ascii="Arial" w:cs="Arial" w:eastAsia="Arial" w:hAnsi="Arial"/>
                <w:sz w:val="20"/>
                <w:szCs w:val="20"/>
                <w:color w:val="auto"/>
              </w:rPr>
              <w:t>***</w:t>
            </w:r>
          </w:p>
        </w:tc>
        <w:tc>
          <w:tcPr>
            <w:tcW w:w="240" w:type="dxa"/>
            <w:vAlign w:val="bottom"/>
          </w:tcPr>
          <w:p>
            <w:pPr>
              <w:spacing w:after="0"/>
              <w:rPr>
                <w:sz w:val="24"/>
                <w:szCs w:val="24"/>
                <w:color w:val="auto"/>
              </w:rPr>
            </w:pPr>
          </w:p>
        </w:tc>
        <w:tc>
          <w:tcPr>
            <w:tcW w:w="3040" w:type="dxa"/>
            <w:vAlign w:val="bottom"/>
            <w:gridSpan w:val="15"/>
          </w:tcPr>
          <w:p>
            <w:pPr>
              <w:ind w:left="40"/>
              <w:spacing w:after="0"/>
              <w:rPr>
                <w:sz w:val="20"/>
                <w:szCs w:val="20"/>
                <w:color w:val="auto"/>
              </w:rPr>
            </w:pPr>
            <w:r>
              <w:rPr>
                <w:rFonts w:ascii="Arial" w:cs="Arial" w:eastAsia="Arial" w:hAnsi="Arial"/>
                <w:sz w:val="20"/>
                <w:szCs w:val="20"/>
                <w:color w:val="auto"/>
                <w:w w:val="97"/>
              </w:rPr>
              <w:t>] listed on Appendix 2.6(d)(II), if a [</w:t>
            </w:r>
          </w:p>
        </w:tc>
        <w:tc>
          <w:tcPr>
            <w:tcW w:w="620" w:type="dxa"/>
            <w:vAlign w:val="bottom"/>
            <w:gridSpan w:val="4"/>
          </w:tcPr>
          <w:p>
            <w:pPr>
              <w:jc w:val="right"/>
              <w:spacing w:after="0"/>
              <w:rPr>
                <w:sz w:val="20"/>
                <w:szCs w:val="20"/>
                <w:color w:val="auto"/>
              </w:rPr>
            </w:pPr>
            <w:r>
              <w:rPr>
                <w:rFonts w:ascii="Arial" w:cs="Arial" w:eastAsia="Arial" w:hAnsi="Arial"/>
                <w:sz w:val="20"/>
                <w:szCs w:val="20"/>
                <w:color w:val="auto"/>
              </w:rPr>
              <w:t>***</w:t>
            </w:r>
          </w:p>
        </w:tc>
        <w:tc>
          <w:tcPr>
            <w:tcW w:w="140" w:type="dxa"/>
            <w:vAlign w:val="bottom"/>
          </w:tcPr>
          <w:p>
            <w:pPr>
              <w:spacing w:after="0"/>
              <w:rPr>
                <w:sz w:val="24"/>
                <w:szCs w:val="24"/>
                <w:color w:val="auto"/>
              </w:rPr>
            </w:pPr>
          </w:p>
        </w:tc>
        <w:tc>
          <w:tcPr>
            <w:tcW w:w="880" w:type="dxa"/>
            <w:vAlign w:val="bottom"/>
            <w:gridSpan w:val="3"/>
          </w:tcPr>
          <w:p>
            <w:pPr>
              <w:ind w:left="140"/>
              <w:spacing w:after="0"/>
              <w:rPr>
                <w:sz w:val="20"/>
                <w:szCs w:val="20"/>
                <w:color w:val="auto"/>
              </w:rPr>
            </w:pPr>
            <w:r>
              <w:rPr>
                <w:rFonts w:ascii="Arial" w:cs="Arial" w:eastAsia="Arial" w:hAnsi="Arial"/>
                <w:sz w:val="20"/>
                <w:szCs w:val="20"/>
                <w:color w:val="auto"/>
              </w:rPr>
              <w:t>] (x) is [</w:t>
            </w:r>
          </w:p>
        </w:tc>
        <w:tc>
          <w:tcPr>
            <w:tcW w:w="880" w:type="dxa"/>
            <w:vAlign w:val="bottom"/>
            <w:gridSpan w:val="3"/>
          </w:tcPr>
          <w:p>
            <w:pPr>
              <w:jc w:val="right"/>
              <w:ind w:right="380"/>
              <w:spacing w:after="0"/>
              <w:rPr>
                <w:sz w:val="20"/>
                <w:szCs w:val="20"/>
                <w:color w:val="auto"/>
              </w:rPr>
            </w:pPr>
            <w:r>
              <w:rPr>
                <w:rFonts w:ascii="Arial" w:cs="Arial" w:eastAsia="Arial" w:hAnsi="Arial"/>
                <w:sz w:val="20"/>
                <w:szCs w:val="20"/>
                <w:color w:val="auto"/>
              </w:rPr>
              <w:t>***</w:t>
            </w:r>
          </w:p>
        </w:tc>
        <w:tc>
          <w:tcPr>
            <w:tcW w:w="2220" w:type="dxa"/>
            <w:vAlign w:val="bottom"/>
            <w:gridSpan w:val="5"/>
          </w:tcPr>
          <w:p>
            <w:pPr>
              <w:jc w:val="right"/>
              <w:spacing w:after="0"/>
              <w:rPr>
                <w:sz w:val="20"/>
                <w:szCs w:val="20"/>
                <w:color w:val="auto"/>
              </w:rPr>
            </w:pPr>
            <w:r>
              <w:rPr>
                <w:rFonts w:ascii="Arial" w:cs="Arial" w:eastAsia="Arial" w:hAnsi="Arial"/>
                <w:sz w:val="20"/>
                <w:szCs w:val="20"/>
                <w:color w:val="auto"/>
                <w:w w:val="91"/>
              </w:rPr>
              <w:t>] pursuant to Section 2.6(d)</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gridSpan w:val="2"/>
            <w:shd w:val="clear" w:color="auto" w:fill="000000"/>
          </w:tcPr>
          <w:p>
            <w:pPr>
              <w:spacing w:after="0" w:line="20" w:lineRule="exact"/>
              <w:rPr>
                <w:sz w:val="1"/>
                <w:szCs w:val="1"/>
                <w:color w:val="auto"/>
              </w:rPr>
            </w:pPr>
          </w:p>
        </w:tc>
        <w:tc>
          <w:tcPr>
            <w:tcW w:w="840" w:type="dxa"/>
            <w:vAlign w:val="bottom"/>
            <w:tcBorders>
              <w:left w:val="single" w:sz="8" w:color="auto"/>
            </w:tcBorders>
            <w:gridSpan w:val="3"/>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7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1600" w:type="dxa"/>
            <w:vAlign w:val="bottom"/>
            <w:gridSpan w:val="7"/>
          </w:tcPr>
          <w:p>
            <w:pPr>
              <w:spacing w:after="0" w:line="218" w:lineRule="exact"/>
              <w:rPr>
                <w:sz w:val="20"/>
                <w:szCs w:val="20"/>
                <w:color w:val="auto"/>
              </w:rPr>
            </w:pPr>
            <w:r>
              <w:rPr>
                <w:rFonts w:ascii="Arial" w:cs="Arial" w:eastAsia="Arial" w:hAnsi="Arial"/>
                <w:sz w:val="20"/>
                <w:szCs w:val="20"/>
                <w:color w:val="auto"/>
              </w:rPr>
              <w:t>(ii) and (y) all [</w:t>
            </w:r>
          </w:p>
        </w:tc>
        <w:tc>
          <w:tcPr>
            <w:tcW w:w="360" w:type="dxa"/>
            <w:vAlign w:val="bottom"/>
          </w:tcPr>
          <w:p>
            <w:pPr>
              <w:jc w:val="right"/>
              <w:spacing w:after="0" w:line="218" w:lineRule="exact"/>
              <w:rPr>
                <w:sz w:val="20"/>
                <w:szCs w:val="20"/>
                <w:color w:val="auto"/>
              </w:rPr>
            </w:pPr>
            <w:r>
              <w:rPr>
                <w:rFonts w:ascii="Arial" w:cs="Arial" w:eastAsia="Arial" w:hAnsi="Arial"/>
                <w:sz w:val="20"/>
                <w:szCs w:val="20"/>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60" w:type="dxa"/>
            <w:vAlign w:val="bottom"/>
            <w:gridSpan w:val="29"/>
          </w:tcPr>
          <w:p>
            <w:pPr>
              <w:jc w:val="right"/>
              <w:ind w:right="60"/>
              <w:spacing w:after="0" w:line="218" w:lineRule="exact"/>
              <w:rPr>
                <w:sz w:val="20"/>
                <w:szCs w:val="20"/>
                <w:color w:val="auto"/>
              </w:rPr>
            </w:pPr>
            <w:r>
              <w:rPr>
                <w:rFonts w:ascii="Arial" w:cs="Arial" w:eastAsia="Arial" w:hAnsi="Arial"/>
                <w:sz w:val="20"/>
                <w:szCs w:val="20"/>
                <w:color w:val="auto"/>
                <w:w w:val="95"/>
              </w:rPr>
              <w:t>] in satisfaction of the requirements of Appendix 2.1-A, beginning with the first such [</w:t>
            </w:r>
          </w:p>
        </w:tc>
        <w:tc>
          <w:tcPr>
            <w:tcW w:w="780" w:type="dxa"/>
            <w:vAlign w:val="bottom"/>
            <w:gridSpan w:val="3"/>
          </w:tcPr>
          <w:p>
            <w:pPr>
              <w:jc w:val="right"/>
              <w:ind w:right="320"/>
              <w:spacing w:after="0" w:line="218" w:lineRule="exact"/>
              <w:rPr>
                <w:sz w:val="20"/>
                <w:szCs w:val="20"/>
                <w:color w:val="auto"/>
              </w:rPr>
            </w:pPr>
            <w:r>
              <w:rPr>
                <w:rFonts w:ascii="Arial" w:cs="Arial" w:eastAsia="Arial" w:hAnsi="Arial"/>
                <w:sz w:val="20"/>
                <w:szCs w:val="20"/>
                <w:color w:val="auto"/>
              </w:rPr>
              <w:t>***</w:t>
            </w:r>
          </w:p>
        </w:tc>
        <w:tc>
          <w:tcPr>
            <w:tcW w:w="440" w:type="dxa"/>
            <w:vAlign w:val="bottom"/>
          </w:tcPr>
          <w:p>
            <w:pPr>
              <w:jc w:val="right"/>
              <w:spacing w:after="0" w:line="218" w:lineRule="exact"/>
              <w:rPr>
                <w:sz w:val="20"/>
                <w:szCs w:val="20"/>
                <w:color w:val="auto"/>
              </w:rPr>
            </w:pPr>
            <w:r>
              <w:rPr>
                <w:rFonts w:ascii="Arial" w:cs="Arial" w:eastAsia="Arial" w:hAnsi="Arial"/>
                <w:sz w:val="20"/>
                <w:szCs w:val="20"/>
                <w:color w:val="auto"/>
              </w:rPr>
              <w:t>] on</w:t>
            </w:r>
          </w:p>
        </w:tc>
        <w:tc>
          <w:tcPr>
            <w:tcW w:w="0" w:type="dxa"/>
            <w:vAlign w:val="bottom"/>
          </w:tcPr>
          <w:p>
            <w:pPr>
              <w:spacing w:after="0"/>
              <w:rPr>
                <w:sz w:val="1"/>
                <w:szCs w:val="1"/>
                <w:color w:val="auto"/>
              </w:rPr>
            </w:pPr>
          </w:p>
        </w:tc>
      </w:tr>
      <w:tr>
        <w:trPr>
          <w:trHeight w:val="20"/>
        </w:trPr>
        <w:tc>
          <w:tcPr>
            <w:tcW w:w="1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gridSpan w:val="3"/>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180" w:type="dxa"/>
            <w:vAlign w:val="bottom"/>
            <w:gridSpan w:val="5"/>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4600" w:type="dxa"/>
            <w:vAlign w:val="bottom"/>
            <w:gridSpan w:val="21"/>
          </w:tcPr>
          <w:p>
            <w:pPr>
              <w:spacing w:after="0" w:line="218" w:lineRule="exact"/>
              <w:rPr>
                <w:sz w:val="20"/>
                <w:szCs w:val="20"/>
                <w:color w:val="auto"/>
              </w:rPr>
            </w:pPr>
            <w:r>
              <w:rPr>
                <w:rFonts w:ascii="Arial" w:cs="Arial" w:eastAsia="Arial" w:hAnsi="Arial"/>
                <w:sz w:val="20"/>
                <w:szCs w:val="20"/>
                <w:color w:val="auto"/>
                <w:w w:val="99"/>
              </w:rPr>
              <w:t>Appendix 2.6(d)(II) and each immediately following [</w:t>
            </w:r>
          </w:p>
        </w:tc>
        <w:tc>
          <w:tcPr>
            <w:tcW w:w="620" w:type="dxa"/>
            <w:vAlign w:val="bottom"/>
            <w:gridSpan w:val="2"/>
          </w:tcPr>
          <w:p>
            <w:pPr>
              <w:jc w:val="right"/>
              <w:ind w:right="280"/>
              <w:spacing w:after="0" w:line="218" w:lineRule="exact"/>
              <w:rPr>
                <w:sz w:val="20"/>
                <w:szCs w:val="20"/>
                <w:color w:val="auto"/>
              </w:rPr>
            </w:pPr>
            <w:r>
              <w:rPr>
                <w:rFonts w:ascii="Arial" w:cs="Arial" w:eastAsia="Arial" w:hAnsi="Arial"/>
                <w:sz w:val="20"/>
                <w:szCs w:val="20"/>
                <w:color w:val="auto"/>
              </w:rPr>
              <w:t>***</w:t>
            </w:r>
          </w:p>
        </w:tc>
        <w:tc>
          <w:tcPr>
            <w:tcW w:w="5160" w:type="dxa"/>
            <w:vAlign w:val="bottom"/>
            <w:gridSpan w:val="19"/>
          </w:tcPr>
          <w:p>
            <w:pPr>
              <w:jc w:val="right"/>
              <w:ind w:right="240"/>
              <w:spacing w:after="0" w:line="218" w:lineRule="exact"/>
              <w:rPr>
                <w:sz w:val="20"/>
                <w:szCs w:val="20"/>
                <w:color w:val="auto"/>
              </w:rPr>
            </w:pPr>
            <w:r>
              <w:rPr>
                <w:rFonts w:ascii="Arial" w:cs="Arial" w:eastAsia="Arial" w:hAnsi="Arial"/>
                <w:sz w:val="20"/>
                <w:szCs w:val="20"/>
                <w:color w:val="auto"/>
                <w:w w:val="93"/>
              </w:rPr>
              <w:t>], and so on, provided, however, that if with respect to any [</w:t>
            </w:r>
          </w:p>
        </w:tc>
        <w:tc>
          <w:tcPr>
            <w:tcW w:w="440" w:type="dxa"/>
            <w:vAlign w:val="bottom"/>
          </w:tcPr>
          <w:p>
            <w:pPr>
              <w:jc w:val="right"/>
              <w:spacing w:after="0" w:line="218" w:lineRule="exact"/>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0"/>
        </w:trPr>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300" w:type="dxa"/>
            <w:vAlign w:val="bottom"/>
            <w:gridSpan w:val="4"/>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gridSpan w:val="3"/>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180" w:type="dxa"/>
            <w:vAlign w:val="bottom"/>
          </w:tcPr>
          <w:p>
            <w:pPr>
              <w:spacing w:after="0"/>
              <w:rPr>
                <w:sz w:val="18"/>
                <w:szCs w:val="18"/>
                <w:color w:val="auto"/>
              </w:rPr>
            </w:pPr>
          </w:p>
        </w:tc>
        <w:tc>
          <w:tcPr>
            <w:tcW w:w="8420" w:type="dxa"/>
            <w:vAlign w:val="bottom"/>
            <w:gridSpan w:val="37"/>
          </w:tcPr>
          <w:p>
            <w:pPr>
              <w:ind w:left="80"/>
              <w:spacing w:after="0" w:line="218" w:lineRule="exact"/>
              <w:rPr>
                <w:sz w:val="20"/>
                <w:szCs w:val="20"/>
                <w:color w:val="auto"/>
              </w:rPr>
            </w:pPr>
            <w:r>
              <w:rPr>
                <w:rFonts w:ascii="Arial" w:cs="Arial" w:eastAsia="Arial" w:hAnsi="Arial"/>
                <w:sz w:val="20"/>
                <w:szCs w:val="20"/>
                <w:color w:val="auto"/>
                <w:w w:val="93"/>
              </w:rPr>
              <w:t>] in satisfaction of the requirements of Appendix 2.1-A for transfer have not been obtained, then the [</w:t>
            </w:r>
          </w:p>
        </w:tc>
        <w:tc>
          <w:tcPr>
            <w:tcW w:w="1000" w:type="dxa"/>
            <w:vAlign w:val="bottom"/>
          </w:tcPr>
          <w:p>
            <w:pPr>
              <w:jc w:val="right"/>
              <w:ind w:right="300"/>
              <w:spacing w:after="0" w:line="218" w:lineRule="exact"/>
              <w:rPr>
                <w:sz w:val="20"/>
                <w:szCs w:val="20"/>
                <w:color w:val="auto"/>
              </w:rPr>
            </w:pPr>
            <w:r>
              <w:rPr>
                <w:rFonts w:ascii="Arial" w:cs="Arial" w:eastAsia="Arial" w:hAnsi="Arial"/>
                <w:sz w:val="20"/>
                <w:szCs w:val="20"/>
                <w:color w:val="auto"/>
              </w:rPr>
              <w:t>***</w:t>
            </w:r>
          </w:p>
        </w:tc>
        <w:tc>
          <w:tcPr>
            <w:tcW w:w="1220" w:type="dxa"/>
            <w:vAlign w:val="bottom"/>
            <w:gridSpan w:val="4"/>
          </w:tcPr>
          <w:p>
            <w:pPr>
              <w:jc w:val="right"/>
              <w:spacing w:after="0" w:line="218" w:lineRule="exact"/>
              <w:rPr>
                <w:sz w:val="20"/>
                <w:szCs w:val="20"/>
                <w:color w:val="auto"/>
              </w:rPr>
            </w:pPr>
            <w:r>
              <w:rPr>
                <w:rFonts w:ascii="Arial" w:cs="Arial" w:eastAsia="Arial" w:hAnsi="Arial"/>
                <w:sz w:val="20"/>
                <w:szCs w:val="20"/>
                <w:color w:val="auto"/>
                <w:w w:val="98"/>
              </w:rPr>
              <w:t>] on Appendix</w:t>
            </w:r>
          </w:p>
        </w:tc>
        <w:tc>
          <w:tcPr>
            <w:tcW w:w="0" w:type="dxa"/>
            <w:vAlign w:val="bottom"/>
          </w:tcPr>
          <w:p>
            <w:pPr>
              <w:spacing w:after="0"/>
              <w:rPr>
                <w:sz w:val="1"/>
                <w:szCs w:val="1"/>
                <w:color w:val="auto"/>
              </w:rPr>
            </w:pPr>
          </w:p>
        </w:tc>
      </w:tr>
      <w:tr>
        <w:trPr>
          <w:trHeight w:val="20"/>
        </w:trPr>
        <w:tc>
          <w:tcPr>
            <w:tcW w:w="36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4"/>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gridSpan w:val="2"/>
            <w:shd w:val="clear" w:color="auto" w:fill="000000"/>
          </w:tcPr>
          <w:p>
            <w:pPr>
              <w:spacing w:after="0" w:line="20" w:lineRule="exact"/>
              <w:rPr>
                <w:sz w:val="1"/>
                <w:szCs w:val="1"/>
                <w:color w:val="auto"/>
              </w:rPr>
            </w:pPr>
          </w:p>
        </w:tc>
        <w:tc>
          <w:tcPr>
            <w:tcW w:w="1300" w:type="dxa"/>
            <w:vAlign w:val="bottom"/>
            <w:tcBorders>
              <w:left w:val="single" w:sz="8" w:color="auto"/>
            </w:tcBorders>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80" w:type="dxa"/>
            <w:vAlign w:val="bottom"/>
            <w:gridSpan w:val="11"/>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6080" w:type="dxa"/>
            <w:vAlign w:val="bottom"/>
            <w:gridSpan w:val="27"/>
          </w:tcPr>
          <w:p>
            <w:pPr>
              <w:spacing w:after="0" w:line="218" w:lineRule="exact"/>
              <w:rPr>
                <w:sz w:val="20"/>
                <w:szCs w:val="20"/>
                <w:color w:val="auto"/>
              </w:rPr>
            </w:pPr>
            <w:r>
              <w:rPr>
                <w:rFonts w:ascii="Arial" w:cs="Arial" w:eastAsia="Arial" w:hAnsi="Arial"/>
                <w:sz w:val="20"/>
                <w:szCs w:val="20"/>
                <w:color w:val="auto"/>
                <w:w w:val="97"/>
              </w:rPr>
              <w:t>2.</w:t>
            </w:r>
            <w:r>
              <w:rPr>
                <w:rFonts w:ascii="Arial" w:cs="Arial" w:eastAsia="Arial" w:hAnsi="Arial"/>
                <w:sz w:val="20"/>
                <w:szCs w:val="20"/>
                <w:u w:val="single" w:color="auto"/>
                <w:color w:val="auto"/>
                <w:w w:val="97"/>
              </w:rPr>
              <w:t>6(d)(II)</w:t>
            </w:r>
            <w:r>
              <w:rPr>
                <w:rFonts w:ascii="Arial" w:cs="Arial" w:eastAsia="Arial" w:hAnsi="Arial"/>
                <w:sz w:val="20"/>
                <w:szCs w:val="20"/>
                <w:color w:val="auto"/>
                <w:w w:val="97"/>
              </w:rPr>
              <w:t xml:space="preserve"> would be selected instead; and provided, further, that if [   ***</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20" w:type="dxa"/>
            <w:vAlign w:val="bottom"/>
            <w:gridSpan w:val="12"/>
          </w:tcPr>
          <w:p>
            <w:pPr>
              <w:jc w:val="right"/>
              <w:ind w:right="260"/>
              <w:spacing w:after="0" w:line="218" w:lineRule="exact"/>
              <w:rPr>
                <w:sz w:val="20"/>
                <w:szCs w:val="20"/>
                <w:color w:val="auto"/>
              </w:rPr>
            </w:pPr>
            <w:r>
              <w:rPr>
                <w:rFonts w:ascii="Arial" w:cs="Arial" w:eastAsia="Arial" w:hAnsi="Arial"/>
                <w:sz w:val="20"/>
                <w:szCs w:val="20"/>
                <w:color w:val="auto"/>
                <w:w w:val="92"/>
              </w:rPr>
              <w:t>] pursuant to this subparagraph would cause [</w:t>
            </w:r>
          </w:p>
        </w:tc>
        <w:tc>
          <w:tcPr>
            <w:tcW w:w="440" w:type="dxa"/>
            <w:vAlign w:val="bottom"/>
          </w:tcPr>
          <w:p>
            <w:pPr>
              <w:jc w:val="right"/>
              <w:spacing w:after="0" w:line="218" w:lineRule="exact"/>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0"/>
        </w:trPr>
        <w:tc>
          <w:tcPr>
            <w:tcW w:w="360" w:type="dxa"/>
            <w:vAlign w:val="bottom"/>
            <w:gridSpan w:val="2"/>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gridSpan w:val="4"/>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300" w:type="dxa"/>
            <w:vAlign w:val="bottom"/>
            <w:gridSpan w:val="4"/>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540" w:type="dxa"/>
            <w:vAlign w:val="bottom"/>
            <w:gridSpan w:val="1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540" w:type="dxa"/>
            <w:vAlign w:val="bottom"/>
            <w:gridSpan w:val="3"/>
          </w:tcPr>
          <w:p>
            <w:pPr>
              <w:ind w:left="220"/>
              <w:spacing w:after="0"/>
              <w:rPr>
                <w:sz w:val="20"/>
                <w:szCs w:val="20"/>
                <w:color w:val="auto"/>
              </w:rPr>
            </w:pPr>
            <w:r>
              <w:rPr>
                <w:rFonts w:ascii="Arial" w:cs="Arial" w:eastAsia="Arial" w:hAnsi="Arial"/>
                <w:sz w:val="20"/>
                <w:szCs w:val="20"/>
                <w:color w:val="auto"/>
              </w:rPr>
              <w:t>] ([</w:t>
            </w:r>
          </w:p>
        </w:tc>
        <w:tc>
          <w:tcPr>
            <w:tcW w:w="560" w:type="dxa"/>
            <w:vAlign w:val="bottom"/>
            <w:gridSpan w:val="2"/>
          </w:tcPr>
          <w:p>
            <w:pPr>
              <w:ind w:left="180"/>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1"/>
                <w:szCs w:val="21"/>
                <w:color w:val="auto"/>
              </w:rPr>
            </w:pPr>
          </w:p>
        </w:tc>
        <w:tc>
          <w:tcPr>
            <w:tcW w:w="2800" w:type="dxa"/>
            <w:vAlign w:val="bottom"/>
            <w:gridSpan w:val="11"/>
          </w:tcPr>
          <w:p>
            <w:pPr>
              <w:jc w:val="center"/>
              <w:ind w:right="40"/>
              <w:spacing w:after="0"/>
              <w:rPr>
                <w:sz w:val="20"/>
                <w:szCs w:val="20"/>
                <w:color w:val="auto"/>
              </w:rPr>
            </w:pPr>
            <w:r>
              <w:rPr>
                <w:rFonts w:ascii="Arial" w:cs="Arial" w:eastAsia="Arial" w:hAnsi="Arial"/>
                <w:sz w:val="20"/>
                <w:szCs w:val="20"/>
                <w:color w:val="auto"/>
                <w:w w:val="94"/>
              </w:rPr>
              <w:t>] prior to the Closing Date) [</w:t>
            </w:r>
          </w:p>
        </w:tc>
        <w:tc>
          <w:tcPr>
            <w:tcW w:w="420" w:type="dxa"/>
            <w:vAlign w:val="bottom"/>
            <w:gridSpan w:val="3"/>
          </w:tcPr>
          <w:p>
            <w:pPr>
              <w:jc w:val="right"/>
              <w:ind w:right="20"/>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1"/>
                <w:szCs w:val="21"/>
                <w:color w:val="auto"/>
              </w:rPr>
            </w:pPr>
          </w:p>
        </w:tc>
        <w:tc>
          <w:tcPr>
            <w:tcW w:w="6220" w:type="dxa"/>
            <w:vAlign w:val="bottom"/>
            <w:gridSpan w:val="22"/>
          </w:tcPr>
          <w:p>
            <w:pPr>
              <w:jc w:val="right"/>
              <w:spacing w:after="0"/>
              <w:rPr>
                <w:sz w:val="20"/>
                <w:szCs w:val="20"/>
                <w:color w:val="auto"/>
              </w:rPr>
            </w:pPr>
            <w:r>
              <w:rPr>
                <w:rFonts w:ascii="Arial" w:cs="Arial" w:eastAsia="Arial" w:hAnsi="Arial"/>
                <w:sz w:val="20"/>
                <w:szCs w:val="20"/>
                <w:color w:val="auto"/>
                <w:w w:val="91"/>
              </w:rPr>
              <w:t>], then, unless the Plan Investment Fiduciary in its discretion, has determined</w:t>
            </w:r>
          </w:p>
        </w:tc>
        <w:tc>
          <w:tcPr>
            <w:tcW w:w="0" w:type="dxa"/>
            <w:vAlign w:val="bottom"/>
          </w:tcPr>
          <w:p>
            <w:pPr>
              <w:spacing w:after="0"/>
              <w:rPr>
                <w:sz w:val="1"/>
                <w:szCs w:val="1"/>
                <w:color w:val="auto"/>
              </w:rPr>
            </w:pPr>
          </w:p>
        </w:tc>
      </w:tr>
      <w:tr>
        <w:trPr>
          <w:trHeight w:val="238"/>
        </w:trPr>
        <w:tc>
          <w:tcPr>
            <w:tcW w:w="2340" w:type="dxa"/>
            <w:vAlign w:val="bottom"/>
            <w:gridSpan w:val="10"/>
          </w:tcPr>
          <w:p>
            <w:pPr>
              <w:spacing w:after="0"/>
              <w:rPr>
                <w:sz w:val="20"/>
                <w:szCs w:val="20"/>
                <w:color w:val="auto"/>
              </w:rPr>
            </w:pPr>
            <w:r>
              <w:rPr>
                <w:rFonts w:ascii="Arial" w:cs="Arial" w:eastAsia="Arial" w:hAnsi="Arial"/>
                <w:sz w:val="20"/>
                <w:szCs w:val="20"/>
                <w:color w:val="auto"/>
              </w:rPr>
              <w:t>that it shall transfer such [</w:t>
            </w:r>
          </w:p>
        </w:tc>
        <w:tc>
          <w:tcPr>
            <w:tcW w:w="460" w:type="dxa"/>
            <w:vAlign w:val="bottom"/>
          </w:tcPr>
          <w:p>
            <w:pPr>
              <w:jc w:val="right"/>
              <w:ind w:right="40"/>
              <w:spacing w:after="0"/>
              <w:rPr>
                <w:sz w:val="20"/>
                <w:szCs w:val="20"/>
                <w:color w:val="auto"/>
              </w:rPr>
            </w:pPr>
            <w:r>
              <w:rPr>
                <w:rFonts w:ascii="Arial" w:cs="Arial" w:eastAsia="Arial" w:hAnsi="Arial"/>
                <w:sz w:val="20"/>
                <w:szCs w:val="20"/>
                <w:color w:val="auto"/>
              </w:rPr>
              <w:t>***</w:t>
            </w:r>
          </w:p>
        </w:tc>
        <w:tc>
          <w:tcPr>
            <w:tcW w:w="240" w:type="dxa"/>
            <w:vAlign w:val="bottom"/>
          </w:tcPr>
          <w:p>
            <w:pPr>
              <w:spacing w:after="0"/>
              <w:rPr>
                <w:sz w:val="20"/>
                <w:szCs w:val="20"/>
                <w:color w:val="auto"/>
              </w:rPr>
            </w:pPr>
          </w:p>
        </w:tc>
        <w:tc>
          <w:tcPr>
            <w:tcW w:w="7340" w:type="dxa"/>
            <w:vAlign w:val="bottom"/>
            <w:gridSpan w:val="30"/>
          </w:tcPr>
          <w:p>
            <w:pPr>
              <w:spacing w:after="0"/>
              <w:rPr>
                <w:sz w:val="20"/>
                <w:szCs w:val="20"/>
                <w:color w:val="auto"/>
              </w:rPr>
            </w:pPr>
            <w:r>
              <w:rPr>
                <w:rFonts w:ascii="Arial" w:cs="Arial" w:eastAsia="Arial" w:hAnsi="Arial"/>
                <w:sz w:val="20"/>
                <w:szCs w:val="20"/>
                <w:color w:val="auto"/>
                <w:w w:val="93"/>
              </w:rPr>
              <w:t>] notwithstanding whether such transfer would cause the aggregate value of transferred [</w:t>
            </w:r>
          </w:p>
        </w:tc>
        <w:tc>
          <w:tcPr>
            <w:tcW w:w="44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09"/>
        </w:trPr>
        <w:tc>
          <w:tcPr>
            <w:tcW w:w="180" w:type="dxa"/>
            <w:vAlign w:val="bottom"/>
          </w:tcPr>
          <w:p>
            <w:pPr>
              <w:spacing w:after="0"/>
              <w:rPr>
                <w:sz w:val="18"/>
                <w:szCs w:val="18"/>
                <w:color w:val="auto"/>
              </w:rPr>
            </w:pPr>
          </w:p>
        </w:tc>
        <w:tc>
          <w:tcPr>
            <w:tcW w:w="1420" w:type="dxa"/>
            <w:vAlign w:val="bottom"/>
            <w:gridSpan w:val="6"/>
          </w:tcPr>
          <w:p>
            <w:pPr>
              <w:ind w:left="40"/>
              <w:spacing w:after="0" w:line="209" w:lineRule="exact"/>
              <w:rPr>
                <w:sz w:val="20"/>
                <w:szCs w:val="20"/>
                <w:color w:val="auto"/>
              </w:rPr>
            </w:pPr>
            <w:r>
              <w:rPr>
                <w:rFonts w:ascii="Arial" w:cs="Arial" w:eastAsia="Arial" w:hAnsi="Arial"/>
                <w:sz w:val="20"/>
                <w:szCs w:val="20"/>
                <w:color w:val="auto"/>
              </w:rPr>
              <w:t>] at Closing to [</w:t>
            </w:r>
          </w:p>
        </w:tc>
        <w:tc>
          <w:tcPr>
            <w:tcW w:w="460" w:type="dxa"/>
            <w:vAlign w:val="bottom"/>
            <w:gridSpan w:val="2"/>
          </w:tcPr>
          <w:p>
            <w:pPr>
              <w:jc w:val="right"/>
              <w:spacing w:after="0" w:line="209" w:lineRule="exact"/>
              <w:rPr>
                <w:sz w:val="20"/>
                <w:szCs w:val="20"/>
                <w:color w:val="auto"/>
              </w:rPr>
            </w:pPr>
            <w:r>
              <w:rPr>
                <w:rFonts w:ascii="Arial" w:cs="Arial" w:eastAsia="Arial" w:hAnsi="Arial"/>
                <w:sz w:val="20"/>
                <w:szCs w:val="20"/>
                <w:color w:val="auto"/>
              </w:rPr>
              <w:t>***</w:t>
            </w:r>
          </w:p>
        </w:tc>
        <w:tc>
          <w:tcPr>
            <w:tcW w:w="280" w:type="dxa"/>
            <w:vAlign w:val="bottom"/>
          </w:tcPr>
          <w:p>
            <w:pPr>
              <w:spacing w:after="0"/>
              <w:rPr>
                <w:sz w:val="18"/>
                <w:szCs w:val="18"/>
                <w:color w:val="auto"/>
              </w:rPr>
            </w:pPr>
          </w:p>
        </w:tc>
        <w:tc>
          <w:tcPr>
            <w:tcW w:w="1160" w:type="dxa"/>
            <w:vAlign w:val="bottom"/>
            <w:gridSpan w:val="5"/>
          </w:tcPr>
          <w:p>
            <w:pPr>
              <w:jc w:val="right"/>
              <w:ind w:right="140"/>
              <w:spacing w:after="0" w:line="209" w:lineRule="exact"/>
              <w:rPr>
                <w:sz w:val="20"/>
                <w:szCs w:val="20"/>
                <w:color w:val="auto"/>
              </w:rPr>
            </w:pPr>
            <w:r>
              <w:rPr>
                <w:rFonts w:ascii="Arial" w:cs="Arial" w:eastAsia="Arial" w:hAnsi="Arial"/>
                <w:sz w:val="20"/>
                <w:szCs w:val="20"/>
                <w:color w:val="auto"/>
                <w:w w:val="99"/>
              </w:rPr>
              <w:t>], then the [</w:t>
            </w:r>
          </w:p>
        </w:tc>
        <w:tc>
          <w:tcPr>
            <w:tcW w:w="440" w:type="dxa"/>
            <w:vAlign w:val="bottom"/>
          </w:tcPr>
          <w:p>
            <w:pPr>
              <w:jc w:val="right"/>
              <w:spacing w:after="0" w:line="209" w:lineRule="exact"/>
              <w:rPr>
                <w:sz w:val="20"/>
                <w:szCs w:val="20"/>
                <w:color w:val="auto"/>
              </w:rPr>
            </w:pPr>
            <w:r>
              <w:rPr>
                <w:rFonts w:ascii="Arial" w:cs="Arial" w:eastAsia="Arial" w:hAnsi="Arial"/>
                <w:sz w:val="20"/>
                <w:szCs w:val="20"/>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80" w:type="dxa"/>
            <w:vAlign w:val="bottom"/>
            <w:gridSpan w:val="24"/>
          </w:tcPr>
          <w:p>
            <w:pPr>
              <w:jc w:val="right"/>
              <w:spacing w:after="0" w:line="209" w:lineRule="exact"/>
              <w:rPr>
                <w:sz w:val="20"/>
                <w:szCs w:val="20"/>
                <w:color w:val="auto"/>
              </w:rPr>
            </w:pPr>
            <w:r>
              <w:rPr>
                <w:rFonts w:ascii="Arial" w:cs="Arial" w:eastAsia="Arial" w:hAnsi="Arial"/>
                <w:sz w:val="20"/>
                <w:szCs w:val="20"/>
                <w:color w:val="auto"/>
                <w:w w:val="95"/>
              </w:rPr>
              <w:t>] on Appendix 2.6(d)(II) will be transferred in accordance with the procedures in</w:t>
            </w:r>
          </w:p>
        </w:tc>
        <w:tc>
          <w:tcPr>
            <w:tcW w:w="0" w:type="dxa"/>
            <w:vAlign w:val="bottom"/>
          </w:tcPr>
          <w:p>
            <w:pPr>
              <w:spacing w:after="0"/>
              <w:rPr>
                <w:sz w:val="1"/>
                <w:szCs w:val="1"/>
                <w:color w:val="auto"/>
              </w:rPr>
            </w:pPr>
          </w:p>
        </w:tc>
      </w:tr>
      <w:tr>
        <w:trPr>
          <w:trHeight w:val="20"/>
        </w:trPr>
        <w:tc>
          <w:tcPr>
            <w:tcW w:w="360" w:type="dxa"/>
            <w:vAlign w:val="bottom"/>
            <w:gridSpan w:val="2"/>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340" w:type="dxa"/>
            <w:vAlign w:val="bottom"/>
            <w:gridSpan w:val="8"/>
          </w:tcPr>
          <w:p>
            <w:pPr>
              <w:spacing w:after="0" w:line="20" w:lineRule="exact"/>
              <w:rPr>
                <w:sz w:val="1"/>
                <w:szCs w:val="1"/>
                <w:color w:val="auto"/>
              </w:rPr>
            </w:pPr>
          </w:p>
        </w:tc>
        <w:tc>
          <w:tcPr>
            <w:tcW w:w="320" w:type="dxa"/>
            <w:vAlign w:val="bottom"/>
            <w:tcBorders>
              <w:right w:val="single" w:sz="8" w:color="auto"/>
            </w:tcBorders>
            <w:gridSpan w:val="2"/>
          </w:tcPr>
          <w:p>
            <w:pPr>
              <w:spacing w:after="0" w:line="20" w:lineRule="exact"/>
              <w:rPr>
                <w:sz w:val="1"/>
                <w:szCs w:val="1"/>
                <w:color w:val="auto"/>
              </w:rPr>
            </w:pPr>
          </w:p>
        </w:tc>
        <w:tc>
          <w:tcPr>
            <w:tcW w:w="1300" w:type="dxa"/>
            <w:vAlign w:val="bottom"/>
            <w:tcBorders>
              <w:left w:val="single" w:sz="8" w:color="auto"/>
            </w:tcBorders>
            <w:gridSpan w:val="4"/>
            <w:shd w:val="clear" w:color="auto" w:fill="000000"/>
          </w:tcPr>
          <w:p>
            <w:pPr>
              <w:spacing w:after="0" w:line="20" w:lineRule="exact"/>
              <w:rPr>
                <w:sz w:val="1"/>
                <w:szCs w:val="1"/>
                <w:color w:val="auto"/>
              </w:rPr>
            </w:pPr>
          </w:p>
        </w:tc>
        <w:tc>
          <w:tcPr>
            <w:tcW w:w="280" w:type="dxa"/>
            <w:vAlign w:val="bottom"/>
            <w:gridSpan w:val="3"/>
            <w:shd w:val="clear" w:color="auto" w:fill="000000"/>
          </w:tcPr>
          <w:p>
            <w:pPr>
              <w:spacing w:after="0" w:line="20" w:lineRule="exact"/>
              <w:rPr>
                <w:sz w:val="1"/>
                <w:szCs w:val="1"/>
                <w:color w:val="auto"/>
              </w:rPr>
            </w:pPr>
          </w:p>
        </w:tc>
        <w:tc>
          <w:tcPr>
            <w:tcW w:w="4540" w:type="dxa"/>
            <w:vAlign w:val="bottom"/>
            <w:gridSpan w:val="1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340" w:type="dxa"/>
            <w:vAlign w:val="bottom"/>
            <w:gridSpan w:val="10"/>
          </w:tcPr>
          <w:p>
            <w:pPr>
              <w:spacing w:after="0" w:line="218" w:lineRule="exact"/>
              <w:rPr>
                <w:sz w:val="20"/>
                <w:szCs w:val="20"/>
                <w:color w:val="auto"/>
              </w:rPr>
            </w:pPr>
            <w:r>
              <w:rPr>
                <w:rFonts w:ascii="Arial" w:cs="Arial" w:eastAsia="Arial" w:hAnsi="Arial"/>
                <w:sz w:val="20"/>
                <w:szCs w:val="20"/>
                <w:color w:val="auto"/>
              </w:rPr>
              <w:t>this Section 2.6(d)(iii)(B), [</w:t>
            </w:r>
          </w:p>
        </w:tc>
        <w:tc>
          <w:tcPr>
            <w:tcW w:w="700" w:type="dxa"/>
            <w:vAlign w:val="bottom"/>
            <w:gridSpan w:val="2"/>
          </w:tcPr>
          <w:p>
            <w:pPr>
              <w:jc w:val="right"/>
              <w:ind w:right="80"/>
              <w:spacing w:after="0" w:line="218" w:lineRule="exact"/>
              <w:rPr>
                <w:sz w:val="20"/>
                <w:szCs w:val="20"/>
                <w:color w:val="auto"/>
              </w:rPr>
            </w:pPr>
            <w:r>
              <w:rPr>
                <w:rFonts w:ascii="Arial" w:cs="Arial" w:eastAsia="Arial" w:hAnsi="Arial"/>
                <w:sz w:val="20"/>
                <w:szCs w:val="20"/>
                <w:color w:val="auto"/>
              </w:rPr>
              <w:t>***</w:t>
            </w:r>
          </w:p>
        </w:tc>
        <w:tc>
          <w:tcPr>
            <w:tcW w:w="7780" w:type="dxa"/>
            <w:vAlign w:val="bottom"/>
            <w:gridSpan w:val="31"/>
          </w:tcPr>
          <w:p>
            <w:pPr>
              <w:jc w:val="right"/>
              <w:ind w:right="140"/>
              <w:spacing w:after="0" w:line="218" w:lineRule="exact"/>
              <w:rPr>
                <w:sz w:val="20"/>
                <w:szCs w:val="20"/>
                <w:color w:val="auto"/>
              </w:rPr>
            </w:pPr>
            <w:r>
              <w:rPr>
                <w:rFonts w:ascii="Arial" w:cs="Arial" w:eastAsia="Arial" w:hAnsi="Arial"/>
                <w:sz w:val="20"/>
                <w:szCs w:val="20"/>
                <w:color w:val="auto"/>
                <w:w w:val="97"/>
              </w:rPr>
              <w:t>] until either Appendix 2.6(d)(II) has been exhausted, or the Plan Investment Fiduciary, [</w:t>
            </w:r>
          </w:p>
        </w:tc>
        <w:tc>
          <w:tcPr>
            <w:tcW w:w="0" w:type="dxa"/>
            <w:vAlign w:val="bottom"/>
          </w:tcPr>
          <w:p>
            <w:pPr>
              <w:spacing w:after="0"/>
              <w:rPr>
                <w:sz w:val="1"/>
                <w:szCs w:val="1"/>
                <w:color w:val="auto"/>
              </w:rPr>
            </w:pPr>
          </w:p>
        </w:tc>
      </w:tr>
      <w:tr>
        <w:trPr>
          <w:trHeight w:val="20"/>
        </w:trPr>
        <w:tc>
          <w:tcPr>
            <w:tcW w:w="360" w:type="dxa"/>
            <w:vAlign w:val="bottom"/>
            <w:gridSpan w:val="2"/>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960" w:type="dxa"/>
            <w:vAlign w:val="bottom"/>
            <w:tcBorders>
              <w:right w:val="single" w:sz="8" w:color="auto"/>
            </w:tcBorders>
            <w:gridSpan w:val="4"/>
            <w:shd w:val="clear" w:color="auto" w:fill="000000"/>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1340" w:type="dxa"/>
            <w:vAlign w:val="bottom"/>
            <w:gridSpan w:val="8"/>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4380" w:type="dxa"/>
            <w:vAlign w:val="bottom"/>
            <w:gridSpan w:val="16"/>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360" w:type="dxa"/>
            <w:vAlign w:val="bottom"/>
            <w:gridSpan w:val="2"/>
          </w:tcPr>
          <w:p>
            <w:pPr>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23"/>
                <w:szCs w:val="23"/>
                <w:color w:val="auto"/>
              </w:rPr>
            </w:pPr>
          </w:p>
        </w:tc>
        <w:tc>
          <w:tcPr>
            <w:tcW w:w="4060" w:type="dxa"/>
            <w:vAlign w:val="bottom"/>
            <w:gridSpan w:val="18"/>
          </w:tcPr>
          <w:p>
            <w:pPr>
              <w:ind w:left="120"/>
              <w:spacing w:after="0"/>
              <w:rPr>
                <w:sz w:val="20"/>
                <w:szCs w:val="20"/>
                <w:color w:val="auto"/>
              </w:rPr>
            </w:pPr>
            <w:r>
              <w:rPr>
                <w:rFonts w:ascii="Arial" w:cs="Arial" w:eastAsia="Arial" w:hAnsi="Arial"/>
                <w:sz w:val="20"/>
                <w:szCs w:val="20"/>
                <w:color w:val="auto"/>
                <w:w w:val="91"/>
              </w:rPr>
              <w:t>]. For avoidance of doubt, it is not intended that [</w:t>
            </w:r>
          </w:p>
        </w:tc>
        <w:tc>
          <w:tcPr>
            <w:tcW w:w="620" w:type="dxa"/>
            <w:vAlign w:val="bottom"/>
            <w:gridSpan w:val="2"/>
          </w:tcPr>
          <w:p>
            <w:pPr>
              <w:jc w:val="right"/>
              <w:ind w:right="80"/>
              <w:spacing w:after="0"/>
              <w:rPr>
                <w:sz w:val="20"/>
                <w:szCs w:val="20"/>
                <w:color w:val="auto"/>
              </w:rPr>
            </w:pPr>
            <w:r>
              <w:rPr>
                <w:rFonts w:ascii="Arial" w:cs="Arial" w:eastAsia="Arial" w:hAnsi="Arial"/>
                <w:sz w:val="20"/>
                <w:szCs w:val="20"/>
                <w:color w:val="auto"/>
              </w:rPr>
              <w:t>***</w:t>
            </w:r>
          </w:p>
        </w:tc>
        <w:tc>
          <w:tcPr>
            <w:tcW w:w="260" w:type="dxa"/>
            <w:vAlign w:val="bottom"/>
          </w:tcPr>
          <w:p>
            <w:pPr>
              <w:spacing w:after="0"/>
              <w:rPr>
                <w:sz w:val="23"/>
                <w:szCs w:val="23"/>
                <w:color w:val="auto"/>
              </w:rPr>
            </w:pPr>
          </w:p>
        </w:tc>
        <w:tc>
          <w:tcPr>
            <w:tcW w:w="4900" w:type="dxa"/>
            <w:vAlign w:val="bottom"/>
            <w:gridSpan w:val="18"/>
          </w:tcPr>
          <w:p>
            <w:pPr>
              <w:jc w:val="right"/>
              <w:ind w:right="320"/>
              <w:spacing w:after="0"/>
              <w:rPr>
                <w:sz w:val="20"/>
                <w:szCs w:val="20"/>
                <w:color w:val="auto"/>
              </w:rPr>
            </w:pPr>
            <w:r>
              <w:rPr>
                <w:rFonts w:ascii="Arial" w:cs="Arial" w:eastAsia="Arial" w:hAnsi="Arial"/>
                <w:sz w:val="20"/>
                <w:szCs w:val="20"/>
                <w:color w:val="auto"/>
                <w:w w:val="91"/>
              </w:rPr>
              <w:t>] Adjustment in accordance with the Procedures Manual.</w:t>
            </w:r>
          </w:p>
        </w:tc>
        <w:tc>
          <w:tcPr>
            <w:tcW w:w="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7"/>
        </w:trPr>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gridSpan w:val="3"/>
          </w:tcPr>
          <w:p>
            <w:pPr>
              <w:ind w:left="60"/>
              <w:spacing w:after="0"/>
              <w:rPr>
                <w:sz w:val="20"/>
                <w:szCs w:val="20"/>
                <w:color w:val="auto"/>
              </w:rPr>
            </w:pPr>
            <w:r>
              <w:rPr>
                <w:rFonts w:ascii="Arial" w:cs="Arial" w:eastAsia="Arial" w:hAnsi="Arial"/>
                <w:sz w:val="20"/>
                <w:szCs w:val="20"/>
                <w:color w:val="auto"/>
              </w:rPr>
              <w:t>(iv)</w:t>
            </w:r>
          </w:p>
        </w:tc>
        <w:tc>
          <w:tcPr>
            <w:tcW w:w="800" w:type="dxa"/>
            <w:vAlign w:val="bottom"/>
            <w:gridSpan w:val="2"/>
          </w:tcPr>
          <w:p>
            <w:pPr>
              <w:ind w:left="40"/>
              <w:spacing w:after="0"/>
              <w:rPr>
                <w:sz w:val="20"/>
                <w:szCs w:val="20"/>
                <w:color w:val="auto"/>
              </w:rPr>
            </w:pPr>
            <w:r>
              <w:rPr>
                <w:rFonts w:ascii="Arial" w:cs="Arial" w:eastAsia="Arial" w:hAnsi="Arial"/>
                <w:sz w:val="20"/>
                <w:szCs w:val="20"/>
                <w:color w:val="auto"/>
              </w:rPr>
              <w:t>The [</w:t>
            </w:r>
          </w:p>
        </w:tc>
        <w:tc>
          <w:tcPr>
            <w:tcW w:w="38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460" w:type="dxa"/>
            <w:vAlign w:val="bottom"/>
          </w:tcPr>
          <w:p>
            <w:pPr>
              <w:spacing w:after="0"/>
              <w:rPr>
                <w:sz w:val="24"/>
                <w:szCs w:val="24"/>
                <w:color w:val="auto"/>
              </w:rPr>
            </w:pPr>
          </w:p>
        </w:tc>
        <w:tc>
          <w:tcPr>
            <w:tcW w:w="8020" w:type="dxa"/>
            <w:vAlign w:val="bottom"/>
            <w:gridSpan w:val="32"/>
          </w:tcPr>
          <w:p>
            <w:pPr>
              <w:jc w:val="right"/>
              <w:spacing w:after="0"/>
              <w:rPr>
                <w:sz w:val="20"/>
                <w:szCs w:val="20"/>
                <w:color w:val="auto"/>
              </w:rPr>
            </w:pPr>
            <w:r>
              <w:rPr>
                <w:rFonts w:ascii="Arial" w:cs="Arial" w:eastAsia="Arial" w:hAnsi="Arial"/>
                <w:sz w:val="20"/>
                <w:szCs w:val="20"/>
                <w:color w:val="auto"/>
                <w:w w:val="96"/>
              </w:rPr>
              <w:t>] in the Transferred Asset Schedule on the Closing Date will be determined in accordance with</w:t>
            </w:r>
          </w:p>
        </w:tc>
        <w:tc>
          <w:tcPr>
            <w:tcW w:w="0" w:type="dxa"/>
            <w:vAlign w:val="bottom"/>
          </w:tcPr>
          <w:p>
            <w:pPr>
              <w:spacing w:after="0"/>
              <w:rPr>
                <w:sz w:val="1"/>
                <w:szCs w:val="1"/>
                <w:color w:val="auto"/>
              </w:rPr>
            </w:pPr>
          </w:p>
        </w:tc>
      </w:tr>
      <w:tr>
        <w:trPr>
          <w:trHeight w:val="209"/>
        </w:trPr>
        <w:tc>
          <w:tcPr>
            <w:tcW w:w="1160" w:type="dxa"/>
            <w:vAlign w:val="bottom"/>
            <w:gridSpan w:val="6"/>
          </w:tcPr>
          <w:p>
            <w:pPr>
              <w:spacing w:after="0" w:line="209" w:lineRule="exact"/>
              <w:rPr>
                <w:sz w:val="20"/>
                <w:szCs w:val="20"/>
                <w:color w:val="auto"/>
              </w:rPr>
            </w:pPr>
            <w:r>
              <w:rPr>
                <w:rFonts w:ascii="Arial" w:cs="Arial" w:eastAsia="Arial" w:hAnsi="Arial"/>
                <w:sz w:val="20"/>
                <w:szCs w:val="20"/>
                <w:color w:val="auto"/>
                <w:w w:val="93"/>
              </w:rPr>
              <w:t>Appendix 2.6.</w:t>
            </w: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3040" w:type="dxa"/>
            <w:vAlign w:val="bottom"/>
            <w:gridSpan w:val="15"/>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2900" w:type="dxa"/>
            <w:vAlign w:val="bottom"/>
            <w:gridSpan w:val="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4"/>
        </w:trPr>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540" w:type="dxa"/>
            <w:vAlign w:val="bottom"/>
            <w:gridSpan w:val="24"/>
          </w:tcPr>
          <w:p>
            <w:pPr>
              <w:ind w:left="60"/>
              <w:spacing w:after="0"/>
              <w:rPr>
                <w:sz w:val="20"/>
                <w:szCs w:val="20"/>
                <w:color w:val="auto"/>
              </w:rPr>
            </w:pPr>
            <w:r>
              <w:rPr>
                <w:rFonts w:ascii="Arial" w:cs="Arial" w:eastAsia="Arial" w:hAnsi="Arial"/>
                <w:sz w:val="20"/>
                <w:szCs w:val="20"/>
                <w:color w:val="auto"/>
                <w:w w:val="97"/>
              </w:rPr>
              <w:t>(v)  Notwithstanding anything to the contrary in this Agreement[</w:t>
            </w:r>
          </w:p>
        </w:tc>
        <w:tc>
          <w:tcPr>
            <w:tcW w:w="620" w:type="dxa"/>
            <w:vAlign w:val="bottom"/>
            <w:gridSpan w:val="4"/>
          </w:tcPr>
          <w:p>
            <w:pPr>
              <w:jc w:val="right"/>
              <w:ind w:right="140"/>
              <w:spacing w:after="0"/>
              <w:rPr>
                <w:sz w:val="20"/>
                <w:szCs w:val="20"/>
                <w:color w:val="auto"/>
              </w:rPr>
            </w:pPr>
            <w:r>
              <w:rPr>
                <w:rFonts w:ascii="Arial" w:cs="Arial" w:eastAsia="Arial" w:hAnsi="Arial"/>
                <w:sz w:val="20"/>
                <w:szCs w:val="20"/>
                <w:color w:val="auto"/>
              </w:rPr>
              <w:t>***</w:t>
            </w:r>
          </w:p>
        </w:tc>
        <w:tc>
          <w:tcPr>
            <w:tcW w:w="2900" w:type="dxa"/>
            <w:vAlign w:val="bottom"/>
            <w:gridSpan w:val="8"/>
          </w:tcPr>
          <w:p>
            <w:pPr>
              <w:jc w:val="center"/>
              <w:ind w:right="40"/>
              <w:spacing w:after="0"/>
              <w:rPr>
                <w:sz w:val="20"/>
                <w:szCs w:val="20"/>
                <w:color w:val="auto"/>
              </w:rPr>
            </w:pPr>
            <w:r>
              <w:rPr>
                <w:rFonts w:ascii="Arial" w:cs="Arial" w:eastAsia="Arial" w:hAnsi="Arial"/>
                <w:sz w:val="20"/>
                <w:szCs w:val="20"/>
                <w:color w:val="auto"/>
                <w:w w:val="99"/>
              </w:rPr>
              <w:t>] to the Insurer through [   ***</w:t>
            </w:r>
          </w:p>
        </w:tc>
        <w:tc>
          <w:tcPr>
            <w:tcW w:w="80" w:type="dxa"/>
            <w:vAlign w:val="bottom"/>
          </w:tcPr>
          <w:p>
            <w:pPr>
              <w:spacing w:after="0"/>
              <w:rPr>
                <w:sz w:val="24"/>
                <w:szCs w:val="24"/>
                <w:color w:val="auto"/>
              </w:rPr>
            </w:pPr>
          </w:p>
        </w:tc>
        <w:tc>
          <w:tcPr>
            <w:tcW w:w="1140" w:type="dxa"/>
            <w:vAlign w:val="bottom"/>
            <w:gridSpan w:val="3"/>
          </w:tcPr>
          <w:p>
            <w:pPr>
              <w:jc w:val="right"/>
              <w:spacing w:after="0"/>
              <w:rPr>
                <w:sz w:val="20"/>
                <w:szCs w:val="20"/>
                <w:color w:val="auto"/>
              </w:rPr>
            </w:pPr>
            <w:r>
              <w:rPr>
                <w:rFonts w:ascii="Arial" w:cs="Arial" w:eastAsia="Arial" w:hAnsi="Arial"/>
                <w:sz w:val="20"/>
                <w:szCs w:val="20"/>
                <w:color w:val="auto"/>
                <w:w w:val="92"/>
              </w:rPr>
              <w:t>] Newcos that</w:t>
            </w:r>
          </w:p>
        </w:tc>
        <w:tc>
          <w:tcPr>
            <w:tcW w:w="0" w:type="dxa"/>
            <w:vAlign w:val="bottom"/>
          </w:tcPr>
          <w:p>
            <w:pPr>
              <w:spacing w:after="0"/>
              <w:rPr>
                <w:sz w:val="1"/>
                <w:szCs w:val="1"/>
                <w:color w:val="auto"/>
              </w:rPr>
            </w:pPr>
          </w:p>
        </w:tc>
      </w:tr>
      <w:tr>
        <w:trPr>
          <w:trHeight w:val="209"/>
        </w:trPr>
        <w:tc>
          <w:tcPr>
            <w:tcW w:w="7720" w:type="dxa"/>
            <w:vAlign w:val="bottom"/>
            <w:gridSpan w:val="35"/>
          </w:tcPr>
          <w:p>
            <w:pPr>
              <w:spacing w:after="0" w:line="209" w:lineRule="exact"/>
              <w:rPr>
                <w:sz w:val="20"/>
                <w:szCs w:val="20"/>
                <w:color w:val="auto"/>
              </w:rPr>
            </w:pPr>
            <w:r>
              <w:rPr>
                <w:rFonts w:ascii="Arial" w:cs="Arial" w:eastAsia="Arial" w:hAnsi="Arial"/>
                <w:sz w:val="20"/>
                <w:szCs w:val="20"/>
                <w:color w:val="auto"/>
                <w:w w:val="97"/>
              </w:rPr>
              <w:t>meet the requirements of Section 6.13, in the Plan Investment Fiduciary's sole discretion.</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4" w:lineRule="exact"/>
        <w:rPr>
          <w:sz w:val="20"/>
          <w:szCs w:val="20"/>
          <w:color w:val="auto"/>
        </w:rPr>
      </w:pPr>
    </w:p>
    <w:p>
      <w:pPr>
        <w:ind w:left="1120" w:hanging="519"/>
        <w:spacing w:after="0"/>
        <w:tabs>
          <w:tab w:leader="none" w:pos="1120" w:val="left"/>
        </w:tabs>
        <w:numPr>
          <w:ilvl w:val="0"/>
          <w:numId w:val="31"/>
        </w:numPr>
        <w:rPr>
          <w:rFonts w:ascii="Arial" w:cs="Arial" w:eastAsia="Arial" w:hAnsi="Arial"/>
          <w:sz w:val="19"/>
          <w:szCs w:val="19"/>
          <w:color w:val="auto"/>
        </w:rPr>
      </w:pPr>
      <w:r>
        <w:rPr>
          <w:rFonts w:ascii="Arial" w:cs="Arial" w:eastAsia="Arial" w:hAnsi="Arial"/>
          <w:sz w:val="19"/>
          <w:szCs w:val="19"/>
          <w:color w:val="auto"/>
        </w:rPr>
        <w:t>On (</w:t>
      </w:r>
      <w:r>
        <w:rPr>
          <w:rFonts w:ascii="Arial" w:cs="Arial" w:eastAsia="Arial" w:hAnsi="Arial"/>
          <w:sz w:val="19"/>
          <w:szCs w:val="19"/>
          <w:u w:val="single" w:color="auto"/>
          <w:color w:val="auto"/>
        </w:rPr>
        <w:t>i</w:t>
      </w:r>
      <w:r>
        <w:rPr>
          <w:rFonts w:ascii="Arial" w:cs="Arial" w:eastAsia="Arial" w:hAnsi="Arial"/>
          <w:sz w:val="19"/>
          <w:szCs w:val="19"/>
          <w:color w:val="auto"/>
        </w:rPr>
        <w:t>) the Business Day immediately prior to the Closing Date, the Plan Investment Fiduciary shall deliver to the Insurer a</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00" w:type="dxa"/>
            <w:vAlign w:val="bottom"/>
            <w:gridSpan w:val="3"/>
          </w:tcPr>
          <w:p>
            <w:pPr>
              <w:spacing w:after="0"/>
              <w:rPr>
                <w:sz w:val="20"/>
                <w:szCs w:val="20"/>
                <w:color w:val="auto"/>
              </w:rPr>
            </w:pPr>
            <w:r>
              <w:rPr>
                <w:rFonts w:ascii="Arial" w:cs="Arial" w:eastAsia="Arial" w:hAnsi="Arial"/>
                <w:sz w:val="20"/>
                <w:szCs w:val="20"/>
                <w:color w:val="auto"/>
                <w:w w:val="99"/>
              </w:rPr>
              <w:t>calculation of the value of each Broker-Quote Public Bond and [   ***</w:t>
            </w:r>
          </w:p>
        </w:tc>
        <w:tc>
          <w:tcPr>
            <w:tcW w:w="5420" w:type="dxa"/>
            <w:vAlign w:val="bottom"/>
            <w:gridSpan w:val="4"/>
          </w:tcPr>
          <w:p>
            <w:pPr>
              <w:jc w:val="right"/>
              <w:spacing w:after="0"/>
              <w:rPr>
                <w:sz w:val="20"/>
                <w:szCs w:val="20"/>
                <w:color w:val="auto"/>
              </w:rPr>
            </w:pPr>
            <w:r>
              <w:rPr>
                <w:rFonts w:ascii="Arial" w:cs="Arial" w:eastAsia="Arial" w:hAnsi="Arial"/>
                <w:sz w:val="20"/>
                <w:szCs w:val="20"/>
                <w:color w:val="auto"/>
                <w:w w:val="96"/>
              </w:rPr>
              <w:t>] in the Final Plan Portfolio in accordance with the methodology</w:t>
            </w:r>
          </w:p>
        </w:tc>
      </w:tr>
      <w:tr>
        <w:trPr>
          <w:trHeight w:val="209"/>
        </w:trPr>
        <w:tc>
          <w:tcPr>
            <w:tcW w:w="9520" w:type="dxa"/>
            <w:vAlign w:val="bottom"/>
            <w:gridSpan w:val="4"/>
          </w:tcPr>
          <w:p>
            <w:pPr>
              <w:spacing w:after="0" w:line="209" w:lineRule="exact"/>
              <w:rPr>
                <w:sz w:val="20"/>
                <w:szCs w:val="20"/>
                <w:color w:val="auto"/>
              </w:rPr>
            </w:pPr>
            <w:r>
              <w:rPr>
                <w:rFonts w:ascii="Arial" w:cs="Arial" w:eastAsia="Arial" w:hAnsi="Arial"/>
                <w:sz w:val="20"/>
                <w:szCs w:val="20"/>
                <w:color w:val="auto"/>
                <w:w w:val="96"/>
              </w:rPr>
              <w:t>set forth in Appendix 2.6 as of the close of business on the second Business Day prior to the Closing Date [   ***</w:t>
            </w:r>
          </w:p>
        </w:tc>
        <w:tc>
          <w:tcPr>
            <w:tcW w:w="1900" w:type="dxa"/>
            <w:vAlign w:val="bottom"/>
            <w:gridSpan w:val="3"/>
          </w:tcPr>
          <w:p>
            <w:pPr>
              <w:jc w:val="right"/>
              <w:spacing w:after="0" w:line="209" w:lineRule="exact"/>
              <w:rPr>
                <w:sz w:val="20"/>
                <w:szCs w:val="20"/>
                <w:color w:val="auto"/>
              </w:rPr>
            </w:pPr>
            <w:r>
              <w:rPr>
                <w:rFonts w:ascii="Arial" w:cs="Arial" w:eastAsia="Arial" w:hAnsi="Arial"/>
                <w:sz w:val="20"/>
                <w:szCs w:val="20"/>
                <w:color w:val="auto"/>
              </w:rPr>
              <w:t>] and (ii) the Closing</w:t>
            </w:r>
          </w:p>
        </w:tc>
      </w:tr>
      <w:tr>
        <w:trPr>
          <w:trHeight w:val="20"/>
        </w:trPr>
        <w:tc>
          <w:tcPr>
            <w:tcW w:w="9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bl>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Date, the Plan Investment Fiduciary shall deliver to the Insurer a calculation of the value of each asset in the Final Plan Portfolio other than</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80" w:type="dxa"/>
            <w:vAlign w:val="bottom"/>
          </w:tcPr>
          <w:p>
            <w:pPr>
              <w:spacing w:after="0"/>
              <w:rPr>
                <w:sz w:val="20"/>
                <w:szCs w:val="20"/>
                <w:color w:val="auto"/>
              </w:rPr>
            </w:pPr>
            <w:r>
              <w:rPr>
                <w:rFonts w:ascii="Arial" w:cs="Arial" w:eastAsia="Arial" w:hAnsi="Arial"/>
                <w:sz w:val="20"/>
                <w:szCs w:val="20"/>
                <w:color w:val="auto"/>
                <w:w w:val="97"/>
              </w:rPr>
              <w:t>Broker-Quote Public Bonds and [</w:t>
            </w:r>
          </w:p>
        </w:tc>
        <w:tc>
          <w:tcPr>
            <w:tcW w:w="680" w:type="dxa"/>
            <w:vAlign w:val="bottom"/>
          </w:tcPr>
          <w:p>
            <w:pPr>
              <w:jc w:val="right"/>
              <w:ind w:right="120"/>
              <w:spacing w:after="0"/>
              <w:rPr>
                <w:sz w:val="20"/>
                <w:szCs w:val="20"/>
                <w:color w:val="auto"/>
              </w:rPr>
            </w:pPr>
            <w:r>
              <w:rPr>
                <w:rFonts w:ascii="Arial" w:cs="Arial" w:eastAsia="Arial" w:hAnsi="Arial"/>
                <w:sz w:val="20"/>
                <w:szCs w:val="20"/>
                <w:color w:val="auto"/>
              </w:rPr>
              <w:t>***</w:t>
            </w:r>
          </w:p>
        </w:tc>
        <w:tc>
          <w:tcPr>
            <w:tcW w:w="7860" w:type="dxa"/>
            <w:vAlign w:val="bottom"/>
            <w:gridSpan w:val="6"/>
          </w:tcPr>
          <w:p>
            <w:pPr>
              <w:ind w:left="220"/>
              <w:spacing w:after="0"/>
              <w:rPr>
                <w:sz w:val="20"/>
                <w:szCs w:val="20"/>
                <w:color w:val="auto"/>
              </w:rPr>
            </w:pPr>
            <w:r>
              <w:rPr>
                <w:rFonts w:ascii="Arial" w:cs="Arial" w:eastAsia="Arial" w:hAnsi="Arial"/>
                <w:sz w:val="20"/>
                <w:szCs w:val="20"/>
                <w:color w:val="auto"/>
                <w:w w:val="93"/>
              </w:rPr>
              <w:t>], calculated in accordance with the methodology set forth in Appendix 2.6, as of the close of</w:t>
            </w:r>
          </w:p>
        </w:tc>
      </w:tr>
      <w:tr>
        <w:trPr>
          <w:trHeight w:val="20"/>
        </w:trPr>
        <w:tc>
          <w:tcPr>
            <w:tcW w:w="658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218"/>
        </w:trPr>
        <w:tc>
          <w:tcPr>
            <w:tcW w:w="6580" w:type="dxa"/>
            <w:vAlign w:val="bottom"/>
            <w:gridSpan w:val="3"/>
          </w:tcPr>
          <w:p>
            <w:pPr>
              <w:spacing w:after="0" w:line="218" w:lineRule="exact"/>
              <w:rPr>
                <w:sz w:val="20"/>
                <w:szCs w:val="20"/>
                <w:color w:val="auto"/>
              </w:rPr>
            </w:pPr>
            <w:r>
              <w:rPr>
                <w:rFonts w:ascii="Arial" w:cs="Arial" w:eastAsia="Arial" w:hAnsi="Arial"/>
                <w:sz w:val="20"/>
                <w:szCs w:val="20"/>
                <w:color w:val="auto"/>
                <w:w w:val="95"/>
              </w:rPr>
              <w:t>business on the immediately preceding Business Day (together with the [   ***</w:t>
            </w:r>
          </w:p>
        </w:tc>
        <w:tc>
          <w:tcPr>
            <w:tcW w:w="4840" w:type="dxa"/>
            <w:vAlign w:val="bottom"/>
            <w:gridSpan w:val="5"/>
          </w:tcPr>
          <w:p>
            <w:pPr>
              <w:ind w:left="180"/>
              <w:spacing w:after="0" w:line="218" w:lineRule="exact"/>
              <w:rPr>
                <w:sz w:val="20"/>
                <w:szCs w:val="20"/>
                <w:color w:val="auto"/>
              </w:rPr>
            </w:pPr>
            <w:r>
              <w:rPr>
                <w:rFonts w:ascii="Arial" w:cs="Arial" w:eastAsia="Arial" w:hAnsi="Arial"/>
                <w:sz w:val="20"/>
                <w:szCs w:val="20"/>
                <w:color w:val="auto"/>
              </w:rPr>
              <w:t>], the “Final Pre-Closing Asset Valuation”).</w:t>
            </w:r>
          </w:p>
        </w:tc>
      </w:tr>
      <w:tr>
        <w:trPr>
          <w:trHeight w:val="20"/>
        </w:trPr>
        <w:tc>
          <w:tcPr>
            <w:tcW w:w="28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bl>
    <w:p>
      <w:pPr>
        <w:spacing w:after="0" w:line="217" w:lineRule="exact"/>
        <w:rPr>
          <w:sz w:val="20"/>
          <w:szCs w:val="20"/>
          <w:color w:val="auto"/>
        </w:rPr>
      </w:pPr>
    </w:p>
    <w:p>
      <w:pPr>
        <w:ind w:left="600"/>
        <w:spacing w:after="0"/>
        <w:tabs>
          <w:tab w:leader="none" w:pos="1680" w:val="left"/>
        </w:tabs>
        <w:rPr>
          <w:sz w:val="20"/>
          <w:szCs w:val="20"/>
          <w:color w:val="auto"/>
        </w:rPr>
      </w:pPr>
      <w:r>
        <w:rPr>
          <w:rFonts w:ascii="Arial" w:cs="Arial" w:eastAsia="Arial" w:hAnsi="Arial"/>
          <w:sz w:val="20"/>
          <w:szCs w:val="20"/>
          <w:color w:val="auto"/>
        </w:rPr>
        <w:t>Section 2.7</w:t>
      </w:r>
      <w:r>
        <w:rPr>
          <w:sz w:val="20"/>
          <w:szCs w:val="20"/>
          <w:color w:val="auto"/>
        </w:rPr>
        <w:tab/>
      </w:r>
      <w:r>
        <w:rPr>
          <w:rFonts w:ascii="Arial" w:cs="Arial" w:eastAsia="Arial" w:hAnsi="Arial"/>
          <w:sz w:val="18"/>
          <w:szCs w:val="18"/>
          <w:u w:val="single" w:color="auto"/>
          <w:color w:val="auto"/>
        </w:rPr>
        <w:t>Calculation of Dry-Run Closing Premiums</w:t>
      </w:r>
      <w:r>
        <w:rPr>
          <w:rFonts w:ascii="Arial" w:cs="Arial" w:eastAsia="Arial" w:hAnsi="Arial"/>
          <w:sz w:val="18"/>
          <w:szCs w:val="18"/>
          <w:color w:val="auto"/>
        </w:rPr>
        <w:t>.</w:t>
      </w:r>
    </w:p>
    <w:p>
      <w:pPr>
        <w:spacing w:after="0" w:line="246" w:lineRule="exact"/>
        <w:rPr>
          <w:sz w:val="20"/>
          <w:szCs w:val="20"/>
          <w:color w:val="auto"/>
        </w:rPr>
      </w:pPr>
    </w:p>
    <w:p>
      <w:pPr>
        <w:jc w:val="both"/>
        <w:ind w:firstLine="601"/>
        <w:spacing w:after="0" w:line="261" w:lineRule="auto"/>
        <w:tabs>
          <w:tab w:leader="none" w:pos="1424" w:val="left"/>
        </w:tabs>
        <w:numPr>
          <w:ilvl w:val="0"/>
          <w:numId w:val="32"/>
        </w:numPr>
        <w:rPr>
          <w:rFonts w:ascii="Arial" w:cs="Arial" w:eastAsia="Arial" w:hAnsi="Arial"/>
          <w:sz w:val="20"/>
          <w:szCs w:val="20"/>
          <w:color w:val="auto"/>
        </w:rPr>
      </w:pPr>
      <w:r>
        <w:rPr>
          <w:rFonts w:ascii="Arial" w:cs="Arial" w:eastAsia="Arial" w:hAnsi="Arial"/>
          <w:sz w:val="20"/>
          <w:szCs w:val="20"/>
          <w:color w:val="auto"/>
        </w:rPr>
        <w:t>On September 6, 2012, and on the third Business Day of each calendar month thereafter until the earlier to occur of the Closing Date and the termination of this Agreement, the Insurer shall deliver to the Company and the Independent Third Party, and the Company and the Insurer shall jointly direct the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ectPr>
          <w:pgSz w:w="11900" w:h="16838" w:orient="portrait"/>
          <w:cols w:equalWidth="0" w:num="1">
            <w:col w:w="11420"/>
          </w:cols>
          <w:pgMar w:left="240" w:top="556" w:right="239" w:bottom="1440" w:gutter="0" w:footer="0" w:header="0"/>
        </w:sectPr>
      </w:pPr>
    </w:p>
    <w:bookmarkStart w:id="40" w:name="page41"/>
    <w:bookmarkEnd w:id="40"/>
    <w:p>
      <w:pPr>
        <w:jc w:val="both"/>
        <w:spacing w:after="0" w:line="279" w:lineRule="auto"/>
        <w:rPr>
          <w:sz w:val="20"/>
          <w:szCs w:val="20"/>
          <w:color w:val="auto"/>
        </w:rPr>
      </w:pPr>
      <w:r>
        <w:rPr>
          <w:rFonts w:ascii="Arial" w:cs="Arial" w:eastAsia="Arial" w:hAnsi="Arial"/>
          <w:sz w:val="18"/>
          <w:szCs w:val="18"/>
          <w:color w:val="auto"/>
        </w:rPr>
        <w:t xml:space="preserve">Independent Third Party to deliver to the Insurer and the Company, a calculation of the Dry-Run Closing Premium generally consistent with the form of </w:t>
      </w:r>
      <w:r>
        <w:rPr>
          <w:rFonts w:ascii="Arial" w:cs="Arial" w:eastAsia="Arial" w:hAnsi="Arial"/>
          <w:sz w:val="18"/>
          <w:szCs w:val="18"/>
          <w:u w:val="single" w:color="auto"/>
          <w:color w:val="auto"/>
        </w:rPr>
        <w:t>Appendix 2.7</w:t>
      </w:r>
      <w:r>
        <w:rPr>
          <w:rFonts w:ascii="Arial" w:cs="Arial" w:eastAsia="Arial" w:hAnsi="Arial"/>
          <w:sz w:val="18"/>
          <w:szCs w:val="18"/>
          <w:color w:val="auto"/>
        </w:rPr>
        <w:t>. Each “</w:t>
      </w:r>
      <w:r>
        <w:rPr>
          <w:rFonts w:ascii="Arial" w:cs="Arial" w:eastAsia="Arial" w:hAnsi="Arial"/>
          <w:sz w:val="18"/>
          <w:szCs w:val="18"/>
          <w:u w:val="single" w:color="auto"/>
          <w:color w:val="auto"/>
        </w:rPr>
        <w:t>Dry-Run Closing Premium</w:t>
      </w:r>
      <w:r>
        <w:rPr>
          <w:rFonts w:ascii="Arial" w:cs="Arial" w:eastAsia="Arial" w:hAnsi="Arial"/>
          <w:sz w:val="18"/>
          <w:szCs w:val="18"/>
          <w:color w:val="auto"/>
        </w:rPr>
        <w:t xml:space="preserve">” shall be equal to ( </w:t>
      </w:r>
      <w:r>
        <w:rPr>
          <w:rFonts w:ascii="Arial" w:cs="Arial" w:eastAsia="Arial" w:hAnsi="Arial"/>
          <w:sz w:val="18"/>
          <w:szCs w:val="18"/>
          <w:u w:val="single" w:color="auto"/>
          <w:color w:val="auto"/>
        </w:rPr>
        <w:t>i</w:t>
      </w:r>
      <w:r>
        <w:rPr>
          <w:rFonts w:ascii="Arial" w:cs="Arial" w:eastAsia="Arial" w:hAnsi="Arial"/>
          <w:sz w:val="18"/>
          <w:szCs w:val="18"/>
          <w:color w:val="auto"/>
        </w:rPr>
        <w:t xml:space="preserve">) the Dry-Run Post-Solicitation Premium </w:t>
      </w:r>
      <w:r>
        <w:rPr>
          <w:rFonts w:ascii="Arial" w:cs="Arial" w:eastAsia="Arial" w:hAnsi="Arial"/>
          <w:sz w:val="18"/>
          <w:szCs w:val="18"/>
          <w:i w:val="1"/>
          <w:iCs w:val="1"/>
          <w:color w:val="auto"/>
        </w:rPr>
        <w:t>multiplied by</w:t>
      </w:r>
      <w:r>
        <w:rPr>
          <w:rFonts w:ascii="Arial" w:cs="Arial" w:eastAsia="Arial" w:hAnsi="Arial"/>
          <w:sz w:val="18"/>
          <w:szCs w:val="18"/>
          <w:color w:val="auto"/>
        </w:rPr>
        <w:t xml:space="preserve">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100% plus the Target Closing Date Adjustment, </w:t>
      </w:r>
      <w:r>
        <w:rPr>
          <w:rFonts w:ascii="Arial" w:cs="Arial" w:eastAsia="Arial" w:hAnsi="Arial"/>
          <w:sz w:val="18"/>
          <w:szCs w:val="18"/>
          <w:i w:val="1"/>
          <w:iCs w:val="1"/>
          <w:color w:val="auto"/>
        </w:rPr>
        <w:t>multiplied by</w:t>
      </w:r>
      <w:r>
        <w:rPr>
          <w:rFonts w:ascii="Arial" w:cs="Arial" w:eastAsia="Arial" w:hAnsi="Arial"/>
          <w:sz w:val="18"/>
          <w:szCs w:val="18"/>
          <w:color w:val="auto"/>
        </w:rPr>
        <w:t xml:space="preserve"> (</w:t>
      </w:r>
      <w:r>
        <w:rPr>
          <w:rFonts w:ascii="Arial" w:cs="Arial" w:eastAsia="Arial" w:hAnsi="Arial"/>
          <w:sz w:val="18"/>
          <w:szCs w:val="18"/>
          <w:u w:val="single" w:color="auto"/>
          <w:color w:val="auto"/>
        </w:rPr>
        <w:t>iii</w:t>
      </w:r>
      <w:r>
        <w:rPr>
          <w:rFonts w:ascii="Arial" w:cs="Arial" w:eastAsia="Arial" w:hAnsi="Arial"/>
          <w:sz w:val="18"/>
          <w:szCs w:val="18"/>
          <w:color w:val="auto"/>
        </w:rPr>
        <w:t>) the sum of (</w:t>
      </w:r>
      <w:r>
        <w:rPr>
          <w:rFonts w:ascii="Arial" w:cs="Arial" w:eastAsia="Arial" w:hAnsi="Arial"/>
          <w:sz w:val="18"/>
          <w:szCs w:val="18"/>
          <w:u w:val="single" w:color="auto"/>
          <w:color w:val="auto"/>
        </w:rPr>
        <w:t>A</w:t>
      </w:r>
      <w:r>
        <w:rPr>
          <w:rFonts w:ascii="Arial" w:cs="Arial" w:eastAsia="Arial" w:hAnsi="Arial"/>
          <w:sz w:val="18"/>
          <w:szCs w:val="18"/>
          <w:color w:val="auto"/>
        </w:rPr>
        <w:t>) the CMA Adjustment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the SCA Adjustment, </w:t>
      </w:r>
      <w:r>
        <w:rPr>
          <w:rFonts w:ascii="Arial" w:cs="Arial" w:eastAsia="Arial" w:hAnsi="Arial"/>
          <w:sz w:val="18"/>
          <w:szCs w:val="18"/>
          <w:i w:val="1"/>
          <w:iCs w:val="1"/>
          <w:color w:val="auto"/>
        </w:rPr>
        <w:t xml:space="preserve">multiplied by </w:t>
      </w:r>
      <w:r>
        <w:rPr>
          <w:rFonts w:ascii="Arial" w:cs="Arial" w:eastAsia="Arial" w:hAnsi="Arial"/>
          <w:sz w:val="18"/>
          <w:szCs w:val="18"/>
          <w:color w:val="auto"/>
        </w:rPr>
        <w:t>(</w:t>
      </w:r>
      <w:r>
        <w:rPr>
          <w:rFonts w:ascii="Arial" w:cs="Arial" w:eastAsia="Arial" w:hAnsi="Arial"/>
          <w:sz w:val="18"/>
          <w:szCs w:val="18"/>
          <w:u w:val="single" w:color="auto"/>
          <w:color w:val="auto"/>
        </w:rPr>
        <w:t>iv</w:t>
      </w:r>
      <w:r>
        <w:rPr>
          <w:rFonts w:ascii="Arial" w:cs="Arial" w:eastAsia="Arial" w:hAnsi="Arial"/>
          <w:sz w:val="18"/>
          <w:szCs w:val="18"/>
          <w:color w:val="auto"/>
        </w:rPr>
        <w:t>) 100% plus the PFS Adjustment,</w:t>
      </w:r>
      <w:r>
        <w:rPr>
          <w:rFonts w:ascii="Arial" w:cs="Arial" w:eastAsia="Arial" w:hAnsi="Arial"/>
          <w:sz w:val="18"/>
          <w:szCs w:val="18"/>
          <w:i w:val="1"/>
          <w:iCs w:val="1"/>
          <w:color w:val="auto"/>
        </w:rPr>
        <w:t xml:space="preserve"> plus </w:t>
      </w:r>
      <w:r>
        <w:rPr>
          <w:rFonts w:ascii="Arial" w:cs="Arial" w:eastAsia="Arial" w:hAnsi="Arial"/>
          <w:sz w:val="18"/>
          <w:szCs w:val="18"/>
          <w:color w:val="auto"/>
        </w:rPr>
        <w:t>(</w:t>
      </w:r>
      <w:r>
        <w:rPr>
          <w:rFonts w:ascii="Arial" w:cs="Arial" w:eastAsia="Arial" w:hAnsi="Arial"/>
          <w:sz w:val="18"/>
          <w:szCs w:val="18"/>
          <w:u w:val="single" w:color="auto"/>
          <w:color w:val="auto"/>
        </w:rPr>
        <w:t>v</w:t>
      </w:r>
      <w:r>
        <w:rPr>
          <w:rFonts w:ascii="Arial" w:cs="Arial" w:eastAsia="Arial" w:hAnsi="Arial"/>
          <w:sz w:val="18"/>
          <w:szCs w:val="18"/>
          <w:color w:val="auto"/>
        </w:rPr>
        <w:t>) the [ *** ] Adjustment. For purposes of calculating each Dry-Run Closing</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Premium, the Insurer shall, and the Insurer and the Company shall jointly direct the Independent Third Party to, use the data provided in accordance with </w:t>
      </w:r>
      <w:r>
        <w:rPr>
          <w:rFonts w:ascii="Arial" w:cs="Arial" w:eastAsia="Arial" w:hAnsi="Arial"/>
          <w:sz w:val="18"/>
          <w:szCs w:val="18"/>
          <w:u w:val="single" w:color="auto"/>
          <w:color w:val="auto"/>
        </w:rPr>
        <w:t>Section 2.6(b)</w:t>
      </w:r>
      <w:r>
        <w:rPr>
          <w:rFonts w:ascii="Arial" w:cs="Arial" w:eastAsia="Arial" w:hAnsi="Arial"/>
          <w:sz w:val="18"/>
          <w:szCs w:val="18"/>
          <w:color w:val="auto"/>
        </w:rPr>
        <w:t xml:space="preserve"> delivered on the second Business Day of that calendar month, and calculate the Target Closing Date</w:t>
      </w:r>
    </w:p>
    <w:p>
      <w:pPr>
        <w:spacing w:after="0" w:line="1"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Adjustment, the CMA Adjustment, SCA Adjustment, [ *** ] Adjustment and PFS Adjustment as of the last day of the immediately preceding calendar month.</w:t>
      </w:r>
    </w:p>
    <w:p>
      <w:pPr>
        <w:spacing w:after="0" w:line="203" w:lineRule="exact"/>
        <w:rPr>
          <w:sz w:val="20"/>
          <w:szCs w:val="20"/>
          <w:color w:val="auto"/>
        </w:rPr>
      </w:pPr>
    </w:p>
    <w:p>
      <w:pPr>
        <w:ind w:left="600"/>
        <w:spacing w:after="0"/>
        <w:tabs>
          <w:tab w:leader="none" w:pos="1420" w:val="left"/>
          <w:tab w:leader="none" w:pos="9760" w:val="left"/>
          <w:tab w:leader="none" w:pos="10460" w:val="left"/>
        </w:tabs>
        <w:rPr>
          <w:sz w:val="20"/>
          <w:szCs w:val="20"/>
          <w:color w:val="auto"/>
        </w:rPr>
      </w:pPr>
      <w:r>
        <w:rPr>
          <w:rFonts w:ascii="Arial" w:cs="Arial" w:eastAsia="Arial" w:hAnsi="Arial"/>
          <w:sz w:val="20"/>
          <w:szCs w:val="20"/>
          <w:color w:val="auto"/>
        </w:rPr>
        <w:t>(b)</w:t>
      </w:r>
      <w:r>
        <w:rPr>
          <w:sz w:val="20"/>
          <w:szCs w:val="20"/>
          <w:color w:val="auto"/>
        </w:rPr>
        <w:tab/>
      </w:r>
      <w:r>
        <w:rPr>
          <w:rFonts w:ascii="Arial" w:cs="Arial" w:eastAsia="Arial" w:hAnsi="Arial"/>
          <w:sz w:val="20"/>
          <w:szCs w:val="20"/>
          <w:color w:val="auto"/>
        </w:rPr>
        <w:t>If a Dry-Run Closing Premium as calculated by the Independent Third Party differs by more than [</w:t>
      </w:r>
      <w:r>
        <w:rPr>
          <w:sz w:val="20"/>
          <w:szCs w:val="20"/>
          <w:color w:val="auto"/>
        </w:rPr>
        <w:tab/>
      </w:r>
      <w:r>
        <w:rPr>
          <w:rFonts w:ascii="Arial" w:cs="Arial" w:eastAsia="Arial" w:hAnsi="Arial"/>
          <w:sz w:val="20"/>
          <w:szCs w:val="20"/>
          <w:color w:val="auto"/>
        </w:rPr>
        <w:t>***</w:t>
      </w:r>
      <w:r>
        <w:rPr>
          <w:sz w:val="20"/>
          <w:szCs w:val="20"/>
          <w:color w:val="auto"/>
        </w:rPr>
        <w:tab/>
      </w:r>
      <w:r>
        <w:rPr>
          <w:rFonts w:ascii="Arial" w:cs="Arial" w:eastAsia="Arial" w:hAnsi="Arial"/>
          <w:sz w:val="18"/>
          <w:szCs w:val="18"/>
          <w:color w:val="auto"/>
        </w:rPr>
        <w:t>] from such</w:t>
      </w:r>
    </w:p>
    <w:p>
      <w:pPr>
        <w:spacing w:after="0" w:line="26"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Dry-Run Closing Premium calculated by the Insurer, then the Insurer shall, for a period of five (5) Business Days, seek to reasonably cooperate with the Company and the Independent Third Party to identify the reasons for the difference and seek to resolve all such differences, and shall deliver the revised calculations, if any, to the Company within five (5) Business Days thereafter. In the event the Insurer, the Company and the Independent Third Party do not identify or resolve all such differences, the Company and the Insurer shall jointly direct the Independent Third Party to, within two (2) Business Days, make any revisions to the applicable Dry-Run Closing Premium that were agreed upon by the Company and the Insurer, recalculate such Dry-Run Closing Premium and provide the Company and the Insurer with such revised calculations.</w:t>
      </w:r>
    </w:p>
    <w:p>
      <w:pPr>
        <w:spacing w:after="0" w:line="214" w:lineRule="exact"/>
        <w:rPr>
          <w:sz w:val="20"/>
          <w:szCs w:val="20"/>
          <w:color w:val="auto"/>
        </w:rPr>
      </w:pPr>
    </w:p>
    <w:p>
      <w:pPr>
        <w:ind w:left="1420" w:hanging="819"/>
        <w:spacing w:after="0"/>
        <w:tabs>
          <w:tab w:leader="none" w:pos="14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PFS Adjustment and CMA Adjustment included in each Dry-Run Closing Premium shall incorporate a calculation of</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00" w:type="dxa"/>
            <w:vAlign w:val="bottom"/>
            <w:gridSpan w:val="3"/>
          </w:tcPr>
          <w:p>
            <w:pPr>
              <w:spacing w:after="0"/>
              <w:rPr>
                <w:sz w:val="20"/>
                <w:szCs w:val="20"/>
                <w:color w:val="auto"/>
              </w:rPr>
            </w:pPr>
            <w:r>
              <w:rPr>
                <w:rFonts w:ascii="Arial" w:cs="Arial" w:eastAsia="Arial" w:hAnsi="Arial"/>
                <w:sz w:val="20"/>
                <w:szCs w:val="20"/>
                <w:color w:val="auto"/>
                <w:w w:val="97"/>
              </w:rPr>
              <w:t>the estimated [</w:t>
            </w:r>
          </w:p>
        </w:tc>
        <w:tc>
          <w:tcPr>
            <w:tcW w:w="580" w:type="dxa"/>
            <w:vAlign w:val="bottom"/>
          </w:tcPr>
          <w:p>
            <w:pPr>
              <w:jc w:val="right"/>
              <w:spacing w:after="0"/>
              <w:rPr>
                <w:sz w:val="20"/>
                <w:szCs w:val="20"/>
                <w:color w:val="auto"/>
              </w:rPr>
            </w:pPr>
            <w:r>
              <w:rPr>
                <w:rFonts w:ascii="Arial" w:cs="Arial" w:eastAsia="Arial" w:hAnsi="Arial"/>
                <w:sz w:val="20"/>
                <w:szCs w:val="20"/>
                <w:color w:val="auto"/>
              </w:rPr>
              <w:t>***</w:t>
            </w:r>
          </w:p>
        </w:tc>
        <w:tc>
          <w:tcPr>
            <w:tcW w:w="320" w:type="dxa"/>
            <w:vAlign w:val="bottom"/>
          </w:tcPr>
          <w:p>
            <w:pPr>
              <w:spacing w:after="0"/>
              <w:rPr>
                <w:sz w:val="19"/>
                <w:szCs w:val="19"/>
                <w:color w:val="auto"/>
              </w:rPr>
            </w:pPr>
          </w:p>
        </w:tc>
        <w:tc>
          <w:tcPr>
            <w:tcW w:w="9220" w:type="dxa"/>
            <w:vAlign w:val="bottom"/>
            <w:gridSpan w:val="16"/>
          </w:tcPr>
          <w:p>
            <w:pPr>
              <w:jc w:val="right"/>
              <w:spacing w:after="0"/>
              <w:rPr>
                <w:sz w:val="20"/>
                <w:szCs w:val="20"/>
                <w:color w:val="auto"/>
              </w:rPr>
            </w:pPr>
            <w:r>
              <w:rPr>
                <w:rFonts w:ascii="Arial" w:cs="Arial" w:eastAsia="Arial" w:hAnsi="Arial"/>
                <w:sz w:val="20"/>
                <w:szCs w:val="20"/>
                <w:color w:val="auto"/>
                <w:w w:val="95"/>
              </w:rPr>
              <w:t>]; provided that, (i) except with respect to the initial calculation of the Dry-Run Closing Premium, in connection</w:t>
            </w:r>
          </w:p>
        </w:tc>
      </w:tr>
      <w:tr>
        <w:trPr>
          <w:trHeight w:val="20"/>
        </w:trPr>
        <w:tc>
          <w:tcPr>
            <w:tcW w:w="480" w:type="dxa"/>
            <w:vAlign w:val="bottom"/>
          </w:tcPr>
          <w:p>
            <w:pPr>
              <w:spacing w:after="0" w:line="20" w:lineRule="exact"/>
              <w:rPr>
                <w:sz w:val="1"/>
                <w:szCs w:val="1"/>
                <w:color w:val="auto"/>
              </w:rPr>
            </w:pPr>
          </w:p>
        </w:tc>
        <w:tc>
          <w:tcPr>
            <w:tcW w:w="172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80" w:type="dxa"/>
            <w:vAlign w:val="bottom"/>
            <w:gridSpan w:val="6"/>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r>
      <w:tr>
        <w:trPr>
          <w:trHeight w:val="247"/>
        </w:trPr>
        <w:tc>
          <w:tcPr>
            <w:tcW w:w="5740" w:type="dxa"/>
            <w:vAlign w:val="bottom"/>
            <w:gridSpan w:val="13"/>
          </w:tcPr>
          <w:p>
            <w:pPr>
              <w:spacing w:after="0"/>
              <w:rPr>
                <w:sz w:val="20"/>
                <w:szCs w:val="20"/>
                <w:color w:val="auto"/>
              </w:rPr>
            </w:pPr>
            <w:r>
              <w:rPr>
                <w:rFonts w:ascii="Arial" w:cs="Arial" w:eastAsia="Arial" w:hAnsi="Arial"/>
                <w:sz w:val="20"/>
                <w:szCs w:val="20"/>
                <w:color w:val="auto"/>
                <w:w w:val="95"/>
              </w:rPr>
              <w:t>with the calculation of the PFS Adjustment only, the estimated [   ***</w:t>
            </w:r>
          </w:p>
        </w:tc>
        <w:tc>
          <w:tcPr>
            <w:tcW w:w="5680" w:type="dxa"/>
            <w:vAlign w:val="bottom"/>
            <w:gridSpan w:val="8"/>
          </w:tcPr>
          <w:p>
            <w:pPr>
              <w:jc w:val="right"/>
              <w:spacing w:after="0"/>
              <w:rPr>
                <w:sz w:val="20"/>
                <w:szCs w:val="20"/>
                <w:color w:val="auto"/>
              </w:rPr>
            </w:pPr>
            <w:r>
              <w:rPr>
                <w:rFonts w:ascii="Arial" w:cs="Arial" w:eastAsia="Arial" w:hAnsi="Arial"/>
                <w:sz w:val="20"/>
                <w:szCs w:val="20"/>
                <w:color w:val="auto"/>
                <w:w w:val="97"/>
              </w:rPr>
              <w:t>] incorporated into the calculation of the PFS Adjustment included</w:t>
            </w:r>
          </w:p>
        </w:tc>
      </w:tr>
      <w:tr>
        <w:trPr>
          <w:trHeight w:val="209"/>
        </w:trPr>
        <w:tc>
          <w:tcPr>
            <w:tcW w:w="9240" w:type="dxa"/>
            <w:vAlign w:val="bottom"/>
            <w:gridSpan w:val="16"/>
          </w:tcPr>
          <w:p>
            <w:pPr>
              <w:spacing w:after="0" w:line="209" w:lineRule="exact"/>
              <w:rPr>
                <w:sz w:val="20"/>
                <w:szCs w:val="20"/>
                <w:color w:val="auto"/>
              </w:rPr>
            </w:pPr>
            <w:r>
              <w:rPr>
                <w:rFonts w:ascii="Arial" w:cs="Arial" w:eastAsia="Arial" w:hAnsi="Arial"/>
                <w:sz w:val="20"/>
                <w:szCs w:val="20"/>
                <w:color w:val="auto"/>
                <w:w w:val="92"/>
              </w:rPr>
              <w:t>in each such calculation performed pursuant to this Section 2.7 shall not exceed the calculation of the estimated [</w:t>
            </w:r>
          </w:p>
        </w:tc>
        <w:tc>
          <w:tcPr>
            <w:tcW w:w="820" w:type="dxa"/>
            <w:vAlign w:val="bottom"/>
          </w:tcPr>
          <w:p>
            <w:pPr>
              <w:jc w:val="right"/>
              <w:ind w:right="120"/>
              <w:spacing w:after="0" w:line="209" w:lineRule="exact"/>
              <w:rPr>
                <w:sz w:val="20"/>
                <w:szCs w:val="20"/>
                <w:color w:val="auto"/>
              </w:rPr>
            </w:pPr>
            <w:r>
              <w:rPr>
                <w:rFonts w:ascii="Arial" w:cs="Arial" w:eastAsia="Arial" w:hAnsi="Arial"/>
                <w:sz w:val="20"/>
                <w:szCs w:val="20"/>
                <w:color w:val="auto"/>
              </w:rPr>
              <w:t>***</w:t>
            </w:r>
          </w:p>
        </w:tc>
        <w:tc>
          <w:tcPr>
            <w:tcW w:w="1360" w:type="dxa"/>
            <w:vAlign w:val="bottom"/>
            <w:gridSpan w:val="4"/>
          </w:tcPr>
          <w:p>
            <w:pPr>
              <w:jc w:val="right"/>
              <w:spacing w:after="0" w:line="209" w:lineRule="exact"/>
              <w:rPr>
                <w:sz w:val="20"/>
                <w:szCs w:val="20"/>
                <w:color w:val="auto"/>
              </w:rPr>
            </w:pPr>
            <w:r>
              <w:rPr>
                <w:rFonts w:ascii="Arial" w:cs="Arial" w:eastAsia="Arial" w:hAnsi="Arial"/>
                <w:sz w:val="20"/>
                <w:szCs w:val="20"/>
                <w:color w:val="auto"/>
              </w:rPr>
              <w:t>] incorporated</w:t>
            </w:r>
          </w:p>
        </w:tc>
      </w:tr>
      <w:tr>
        <w:trPr>
          <w:trHeight w:val="20"/>
        </w:trPr>
        <w:tc>
          <w:tcPr>
            <w:tcW w:w="480" w:type="dxa"/>
            <w:vAlign w:val="bottom"/>
          </w:tcPr>
          <w:p>
            <w:pPr>
              <w:spacing w:after="0" w:line="20" w:lineRule="exact"/>
              <w:rPr>
                <w:sz w:val="1"/>
                <w:szCs w:val="1"/>
                <w:color w:val="auto"/>
              </w:rPr>
            </w:pPr>
          </w:p>
        </w:tc>
        <w:tc>
          <w:tcPr>
            <w:tcW w:w="1720" w:type="dxa"/>
            <w:vAlign w:val="bottom"/>
            <w:gridSpan w:val="4"/>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4120" w:type="dxa"/>
            <w:vAlign w:val="bottom"/>
            <w:gridSpan w:val="4"/>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r>
      <w:tr>
        <w:trPr>
          <w:trHeight w:val="247"/>
        </w:trPr>
        <w:tc>
          <w:tcPr>
            <w:tcW w:w="9240" w:type="dxa"/>
            <w:vAlign w:val="bottom"/>
            <w:gridSpan w:val="16"/>
          </w:tcPr>
          <w:p>
            <w:pPr>
              <w:spacing w:after="0"/>
              <w:rPr>
                <w:sz w:val="20"/>
                <w:szCs w:val="20"/>
                <w:color w:val="auto"/>
              </w:rPr>
            </w:pPr>
            <w:r>
              <w:rPr>
                <w:rFonts w:ascii="Arial" w:cs="Arial" w:eastAsia="Arial" w:hAnsi="Arial"/>
                <w:sz w:val="20"/>
                <w:szCs w:val="20"/>
                <w:color w:val="auto"/>
                <w:w w:val="98"/>
              </w:rPr>
              <w:t>into the PFS Adjustment for the most recently delivered calculation of the Dry-Run Closing Premium, [   ***</w:t>
            </w:r>
          </w:p>
        </w:tc>
        <w:tc>
          <w:tcPr>
            <w:tcW w:w="2180" w:type="dxa"/>
            <w:vAlign w:val="bottom"/>
            <w:gridSpan w:val="5"/>
          </w:tcPr>
          <w:p>
            <w:pPr>
              <w:jc w:val="right"/>
              <w:spacing w:after="0"/>
              <w:rPr>
                <w:sz w:val="20"/>
                <w:szCs w:val="20"/>
                <w:color w:val="auto"/>
              </w:rPr>
            </w:pPr>
            <w:r>
              <w:rPr>
                <w:rFonts w:ascii="Arial" w:cs="Arial" w:eastAsia="Arial" w:hAnsi="Arial"/>
                <w:sz w:val="20"/>
                <w:szCs w:val="20"/>
                <w:color w:val="auto"/>
                <w:w w:val="88"/>
              </w:rPr>
              <w:t>], and shall not be less than</w:t>
            </w:r>
          </w:p>
        </w:tc>
      </w:tr>
      <w:tr>
        <w:trPr>
          <w:trHeight w:val="238"/>
        </w:trPr>
        <w:tc>
          <w:tcPr>
            <w:tcW w:w="2700" w:type="dxa"/>
            <w:vAlign w:val="bottom"/>
            <w:gridSpan w:val="7"/>
          </w:tcPr>
          <w:p>
            <w:pPr>
              <w:spacing w:after="0"/>
              <w:rPr>
                <w:sz w:val="20"/>
                <w:szCs w:val="20"/>
                <w:color w:val="auto"/>
              </w:rPr>
            </w:pPr>
            <w:r>
              <w:rPr>
                <w:rFonts w:ascii="Arial" w:cs="Arial" w:eastAsia="Arial" w:hAnsi="Arial"/>
                <w:sz w:val="20"/>
                <w:szCs w:val="20"/>
                <w:color w:val="auto"/>
                <w:w w:val="93"/>
              </w:rPr>
              <w:t>the calculation of the estimated [</w:t>
            </w:r>
          </w:p>
        </w:tc>
        <w:tc>
          <w:tcPr>
            <w:tcW w:w="72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8000" w:type="dxa"/>
            <w:vAlign w:val="bottom"/>
            <w:gridSpan w:val="12"/>
          </w:tcPr>
          <w:p>
            <w:pPr>
              <w:jc w:val="right"/>
              <w:spacing w:after="0"/>
              <w:rPr>
                <w:sz w:val="20"/>
                <w:szCs w:val="20"/>
                <w:color w:val="auto"/>
              </w:rPr>
            </w:pPr>
            <w:r>
              <w:rPr>
                <w:rFonts w:ascii="Arial" w:cs="Arial" w:eastAsia="Arial" w:hAnsi="Arial"/>
                <w:sz w:val="20"/>
                <w:szCs w:val="20"/>
                <w:color w:val="auto"/>
                <w:w w:val="95"/>
              </w:rPr>
              <w:t>] incorporated in the PFS Adjustment for the most recently delivered calculation of the Dry-Run</w:t>
            </w:r>
          </w:p>
        </w:tc>
      </w:tr>
      <w:tr>
        <w:trPr>
          <w:trHeight w:val="238"/>
        </w:trPr>
        <w:tc>
          <w:tcPr>
            <w:tcW w:w="1880" w:type="dxa"/>
            <w:vAlign w:val="bottom"/>
            <w:gridSpan w:val="4"/>
          </w:tcPr>
          <w:p>
            <w:pPr>
              <w:spacing w:after="0"/>
              <w:rPr>
                <w:sz w:val="20"/>
                <w:szCs w:val="20"/>
                <w:color w:val="auto"/>
              </w:rPr>
            </w:pPr>
            <w:r>
              <w:rPr>
                <w:rFonts w:ascii="Arial" w:cs="Arial" w:eastAsia="Arial" w:hAnsi="Arial"/>
                <w:sz w:val="20"/>
                <w:szCs w:val="20"/>
                <w:color w:val="auto"/>
              </w:rPr>
              <w:t>Closing Premium [</w:t>
            </w:r>
          </w:p>
        </w:tc>
        <w:tc>
          <w:tcPr>
            <w:tcW w:w="540" w:type="dxa"/>
            <w:vAlign w:val="bottom"/>
            <w:gridSpan w:val="2"/>
          </w:tcPr>
          <w:p>
            <w:pPr>
              <w:jc w:val="right"/>
              <w:ind w:right="80"/>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20"/>
                <w:szCs w:val="20"/>
                <w:color w:val="auto"/>
              </w:rPr>
            </w:pPr>
          </w:p>
        </w:tc>
        <w:tc>
          <w:tcPr>
            <w:tcW w:w="8720" w:type="dxa"/>
            <w:vAlign w:val="bottom"/>
            <w:gridSpan w:val="14"/>
          </w:tcPr>
          <w:p>
            <w:pPr>
              <w:jc w:val="right"/>
              <w:spacing w:after="0"/>
              <w:rPr>
                <w:sz w:val="20"/>
                <w:szCs w:val="20"/>
                <w:color w:val="auto"/>
              </w:rPr>
            </w:pPr>
            <w:r>
              <w:rPr>
                <w:rFonts w:ascii="Arial" w:cs="Arial" w:eastAsia="Arial" w:hAnsi="Arial"/>
                <w:sz w:val="20"/>
                <w:szCs w:val="20"/>
                <w:color w:val="auto"/>
                <w:w w:val="97"/>
              </w:rPr>
              <w:t>] and (ii) with respect to the initial calculation of the Dry-Run Closing Premium, in connection with the</w:t>
            </w:r>
          </w:p>
        </w:tc>
      </w:tr>
      <w:tr>
        <w:trPr>
          <w:trHeight w:val="238"/>
        </w:trPr>
        <w:tc>
          <w:tcPr>
            <w:tcW w:w="4780" w:type="dxa"/>
            <w:vAlign w:val="bottom"/>
            <w:gridSpan w:val="11"/>
          </w:tcPr>
          <w:p>
            <w:pPr>
              <w:spacing w:after="0"/>
              <w:rPr>
                <w:sz w:val="20"/>
                <w:szCs w:val="20"/>
                <w:color w:val="auto"/>
              </w:rPr>
            </w:pPr>
            <w:r>
              <w:rPr>
                <w:rFonts w:ascii="Arial" w:cs="Arial" w:eastAsia="Arial" w:hAnsi="Arial"/>
                <w:sz w:val="20"/>
                <w:szCs w:val="20"/>
                <w:color w:val="auto"/>
                <w:w w:val="98"/>
              </w:rPr>
              <w:t>calculation of the PFS Adjustment only, the estimated [</w:t>
            </w:r>
          </w:p>
        </w:tc>
        <w:tc>
          <w:tcPr>
            <w:tcW w:w="960" w:type="dxa"/>
            <w:vAlign w:val="bottom"/>
            <w:gridSpan w:val="2"/>
          </w:tcPr>
          <w:p>
            <w:pPr>
              <w:jc w:val="right"/>
              <w:ind w:right="480"/>
              <w:spacing w:after="0"/>
              <w:rPr>
                <w:sz w:val="20"/>
                <w:szCs w:val="20"/>
                <w:color w:val="auto"/>
              </w:rPr>
            </w:pPr>
            <w:r>
              <w:rPr>
                <w:rFonts w:ascii="Arial" w:cs="Arial" w:eastAsia="Arial" w:hAnsi="Arial"/>
                <w:sz w:val="20"/>
                <w:szCs w:val="20"/>
                <w:color w:val="auto"/>
              </w:rPr>
              <w:t>***</w:t>
            </w:r>
          </w:p>
        </w:tc>
        <w:tc>
          <w:tcPr>
            <w:tcW w:w="5680" w:type="dxa"/>
            <w:vAlign w:val="bottom"/>
            <w:gridSpan w:val="8"/>
          </w:tcPr>
          <w:p>
            <w:pPr>
              <w:jc w:val="right"/>
              <w:spacing w:after="0"/>
              <w:rPr>
                <w:sz w:val="20"/>
                <w:szCs w:val="20"/>
                <w:color w:val="auto"/>
              </w:rPr>
            </w:pPr>
            <w:r>
              <w:rPr>
                <w:rFonts w:ascii="Arial" w:cs="Arial" w:eastAsia="Arial" w:hAnsi="Arial"/>
                <w:sz w:val="20"/>
                <w:szCs w:val="20"/>
                <w:color w:val="auto"/>
                <w:w w:val="94"/>
              </w:rPr>
              <w:t>] incorporated into the calculation of the PFS Adjustment performed</w:t>
            </w:r>
          </w:p>
        </w:tc>
      </w:tr>
      <w:tr>
        <w:trPr>
          <w:trHeight w:val="209"/>
        </w:trPr>
        <w:tc>
          <w:tcPr>
            <w:tcW w:w="6860" w:type="dxa"/>
            <w:vAlign w:val="bottom"/>
            <w:gridSpan w:val="14"/>
          </w:tcPr>
          <w:p>
            <w:pPr>
              <w:spacing w:after="0" w:line="209" w:lineRule="exact"/>
              <w:rPr>
                <w:sz w:val="20"/>
                <w:szCs w:val="20"/>
                <w:color w:val="auto"/>
              </w:rPr>
            </w:pPr>
            <w:r>
              <w:rPr>
                <w:rFonts w:ascii="Arial" w:cs="Arial" w:eastAsia="Arial" w:hAnsi="Arial"/>
                <w:sz w:val="20"/>
                <w:szCs w:val="20"/>
                <w:color w:val="auto"/>
                <w:w w:val="93"/>
              </w:rPr>
              <w:t>pursuant to this Section 2.7 shall not exceed the calculation of the estimated Final [</w:t>
            </w:r>
          </w:p>
        </w:tc>
        <w:tc>
          <w:tcPr>
            <w:tcW w:w="660" w:type="dxa"/>
            <w:vAlign w:val="bottom"/>
          </w:tcPr>
          <w:p>
            <w:pPr>
              <w:jc w:val="right"/>
              <w:ind w:right="80"/>
              <w:spacing w:after="0" w:line="209" w:lineRule="exact"/>
              <w:rPr>
                <w:sz w:val="20"/>
                <w:szCs w:val="20"/>
                <w:color w:val="auto"/>
              </w:rPr>
            </w:pPr>
            <w:r>
              <w:rPr>
                <w:rFonts w:ascii="Arial" w:cs="Arial" w:eastAsia="Arial" w:hAnsi="Arial"/>
                <w:sz w:val="20"/>
                <w:szCs w:val="20"/>
                <w:color w:val="auto"/>
              </w:rPr>
              <w:t>***</w:t>
            </w:r>
          </w:p>
        </w:tc>
        <w:tc>
          <w:tcPr>
            <w:tcW w:w="3900" w:type="dxa"/>
            <w:vAlign w:val="bottom"/>
            <w:gridSpan w:val="6"/>
          </w:tcPr>
          <w:p>
            <w:pPr>
              <w:jc w:val="right"/>
              <w:spacing w:after="0" w:line="209" w:lineRule="exact"/>
              <w:rPr>
                <w:sz w:val="20"/>
                <w:szCs w:val="20"/>
                <w:color w:val="auto"/>
              </w:rPr>
            </w:pPr>
            <w:r>
              <w:rPr>
                <w:rFonts w:ascii="Arial" w:cs="Arial" w:eastAsia="Arial" w:hAnsi="Arial"/>
                <w:sz w:val="20"/>
                <w:szCs w:val="20"/>
                <w:color w:val="auto"/>
                <w:w w:val="97"/>
              </w:rPr>
              <w:t>] delivered by the Insurer pursuant to Section</w:t>
            </w:r>
          </w:p>
        </w:tc>
      </w:tr>
      <w:tr>
        <w:trPr>
          <w:trHeight w:val="20"/>
        </w:trPr>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4660" w:type="dxa"/>
            <w:vAlign w:val="bottom"/>
            <w:gridSpan w:val="9"/>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300" w:type="dxa"/>
            <w:vAlign w:val="bottom"/>
            <w:gridSpan w:val="4"/>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r>
      <w:tr>
        <w:trPr>
          <w:trHeight w:val="218"/>
        </w:trPr>
        <w:tc>
          <w:tcPr>
            <w:tcW w:w="900" w:type="dxa"/>
            <w:vAlign w:val="bottom"/>
            <w:gridSpan w:val="2"/>
          </w:tcPr>
          <w:p>
            <w:pPr>
              <w:spacing w:after="0" w:line="218" w:lineRule="exact"/>
              <w:rPr>
                <w:sz w:val="20"/>
                <w:szCs w:val="20"/>
                <w:color w:val="auto"/>
              </w:rPr>
            </w:pPr>
            <w:r>
              <w:rPr>
                <w:rFonts w:ascii="Arial" w:cs="Arial" w:eastAsia="Arial" w:hAnsi="Arial"/>
                <w:sz w:val="20"/>
                <w:szCs w:val="20"/>
                <w:color w:val="auto"/>
              </w:rPr>
              <w:t>2.5(b), [</w:t>
            </w:r>
          </w:p>
        </w:tc>
        <w:tc>
          <w:tcPr>
            <w:tcW w:w="400" w:type="dxa"/>
            <w:vAlign w:val="bottom"/>
          </w:tcPr>
          <w:p>
            <w:pPr>
              <w:jc w:val="right"/>
              <w:spacing w:after="0" w:line="218" w:lineRule="exact"/>
              <w:rPr>
                <w:sz w:val="20"/>
                <w:szCs w:val="20"/>
                <w:color w:val="auto"/>
              </w:rPr>
            </w:pPr>
            <w:r>
              <w:rPr>
                <w:rFonts w:ascii="Arial" w:cs="Arial" w:eastAsia="Arial" w:hAnsi="Arial"/>
                <w:sz w:val="20"/>
                <w:szCs w:val="20"/>
                <w:color w:val="auto"/>
              </w:rPr>
              <w:t>***</w:t>
            </w:r>
          </w:p>
        </w:tc>
        <w:tc>
          <w:tcPr>
            <w:tcW w:w="5560" w:type="dxa"/>
            <w:vAlign w:val="bottom"/>
            <w:gridSpan w:val="11"/>
          </w:tcPr>
          <w:p>
            <w:pPr>
              <w:ind w:left="400"/>
              <w:spacing w:after="0" w:line="218" w:lineRule="exact"/>
              <w:rPr>
                <w:sz w:val="20"/>
                <w:szCs w:val="20"/>
                <w:color w:val="auto"/>
              </w:rPr>
            </w:pPr>
            <w:r>
              <w:rPr>
                <w:rFonts w:ascii="Arial" w:cs="Arial" w:eastAsia="Arial" w:hAnsi="Arial"/>
                <w:sz w:val="20"/>
                <w:szCs w:val="20"/>
                <w:color w:val="auto"/>
                <w:w w:val="95"/>
              </w:rPr>
              <w:t>], and shall not be less than the calculation of the estimated [</w:t>
            </w:r>
          </w:p>
        </w:tc>
        <w:tc>
          <w:tcPr>
            <w:tcW w:w="660" w:type="dxa"/>
            <w:vAlign w:val="bottom"/>
          </w:tcPr>
          <w:p>
            <w:pPr>
              <w:jc w:val="right"/>
              <w:ind w:right="140"/>
              <w:spacing w:after="0" w:line="218" w:lineRule="exact"/>
              <w:rPr>
                <w:sz w:val="20"/>
                <w:szCs w:val="20"/>
                <w:color w:val="auto"/>
              </w:rPr>
            </w:pPr>
            <w:r>
              <w:rPr>
                <w:rFonts w:ascii="Arial" w:cs="Arial" w:eastAsia="Arial" w:hAnsi="Arial"/>
                <w:sz w:val="20"/>
                <w:szCs w:val="20"/>
                <w:color w:val="auto"/>
              </w:rPr>
              <w:t>***</w:t>
            </w:r>
          </w:p>
        </w:tc>
        <w:tc>
          <w:tcPr>
            <w:tcW w:w="3900" w:type="dxa"/>
            <w:vAlign w:val="bottom"/>
            <w:gridSpan w:val="6"/>
          </w:tcPr>
          <w:p>
            <w:pPr>
              <w:jc w:val="right"/>
              <w:spacing w:after="0" w:line="218" w:lineRule="exact"/>
              <w:rPr>
                <w:sz w:val="20"/>
                <w:szCs w:val="20"/>
                <w:color w:val="auto"/>
              </w:rPr>
            </w:pPr>
            <w:r>
              <w:rPr>
                <w:rFonts w:ascii="Arial" w:cs="Arial" w:eastAsia="Arial" w:hAnsi="Arial"/>
                <w:sz w:val="20"/>
                <w:szCs w:val="20"/>
                <w:color w:val="auto"/>
                <w:w w:val="97"/>
              </w:rPr>
              <w:t>] delivered by the Insurer pursuant to Section</w:t>
            </w:r>
          </w:p>
        </w:tc>
      </w:tr>
      <w:tr>
        <w:trPr>
          <w:trHeight w:val="20"/>
        </w:trPr>
        <w:tc>
          <w:tcPr>
            <w:tcW w:w="480" w:type="dxa"/>
            <w:vAlign w:val="bottom"/>
            <w:shd w:val="clear" w:color="auto" w:fill="000000"/>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r>
      <w:tr>
        <w:trPr>
          <w:trHeight w:val="218"/>
        </w:trPr>
        <w:tc>
          <w:tcPr>
            <w:tcW w:w="1300" w:type="dxa"/>
            <w:vAlign w:val="bottom"/>
            <w:gridSpan w:val="3"/>
          </w:tcPr>
          <w:p>
            <w:pPr>
              <w:spacing w:after="0" w:line="218" w:lineRule="exact"/>
              <w:rPr>
                <w:sz w:val="20"/>
                <w:szCs w:val="20"/>
                <w:color w:val="auto"/>
              </w:rPr>
            </w:pPr>
            <w:r>
              <w:rPr>
                <w:rFonts w:ascii="Arial" w:cs="Arial" w:eastAsia="Arial" w:hAnsi="Arial"/>
                <w:sz w:val="20"/>
                <w:szCs w:val="20"/>
                <w:color w:val="auto"/>
              </w:rPr>
              <w:t>2.5(b), [   ***</w:t>
            </w:r>
          </w:p>
        </w:tc>
        <w:tc>
          <w:tcPr>
            <w:tcW w:w="580" w:type="dxa"/>
            <w:vAlign w:val="bottom"/>
          </w:tcPr>
          <w:p>
            <w:pPr>
              <w:jc w:val="right"/>
              <w:ind w:right="160"/>
              <w:spacing w:after="0" w:line="218" w:lineRule="exact"/>
              <w:rPr>
                <w:sz w:val="20"/>
                <w:szCs w:val="20"/>
                <w:color w:val="auto"/>
              </w:rPr>
            </w:pPr>
            <w:r>
              <w:rPr>
                <w:rFonts w:ascii="Arial" w:cs="Arial" w:eastAsia="Arial" w:hAnsi="Arial"/>
                <w:sz w:val="20"/>
                <w:szCs w:val="20"/>
                <w:color w:val="auto"/>
              </w:rPr>
              <w:t>]</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502"/>
        </w:trPr>
        <w:tc>
          <w:tcPr>
            <w:tcW w:w="480" w:type="dxa"/>
            <w:vAlign w:val="bottom"/>
            <w:tcBorders>
              <w:top w:val="single" w:sz="8" w:color="auto"/>
            </w:tcBorders>
          </w:tcPr>
          <w:p>
            <w:pPr>
              <w:spacing w:after="0"/>
              <w:rPr>
                <w:sz w:val="24"/>
                <w:szCs w:val="24"/>
                <w:color w:val="auto"/>
              </w:rPr>
            </w:pPr>
          </w:p>
        </w:tc>
        <w:tc>
          <w:tcPr>
            <w:tcW w:w="420" w:type="dxa"/>
            <w:vAlign w:val="bottom"/>
          </w:tcPr>
          <w:p>
            <w:pPr>
              <w:ind w:left="120"/>
              <w:spacing w:after="0"/>
              <w:rPr>
                <w:sz w:val="20"/>
                <w:szCs w:val="20"/>
                <w:color w:val="auto"/>
              </w:rPr>
            </w:pPr>
            <w:r>
              <w:rPr>
                <w:rFonts w:ascii="Arial" w:cs="Arial" w:eastAsia="Arial" w:hAnsi="Arial"/>
                <w:sz w:val="20"/>
                <w:szCs w:val="20"/>
                <w:color w:val="auto"/>
              </w:rPr>
              <w:t>(d)</w:t>
            </w:r>
          </w:p>
        </w:tc>
        <w:tc>
          <w:tcPr>
            <w:tcW w:w="400" w:type="dxa"/>
            <w:vAlign w:val="bottom"/>
          </w:tcPr>
          <w:p>
            <w:pPr>
              <w:spacing w:after="0"/>
              <w:rPr>
                <w:sz w:val="24"/>
                <w:szCs w:val="24"/>
                <w:color w:val="auto"/>
              </w:rPr>
            </w:pPr>
          </w:p>
        </w:tc>
        <w:tc>
          <w:tcPr>
            <w:tcW w:w="9180" w:type="dxa"/>
            <w:vAlign w:val="bottom"/>
            <w:gridSpan w:val="15"/>
          </w:tcPr>
          <w:p>
            <w:pPr>
              <w:ind w:left="140"/>
              <w:spacing w:after="0"/>
              <w:rPr>
                <w:sz w:val="20"/>
                <w:szCs w:val="20"/>
                <w:color w:val="auto"/>
              </w:rPr>
            </w:pPr>
            <w:r>
              <w:rPr>
                <w:rFonts w:ascii="Arial" w:cs="Arial" w:eastAsia="Arial" w:hAnsi="Arial"/>
                <w:sz w:val="20"/>
                <w:szCs w:val="20"/>
                <w:color w:val="auto"/>
                <w:w w:val="94"/>
              </w:rPr>
              <w:t>The Insurer and the Company shall calculate the CMA Adjustment, SCA Adjustment, PFS Adjustment, and [</w:t>
            </w:r>
          </w:p>
        </w:tc>
        <w:tc>
          <w:tcPr>
            <w:tcW w:w="660" w:type="dxa"/>
            <w:vAlign w:val="bottom"/>
            <w:gridSpan w:val="2"/>
          </w:tcPr>
          <w:p>
            <w:pPr>
              <w:jc w:val="right"/>
              <w:ind w:right="200"/>
              <w:spacing w:after="0"/>
              <w:rPr>
                <w:sz w:val="20"/>
                <w:szCs w:val="20"/>
                <w:color w:val="auto"/>
              </w:rPr>
            </w:pPr>
            <w:r>
              <w:rPr>
                <w:rFonts w:ascii="Arial" w:cs="Arial" w:eastAsia="Arial" w:hAnsi="Arial"/>
                <w:sz w:val="20"/>
                <w:szCs w:val="20"/>
                <w:color w:val="auto"/>
              </w:rPr>
              <w:t>***</w:t>
            </w:r>
          </w:p>
        </w:tc>
        <w:tc>
          <w:tcPr>
            <w:tcW w:w="280" w:type="dxa"/>
            <w:vAlign w:val="bottom"/>
          </w:tcPr>
          <w:p>
            <w:pPr>
              <w:jc w:val="right"/>
              <w:spacing w:after="0"/>
              <w:rPr>
                <w:sz w:val="20"/>
                <w:szCs w:val="20"/>
                <w:color w:val="auto"/>
              </w:rPr>
            </w:pPr>
            <w:r>
              <w:rPr>
                <w:rFonts w:ascii="Arial" w:cs="Arial" w:eastAsia="Arial" w:hAnsi="Arial"/>
                <w:sz w:val="20"/>
                <w:szCs w:val="20"/>
                <w:color w:val="auto"/>
              </w:rPr>
              <w:t>]</w:t>
            </w:r>
          </w:p>
        </w:tc>
      </w:tr>
    </w:tbl>
    <w:p>
      <w:pPr>
        <w:jc w:val="both"/>
        <w:spacing w:after="0" w:line="252" w:lineRule="auto"/>
        <w:rPr>
          <w:sz w:val="20"/>
          <w:szCs w:val="20"/>
          <w:color w:val="auto"/>
        </w:rPr>
      </w:pPr>
      <w:r>
        <w:rPr>
          <w:rFonts w:ascii="Arial" w:cs="Arial" w:eastAsia="Arial" w:hAnsi="Arial"/>
          <w:sz w:val="20"/>
          <w:szCs w:val="20"/>
          <w:color w:val="auto"/>
        </w:rPr>
        <w:t>Adjustment in any succeeding calculations of Dry-Run Closing Premium (and Preliminary Closing Premium, Closing Final Premium, Interim Post-Closing Final Premium and Final Post-Closing Premium) in accordance with the agreed upon methodologies as notified by the Independent Third Party in calculating any prior Dry-Run Closing Premiums.</w:t>
      </w:r>
    </w:p>
    <w:p>
      <w:pPr>
        <w:spacing w:after="0" w:line="372" w:lineRule="exact"/>
        <w:rPr>
          <w:sz w:val="20"/>
          <w:szCs w:val="20"/>
          <w:color w:val="auto"/>
        </w:rPr>
      </w:pPr>
    </w:p>
    <w:p>
      <w:pPr>
        <w:ind w:left="600"/>
        <w:spacing w:after="0"/>
        <w:tabs>
          <w:tab w:leader="none" w:pos="1680" w:val="left"/>
        </w:tabs>
        <w:rPr>
          <w:sz w:val="20"/>
          <w:szCs w:val="20"/>
          <w:color w:val="auto"/>
        </w:rPr>
      </w:pPr>
      <w:r>
        <w:rPr>
          <w:rFonts w:ascii="Arial" w:cs="Arial" w:eastAsia="Arial" w:hAnsi="Arial"/>
          <w:sz w:val="20"/>
          <w:szCs w:val="20"/>
          <w:color w:val="auto"/>
        </w:rPr>
        <w:t>Section 2.8</w:t>
      </w:r>
      <w:r>
        <w:rPr>
          <w:sz w:val="20"/>
          <w:szCs w:val="20"/>
          <w:color w:val="auto"/>
        </w:rPr>
        <w:tab/>
      </w:r>
      <w:r>
        <w:rPr>
          <w:rFonts w:ascii="Arial" w:cs="Arial" w:eastAsia="Arial" w:hAnsi="Arial"/>
          <w:sz w:val="18"/>
          <w:szCs w:val="18"/>
          <w:u w:val="single" w:color="auto"/>
          <w:color w:val="auto"/>
        </w:rPr>
        <w:t>Calculation of the Preliminary Closing Premium and Revised Preliminary Closing Premium</w:t>
      </w:r>
      <w:r>
        <w:rPr>
          <w:rFonts w:ascii="Arial" w:cs="Arial" w:eastAsia="Arial" w:hAnsi="Arial"/>
          <w:sz w:val="18"/>
          <w:szCs w:val="18"/>
          <w:color w:val="auto"/>
        </w:rPr>
        <w:t>.</w:t>
      </w:r>
    </w:p>
    <w:p>
      <w:pPr>
        <w:spacing w:after="0" w:line="246" w:lineRule="exact"/>
        <w:rPr>
          <w:sz w:val="20"/>
          <w:szCs w:val="20"/>
          <w:color w:val="auto"/>
        </w:rPr>
      </w:pPr>
    </w:p>
    <w:p>
      <w:pPr>
        <w:jc w:val="both"/>
        <w:ind w:firstLine="601"/>
        <w:spacing w:after="0" w:line="261" w:lineRule="auto"/>
        <w:tabs>
          <w:tab w:leader="none" w:pos="1051" w:val="left"/>
        </w:tabs>
        <w:numPr>
          <w:ilvl w:val="0"/>
          <w:numId w:val="34"/>
        </w:numPr>
        <w:rPr>
          <w:rFonts w:ascii="Arial" w:cs="Arial" w:eastAsia="Arial" w:hAnsi="Arial"/>
          <w:sz w:val="20"/>
          <w:szCs w:val="20"/>
          <w:color w:val="auto"/>
        </w:rPr>
      </w:pPr>
      <w:r>
        <w:rPr>
          <w:rFonts w:ascii="Arial" w:cs="Arial" w:eastAsia="Arial" w:hAnsi="Arial"/>
          <w:sz w:val="20"/>
          <w:szCs w:val="20"/>
          <w:color w:val="auto"/>
        </w:rPr>
        <w:t>On the day that is seven (7) days prior to the Target Closing Date, the Insurer shall deliver to the Company and the Independent Third Party, and the Company and the Insurer shall jointly direct the Independent Third Party to deliver to the Insurer and the Company, a calculation of the Preliminary Closing</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ectPr>
          <w:pgSz w:w="11900" w:h="16838" w:orient="portrait"/>
          <w:cols w:equalWidth="0" w:num="1">
            <w:col w:w="11420"/>
          </w:cols>
          <w:pgMar w:left="240" w:top="556" w:right="239" w:bottom="1440" w:gutter="0" w:footer="0" w:header="0"/>
        </w:sectPr>
      </w:pPr>
    </w:p>
    <w:bookmarkStart w:id="41" w:name="page42"/>
    <w:bookmarkEnd w:id="41"/>
    <w:p>
      <w:pPr>
        <w:jc w:val="both"/>
        <w:spacing w:after="0" w:line="282" w:lineRule="auto"/>
        <w:rPr>
          <w:sz w:val="20"/>
          <w:szCs w:val="20"/>
          <w:color w:val="auto"/>
        </w:rPr>
      </w:pPr>
      <w:r>
        <w:rPr>
          <w:rFonts w:ascii="Arial" w:cs="Arial" w:eastAsia="Arial" w:hAnsi="Arial"/>
          <w:sz w:val="18"/>
          <w:szCs w:val="18"/>
          <w:color w:val="auto"/>
        </w:rPr>
        <w:t xml:space="preserve">Premium generally consistent with the form of </w:t>
      </w:r>
      <w:r>
        <w:rPr>
          <w:rFonts w:ascii="Arial" w:cs="Arial" w:eastAsia="Arial" w:hAnsi="Arial"/>
          <w:sz w:val="18"/>
          <w:szCs w:val="18"/>
          <w:u w:val="single" w:color="auto"/>
          <w:color w:val="auto"/>
        </w:rPr>
        <w:t>Appendix 2.7</w:t>
      </w:r>
      <w:r>
        <w:rPr>
          <w:rFonts w:ascii="Arial" w:cs="Arial" w:eastAsia="Arial" w:hAnsi="Arial"/>
          <w:sz w:val="18"/>
          <w:szCs w:val="18"/>
          <w:color w:val="auto"/>
        </w:rPr>
        <w:t>. The “</w:t>
      </w:r>
      <w:r>
        <w:rPr>
          <w:rFonts w:ascii="Arial" w:cs="Arial" w:eastAsia="Arial" w:hAnsi="Arial"/>
          <w:sz w:val="18"/>
          <w:szCs w:val="18"/>
          <w:u w:val="single" w:color="auto"/>
          <w:color w:val="auto"/>
        </w:rPr>
        <w:t>Preliminary Closing Premium</w:t>
      </w:r>
      <w:r>
        <w:rPr>
          <w:rFonts w:ascii="Arial" w:cs="Arial" w:eastAsia="Arial" w:hAnsi="Arial"/>
          <w:sz w:val="18"/>
          <w:szCs w:val="18"/>
          <w:color w:val="auto"/>
        </w:rPr>
        <w:t xml:space="preserve">” shall be equal to ( </w:t>
      </w:r>
      <w:r>
        <w:rPr>
          <w:rFonts w:ascii="Arial" w:cs="Arial" w:eastAsia="Arial" w:hAnsi="Arial"/>
          <w:sz w:val="18"/>
          <w:szCs w:val="18"/>
          <w:u w:val="single" w:color="auto"/>
          <w:color w:val="auto"/>
        </w:rPr>
        <w:t>i</w:t>
      </w:r>
      <w:r>
        <w:rPr>
          <w:rFonts w:ascii="Arial" w:cs="Arial" w:eastAsia="Arial" w:hAnsi="Arial"/>
          <w:sz w:val="18"/>
          <w:szCs w:val="18"/>
          <w:color w:val="auto"/>
        </w:rPr>
        <w:t xml:space="preserve">) the Preliminary Post-Solicitation Premium </w:t>
      </w:r>
      <w:r>
        <w:rPr>
          <w:rFonts w:ascii="Arial" w:cs="Arial" w:eastAsia="Arial" w:hAnsi="Arial"/>
          <w:sz w:val="18"/>
          <w:szCs w:val="18"/>
          <w:i w:val="1"/>
          <w:iCs w:val="1"/>
          <w:color w:val="auto"/>
        </w:rPr>
        <w:t>multiplied by</w:t>
      </w:r>
      <w:r>
        <w:rPr>
          <w:rFonts w:ascii="Arial" w:cs="Arial" w:eastAsia="Arial" w:hAnsi="Arial"/>
          <w:sz w:val="18"/>
          <w:szCs w:val="18"/>
          <w:color w:val="auto"/>
        </w:rPr>
        <w:t xml:space="preserve">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100% plus the Target Closing Date Adjustment, </w:t>
      </w:r>
      <w:r>
        <w:rPr>
          <w:rFonts w:ascii="Arial" w:cs="Arial" w:eastAsia="Arial" w:hAnsi="Arial"/>
          <w:sz w:val="18"/>
          <w:szCs w:val="18"/>
          <w:i w:val="1"/>
          <w:iCs w:val="1"/>
          <w:color w:val="auto"/>
        </w:rPr>
        <w:t>multiplied by</w:t>
      </w:r>
      <w:r>
        <w:rPr>
          <w:rFonts w:ascii="Arial" w:cs="Arial" w:eastAsia="Arial" w:hAnsi="Arial"/>
          <w:sz w:val="18"/>
          <w:szCs w:val="18"/>
          <w:color w:val="auto"/>
        </w:rPr>
        <w:t xml:space="preserve"> (</w:t>
      </w:r>
      <w:r>
        <w:rPr>
          <w:rFonts w:ascii="Arial" w:cs="Arial" w:eastAsia="Arial" w:hAnsi="Arial"/>
          <w:sz w:val="18"/>
          <w:szCs w:val="18"/>
          <w:u w:val="single" w:color="auto"/>
          <w:color w:val="auto"/>
        </w:rPr>
        <w:t>iii</w:t>
      </w:r>
      <w:r>
        <w:rPr>
          <w:rFonts w:ascii="Arial" w:cs="Arial" w:eastAsia="Arial" w:hAnsi="Arial"/>
          <w:sz w:val="18"/>
          <w:szCs w:val="18"/>
          <w:color w:val="auto"/>
        </w:rPr>
        <w:t>) the sum of (</w:t>
      </w:r>
      <w:r>
        <w:rPr>
          <w:rFonts w:ascii="Arial" w:cs="Arial" w:eastAsia="Arial" w:hAnsi="Arial"/>
          <w:sz w:val="18"/>
          <w:szCs w:val="18"/>
          <w:u w:val="single" w:color="auto"/>
          <w:color w:val="auto"/>
        </w:rPr>
        <w:t>A</w:t>
      </w:r>
      <w:r>
        <w:rPr>
          <w:rFonts w:ascii="Arial" w:cs="Arial" w:eastAsia="Arial" w:hAnsi="Arial"/>
          <w:sz w:val="18"/>
          <w:szCs w:val="18"/>
          <w:color w:val="auto"/>
        </w:rPr>
        <w:t>) the Preliminary CMA Adjustment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the Preliminary SCA Adjustment, </w:t>
      </w:r>
      <w:r>
        <w:rPr>
          <w:rFonts w:ascii="Arial" w:cs="Arial" w:eastAsia="Arial" w:hAnsi="Arial"/>
          <w:sz w:val="18"/>
          <w:szCs w:val="18"/>
          <w:i w:val="1"/>
          <w:iCs w:val="1"/>
          <w:color w:val="auto"/>
        </w:rPr>
        <w:t>multiplied by</w:t>
      </w:r>
      <w:r>
        <w:rPr>
          <w:rFonts w:ascii="Arial" w:cs="Arial" w:eastAsia="Arial" w:hAnsi="Arial"/>
          <w:sz w:val="18"/>
          <w:szCs w:val="18"/>
          <w:color w:val="auto"/>
        </w:rPr>
        <w:t xml:space="preserve"> (</w:t>
      </w:r>
      <w:r>
        <w:rPr>
          <w:rFonts w:ascii="Arial" w:cs="Arial" w:eastAsia="Arial" w:hAnsi="Arial"/>
          <w:sz w:val="18"/>
          <w:szCs w:val="18"/>
          <w:u w:val="single" w:color="auto"/>
          <w:color w:val="auto"/>
        </w:rPr>
        <w:t>iv</w:t>
      </w:r>
      <w:r>
        <w:rPr>
          <w:rFonts w:ascii="Arial" w:cs="Arial" w:eastAsia="Arial" w:hAnsi="Arial"/>
          <w:sz w:val="18"/>
          <w:szCs w:val="18"/>
          <w:color w:val="auto"/>
        </w:rPr>
        <w:t xml:space="preserve">) 100% plus the Preliminary PFS Adjustment, </w:t>
      </w:r>
      <w:r>
        <w:rPr>
          <w:rFonts w:ascii="Arial" w:cs="Arial" w:eastAsia="Arial" w:hAnsi="Arial"/>
          <w:sz w:val="18"/>
          <w:szCs w:val="18"/>
          <w:i w:val="1"/>
          <w:iCs w:val="1"/>
          <w:color w:val="auto"/>
        </w:rPr>
        <w:t>plus</w:t>
      </w:r>
      <w:r>
        <w:rPr>
          <w:rFonts w:ascii="Arial" w:cs="Arial" w:eastAsia="Arial" w:hAnsi="Arial"/>
          <w:sz w:val="18"/>
          <w:szCs w:val="18"/>
          <w:color w:val="auto"/>
        </w:rPr>
        <w:t xml:space="preserve"> (</w:t>
      </w:r>
      <w:r>
        <w:rPr>
          <w:rFonts w:ascii="Arial" w:cs="Arial" w:eastAsia="Arial" w:hAnsi="Arial"/>
          <w:sz w:val="18"/>
          <w:szCs w:val="18"/>
          <w:u w:val="single" w:color="auto"/>
          <w:color w:val="auto"/>
        </w:rPr>
        <w:t>v</w:t>
      </w:r>
      <w:r>
        <w:rPr>
          <w:rFonts w:ascii="Arial" w:cs="Arial" w:eastAsia="Arial" w:hAnsi="Arial"/>
          <w:sz w:val="18"/>
          <w:szCs w:val="18"/>
          <w:color w:val="auto"/>
        </w:rPr>
        <w:t>) the</w:t>
      </w:r>
    </w:p>
    <w:p>
      <w:pPr>
        <w:spacing w:after="0" w:line="2" w:lineRule="exact"/>
        <w:rPr>
          <w:sz w:val="20"/>
          <w:szCs w:val="20"/>
          <w:color w:val="auto"/>
        </w:rPr>
      </w:pPr>
    </w:p>
    <w:p>
      <w:pPr>
        <w:jc w:val="both"/>
        <w:spacing w:after="0" w:line="261" w:lineRule="auto"/>
        <w:rPr>
          <w:sz w:val="20"/>
          <w:szCs w:val="20"/>
          <w:color w:val="auto"/>
        </w:rPr>
      </w:pPr>
      <w:r>
        <w:rPr>
          <w:rFonts w:ascii="Arial" w:cs="Arial" w:eastAsia="Arial" w:hAnsi="Arial"/>
          <w:sz w:val="19"/>
          <w:szCs w:val="19"/>
          <w:color w:val="auto"/>
        </w:rPr>
        <w:t xml:space="preserve">Preliminary [ *** ] Adjustment. For purposes of calculating the Preliminary Closing Premium, the Insurer shall, and the Insurer and the Company shall jointly direct the Independent Third Party to, use the data provided in accordance with </w:t>
      </w:r>
      <w:r>
        <w:rPr>
          <w:rFonts w:ascii="Arial" w:cs="Arial" w:eastAsia="Arial" w:hAnsi="Arial"/>
          <w:sz w:val="19"/>
          <w:szCs w:val="19"/>
          <w:u w:val="single" w:color="auto"/>
          <w:color w:val="auto"/>
        </w:rPr>
        <w:t>Section 2.6(b)</w:t>
      </w:r>
      <w:r>
        <w:rPr>
          <w:rFonts w:ascii="Arial" w:cs="Arial" w:eastAsia="Arial" w:hAnsi="Arial"/>
          <w:sz w:val="19"/>
          <w:szCs w:val="19"/>
          <w:color w:val="auto"/>
        </w:rPr>
        <w:t xml:space="preserve"> delivered on the immediately prior day. The Preliminary PFS Adjustment and Preliminary CMA Adjustment shall incorporate the calculation of the [ ***</w:t>
      </w:r>
    </w:p>
    <w:tbl>
      <w:tblPr>
        <w:tblLayout w:type="fixed"/>
        <w:tblInd w:w="200" w:type="dxa"/>
        <w:tblCellMar>
          <w:top w:w="0" w:type="dxa"/>
          <w:left w:w="0" w:type="dxa"/>
          <w:bottom w:w="0" w:type="dxa"/>
          <w:right w:w="0" w:type="dxa"/>
        </w:tblCellMar>
      </w:tblPr>
      <w:tr>
        <w:trPr>
          <w:trHeight w:val="192"/>
        </w:trPr>
        <w:tc>
          <w:tcPr>
            <w:tcW w:w="1800" w:type="dxa"/>
            <w:vAlign w:val="bottom"/>
          </w:tcPr>
          <w:p>
            <w:pPr>
              <w:spacing w:after="0" w:line="191" w:lineRule="exact"/>
              <w:rPr>
                <w:sz w:val="20"/>
                <w:szCs w:val="20"/>
                <w:color w:val="auto"/>
              </w:rPr>
            </w:pPr>
            <w:r>
              <w:rPr>
                <w:rFonts w:ascii="Arial" w:cs="Arial" w:eastAsia="Arial" w:hAnsi="Arial"/>
                <w:sz w:val="20"/>
                <w:szCs w:val="20"/>
                <w:color w:val="auto"/>
              </w:rPr>
              <w:t>], where the [   ***</w:t>
            </w:r>
          </w:p>
        </w:tc>
        <w:tc>
          <w:tcPr>
            <w:tcW w:w="7720" w:type="dxa"/>
            <w:vAlign w:val="bottom"/>
            <w:gridSpan w:val="3"/>
          </w:tcPr>
          <w:p>
            <w:pPr>
              <w:ind w:left="160"/>
              <w:spacing w:after="0" w:line="191" w:lineRule="exact"/>
              <w:rPr>
                <w:sz w:val="20"/>
                <w:szCs w:val="20"/>
                <w:color w:val="auto"/>
              </w:rPr>
            </w:pPr>
            <w:r>
              <w:rPr>
                <w:rFonts w:ascii="Arial" w:cs="Arial" w:eastAsia="Arial" w:hAnsi="Arial"/>
                <w:sz w:val="20"/>
                <w:szCs w:val="20"/>
                <w:color w:val="auto"/>
              </w:rPr>
              <w:t>] for calculating the PFS Adjustment is subject to the terms of Section 2.7(c).</w:t>
            </w:r>
          </w:p>
        </w:tc>
        <w:tc>
          <w:tcPr>
            <w:tcW w:w="66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0"/>
        </w:trPr>
        <w:tc>
          <w:tcPr>
            <w:tcW w:w="6980" w:type="dxa"/>
            <w:vAlign w:val="bottom"/>
            <w:gridSpan w:val="2"/>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502"/>
        </w:trPr>
        <w:tc>
          <w:tcPr>
            <w:tcW w:w="9520" w:type="dxa"/>
            <w:vAlign w:val="bottom"/>
            <w:gridSpan w:val="4"/>
          </w:tcPr>
          <w:p>
            <w:pPr>
              <w:ind w:left="400"/>
              <w:spacing w:after="0"/>
              <w:rPr>
                <w:sz w:val="20"/>
                <w:szCs w:val="20"/>
                <w:color w:val="auto"/>
              </w:rPr>
            </w:pPr>
            <w:r>
              <w:rPr>
                <w:rFonts w:ascii="Arial" w:cs="Arial" w:eastAsia="Arial" w:hAnsi="Arial"/>
                <w:sz w:val="20"/>
                <w:szCs w:val="20"/>
                <w:color w:val="auto"/>
                <w:w w:val="96"/>
              </w:rPr>
              <w:t>(b)   If the Preliminary Closing Premium as calculated by the Independent Third Party differs by more than [</w:t>
            </w:r>
          </w:p>
        </w:tc>
        <w:tc>
          <w:tcPr>
            <w:tcW w:w="660" w:type="dxa"/>
            <w:vAlign w:val="bottom"/>
          </w:tcPr>
          <w:p>
            <w:pPr>
              <w:jc w:val="right"/>
              <w:ind w:right="120"/>
              <w:spacing w:after="0"/>
              <w:rPr>
                <w:sz w:val="20"/>
                <w:szCs w:val="20"/>
                <w:color w:val="auto"/>
              </w:rPr>
            </w:pPr>
            <w:r>
              <w:rPr>
                <w:rFonts w:ascii="Arial" w:cs="Arial" w:eastAsia="Arial" w:hAnsi="Arial"/>
                <w:sz w:val="20"/>
                <w:szCs w:val="20"/>
                <w:color w:val="auto"/>
              </w:rPr>
              <w:t>***</w:t>
            </w:r>
          </w:p>
        </w:tc>
        <w:tc>
          <w:tcPr>
            <w:tcW w:w="1040" w:type="dxa"/>
            <w:vAlign w:val="bottom"/>
          </w:tcPr>
          <w:p>
            <w:pPr>
              <w:ind w:left="220"/>
              <w:spacing w:after="0"/>
              <w:rPr>
                <w:sz w:val="20"/>
                <w:szCs w:val="20"/>
                <w:color w:val="auto"/>
              </w:rPr>
            </w:pPr>
            <w:r>
              <w:rPr>
                <w:rFonts w:ascii="Arial" w:cs="Arial" w:eastAsia="Arial" w:hAnsi="Arial"/>
                <w:sz w:val="20"/>
                <w:szCs w:val="20"/>
                <w:color w:val="auto"/>
                <w:w w:val="94"/>
              </w:rPr>
              <w:t>] from the</w:t>
            </w:r>
          </w:p>
        </w:tc>
      </w:tr>
    </w:tbl>
    <w:p>
      <w:pPr>
        <w:jc w:val="both"/>
        <w:spacing w:after="0" w:line="249" w:lineRule="auto"/>
        <w:rPr>
          <w:sz w:val="20"/>
          <w:szCs w:val="20"/>
          <w:color w:val="auto"/>
        </w:rPr>
      </w:pPr>
      <w:r>
        <w:rPr>
          <w:rFonts w:ascii="Arial" w:cs="Arial" w:eastAsia="Arial" w:hAnsi="Arial"/>
          <w:sz w:val="20"/>
          <w:szCs w:val="20"/>
          <w:color w:val="auto"/>
        </w:rPr>
        <w:t>Preliminary Closing Premium as calculated by the Insurer, then the Insurer shall, for a period of two (2) Business Days, seek to reasonably cooperate with the Company and the Independent Third Party to identify the reasons for the difference and seek to resolve all such differences, and shall deliver the revised calculations, if any, to the Company within one (1) Business Day thereafter. In the event the Insurer, the Company and the Independent Third Party do not identify or resolve all such differences, the Company and the Insurer shall jointly direct the Independent Third Party to, within one (1) Business Day, make any revisions to the Preliminary Closing Premium that were agreed upon by the Insurer and the Company, recalculate the Preliminary Closing Premium and provide the Company and the Insurer with such revised calculations.</w:t>
      </w:r>
    </w:p>
    <w:p>
      <w:pPr>
        <w:spacing w:after="0" w:line="214" w:lineRule="exact"/>
        <w:rPr>
          <w:sz w:val="20"/>
          <w:szCs w:val="20"/>
          <w:color w:val="auto"/>
        </w:rPr>
      </w:pPr>
    </w:p>
    <w:p>
      <w:pPr>
        <w:jc w:val="both"/>
        <w:ind w:firstLine="601"/>
        <w:spacing w:after="0" w:line="279" w:lineRule="auto"/>
        <w:tabs>
          <w:tab w:leader="none" w:pos="1086" w:val="left"/>
        </w:tabs>
        <w:numPr>
          <w:ilvl w:val="0"/>
          <w:numId w:val="35"/>
        </w:numPr>
        <w:rPr>
          <w:rFonts w:ascii="Arial" w:cs="Arial" w:eastAsia="Arial" w:hAnsi="Arial"/>
          <w:sz w:val="18"/>
          <w:szCs w:val="18"/>
          <w:color w:val="auto"/>
        </w:rPr>
      </w:pPr>
      <w:r>
        <w:rPr>
          <w:rFonts w:ascii="Arial" w:cs="Arial" w:eastAsia="Arial" w:hAnsi="Arial"/>
          <w:sz w:val="18"/>
          <w:szCs w:val="18"/>
          <w:color w:val="auto"/>
        </w:rPr>
        <w:t xml:space="preserve">On the day that is one (1) day prior to the Target Closing Date, the Insurer shall deliver to the Company and the Independent Third Party, and the Company and the Insurer shall jointly direct the Independent Third Party to deliver to the Insurer and the Company, a calculation of the Revised Preliminary Closing Premium generally consistent with the form of </w:t>
      </w:r>
      <w:r>
        <w:rPr>
          <w:rFonts w:ascii="Arial" w:cs="Arial" w:eastAsia="Arial" w:hAnsi="Arial"/>
          <w:sz w:val="18"/>
          <w:szCs w:val="18"/>
          <w:u w:val="single" w:color="auto"/>
          <w:color w:val="auto"/>
        </w:rPr>
        <w:t>Appendix 2.7</w:t>
      </w:r>
      <w:r>
        <w:rPr>
          <w:rFonts w:ascii="Arial" w:cs="Arial" w:eastAsia="Arial" w:hAnsi="Arial"/>
          <w:sz w:val="18"/>
          <w:szCs w:val="18"/>
          <w:color w:val="auto"/>
        </w:rPr>
        <w:t>. The “</w:t>
      </w:r>
      <w:r>
        <w:rPr>
          <w:rFonts w:ascii="Arial" w:cs="Arial" w:eastAsia="Arial" w:hAnsi="Arial"/>
          <w:sz w:val="18"/>
          <w:szCs w:val="18"/>
          <w:u w:val="single" w:color="auto"/>
          <w:color w:val="auto"/>
        </w:rPr>
        <w:t>Revised Preliminary</w:t>
      </w:r>
      <w:r>
        <w:rPr>
          <w:rFonts w:ascii="Arial" w:cs="Arial" w:eastAsia="Arial" w:hAnsi="Arial"/>
          <w:sz w:val="18"/>
          <w:szCs w:val="18"/>
          <w:color w:val="auto"/>
        </w:rPr>
        <w:t xml:space="preserve"> </w:t>
      </w:r>
      <w:r>
        <w:rPr>
          <w:rFonts w:ascii="Arial" w:cs="Arial" w:eastAsia="Arial" w:hAnsi="Arial"/>
          <w:sz w:val="18"/>
          <w:szCs w:val="18"/>
          <w:u w:val="single" w:color="auto"/>
          <w:color w:val="auto"/>
        </w:rPr>
        <w:t>Closing Premium</w:t>
      </w:r>
      <w:r>
        <w:rPr>
          <w:rFonts w:ascii="Arial" w:cs="Arial" w:eastAsia="Arial" w:hAnsi="Arial"/>
          <w:sz w:val="18"/>
          <w:szCs w:val="18"/>
          <w:color w:val="auto"/>
        </w:rPr>
        <w:t>” shall be equal to (</w:t>
      </w:r>
      <w:r>
        <w:rPr>
          <w:rFonts w:ascii="Arial" w:cs="Arial" w:eastAsia="Arial" w:hAnsi="Arial"/>
          <w:sz w:val="18"/>
          <w:szCs w:val="18"/>
          <w:u w:val="single" w:color="auto"/>
          <w:color w:val="auto"/>
        </w:rPr>
        <w:t>i</w:t>
      </w:r>
      <w:r>
        <w:rPr>
          <w:rFonts w:ascii="Arial" w:cs="Arial" w:eastAsia="Arial" w:hAnsi="Arial"/>
          <w:sz w:val="18"/>
          <w:szCs w:val="18"/>
          <w:color w:val="auto"/>
        </w:rPr>
        <w:t xml:space="preserve">) the Preliminary Post-Solicitation Premium </w:t>
      </w:r>
      <w:r>
        <w:rPr>
          <w:rFonts w:ascii="Arial" w:cs="Arial" w:eastAsia="Arial" w:hAnsi="Arial"/>
          <w:sz w:val="18"/>
          <w:szCs w:val="18"/>
          <w:i w:val="1"/>
          <w:iCs w:val="1"/>
          <w:color w:val="auto"/>
        </w:rPr>
        <w:t>multiplied by</w:t>
      </w:r>
      <w:r>
        <w:rPr>
          <w:rFonts w:ascii="Arial" w:cs="Arial" w:eastAsia="Arial" w:hAnsi="Arial"/>
          <w:sz w:val="18"/>
          <w:szCs w:val="18"/>
          <w:color w:val="auto"/>
        </w:rPr>
        <w:t xml:space="preserve">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100% plus the Target Closing Date Adjustment, </w:t>
      </w:r>
      <w:r>
        <w:rPr>
          <w:rFonts w:ascii="Arial" w:cs="Arial" w:eastAsia="Arial" w:hAnsi="Arial"/>
          <w:sz w:val="18"/>
          <w:szCs w:val="18"/>
          <w:i w:val="1"/>
          <w:iCs w:val="1"/>
          <w:color w:val="auto"/>
        </w:rPr>
        <w:t>multiplied by</w:t>
      </w:r>
      <w:r>
        <w:rPr>
          <w:rFonts w:ascii="Arial" w:cs="Arial" w:eastAsia="Arial" w:hAnsi="Arial"/>
          <w:sz w:val="18"/>
          <w:szCs w:val="18"/>
          <w:color w:val="auto"/>
        </w:rPr>
        <w:t xml:space="preserve"> (</w:t>
      </w:r>
      <w:r>
        <w:rPr>
          <w:rFonts w:ascii="Arial" w:cs="Arial" w:eastAsia="Arial" w:hAnsi="Arial"/>
          <w:sz w:val="18"/>
          <w:szCs w:val="18"/>
          <w:u w:val="single" w:color="auto"/>
          <w:color w:val="auto"/>
        </w:rPr>
        <w:t>iii</w:t>
      </w:r>
      <w:r>
        <w:rPr>
          <w:rFonts w:ascii="Arial" w:cs="Arial" w:eastAsia="Arial" w:hAnsi="Arial"/>
          <w:sz w:val="18"/>
          <w:szCs w:val="18"/>
          <w:color w:val="auto"/>
        </w:rPr>
        <w:t>) the sum of (</w:t>
      </w:r>
      <w:r>
        <w:rPr>
          <w:rFonts w:ascii="Arial" w:cs="Arial" w:eastAsia="Arial" w:hAnsi="Arial"/>
          <w:sz w:val="18"/>
          <w:szCs w:val="18"/>
          <w:u w:val="single" w:color="auto"/>
          <w:color w:val="auto"/>
        </w:rPr>
        <w:t>A</w:t>
      </w:r>
      <w:r>
        <w:rPr>
          <w:rFonts w:ascii="Arial" w:cs="Arial" w:eastAsia="Arial" w:hAnsi="Arial"/>
          <w:sz w:val="18"/>
          <w:szCs w:val="18"/>
          <w:color w:val="auto"/>
        </w:rPr>
        <w:t>) the Revised Preliminary CMA Adjustment and (</w:t>
      </w:r>
      <w:r>
        <w:rPr>
          <w:rFonts w:ascii="Arial" w:cs="Arial" w:eastAsia="Arial" w:hAnsi="Arial"/>
          <w:sz w:val="18"/>
          <w:szCs w:val="18"/>
          <w:u w:val="single" w:color="auto"/>
          <w:color w:val="auto"/>
        </w:rPr>
        <w:t>B</w:t>
      </w:r>
      <w:r>
        <w:rPr>
          <w:rFonts w:ascii="Arial" w:cs="Arial" w:eastAsia="Arial" w:hAnsi="Arial"/>
          <w:sz w:val="18"/>
          <w:szCs w:val="18"/>
          <w:color w:val="auto"/>
        </w:rPr>
        <w:t>) the Revised Preliminary SCA Adjustment,</w:t>
      </w:r>
    </w:p>
    <w:p>
      <w:pPr>
        <w:spacing w:after="0" w:line="4" w:lineRule="exact"/>
        <w:rPr>
          <w:sz w:val="20"/>
          <w:szCs w:val="20"/>
          <w:color w:val="auto"/>
        </w:rPr>
      </w:pPr>
    </w:p>
    <w:p>
      <w:pPr>
        <w:jc w:val="both"/>
        <w:spacing w:after="0" w:line="275" w:lineRule="auto"/>
        <w:rPr>
          <w:sz w:val="20"/>
          <w:szCs w:val="20"/>
          <w:color w:val="auto"/>
        </w:rPr>
      </w:pPr>
      <w:r>
        <w:rPr>
          <w:rFonts w:ascii="Arial" w:cs="Arial" w:eastAsia="Arial" w:hAnsi="Arial"/>
          <w:sz w:val="18"/>
          <w:szCs w:val="18"/>
          <w:i w:val="1"/>
          <w:iCs w:val="1"/>
          <w:color w:val="auto"/>
        </w:rPr>
        <w:t xml:space="preserve">multiplied by </w:t>
      </w:r>
      <w:r>
        <w:rPr>
          <w:rFonts w:ascii="Arial" w:cs="Arial" w:eastAsia="Arial" w:hAnsi="Arial"/>
          <w:sz w:val="18"/>
          <w:szCs w:val="18"/>
          <w:color w:val="auto"/>
        </w:rPr>
        <w:t>(</w:t>
      </w:r>
      <w:r>
        <w:rPr>
          <w:rFonts w:ascii="Arial" w:cs="Arial" w:eastAsia="Arial" w:hAnsi="Arial"/>
          <w:sz w:val="18"/>
          <w:szCs w:val="18"/>
          <w:u w:val="single" w:color="auto"/>
          <w:color w:val="auto"/>
        </w:rPr>
        <w:t>iv</w:t>
      </w:r>
      <w:r>
        <w:rPr>
          <w:rFonts w:ascii="Arial" w:cs="Arial" w:eastAsia="Arial" w:hAnsi="Arial"/>
          <w:sz w:val="18"/>
          <w:szCs w:val="18"/>
          <w:color w:val="auto"/>
        </w:rPr>
        <w:t>) 100% plus the Revised Preliminary PFS Adjustment,</w:t>
      </w:r>
      <w:r>
        <w:rPr>
          <w:rFonts w:ascii="Arial" w:cs="Arial" w:eastAsia="Arial" w:hAnsi="Arial"/>
          <w:sz w:val="18"/>
          <w:szCs w:val="18"/>
          <w:i w:val="1"/>
          <w:iCs w:val="1"/>
          <w:color w:val="auto"/>
        </w:rPr>
        <w:t xml:space="preserve"> plus </w:t>
      </w:r>
      <w:r>
        <w:rPr>
          <w:rFonts w:ascii="Arial" w:cs="Arial" w:eastAsia="Arial" w:hAnsi="Arial"/>
          <w:sz w:val="18"/>
          <w:szCs w:val="18"/>
          <w:color w:val="auto"/>
        </w:rPr>
        <w:t>(</w:t>
      </w:r>
      <w:r>
        <w:rPr>
          <w:rFonts w:ascii="Arial" w:cs="Arial" w:eastAsia="Arial" w:hAnsi="Arial"/>
          <w:sz w:val="18"/>
          <w:szCs w:val="18"/>
          <w:u w:val="single" w:color="auto"/>
          <w:color w:val="auto"/>
        </w:rPr>
        <w:t>v</w:t>
      </w:r>
      <w:r>
        <w:rPr>
          <w:rFonts w:ascii="Arial" w:cs="Arial" w:eastAsia="Arial" w:hAnsi="Arial"/>
          <w:sz w:val="18"/>
          <w:szCs w:val="18"/>
          <w:color w:val="auto"/>
        </w:rPr>
        <w:t>) the Revised Preliminary [ *** ] Adjustment. For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purposes of calculating the Revised Preliminary Closing Premium, the Insurer shall, and the Insurer and the Company shall jointly direct the Independent Third Party to, use the data provided in accordance with </w:t>
      </w:r>
      <w:r>
        <w:rPr>
          <w:rFonts w:ascii="Arial" w:cs="Arial" w:eastAsia="Arial" w:hAnsi="Arial"/>
          <w:sz w:val="18"/>
          <w:szCs w:val="18"/>
          <w:u w:val="single" w:color="auto"/>
          <w:color w:val="auto"/>
        </w:rPr>
        <w:t>Section 2.6(b)</w:t>
      </w:r>
      <w:r>
        <w:rPr>
          <w:rFonts w:ascii="Arial" w:cs="Arial" w:eastAsia="Arial" w:hAnsi="Arial"/>
          <w:sz w:val="18"/>
          <w:szCs w:val="18"/>
          <w:color w:val="auto"/>
        </w:rPr>
        <w:t xml:space="preserve"> delivered on the immediately prior day. The Revised</w:t>
      </w:r>
    </w:p>
    <w:p>
      <w:pPr>
        <w:spacing w:after="0" w:line="2" w:lineRule="exact"/>
        <w:rPr>
          <w:sz w:val="20"/>
          <w:szCs w:val="20"/>
          <w:color w:val="auto"/>
        </w:rPr>
      </w:pPr>
    </w:p>
    <w:p>
      <w:pPr>
        <w:spacing w:after="0"/>
        <w:tabs>
          <w:tab w:leader="none" w:pos="9420" w:val="left"/>
          <w:tab w:leader="none" w:pos="10100" w:val="left"/>
        </w:tabs>
        <w:rPr>
          <w:sz w:val="20"/>
          <w:szCs w:val="20"/>
          <w:color w:val="auto"/>
        </w:rPr>
      </w:pPr>
      <w:r>
        <w:rPr>
          <w:rFonts w:ascii="Arial" w:cs="Arial" w:eastAsia="Arial" w:hAnsi="Arial"/>
          <w:sz w:val="19"/>
          <w:szCs w:val="19"/>
          <w:color w:val="auto"/>
        </w:rPr>
        <w:t>Preliminary PFS Adjustment and Revised Preliminary CMA Adjustment shall incorporate the calculation of the [</w:t>
      </w:r>
      <w:r>
        <w:rPr>
          <w:sz w:val="20"/>
          <w:szCs w:val="20"/>
          <w:color w:val="auto"/>
        </w:rPr>
        <w:tab/>
      </w:r>
      <w:r>
        <w:rPr>
          <w:rFonts w:ascii="Arial" w:cs="Arial" w:eastAsia="Arial" w:hAnsi="Arial"/>
          <w:sz w:val="20"/>
          <w:szCs w:val="20"/>
          <w:color w:val="auto"/>
        </w:rPr>
        <w:t>***</w:t>
      </w:r>
      <w:r>
        <w:rPr>
          <w:sz w:val="20"/>
          <w:szCs w:val="20"/>
          <w:color w:val="auto"/>
        </w:rPr>
        <w:tab/>
      </w:r>
      <w:r>
        <w:rPr>
          <w:rFonts w:ascii="Arial" w:cs="Arial" w:eastAsia="Arial" w:hAnsi="Arial"/>
          <w:sz w:val="18"/>
          <w:szCs w:val="18"/>
          <w:color w:val="auto"/>
        </w:rPr>
        <w:t>], where the [</w:t>
      </w:r>
    </w:p>
    <w:p>
      <w:pPr>
        <w:spacing w:after="0" w:line="8" w:lineRule="exact"/>
        <w:rPr>
          <w:sz w:val="20"/>
          <w:szCs w:val="20"/>
          <w:color w:val="auto"/>
        </w:rPr>
      </w:pPr>
    </w:p>
    <w:p>
      <w:pPr>
        <w:ind w:left="660" w:hanging="660"/>
        <w:spacing w:after="0"/>
        <w:tabs>
          <w:tab w:leader="none" w:pos="660" w:val="left"/>
        </w:tabs>
        <w:numPr>
          <w:ilvl w:val="0"/>
          <w:numId w:val="36"/>
        </w:numPr>
        <w:rPr>
          <w:rFonts w:ascii="Arial" w:cs="Arial" w:eastAsia="Arial" w:hAnsi="Arial"/>
          <w:sz w:val="20"/>
          <w:szCs w:val="20"/>
          <w:color w:val="auto"/>
        </w:rPr>
      </w:pPr>
      <w:r>
        <w:rPr>
          <w:rFonts w:ascii="Arial" w:cs="Arial" w:eastAsia="Arial" w:hAnsi="Arial"/>
          <w:sz w:val="20"/>
          <w:szCs w:val="20"/>
          <w:color w:val="auto"/>
        </w:rPr>
        <w:t xml:space="preserve">] for calculating the PFS Adjustment is subject to the terms of </w:t>
      </w:r>
      <w:r>
        <w:rPr>
          <w:rFonts w:ascii="Arial" w:cs="Arial" w:eastAsia="Arial" w:hAnsi="Arial"/>
          <w:sz w:val="20"/>
          <w:szCs w:val="20"/>
          <w:u w:val="single" w:color="auto"/>
          <w:color w:val="auto"/>
        </w:rPr>
        <w:t>Section 2.7(c)</w:t>
      </w:r>
      <w:r>
        <w:rPr>
          <w:rFonts w:ascii="Arial" w:cs="Arial" w:eastAsia="Arial" w:hAnsi="Arial"/>
          <w:sz w:val="20"/>
          <w:szCs w:val="20"/>
          <w:color w:val="auto"/>
        </w:rPr>
        <w:t>.</w:t>
      </w:r>
    </w:p>
    <w:p>
      <w:pPr>
        <w:spacing w:after="0" w:line="227" w:lineRule="exact"/>
        <w:rPr>
          <w:rFonts w:ascii="Arial" w:cs="Arial" w:eastAsia="Arial" w:hAnsi="Arial"/>
          <w:sz w:val="20"/>
          <w:szCs w:val="20"/>
          <w:color w:val="auto"/>
        </w:rPr>
      </w:pPr>
    </w:p>
    <w:p>
      <w:pPr>
        <w:jc w:val="both"/>
        <w:ind w:firstLine="601"/>
        <w:spacing w:after="0" w:line="261" w:lineRule="auto"/>
        <w:tabs>
          <w:tab w:leader="none" w:pos="1154" w:val="left"/>
        </w:tabs>
        <w:numPr>
          <w:ilvl w:val="1"/>
          <w:numId w:val="36"/>
        </w:numPr>
        <w:rPr>
          <w:rFonts w:ascii="Arial" w:cs="Arial" w:eastAsia="Arial" w:hAnsi="Arial"/>
          <w:sz w:val="20"/>
          <w:szCs w:val="20"/>
          <w:color w:val="auto"/>
        </w:rPr>
      </w:pPr>
      <w:r>
        <w:rPr>
          <w:rFonts w:ascii="Arial" w:cs="Arial" w:eastAsia="Arial" w:hAnsi="Arial"/>
          <w:sz w:val="20"/>
          <w:szCs w:val="20"/>
          <w:color w:val="auto"/>
        </w:rPr>
        <w:t xml:space="preserve">It is understood between the parties that the Company may choose to calculate Dry-Run Closing Premiums, a Preliminary Closing Premium, a Revised Preliminary Closing Premium or a Closing Final Premium, or other premium described in this </w:t>
      </w:r>
      <w:r>
        <w:rPr>
          <w:rFonts w:ascii="Arial" w:cs="Arial" w:eastAsia="Arial" w:hAnsi="Arial"/>
          <w:sz w:val="20"/>
          <w:szCs w:val="20"/>
          <w:u w:val="single" w:color="auto"/>
          <w:color w:val="auto"/>
        </w:rPr>
        <w:t>Article II</w:t>
      </w:r>
      <w:r>
        <w:rPr>
          <w:rFonts w:ascii="Arial" w:cs="Arial" w:eastAsia="Arial" w:hAnsi="Arial"/>
          <w:sz w:val="20"/>
          <w:szCs w:val="20"/>
          <w:color w:val="auto"/>
        </w:rPr>
        <w:t xml:space="preserve">, and the Insurer shall reasonably cooperate with those efforts consistent with the provisions of </w:t>
      </w:r>
      <w:r>
        <w:rPr>
          <w:rFonts w:ascii="Arial" w:cs="Arial" w:eastAsia="Arial" w:hAnsi="Arial"/>
          <w:sz w:val="20"/>
          <w:szCs w:val="20"/>
          <w:u w:val="single" w:color="auto"/>
          <w:color w:val="auto"/>
        </w:rPr>
        <w:t>Section 2.15</w:t>
      </w:r>
      <w:r>
        <w:rPr>
          <w:rFonts w:ascii="Arial" w:cs="Arial" w:eastAsia="Arial" w:hAnsi="Arial"/>
          <w:sz w:val="20"/>
          <w:szCs w:val="20"/>
          <w:color w:val="auto"/>
        </w:rPr>
        <w:t>.</w:t>
      </w:r>
    </w:p>
    <w:p>
      <w:pPr>
        <w:spacing w:after="0" w:line="163" w:lineRule="exact"/>
        <w:rPr>
          <w:sz w:val="20"/>
          <w:szCs w:val="20"/>
          <w:color w:val="auto"/>
        </w:rPr>
      </w:pPr>
    </w:p>
    <w:p>
      <w:pPr>
        <w:ind w:left="600"/>
        <w:spacing w:after="0"/>
        <w:tabs>
          <w:tab w:leader="none" w:pos="1680" w:val="left"/>
        </w:tabs>
        <w:rPr>
          <w:sz w:val="20"/>
          <w:szCs w:val="20"/>
          <w:color w:val="auto"/>
        </w:rPr>
      </w:pPr>
      <w:r>
        <w:rPr>
          <w:rFonts w:ascii="Arial" w:cs="Arial" w:eastAsia="Arial" w:hAnsi="Arial"/>
          <w:sz w:val="20"/>
          <w:szCs w:val="20"/>
          <w:color w:val="auto"/>
        </w:rPr>
        <w:t>Section 2.9</w:t>
      </w:r>
      <w:r>
        <w:rPr>
          <w:sz w:val="20"/>
          <w:szCs w:val="20"/>
          <w:color w:val="auto"/>
        </w:rPr>
        <w:tab/>
      </w:r>
      <w:r>
        <w:rPr>
          <w:rFonts w:ascii="Arial" w:cs="Arial" w:eastAsia="Arial" w:hAnsi="Arial"/>
          <w:sz w:val="18"/>
          <w:szCs w:val="18"/>
          <w:u w:val="single" w:color="auto"/>
          <w:color w:val="auto"/>
        </w:rPr>
        <w:t>Calculation of the Closing Final Premium</w:t>
      </w:r>
      <w:r>
        <w:rPr>
          <w:rFonts w:ascii="Arial" w:cs="Arial" w:eastAsia="Arial" w:hAnsi="Arial"/>
          <w:sz w:val="18"/>
          <w:szCs w:val="18"/>
          <w:color w:val="auto"/>
        </w:rPr>
        <w:t>.</w:t>
      </w:r>
    </w:p>
    <w:p>
      <w:pPr>
        <w:spacing w:after="0" w:line="246" w:lineRule="exact"/>
        <w:rPr>
          <w:sz w:val="20"/>
          <w:szCs w:val="20"/>
          <w:color w:val="auto"/>
        </w:rPr>
      </w:pPr>
    </w:p>
    <w:p>
      <w:pPr>
        <w:jc w:val="both"/>
        <w:ind w:firstLine="601"/>
        <w:spacing w:after="0" w:line="261" w:lineRule="auto"/>
        <w:tabs>
          <w:tab w:leader="none" w:pos="1134" w:val="left"/>
        </w:tabs>
        <w:numPr>
          <w:ilvl w:val="0"/>
          <w:numId w:val="37"/>
        </w:numPr>
        <w:rPr>
          <w:rFonts w:ascii="Arial" w:cs="Arial" w:eastAsia="Arial" w:hAnsi="Arial"/>
          <w:sz w:val="20"/>
          <w:szCs w:val="20"/>
          <w:color w:val="auto"/>
        </w:rPr>
      </w:pPr>
      <w:r>
        <w:rPr>
          <w:rFonts w:ascii="Arial" w:cs="Arial" w:eastAsia="Arial" w:hAnsi="Arial"/>
          <w:sz w:val="20"/>
          <w:szCs w:val="20"/>
          <w:color w:val="auto"/>
        </w:rPr>
        <w:t>As early as practicable on the Closing Date, the Insurer shall produce and deliver to the Company, the Transferred Assets Schedule, which shall incorporate the Final Asset Statement and the Final Pre-Closing Asset Valuation. Such Transferred Asset Schedule shall be attached as the Transferred Assets Schedule to the Group Annuity Contract.</w:t>
      </w:r>
    </w:p>
    <w:p>
      <w:pPr>
        <w:spacing w:after="0" w:line="200" w:lineRule="exact"/>
        <w:rPr>
          <w:rFonts w:ascii="Arial" w:cs="Arial" w:eastAsia="Arial" w:hAnsi="Arial"/>
          <w:sz w:val="20"/>
          <w:szCs w:val="20"/>
          <w:color w:val="auto"/>
        </w:rPr>
      </w:pPr>
    </w:p>
    <w:p>
      <w:pPr>
        <w:ind w:left="1120" w:hanging="519"/>
        <w:spacing w:after="0"/>
        <w:tabs>
          <w:tab w:leader="none" w:pos="1120" w:val="left"/>
        </w:tabs>
        <w:numPr>
          <w:ilvl w:val="0"/>
          <w:numId w:val="37"/>
        </w:numPr>
        <w:rPr>
          <w:rFonts w:ascii="Arial" w:cs="Arial" w:eastAsia="Arial" w:hAnsi="Arial"/>
          <w:sz w:val="19"/>
          <w:szCs w:val="19"/>
          <w:color w:val="auto"/>
        </w:rPr>
      </w:pPr>
      <w:r>
        <w:rPr>
          <w:rFonts w:ascii="Arial" w:cs="Arial" w:eastAsia="Arial" w:hAnsi="Arial"/>
          <w:sz w:val="19"/>
          <w:szCs w:val="19"/>
          <w:color w:val="auto"/>
        </w:rPr>
        <w:t>On the Closing Date (but prior to the Closing), the Plan Investment Fiduciary shall deliver to the Insurer the In-Kind Asset</w:t>
      </w:r>
    </w:p>
    <w:p>
      <w:pPr>
        <w:spacing w:after="0" w:line="37"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0"/>
          <w:szCs w:val="20"/>
          <w:color w:val="auto"/>
        </w:rPr>
        <w:t>Information.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ectPr>
          <w:pgSz w:w="11900" w:h="16838" w:orient="portrait"/>
          <w:cols w:equalWidth="0" w:num="1">
            <w:col w:w="11420"/>
          </w:cols>
          <w:pgMar w:left="240" w:top="556" w:right="239" w:bottom="1440" w:gutter="0" w:footer="0" w:header="0"/>
        </w:sectPr>
      </w:pPr>
    </w:p>
    <w:bookmarkStart w:id="42" w:name="page43"/>
    <w:bookmarkEnd w:id="42"/>
    <w:p>
      <w:pPr>
        <w:jc w:val="both"/>
        <w:ind w:firstLine="601"/>
        <w:spacing w:after="0" w:line="279" w:lineRule="auto"/>
        <w:tabs>
          <w:tab w:leader="none" w:pos="1033" w:val="left"/>
        </w:tabs>
        <w:numPr>
          <w:ilvl w:val="0"/>
          <w:numId w:val="38"/>
        </w:numPr>
        <w:rPr>
          <w:rFonts w:ascii="Arial" w:cs="Arial" w:eastAsia="Arial" w:hAnsi="Arial"/>
          <w:sz w:val="18"/>
          <w:szCs w:val="18"/>
          <w:color w:val="auto"/>
        </w:rPr>
      </w:pPr>
      <w:r>
        <w:rPr>
          <w:rFonts w:ascii="Arial" w:cs="Arial" w:eastAsia="Arial" w:hAnsi="Arial"/>
          <w:sz w:val="18"/>
          <w:szCs w:val="18"/>
          <w:color w:val="auto"/>
        </w:rPr>
        <w:t xml:space="preserve">On the Closing Date (but prior to the Closing), the Insurer shall deliver to the Company and the Independent Third Party, and the Company and the Insurer shall jointly direct the Independent Third Party to deliver to the Insurer and the Company, a calculation of the Closing Final Premium in the form of </w:t>
      </w:r>
      <w:r>
        <w:rPr>
          <w:rFonts w:ascii="Arial" w:cs="Arial" w:eastAsia="Arial" w:hAnsi="Arial"/>
          <w:sz w:val="18"/>
          <w:szCs w:val="18"/>
          <w:u w:val="single" w:color="auto"/>
          <w:color w:val="auto"/>
        </w:rPr>
        <w:t>Appendix 2.7</w:t>
      </w:r>
      <w:r>
        <w:rPr>
          <w:rFonts w:ascii="Arial" w:cs="Arial" w:eastAsia="Arial" w:hAnsi="Arial"/>
          <w:sz w:val="18"/>
          <w:szCs w:val="18"/>
          <w:color w:val="auto"/>
        </w:rPr>
        <w:t xml:space="preserve"> (including a proposed Annuity Exhibit). The “</w:t>
      </w:r>
      <w:r>
        <w:rPr>
          <w:rFonts w:ascii="Arial" w:cs="Arial" w:eastAsia="Arial" w:hAnsi="Arial"/>
          <w:sz w:val="18"/>
          <w:szCs w:val="18"/>
          <w:u w:val="single" w:color="auto"/>
          <w:color w:val="auto"/>
        </w:rPr>
        <w:t>Closing Final Premium</w:t>
      </w:r>
      <w:r>
        <w:rPr>
          <w:rFonts w:ascii="Arial" w:cs="Arial" w:eastAsia="Arial" w:hAnsi="Arial"/>
          <w:sz w:val="18"/>
          <w:szCs w:val="18"/>
          <w:color w:val="auto"/>
        </w:rPr>
        <w:t>” shall be equal to (</w:t>
      </w:r>
      <w:r>
        <w:rPr>
          <w:rFonts w:ascii="Arial" w:cs="Arial" w:eastAsia="Arial" w:hAnsi="Arial"/>
          <w:sz w:val="18"/>
          <w:szCs w:val="18"/>
          <w:u w:val="single" w:color="auto"/>
          <w:color w:val="auto"/>
        </w:rPr>
        <w:t>i</w:t>
      </w:r>
      <w:r>
        <w:rPr>
          <w:rFonts w:ascii="Arial" w:cs="Arial" w:eastAsia="Arial" w:hAnsi="Arial"/>
          <w:sz w:val="18"/>
          <w:szCs w:val="18"/>
          <w:color w:val="auto"/>
        </w:rPr>
        <w:t xml:space="preserve">) the Preliminary Post-Solicitation Premium </w:t>
      </w:r>
      <w:r>
        <w:rPr>
          <w:rFonts w:ascii="Arial" w:cs="Arial" w:eastAsia="Arial" w:hAnsi="Arial"/>
          <w:sz w:val="18"/>
          <w:szCs w:val="18"/>
          <w:i w:val="1"/>
          <w:iCs w:val="1"/>
          <w:color w:val="auto"/>
        </w:rPr>
        <w:t>multiplied by</w:t>
      </w:r>
      <w:r>
        <w:rPr>
          <w:rFonts w:ascii="Arial" w:cs="Arial" w:eastAsia="Arial" w:hAnsi="Arial"/>
          <w:sz w:val="18"/>
          <w:szCs w:val="18"/>
          <w:color w:val="auto"/>
        </w:rPr>
        <w:t xml:space="preserve">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100% plus the Closing Date Adjustment, </w:t>
      </w:r>
      <w:r>
        <w:rPr>
          <w:rFonts w:ascii="Arial" w:cs="Arial" w:eastAsia="Arial" w:hAnsi="Arial"/>
          <w:sz w:val="18"/>
          <w:szCs w:val="18"/>
          <w:i w:val="1"/>
          <w:iCs w:val="1"/>
          <w:color w:val="auto"/>
        </w:rPr>
        <w:t>multiplied by</w:t>
      </w:r>
      <w:r>
        <w:rPr>
          <w:rFonts w:ascii="Arial" w:cs="Arial" w:eastAsia="Arial" w:hAnsi="Arial"/>
          <w:sz w:val="18"/>
          <w:szCs w:val="18"/>
          <w:color w:val="auto"/>
        </w:rPr>
        <w:t xml:space="preserve"> (</w:t>
      </w:r>
      <w:r>
        <w:rPr>
          <w:rFonts w:ascii="Arial" w:cs="Arial" w:eastAsia="Arial" w:hAnsi="Arial"/>
          <w:sz w:val="18"/>
          <w:szCs w:val="18"/>
          <w:u w:val="single" w:color="auto"/>
          <w:color w:val="auto"/>
        </w:rPr>
        <w:t>iii</w:t>
      </w:r>
      <w:r>
        <w:rPr>
          <w:rFonts w:ascii="Arial" w:cs="Arial" w:eastAsia="Arial" w:hAnsi="Arial"/>
          <w:sz w:val="18"/>
          <w:szCs w:val="18"/>
          <w:color w:val="auto"/>
        </w:rPr>
        <w:t>) the sum of (</w:t>
      </w:r>
      <w:r>
        <w:rPr>
          <w:rFonts w:ascii="Arial" w:cs="Arial" w:eastAsia="Arial" w:hAnsi="Arial"/>
          <w:sz w:val="18"/>
          <w:szCs w:val="18"/>
          <w:u w:val="single" w:color="auto"/>
          <w:color w:val="auto"/>
        </w:rPr>
        <w:t>A</w:t>
      </w:r>
      <w:r>
        <w:rPr>
          <w:rFonts w:ascii="Arial" w:cs="Arial" w:eastAsia="Arial" w:hAnsi="Arial"/>
          <w:sz w:val="18"/>
          <w:szCs w:val="18"/>
          <w:color w:val="auto"/>
        </w:rPr>
        <w:t>) the Closing CMA Adjustment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the Closing SCA Adjustment, </w:t>
      </w:r>
      <w:r>
        <w:rPr>
          <w:rFonts w:ascii="Arial" w:cs="Arial" w:eastAsia="Arial" w:hAnsi="Arial"/>
          <w:sz w:val="18"/>
          <w:szCs w:val="18"/>
          <w:i w:val="1"/>
          <w:iCs w:val="1"/>
          <w:color w:val="auto"/>
        </w:rPr>
        <w:t>multiplied by</w:t>
      </w:r>
      <w:r>
        <w:rPr>
          <w:rFonts w:ascii="Arial" w:cs="Arial" w:eastAsia="Arial" w:hAnsi="Arial"/>
          <w:sz w:val="18"/>
          <w:szCs w:val="18"/>
          <w:color w:val="auto"/>
        </w:rPr>
        <w:t xml:space="preserve"> (</w:t>
      </w:r>
      <w:r>
        <w:rPr>
          <w:rFonts w:ascii="Arial" w:cs="Arial" w:eastAsia="Arial" w:hAnsi="Arial"/>
          <w:sz w:val="18"/>
          <w:szCs w:val="18"/>
          <w:u w:val="single" w:color="auto"/>
          <w:color w:val="auto"/>
        </w:rPr>
        <w:t>iv</w:t>
      </w:r>
      <w:r>
        <w:rPr>
          <w:rFonts w:ascii="Arial" w:cs="Arial" w:eastAsia="Arial" w:hAnsi="Arial"/>
          <w:sz w:val="18"/>
          <w:szCs w:val="18"/>
          <w:color w:val="auto"/>
        </w:rPr>
        <w:t xml:space="preserve">) 100% plus the Closing PFS Adjustment, </w:t>
      </w:r>
      <w:r>
        <w:rPr>
          <w:rFonts w:ascii="Arial" w:cs="Arial" w:eastAsia="Arial" w:hAnsi="Arial"/>
          <w:sz w:val="18"/>
          <w:szCs w:val="18"/>
          <w:i w:val="1"/>
          <w:iCs w:val="1"/>
          <w:color w:val="auto"/>
        </w:rPr>
        <w:t>plus</w:t>
      </w:r>
      <w:r>
        <w:rPr>
          <w:rFonts w:ascii="Arial" w:cs="Arial" w:eastAsia="Arial" w:hAnsi="Arial"/>
          <w:sz w:val="18"/>
          <w:szCs w:val="18"/>
          <w:color w:val="auto"/>
        </w:rPr>
        <w:t xml:space="preserve"> (</w:t>
      </w:r>
      <w:r>
        <w:rPr>
          <w:rFonts w:ascii="Arial" w:cs="Arial" w:eastAsia="Arial" w:hAnsi="Arial"/>
          <w:sz w:val="18"/>
          <w:szCs w:val="18"/>
          <w:u w:val="single" w:color="auto"/>
          <w:color w:val="auto"/>
        </w:rPr>
        <w:t>v</w:t>
      </w:r>
      <w:r>
        <w:rPr>
          <w:rFonts w:ascii="Arial" w:cs="Arial" w:eastAsia="Arial" w:hAnsi="Arial"/>
          <w:sz w:val="18"/>
          <w:szCs w:val="18"/>
          <w:color w:val="auto"/>
        </w:rPr>
        <w:t>) the</w:t>
      </w:r>
    </w:p>
    <w:p>
      <w:pPr>
        <w:spacing w:after="0" w:line="4"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Closing [ *** ] Adjustment; provided that if the unavailability or inaccessibility of POINT (a “</w:t>
      </w:r>
      <w:r>
        <w:rPr>
          <w:rFonts w:ascii="Arial" w:cs="Arial" w:eastAsia="Arial" w:hAnsi="Arial"/>
          <w:sz w:val="18"/>
          <w:szCs w:val="18"/>
          <w:u w:val="single" w:color="auto"/>
          <w:color w:val="auto"/>
        </w:rPr>
        <w:t>POINT Access Event</w:t>
      </w:r>
      <w:r>
        <w:rPr>
          <w:rFonts w:ascii="Arial" w:cs="Arial" w:eastAsia="Arial" w:hAnsi="Arial"/>
          <w:sz w:val="18"/>
          <w:szCs w:val="18"/>
          <w:color w:val="auto"/>
        </w:rPr>
        <w:t>”) prevents the calculation on the Closing Date of the Closing Final Premium, the Closing Final Premium shall be equal to the Revised Preliminary Closing</w:t>
      </w:r>
    </w:p>
    <w:p>
      <w:pPr>
        <w:spacing w:after="0" w:line="1" w:lineRule="exact"/>
        <w:rPr>
          <w:sz w:val="20"/>
          <w:szCs w:val="20"/>
          <w:color w:val="auto"/>
        </w:rPr>
      </w:pPr>
    </w:p>
    <w:p>
      <w:pPr>
        <w:spacing w:after="0"/>
        <w:tabs>
          <w:tab w:leader="none" w:pos="9360" w:val="left"/>
          <w:tab w:leader="none" w:pos="10080" w:val="left"/>
        </w:tabs>
        <w:rPr>
          <w:sz w:val="20"/>
          <w:szCs w:val="20"/>
          <w:color w:val="auto"/>
        </w:rPr>
      </w:pPr>
      <w:r>
        <w:rPr>
          <w:rFonts w:ascii="Arial" w:cs="Arial" w:eastAsia="Arial" w:hAnsi="Arial"/>
          <w:sz w:val="20"/>
          <w:szCs w:val="20"/>
          <w:color w:val="auto"/>
        </w:rPr>
        <w:t>Premium. The Closing PFS Adjustment and Closing CMA Adjustment shall incorporate the calculation of the [</w:t>
      </w:r>
      <w:r>
        <w:rPr>
          <w:sz w:val="20"/>
          <w:szCs w:val="20"/>
          <w:color w:val="auto"/>
        </w:rPr>
        <w:tab/>
      </w:r>
      <w:r>
        <w:rPr>
          <w:rFonts w:ascii="Arial" w:cs="Arial" w:eastAsia="Arial" w:hAnsi="Arial"/>
          <w:sz w:val="20"/>
          <w:szCs w:val="20"/>
          <w:color w:val="auto"/>
        </w:rPr>
        <w:t>***</w:t>
      </w:r>
      <w:r>
        <w:rPr>
          <w:sz w:val="20"/>
          <w:szCs w:val="20"/>
          <w:color w:val="auto"/>
        </w:rPr>
        <w:tab/>
      </w:r>
      <w:r>
        <w:rPr>
          <w:rFonts w:ascii="Arial" w:cs="Arial" w:eastAsia="Arial" w:hAnsi="Arial"/>
          <w:sz w:val="19"/>
          <w:szCs w:val="19"/>
          <w:color w:val="auto"/>
        </w:rPr>
        <w:t>], where the [</w:t>
      </w:r>
    </w:p>
    <w:p>
      <w:pPr>
        <w:spacing w:after="0" w:line="8" w:lineRule="exact"/>
        <w:rPr>
          <w:sz w:val="20"/>
          <w:szCs w:val="20"/>
          <w:color w:val="auto"/>
        </w:rPr>
      </w:pPr>
    </w:p>
    <w:p>
      <w:pPr>
        <w:ind w:left="660" w:hanging="660"/>
        <w:spacing w:after="0"/>
        <w:tabs>
          <w:tab w:leader="none" w:pos="660" w:val="left"/>
        </w:tabs>
        <w:numPr>
          <w:ilvl w:val="0"/>
          <w:numId w:val="39"/>
        </w:numPr>
        <w:rPr>
          <w:rFonts w:ascii="Arial" w:cs="Arial" w:eastAsia="Arial" w:hAnsi="Arial"/>
          <w:sz w:val="20"/>
          <w:szCs w:val="20"/>
          <w:color w:val="auto"/>
        </w:rPr>
      </w:pPr>
      <w:r>
        <w:rPr>
          <w:rFonts w:ascii="Arial" w:cs="Arial" w:eastAsia="Arial" w:hAnsi="Arial"/>
          <w:sz w:val="20"/>
          <w:szCs w:val="20"/>
          <w:color w:val="auto"/>
        </w:rPr>
        <w:t xml:space="preserve">] for calculating the PFS Adjustment is subject to the terms of </w:t>
      </w:r>
      <w:r>
        <w:rPr>
          <w:rFonts w:ascii="Arial" w:cs="Arial" w:eastAsia="Arial" w:hAnsi="Arial"/>
          <w:sz w:val="20"/>
          <w:szCs w:val="20"/>
          <w:u w:val="single" w:color="auto"/>
          <w:color w:val="auto"/>
        </w:rPr>
        <w:t>Section 2.5(e)(ii)</w:t>
      </w:r>
      <w:r>
        <w:rPr>
          <w:rFonts w:ascii="Arial" w:cs="Arial" w:eastAsia="Arial" w:hAnsi="Arial"/>
          <w:sz w:val="20"/>
          <w:szCs w:val="20"/>
          <w:color w:val="auto"/>
        </w:rPr>
        <w:t>.</w:t>
      </w:r>
    </w:p>
    <w:p>
      <w:pPr>
        <w:spacing w:after="0" w:line="228" w:lineRule="exact"/>
        <w:rPr>
          <w:sz w:val="20"/>
          <w:szCs w:val="20"/>
          <w:color w:val="auto"/>
        </w:rPr>
      </w:pPr>
    </w:p>
    <w:p>
      <w:pPr>
        <w:ind w:left="1040" w:hanging="439"/>
        <w:spacing w:after="0"/>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If (</w:t>
      </w:r>
      <w:r>
        <w:rPr>
          <w:rFonts w:ascii="Arial" w:cs="Arial" w:eastAsia="Arial" w:hAnsi="Arial"/>
          <w:sz w:val="18"/>
          <w:szCs w:val="18"/>
          <w:u w:val="single" w:color="auto"/>
          <w:color w:val="auto"/>
        </w:rPr>
        <w:t>x</w:t>
      </w:r>
      <w:r>
        <w:rPr>
          <w:rFonts w:ascii="Arial" w:cs="Arial" w:eastAsia="Arial" w:hAnsi="Arial"/>
          <w:sz w:val="18"/>
          <w:szCs w:val="18"/>
          <w:color w:val="auto"/>
        </w:rPr>
        <w:t>) the Independent Third Party has calculated the Closing Final Premium and (</w:t>
      </w:r>
      <w:r>
        <w:rPr>
          <w:rFonts w:ascii="Arial" w:cs="Arial" w:eastAsia="Arial" w:hAnsi="Arial"/>
          <w:sz w:val="18"/>
          <w:szCs w:val="18"/>
          <w:u w:val="single" w:color="auto"/>
          <w:color w:val="auto"/>
        </w:rPr>
        <w:t>y</w:t>
      </w:r>
      <w:r>
        <w:rPr>
          <w:rFonts w:ascii="Arial" w:cs="Arial" w:eastAsia="Arial" w:hAnsi="Arial"/>
          <w:sz w:val="18"/>
          <w:szCs w:val="18"/>
          <w:color w:val="auto"/>
        </w:rPr>
        <w:t>) the Closing Final Premium calculated by the</w:t>
      </w:r>
    </w:p>
    <w:p>
      <w:pPr>
        <w:spacing w:after="0" w:line="49"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Independent Third Party differs by an amount equal to or less than [ *** ] from the Closing Final Premium calculated by the Insurer, the Closing Final Premium will be the amount so calculated by [ *** ]. In the event of a POINT Access Event, the foregoing calculations of the Closing Final Premium will be deemed to refer to the Revised Preliminary Closing Premium, and in such event, if the difference between</w:t>
      </w:r>
    </w:p>
    <w:p>
      <w:pPr>
        <w:spacing w:after="0" w:line="2"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Revised Preliminary Closing Premium calculated by the Independent Third Party differs by an amount equal to or less than [ *** ] from the Revised Preliminary Closing Premium calculated by the Insurer, the Revised Preliminary Closing Premium will be the amount so</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900" w:type="dxa"/>
            <w:vAlign w:val="bottom"/>
            <w:gridSpan w:val="5"/>
          </w:tcPr>
          <w:p>
            <w:pPr>
              <w:spacing w:after="0"/>
              <w:rPr>
                <w:sz w:val="20"/>
                <w:szCs w:val="20"/>
                <w:color w:val="auto"/>
              </w:rPr>
            </w:pPr>
            <w:r>
              <w:rPr>
                <w:rFonts w:ascii="Arial" w:cs="Arial" w:eastAsia="Arial" w:hAnsi="Arial"/>
                <w:sz w:val="20"/>
                <w:szCs w:val="20"/>
                <w:color w:val="auto"/>
              </w:rPr>
              <w:t>calculated by [   ***</w:t>
            </w:r>
          </w:p>
        </w:tc>
        <w:tc>
          <w:tcPr>
            <w:tcW w:w="2020" w:type="dxa"/>
            <w:vAlign w:val="bottom"/>
          </w:tcPr>
          <w:p>
            <w:pPr>
              <w:jc w:val="right"/>
              <w:ind w:right="1620"/>
              <w:spacing w:after="0"/>
              <w:rPr>
                <w:sz w:val="20"/>
                <w:szCs w:val="20"/>
                <w:color w:val="auto"/>
              </w:rPr>
            </w:pPr>
            <w:r>
              <w:rPr>
                <w:rFonts w:ascii="Arial" w:cs="Arial" w:eastAsia="Arial" w:hAnsi="Arial"/>
                <w:sz w:val="20"/>
                <w:szCs w:val="20"/>
                <w:color w:val="auto"/>
              </w:rPr>
              <w:t>].</w:t>
            </w:r>
          </w:p>
        </w:tc>
        <w:tc>
          <w:tcPr>
            <w:tcW w:w="15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2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410"/>
        </w:trPr>
        <w:tc>
          <w:tcPr>
            <w:tcW w:w="580" w:type="dxa"/>
            <w:vAlign w:val="bottom"/>
          </w:tcPr>
          <w:p>
            <w:pPr>
              <w:spacing w:after="0"/>
              <w:rPr>
                <w:sz w:val="24"/>
                <w:szCs w:val="24"/>
                <w:color w:val="auto"/>
              </w:rPr>
            </w:pPr>
          </w:p>
        </w:tc>
        <w:tc>
          <w:tcPr>
            <w:tcW w:w="10840" w:type="dxa"/>
            <w:vAlign w:val="bottom"/>
            <w:gridSpan w:val="11"/>
          </w:tcPr>
          <w:p>
            <w:pPr>
              <w:jc w:val="right"/>
              <w:spacing w:after="0"/>
              <w:rPr>
                <w:sz w:val="20"/>
                <w:szCs w:val="20"/>
                <w:color w:val="auto"/>
              </w:rPr>
            </w:pPr>
            <w:r>
              <w:rPr>
                <w:rFonts w:ascii="Arial" w:cs="Arial" w:eastAsia="Arial" w:hAnsi="Arial"/>
                <w:sz w:val="20"/>
                <w:szCs w:val="20"/>
                <w:color w:val="auto"/>
                <w:w w:val="92"/>
              </w:rPr>
              <w:t>(e)  If (x) the Independent Third Party has calculated the Closing Final Premium and (y) the Closing Final Premium calculated by the</w:t>
            </w:r>
          </w:p>
        </w:tc>
      </w:tr>
      <w:tr>
        <w:trPr>
          <w:trHeight w:val="20"/>
        </w:trPr>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54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700" w:type="dxa"/>
            <w:vAlign w:val="bottom"/>
            <w:gridSpan w:val="2"/>
          </w:tcPr>
          <w:p>
            <w:pPr>
              <w:spacing w:after="0" w:line="20" w:lineRule="exact"/>
              <w:rPr>
                <w:sz w:val="1"/>
                <w:szCs w:val="1"/>
                <w:color w:val="auto"/>
              </w:rPr>
            </w:pPr>
          </w:p>
        </w:tc>
      </w:tr>
      <w:tr>
        <w:trPr>
          <w:trHeight w:val="247"/>
        </w:trPr>
        <w:tc>
          <w:tcPr>
            <w:tcW w:w="3920" w:type="dxa"/>
            <w:vAlign w:val="bottom"/>
            <w:gridSpan w:val="6"/>
          </w:tcPr>
          <w:p>
            <w:pPr>
              <w:spacing w:after="0"/>
              <w:rPr>
                <w:sz w:val="20"/>
                <w:szCs w:val="20"/>
                <w:color w:val="auto"/>
              </w:rPr>
            </w:pPr>
            <w:r>
              <w:rPr>
                <w:rFonts w:ascii="Arial" w:cs="Arial" w:eastAsia="Arial" w:hAnsi="Arial"/>
                <w:sz w:val="20"/>
                <w:szCs w:val="20"/>
                <w:color w:val="auto"/>
              </w:rPr>
              <w:t>Independent Third Party is more than [   ***</w:t>
            </w:r>
          </w:p>
        </w:tc>
        <w:tc>
          <w:tcPr>
            <w:tcW w:w="7500" w:type="dxa"/>
            <w:vAlign w:val="bottom"/>
            <w:gridSpan w:val="6"/>
          </w:tcPr>
          <w:p>
            <w:pPr>
              <w:jc w:val="right"/>
              <w:spacing w:after="0"/>
              <w:rPr>
                <w:sz w:val="20"/>
                <w:szCs w:val="20"/>
                <w:color w:val="auto"/>
              </w:rPr>
            </w:pPr>
            <w:r>
              <w:rPr>
                <w:rFonts w:ascii="Arial" w:cs="Arial" w:eastAsia="Arial" w:hAnsi="Arial"/>
                <w:sz w:val="20"/>
                <w:szCs w:val="20"/>
                <w:color w:val="auto"/>
                <w:w w:val="93"/>
              </w:rPr>
              <w:t>] less than the Closing Final Premium calculated by the Insurer, the Company may elect to</w:t>
            </w:r>
          </w:p>
        </w:tc>
      </w:tr>
      <w:tr>
        <w:trPr>
          <w:trHeight w:val="209"/>
        </w:trPr>
        <w:tc>
          <w:tcPr>
            <w:tcW w:w="10340" w:type="dxa"/>
            <w:vAlign w:val="bottom"/>
            <w:gridSpan w:val="11"/>
          </w:tcPr>
          <w:p>
            <w:pPr>
              <w:spacing w:after="0" w:line="209" w:lineRule="exact"/>
              <w:rPr>
                <w:sz w:val="20"/>
                <w:szCs w:val="20"/>
                <w:color w:val="auto"/>
              </w:rPr>
            </w:pPr>
            <w:r>
              <w:rPr>
                <w:rFonts w:ascii="Arial" w:cs="Arial" w:eastAsia="Arial" w:hAnsi="Arial"/>
                <w:sz w:val="20"/>
                <w:szCs w:val="20"/>
                <w:color w:val="auto"/>
                <w:w w:val="96"/>
              </w:rPr>
              <w:t>either (1) waive the condition to its obligations to close set forth in Section 8.2(i) and use the Closing Final Premium [   ***</w:t>
            </w:r>
          </w:p>
        </w:tc>
        <w:tc>
          <w:tcPr>
            <w:tcW w:w="1080" w:type="dxa"/>
            <w:vAlign w:val="bottom"/>
          </w:tcPr>
          <w:p>
            <w:pPr>
              <w:jc w:val="right"/>
              <w:spacing w:after="0" w:line="209" w:lineRule="exact"/>
              <w:rPr>
                <w:sz w:val="20"/>
                <w:szCs w:val="20"/>
                <w:color w:val="auto"/>
              </w:rPr>
            </w:pPr>
            <w:r>
              <w:rPr>
                <w:rFonts w:ascii="Arial" w:cs="Arial" w:eastAsia="Arial" w:hAnsi="Arial"/>
                <w:sz w:val="20"/>
                <w:szCs w:val="20"/>
                <w:color w:val="auto"/>
              </w:rPr>
              <w:t>], and have</w:t>
            </w:r>
          </w:p>
        </w:tc>
      </w:tr>
      <w:tr>
        <w:trPr>
          <w:trHeight w:val="20"/>
        </w:trPr>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bl>
    <w:p>
      <w:pPr>
        <w:spacing w:after="0" w:line="16" w:lineRule="exact"/>
        <w:rPr>
          <w:sz w:val="20"/>
          <w:szCs w:val="20"/>
          <w:color w:val="auto"/>
        </w:rPr>
      </w:pPr>
    </w:p>
    <w:p>
      <w:pPr>
        <w:jc w:val="both"/>
        <w:spacing w:after="0" w:line="265" w:lineRule="auto"/>
        <w:rPr>
          <w:sz w:val="20"/>
          <w:szCs w:val="20"/>
          <w:color w:val="auto"/>
        </w:rPr>
      </w:pPr>
      <w:r>
        <w:rPr>
          <w:rFonts w:ascii="Arial" w:cs="Arial" w:eastAsia="Arial" w:hAnsi="Arial"/>
          <w:sz w:val="19"/>
          <w:szCs w:val="19"/>
          <w:color w:val="auto"/>
        </w:rPr>
        <w:t xml:space="preserve">such Closing Final Premium and the calculation with respect thereto (including adjustments and corrections to the Closing Final Premium) be subject to correction and adjustment post-Closing in connection with the development of the Post-Closing Final Premium prepared in accordance with </w:t>
      </w:r>
      <w:r>
        <w:rPr>
          <w:rFonts w:ascii="Arial" w:cs="Arial" w:eastAsia="Arial" w:hAnsi="Arial"/>
          <w:sz w:val="19"/>
          <w:szCs w:val="19"/>
          <w:u w:val="single" w:color="auto"/>
          <w:color w:val="auto"/>
        </w:rPr>
        <w:t>Section2.12</w:t>
      </w:r>
      <w:r>
        <w:rPr>
          <w:rFonts w:ascii="Arial" w:cs="Arial" w:eastAsia="Arial" w:hAnsi="Arial"/>
          <w:sz w:val="19"/>
          <w:szCs w:val="19"/>
          <w:color w:val="auto"/>
        </w:rPr>
        <w:t>, or (</w:t>
      </w:r>
      <w:r>
        <w:rPr>
          <w:rFonts w:ascii="Arial" w:cs="Arial" w:eastAsia="Arial" w:hAnsi="Arial"/>
          <w:sz w:val="19"/>
          <w:szCs w:val="19"/>
          <w:u w:val="single" w:color="auto"/>
          <w:color w:val="auto"/>
        </w:rPr>
        <w:t>2</w:t>
      </w:r>
      <w:r>
        <w:rPr>
          <w:rFonts w:ascii="Arial" w:cs="Arial" w:eastAsia="Arial" w:hAnsi="Arial"/>
          <w:sz w:val="19"/>
          <w:szCs w:val="19"/>
          <w:color w:val="auto"/>
        </w:rPr>
        <w:t xml:space="preserve">) elect not to waive the condition to its obligations to close set forth in </w:t>
      </w:r>
      <w:r>
        <w:rPr>
          <w:rFonts w:ascii="Arial" w:cs="Arial" w:eastAsia="Arial" w:hAnsi="Arial"/>
          <w:sz w:val="19"/>
          <w:szCs w:val="19"/>
          <w:u w:val="single" w:color="auto"/>
          <w:color w:val="auto"/>
        </w:rPr>
        <w:t>Section 8.2(i)</w:t>
      </w:r>
      <w:r>
        <w:rPr>
          <w:rFonts w:ascii="Arial" w:cs="Arial" w:eastAsia="Arial" w:hAnsi="Arial"/>
          <w:sz w:val="19"/>
          <w:szCs w:val="19"/>
          <w:color w:val="auto"/>
        </w:rPr>
        <w:t xml:space="preserve"> and proceed to work with the Insurer to the next Target Closing Date, if any, or (</w:t>
      </w:r>
      <w:r>
        <w:rPr>
          <w:rFonts w:ascii="Arial" w:cs="Arial" w:eastAsia="Arial" w:hAnsi="Arial"/>
          <w:sz w:val="19"/>
          <w:szCs w:val="19"/>
          <w:u w:val="single" w:color="auto"/>
          <w:color w:val="auto"/>
        </w:rPr>
        <w:t>3</w:t>
      </w:r>
      <w:r>
        <w:rPr>
          <w:rFonts w:ascii="Arial" w:cs="Arial" w:eastAsia="Arial" w:hAnsi="Arial"/>
          <w:sz w:val="19"/>
          <w:szCs w:val="19"/>
          <w:color w:val="auto"/>
        </w:rPr>
        <w:t xml:space="preserve">) elect not to waive the condition to its obligations to close set forth in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8.2(i)</w:t>
      </w:r>
      <w:r>
        <w:rPr>
          <w:rFonts w:ascii="Arial" w:cs="Arial" w:eastAsia="Arial" w:hAnsi="Arial"/>
          <w:sz w:val="19"/>
          <w:szCs w:val="19"/>
          <w:color w:val="auto"/>
        </w:rPr>
        <w:t xml:space="preserve"> and terminate this Agreement pursuant to </w:t>
      </w:r>
      <w:r>
        <w:rPr>
          <w:rFonts w:ascii="Arial" w:cs="Arial" w:eastAsia="Arial" w:hAnsi="Arial"/>
          <w:sz w:val="19"/>
          <w:szCs w:val="19"/>
          <w:u w:val="single" w:color="auto"/>
          <w:color w:val="auto"/>
        </w:rPr>
        <w:t>Section 10.1(h)</w:t>
      </w:r>
      <w:r>
        <w:rPr>
          <w:rFonts w:ascii="Arial" w:cs="Arial" w:eastAsia="Arial" w:hAnsi="Arial"/>
          <w:sz w:val="19"/>
          <w:szCs w:val="19"/>
          <w:color w:val="auto"/>
        </w:rPr>
        <w:t>; provided, that in the event that the Company elects to terminate this Agreement as provided in this clause (3), the Insurer may, by the delivery of notice to the Company within three (3) Business Days following the delivery to the Insurer of the Company's notice to terminate, elect to use the Closing Final Premium calculated by the Independent Third Party solely for purposes of Closing, and have such Closing Final Premium and the calculation with respect thereto (including adjustments and corrections to the Closing Final Premium) be subject to correction and adjustment post-Closing in connection with the development of the Post-Closing Final Premium prepared in accordance with Section 2.12 (and in that case this Agreement will not be terminable pursuant to Section 10.1(h)). In the event of a POINT Access Event, the forgoing calculations of the Closing Final Premium will be deemed to refer to the Revised Preliminary Closing Premium.</w:t>
      </w:r>
    </w:p>
    <w:p>
      <w:pPr>
        <w:spacing w:after="0" w:line="197" w:lineRule="exact"/>
        <w:rPr>
          <w:sz w:val="20"/>
          <w:szCs w:val="20"/>
          <w:color w:val="auto"/>
        </w:rPr>
      </w:pPr>
    </w:p>
    <w:p>
      <w:pPr>
        <w:jc w:val="both"/>
        <w:ind w:firstLine="601"/>
        <w:spacing w:after="0" w:line="286" w:lineRule="auto"/>
        <w:tabs>
          <w:tab w:leader="none" w:pos="1025" w:val="left"/>
        </w:tabs>
        <w:numPr>
          <w:ilvl w:val="0"/>
          <w:numId w:val="41"/>
        </w:numPr>
        <w:rPr>
          <w:rFonts w:ascii="Arial" w:cs="Arial" w:eastAsia="Arial" w:hAnsi="Arial"/>
          <w:sz w:val="18"/>
          <w:szCs w:val="18"/>
          <w:color w:val="auto"/>
        </w:rPr>
      </w:pPr>
      <w:r>
        <w:rPr>
          <w:rFonts w:ascii="Arial" w:cs="Arial" w:eastAsia="Arial" w:hAnsi="Arial"/>
          <w:sz w:val="18"/>
          <w:szCs w:val="18"/>
          <w:color w:val="auto"/>
        </w:rPr>
        <w:t>If the Independent Third Party has not calculated the Closing Final Premium, the Closing Final Premium shall equal the Closing Final Premium as calculated by the Insurer (but, unless the Preliminary Post-Solicitation Premium calculated by the Insurer and the</w:t>
      </w:r>
    </w:p>
    <w:p>
      <w:pPr>
        <w:spacing w:after="0" w:line="283" w:lineRule="auto"/>
        <w:rPr>
          <w:sz w:val="20"/>
          <w:szCs w:val="20"/>
          <w:color w:val="auto"/>
        </w:rPr>
      </w:pPr>
      <w:r>
        <w:rPr>
          <w:rFonts w:ascii="Arial" w:cs="Arial" w:eastAsia="Arial" w:hAnsi="Arial"/>
          <w:sz w:val="19"/>
          <w:szCs w:val="19"/>
          <w:color w:val="auto"/>
        </w:rPr>
        <w:t xml:space="preserve">Preliminary Post-Solicitation Premium calculated by the Independent Third Party differ by more than [ *** ], applying the Preliminary Post-Solicitation Premium calculated by the Independent Third Party);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w:t>
      </w:r>
      <w:r>
        <w:rPr>
          <w:rFonts w:ascii="Arial" w:cs="Arial" w:eastAsia="Arial" w:hAnsi="Arial"/>
          <w:sz w:val="19"/>
          <w:szCs w:val="19"/>
          <w:u w:val="single" w:color="auto"/>
          <w:color w:val="auto"/>
        </w:rPr>
        <w:t>x</w:t>
      </w:r>
      <w:r>
        <w:rPr>
          <w:rFonts w:ascii="Arial" w:cs="Arial" w:eastAsia="Arial" w:hAnsi="Arial"/>
          <w:sz w:val="19"/>
          <w:szCs w:val="19"/>
          <w:color w:val="auto"/>
        </w:rPr>
        <w:t>) the Company has calculated the</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ectPr>
          <w:pgSz w:w="11900" w:h="16838" w:orient="portrait"/>
          <w:cols w:equalWidth="0" w:num="1">
            <w:col w:w="11420"/>
          </w:cols>
          <w:pgMar w:left="240" w:top="794" w:right="239" w:bottom="1440" w:gutter="0" w:footer="0" w:header="0"/>
        </w:sectPr>
      </w:pPr>
    </w:p>
    <w:bookmarkStart w:id="43" w:name="page44"/>
    <w:bookmarkEnd w:id="43"/>
    <w:p>
      <w:pPr>
        <w:jc w:val="both"/>
        <w:spacing w:after="0" w:line="286" w:lineRule="auto"/>
        <w:rPr>
          <w:sz w:val="20"/>
          <w:szCs w:val="20"/>
          <w:color w:val="auto"/>
        </w:rPr>
      </w:pPr>
      <w:r>
        <w:rPr>
          <w:rFonts w:ascii="Arial" w:cs="Arial" w:eastAsia="Arial" w:hAnsi="Arial"/>
          <w:sz w:val="18"/>
          <w:szCs w:val="18"/>
          <w:color w:val="auto"/>
        </w:rPr>
        <w:t>Closing Final Premium and (</w:t>
      </w:r>
      <w:r>
        <w:rPr>
          <w:rFonts w:ascii="Arial" w:cs="Arial" w:eastAsia="Arial" w:hAnsi="Arial"/>
          <w:sz w:val="18"/>
          <w:szCs w:val="18"/>
          <w:u w:val="single" w:color="auto"/>
          <w:color w:val="auto"/>
        </w:rPr>
        <w:t>y</w:t>
      </w:r>
      <w:r>
        <w:rPr>
          <w:rFonts w:ascii="Arial" w:cs="Arial" w:eastAsia="Arial" w:hAnsi="Arial"/>
          <w:sz w:val="18"/>
          <w:szCs w:val="18"/>
          <w:color w:val="auto"/>
        </w:rPr>
        <w:t>) the Closing Final Premium calculated by the Company is more than [ *** ] less than the Closing Final Premium calculated by the Insurer, the Company may elect to either (</w:t>
      </w:r>
      <w:r>
        <w:rPr>
          <w:rFonts w:ascii="Arial" w:cs="Arial" w:eastAsia="Arial" w:hAnsi="Arial"/>
          <w:sz w:val="18"/>
          <w:szCs w:val="18"/>
          <w:u w:val="single" w:color="auto"/>
          <w:color w:val="auto"/>
        </w:rPr>
        <w:t>1</w:t>
      </w:r>
      <w:r>
        <w:rPr>
          <w:rFonts w:ascii="Arial" w:cs="Arial" w:eastAsia="Arial" w:hAnsi="Arial"/>
          <w:sz w:val="18"/>
          <w:szCs w:val="18"/>
          <w:color w:val="auto"/>
        </w:rPr>
        <w:t xml:space="preserve">) waive the condition to its obligations to close set forth in </w:t>
      </w:r>
      <w:r>
        <w:rPr>
          <w:rFonts w:ascii="Arial" w:cs="Arial" w:eastAsia="Arial" w:hAnsi="Arial"/>
          <w:sz w:val="18"/>
          <w:szCs w:val="18"/>
          <w:u w:val="single" w:color="auto"/>
          <w:color w:val="auto"/>
        </w:rPr>
        <w:t>Section</w:t>
      </w:r>
    </w:p>
    <w:p>
      <w:pPr>
        <w:jc w:val="both"/>
        <w:spacing w:after="0" w:line="275" w:lineRule="auto"/>
        <w:rPr>
          <w:sz w:val="20"/>
          <w:szCs w:val="20"/>
          <w:color w:val="auto"/>
        </w:rPr>
      </w:pPr>
      <w:r>
        <w:rPr>
          <w:rFonts w:ascii="Arial" w:cs="Arial" w:eastAsia="Arial" w:hAnsi="Arial"/>
          <w:sz w:val="18"/>
          <w:szCs w:val="18"/>
          <w:u w:val="single" w:color="auto"/>
          <w:color w:val="auto"/>
        </w:rPr>
        <w:t>8.2(i)</w:t>
      </w:r>
      <w:r>
        <w:rPr>
          <w:rFonts w:ascii="Arial" w:cs="Arial" w:eastAsia="Arial" w:hAnsi="Arial"/>
          <w:sz w:val="18"/>
          <w:szCs w:val="18"/>
          <w:color w:val="auto"/>
        </w:rPr>
        <w:t xml:space="preserve"> and use the Closing Final Premium calculated by [ *** ] solely for purposes of Closing, and have such Closing Final Premium and the calculation with respect thereto (including adjustments and corrections to the Closing Final Premium) be subject to correction and adjustment post-Closing in connection with the development of the Post-Closing Final Premium prepared in accordance with </w:t>
      </w:r>
      <w:r>
        <w:rPr>
          <w:rFonts w:ascii="Arial" w:cs="Arial" w:eastAsia="Arial" w:hAnsi="Arial"/>
          <w:sz w:val="18"/>
          <w:szCs w:val="18"/>
          <w:u w:val="single" w:color="auto"/>
          <w:color w:val="auto"/>
        </w:rPr>
        <w:t>Section 2.12</w:t>
      </w:r>
      <w:r>
        <w:rPr>
          <w:rFonts w:ascii="Arial" w:cs="Arial" w:eastAsia="Arial" w:hAnsi="Arial"/>
          <w:sz w:val="18"/>
          <w:szCs w:val="18"/>
          <w:color w:val="auto"/>
        </w:rPr>
        <w:t>, or (</w:t>
      </w:r>
      <w:r>
        <w:rPr>
          <w:rFonts w:ascii="Arial" w:cs="Arial" w:eastAsia="Arial" w:hAnsi="Arial"/>
          <w:sz w:val="18"/>
          <w:szCs w:val="18"/>
          <w:u w:val="single" w:color="auto"/>
          <w:color w:val="auto"/>
        </w:rPr>
        <w:t>2</w:t>
      </w:r>
      <w:r>
        <w:rPr>
          <w:rFonts w:ascii="Arial" w:cs="Arial" w:eastAsia="Arial" w:hAnsi="Arial"/>
          <w:sz w:val="18"/>
          <w:szCs w:val="18"/>
          <w:color w:val="auto"/>
        </w:rPr>
        <w:t xml:space="preserve">) elect not to waive the condition to its obligations to close set forth in </w:t>
      </w:r>
      <w:r>
        <w:rPr>
          <w:rFonts w:ascii="Arial" w:cs="Arial" w:eastAsia="Arial" w:hAnsi="Arial"/>
          <w:sz w:val="18"/>
          <w:szCs w:val="18"/>
          <w:u w:val="single" w:color="auto"/>
          <w:color w:val="auto"/>
        </w:rPr>
        <w:t>Section 8.2(i)</w:t>
      </w:r>
      <w:r>
        <w:rPr>
          <w:rFonts w:ascii="Arial" w:cs="Arial" w:eastAsia="Arial" w:hAnsi="Arial"/>
          <w:sz w:val="18"/>
          <w:szCs w:val="18"/>
          <w:color w:val="auto"/>
        </w:rPr>
        <w:t xml:space="preserve"> and proceed to work with the Insurer to the next Target Closing Date, if any, or (</w:t>
      </w:r>
      <w:r>
        <w:rPr>
          <w:rFonts w:ascii="Arial" w:cs="Arial" w:eastAsia="Arial" w:hAnsi="Arial"/>
          <w:sz w:val="18"/>
          <w:szCs w:val="18"/>
          <w:u w:val="single" w:color="auto"/>
          <w:color w:val="auto"/>
        </w:rPr>
        <w:t>3</w:t>
      </w:r>
      <w:r>
        <w:rPr>
          <w:rFonts w:ascii="Arial" w:cs="Arial" w:eastAsia="Arial" w:hAnsi="Arial"/>
          <w:sz w:val="18"/>
          <w:szCs w:val="18"/>
          <w:color w:val="auto"/>
        </w:rPr>
        <w:t xml:space="preserve">) elect not to waive the condition to its obligations to close set forth in </w:t>
      </w:r>
      <w:r>
        <w:rPr>
          <w:rFonts w:ascii="Arial" w:cs="Arial" w:eastAsia="Arial" w:hAnsi="Arial"/>
          <w:sz w:val="18"/>
          <w:szCs w:val="18"/>
          <w:u w:val="single" w:color="auto"/>
          <w:color w:val="auto"/>
        </w:rPr>
        <w:t>Section 8.2(i)</w:t>
      </w:r>
      <w:r>
        <w:rPr>
          <w:rFonts w:ascii="Arial" w:cs="Arial" w:eastAsia="Arial" w:hAnsi="Arial"/>
          <w:sz w:val="18"/>
          <w:szCs w:val="18"/>
          <w:color w:val="auto"/>
        </w:rPr>
        <w:t xml:space="preserve"> and terminate this Agreement pursuant to </w:t>
      </w:r>
      <w:r>
        <w:rPr>
          <w:rFonts w:ascii="Arial" w:cs="Arial" w:eastAsia="Arial" w:hAnsi="Arial"/>
          <w:sz w:val="18"/>
          <w:szCs w:val="18"/>
          <w:u w:val="single" w:color="auto"/>
          <w:color w:val="auto"/>
        </w:rPr>
        <w:t>Section 10.1(h)</w:t>
      </w:r>
      <w:r>
        <w:rPr>
          <w:rFonts w:ascii="Arial" w:cs="Arial" w:eastAsia="Arial" w:hAnsi="Arial"/>
          <w:sz w:val="18"/>
          <w:szCs w:val="18"/>
          <w:color w:val="auto"/>
        </w:rPr>
        <w:t>; provided, that in the event that the Company elects to terminate this Agreement as provided in this clause (3), the Insurer may, by the delivery of notice to the Company within three (3) Business Days following the delivery to the Insurer of the Company's</w:t>
      </w:r>
    </w:p>
    <w:p>
      <w:pPr>
        <w:spacing w:after="0" w:line="5" w:lineRule="exact"/>
        <w:rPr>
          <w:sz w:val="20"/>
          <w:szCs w:val="20"/>
          <w:color w:val="auto"/>
        </w:rPr>
      </w:pPr>
    </w:p>
    <w:p>
      <w:pPr>
        <w:jc w:val="both"/>
        <w:spacing w:after="0" w:line="284" w:lineRule="auto"/>
        <w:rPr>
          <w:sz w:val="20"/>
          <w:szCs w:val="20"/>
          <w:color w:val="auto"/>
        </w:rPr>
      </w:pPr>
      <w:r>
        <w:rPr>
          <w:rFonts w:ascii="Arial" w:cs="Arial" w:eastAsia="Arial" w:hAnsi="Arial"/>
          <w:sz w:val="18"/>
          <w:szCs w:val="18"/>
          <w:color w:val="auto"/>
        </w:rPr>
        <w:t>notice to terminate, elect to use the Closing Final Premium calculated by [ *** ] solely for purposes of Closing, and have such Closing Final Premium and the calculation with respect thereto (including adjustments and corrections to the Closing Final Premium) be subject to correction and adjustment post-Closing in connection with the development of the Post-Closing Final Premium prepared in accordance with Section 2.12 (and in that case this Agreement will not be terminable pursuant to Section 10.1(h)). In the event of a POINT Access Event, the forgoing calculations of the Closing Final Premium will be deemed to refer to the Revised Preliminary Closing Premium.</w:t>
      </w:r>
    </w:p>
    <w:p>
      <w:pPr>
        <w:spacing w:after="0" w:line="343"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C.</w:t>
      </w:r>
      <w:r>
        <w:rPr>
          <w:sz w:val="20"/>
          <w:szCs w:val="20"/>
          <w:color w:val="auto"/>
        </w:rPr>
        <w:tab/>
      </w:r>
      <w:r>
        <w:rPr>
          <w:rFonts w:ascii="Arial" w:cs="Arial" w:eastAsia="Arial" w:hAnsi="Arial"/>
          <w:sz w:val="17"/>
          <w:szCs w:val="17"/>
          <w:b w:val="1"/>
          <w:bCs w:val="1"/>
          <w:color w:val="auto"/>
        </w:rPr>
        <w:t>Calculation of Post-Closing Premiums</w:t>
      </w:r>
    </w:p>
    <w:p>
      <w:pPr>
        <w:spacing w:after="0" w:line="225" w:lineRule="exact"/>
        <w:rPr>
          <w:sz w:val="20"/>
          <w:szCs w:val="20"/>
          <w:color w:val="auto"/>
        </w:rPr>
      </w:pPr>
    </w:p>
    <w:p>
      <w:pPr>
        <w:ind w:left="600"/>
        <w:spacing w:after="0"/>
        <w:tabs>
          <w:tab w:leader="none" w:pos="1780" w:val="left"/>
        </w:tabs>
        <w:rPr>
          <w:sz w:val="20"/>
          <w:szCs w:val="20"/>
          <w:color w:val="auto"/>
        </w:rPr>
      </w:pPr>
      <w:r>
        <w:rPr>
          <w:rFonts w:ascii="Arial" w:cs="Arial" w:eastAsia="Arial" w:hAnsi="Arial"/>
          <w:sz w:val="20"/>
          <w:szCs w:val="20"/>
          <w:color w:val="auto"/>
        </w:rPr>
        <w:t>Section 2.10</w:t>
      </w:r>
      <w:r>
        <w:rPr>
          <w:sz w:val="20"/>
          <w:szCs w:val="20"/>
          <w:color w:val="auto"/>
        </w:rPr>
        <w:tab/>
      </w:r>
      <w:r>
        <w:rPr>
          <w:rFonts w:ascii="Arial" w:cs="Arial" w:eastAsia="Arial" w:hAnsi="Arial"/>
          <w:sz w:val="18"/>
          <w:szCs w:val="18"/>
          <w:u w:val="single" w:color="auto"/>
          <w:color w:val="auto"/>
        </w:rPr>
        <w:t>Interim Post-Closing Final Premium</w:t>
      </w:r>
      <w:r>
        <w:rPr>
          <w:rFonts w:ascii="Arial" w:cs="Arial" w:eastAsia="Arial" w:hAnsi="Arial"/>
          <w:sz w:val="18"/>
          <w:szCs w:val="18"/>
          <w:color w:val="auto"/>
        </w:rPr>
        <w:t>.</w:t>
      </w:r>
    </w:p>
    <w:p>
      <w:pPr>
        <w:spacing w:after="0" w:line="246" w:lineRule="exact"/>
        <w:rPr>
          <w:sz w:val="20"/>
          <w:szCs w:val="20"/>
          <w:color w:val="auto"/>
        </w:rPr>
      </w:pPr>
    </w:p>
    <w:p>
      <w:pPr>
        <w:jc w:val="both"/>
        <w:ind w:firstLine="601"/>
        <w:spacing w:after="0" w:line="271" w:lineRule="auto"/>
        <w:rPr>
          <w:sz w:val="20"/>
          <w:szCs w:val="20"/>
          <w:color w:val="auto"/>
        </w:rPr>
      </w:pPr>
      <w:r>
        <w:rPr>
          <w:rFonts w:ascii="Arial" w:cs="Arial" w:eastAsia="Arial" w:hAnsi="Arial"/>
          <w:sz w:val="19"/>
          <w:szCs w:val="19"/>
          <w:color w:val="auto"/>
        </w:rPr>
        <w:t>(a) If the Closing Date has occurred on or prior to December 10, 2012, then on or prior to [ *** ], the Plan Investment Fiduciary shall deliver to the Insurer a calculation of the value of each asset in the Final Plan Portfolio, (</w:t>
      </w:r>
      <w:r>
        <w:rPr>
          <w:rFonts w:ascii="Arial" w:cs="Arial" w:eastAsia="Arial" w:hAnsi="Arial"/>
          <w:sz w:val="19"/>
          <w:szCs w:val="19"/>
          <w:u w:val="single" w:color="auto"/>
          <w:color w:val="auto"/>
        </w:rPr>
        <w:t>A</w:t>
      </w:r>
      <w:r>
        <w:rPr>
          <w:rFonts w:ascii="Arial" w:cs="Arial" w:eastAsia="Arial" w:hAnsi="Arial"/>
          <w:sz w:val="19"/>
          <w:szCs w:val="19"/>
          <w:color w:val="auto"/>
        </w:rPr>
        <w:t>) with respect to the Public Bonds</w:t>
      </w:r>
    </w:p>
    <w:tbl>
      <w:tblPr>
        <w:tblLayout w:type="fixed"/>
        <w:tblInd w:w="0" w:type="dxa"/>
        <w:tblCellMar>
          <w:top w:w="0" w:type="dxa"/>
          <w:left w:w="0" w:type="dxa"/>
          <w:bottom w:w="0" w:type="dxa"/>
          <w:right w:w="0" w:type="dxa"/>
        </w:tblCellMar>
      </w:tblPr>
      <w:tr>
        <w:trPr>
          <w:trHeight w:val="220"/>
        </w:trPr>
        <w:tc>
          <w:tcPr>
            <w:tcW w:w="1140" w:type="dxa"/>
            <w:vAlign w:val="bottom"/>
          </w:tcPr>
          <w:p>
            <w:pPr>
              <w:spacing w:after="0" w:line="220" w:lineRule="exact"/>
              <w:rPr>
                <w:sz w:val="20"/>
                <w:szCs w:val="20"/>
                <w:color w:val="auto"/>
              </w:rPr>
            </w:pPr>
            <w:r>
              <w:rPr>
                <w:rFonts w:ascii="Arial" w:cs="Arial" w:eastAsia="Arial" w:hAnsi="Arial"/>
                <w:sz w:val="20"/>
                <w:szCs w:val="20"/>
                <w:color w:val="auto"/>
              </w:rPr>
              <w:t>and [   ***</w:t>
            </w:r>
          </w:p>
        </w:tc>
        <w:tc>
          <w:tcPr>
            <w:tcW w:w="4660" w:type="dxa"/>
            <w:vAlign w:val="bottom"/>
            <w:gridSpan w:val="3"/>
          </w:tcPr>
          <w:p>
            <w:pPr>
              <w:ind w:left="180"/>
              <w:spacing w:after="0" w:line="220" w:lineRule="exact"/>
              <w:rPr>
                <w:sz w:val="20"/>
                <w:szCs w:val="20"/>
                <w:color w:val="auto"/>
              </w:rPr>
            </w:pPr>
            <w:r>
              <w:rPr>
                <w:rFonts w:ascii="Arial" w:cs="Arial" w:eastAsia="Arial" w:hAnsi="Arial"/>
                <w:sz w:val="20"/>
                <w:szCs w:val="20"/>
                <w:color w:val="auto"/>
              </w:rPr>
              <w:t>] (other than Broker-Quote Public Bonds and [   ***</w:t>
            </w:r>
          </w:p>
        </w:tc>
        <w:tc>
          <w:tcPr>
            <w:tcW w:w="5620" w:type="dxa"/>
            <w:vAlign w:val="bottom"/>
            <w:gridSpan w:val="4"/>
          </w:tcPr>
          <w:p>
            <w:pPr>
              <w:jc w:val="right"/>
              <w:spacing w:after="0" w:line="220" w:lineRule="exact"/>
              <w:rPr>
                <w:sz w:val="20"/>
                <w:szCs w:val="20"/>
                <w:color w:val="auto"/>
              </w:rPr>
            </w:pPr>
            <w:r>
              <w:rPr>
                <w:rFonts w:ascii="Arial" w:cs="Arial" w:eastAsia="Arial" w:hAnsi="Arial"/>
                <w:sz w:val="20"/>
                <w:szCs w:val="20"/>
                <w:color w:val="auto"/>
                <w:w w:val="95"/>
              </w:rPr>
              <w:t>]) included in the Final Plan Portfolio, valued in an amount equal to</w:t>
            </w:r>
          </w:p>
        </w:tc>
      </w:tr>
      <w:tr>
        <w:trPr>
          <w:trHeight w:val="209"/>
        </w:trPr>
        <w:tc>
          <w:tcPr>
            <w:tcW w:w="1900" w:type="dxa"/>
            <w:vAlign w:val="bottom"/>
            <w:gridSpan w:val="2"/>
          </w:tcPr>
          <w:p>
            <w:pPr>
              <w:spacing w:after="0" w:line="209" w:lineRule="exact"/>
              <w:rPr>
                <w:sz w:val="20"/>
                <w:szCs w:val="20"/>
                <w:color w:val="auto"/>
              </w:rPr>
            </w:pPr>
            <w:r>
              <w:rPr>
                <w:rFonts w:ascii="Arial" w:cs="Arial" w:eastAsia="Arial" w:hAnsi="Arial"/>
                <w:sz w:val="20"/>
                <w:szCs w:val="20"/>
                <w:color w:val="auto"/>
                <w:w w:val="93"/>
              </w:rPr>
              <w:t>the value assigned to [</w:t>
            </w:r>
          </w:p>
        </w:tc>
        <w:tc>
          <w:tcPr>
            <w:tcW w:w="660" w:type="dxa"/>
            <w:vAlign w:val="bottom"/>
          </w:tcPr>
          <w:p>
            <w:pPr>
              <w:jc w:val="right"/>
              <w:ind w:right="60"/>
              <w:spacing w:after="0" w:line="209" w:lineRule="exact"/>
              <w:rPr>
                <w:sz w:val="20"/>
                <w:szCs w:val="20"/>
                <w:color w:val="auto"/>
              </w:rPr>
            </w:pPr>
            <w:r>
              <w:rPr>
                <w:rFonts w:ascii="Arial" w:cs="Arial" w:eastAsia="Arial" w:hAnsi="Arial"/>
                <w:sz w:val="20"/>
                <w:szCs w:val="20"/>
                <w:color w:val="auto"/>
              </w:rPr>
              <w:t>***</w:t>
            </w:r>
          </w:p>
        </w:tc>
        <w:tc>
          <w:tcPr>
            <w:tcW w:w="8860" w:type="dxa"/>
            <w:vAlign w:val="bottom"/>
            <w:gridSpan w:val="5"/>
          </w:tcPr>
          <w:p>
            <w:pPr>
              <w:jc w:val="right"/>
              <w:spacing w:after="0" w:line="209" w:lineRule="exact"/>
              <w:rPr>
                <w:sz w:val="20"/>
                <w:szCs w:val="20"/>
                <w:color w:val="auto"/>
              </w:rPr>
            </w:pPr>
            <w:r>
              <w:rPr>
                <w:rFonts w:ascii="Arial" w:cs="Arial" w:eastAsia="Arial" w:hAnsi="Arial"/>
                <w:sz w:val="20"/>
                <w:szCs w:val="20"/>
                <w:color w:val="auto"/>
                <w:w w:val="95"/>
              </w:rPr>
              <w:t>] in connection with calculation of the Final Pre-Closing Asset Valuation, (B) with respect to each Broker-</w:t>
            </w:r>
          </w:p>
        </w:tc>
      </w:tr>
      <w:tr>
        <w:trPr>
          <w:trHeight w:val="20"/>
        </w:trPr>
        <w:tc>
          <w:tcPr>
            <w:tcW w:w="19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5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265"/>
        </w:trPr>
        <w:tc>
          <w:tcPr>
            <w:tcW w:w="1900" w:type="dxa"/>
            <w:vAlign w:val="bottom"/>
            <w:gridSpan w:val="2"/>
          </w:tcPr>
          <w:p>
            <w:pPr>
              <w:spacing w:after="0"/>
              <w:rPr>
                <w:sz w:val="20"/>
                <w:szCs w:val="20"/>
                <w:color w:val="auto"/>
              </w:rPr>
            </w:pPr>
            <w:r>
              <w:rPr>
                <w:rFonts w:ascii="Arial" w:cs="Arial" w:eastAsia="Arial" w:hAnsi="Arial"/>
                <w:sz w:val="20"/>
                <w:szCs w:val="20"/>
                <w:color w:val="auto"/>
              </w:rPr>
              <w:t>Quote Public Bond [</w:t>
            </w:r>
          </w:p>
        </w:tc>
        <w:tc>
          <w:tcPr>
            <w:tcW w:w="660" w:type="dxa"/>
            <w:vAlign w:val="bottom"/>
          </w:tcPr>
          <w:p>
            <w:pPr>
              <w:jc w:val="right"/>
              <w:ind w:right="180"/>
              <w:spacing w:after="0"/>
              <w:rPr>
                <w:sz w:val="20"/>
                <w:szCs w:val="20"/>
                <w:color w:val="auto"/>
              </w:rPr>
            </w:pPr>
            <w:r>
              <w:rPr>
                <w:rFonts w:ascii="Arial" w:cs="Arial" w:eastAsia="Arial" w:hAnsi="Arial"/>
                <w:sz w:val="20"/>
                <w:szCs w:val="20"/>
                <w:color w:val="auto"/>
              </w:rPr>
              <w:t>***</w:t>
            </w:r>
          </w:p>
        </w:tc>
        <w:tc>
          <w:tcPr>
            <w:tcW w:w="5520" w:type="dxa"/>
            <w:vAlign w:val="bottom"/>
            <w:gridSpan w:val="2"/>
          </w:tcPr>
          <w:p>
            <w:pPr>
              <w:ind w:left="160"/>
              <w:spacing w:after="0"/>
              <w:rPr>
                <w:sz w:val="20"/>
                <w:szCs w:val="20"/>
                <w:color w:val="auto"/>
              </w:rPr>
            </w:pPr>
            <w:r>
              <w:rPr>
                <w:rFonts w:ascii="Arial" w:cs="Arial" w:eastAsia="Arial" w:hAnsi="Arial"/>
                <w:sz w:val="20"/>
                <w:szCs w:val="20"/>
                <w:color w:val="auto"/>
                <w:w w:val="96"/>
              </w:rPr>
              <w:t>] a calculation of the value of each Broker-Quote Public Bond [</w:t>
            </w:r>
          </w:p>
        </w:tc>
        <w:tc>
          <w:tcPr>
            <w:tcW w:w="800" w:type="dxa"/>
            <w:vAlign w:val="bottom"/>
          </w:tcPr>
          <w:p>
            <w:pPr>
              <w:jc w:val="right"/>
              <w:ind w:right="260"/>
              <w:spacing w:after="0"/>
              <w:rPr>
                <w:sz w:val="20"/>
                <w:szCs w:val="20"/>
                <w:color w:val="auto"/>
              </w:rPr>
            </w:pPr>
            <w:r>
              <w:rPr>
                <w:rFonts w:ascii="Arial" w:cs="Arial" w:eastAsia="Arial" w:hAnsi="Arial"/>
                <w:sz w:val="20"/>
                <w:szCs w:val="20"/>
                <w:color w:val="auto"/>
              </w:rPr>
              <w:t>***</w:t>
            </w:r>
          </w:p>
        </w:tc>
        <w:tc>
          <w:tcPr>
            <w:tcW w:w="2540" w:type="dxa"/>
            <w:vAlign w:val="bottom"/>
            <w:gridSpan w:val="2"/>
          </w:tcPr>
          <w:p>
            <w:pPr>
              <w:jc w:val="right"/>
              <w:spacing w:after="0"/>
              <w:rPr>
                <w:sz w:val="20"/>
                <w:szCs w:val="20"/>
                <w:color w:val="auto"/>
              </w:rPr>
            </w:pPr>
            <w:r>
              <w:rPr>
                <w:rFonts w:ascii="Arial" w:cs="Arial" w:eastAsia="Arial" w:hAnsi="Arial"/>
                <w:sz w:val="20"/>
                <w:szCs w:val="20"/>
                <w:color w:val="auto"/>
                <w:w w:val="98"/>
              </w:rPr>
              <w:t>] in the Final Plan Portfolio in</w:t>
            </w:r>
          </w:p>
        </w:tc>
      </w:tr>
    </w:tbl>
    <w:p>
      <w:pPr>
        <w:spacing w:after="0"/>
        <w:rPr>
          <w:sz w:val="20"/>
          <w:szCs w:val="20"/>
          <w:color w:val="auto"/>
        </w:rPr>
      </w:pPr>
      <w:r>
        <w:rPr>
          <w:rFonts w:ascii="Arial" w:cs="Arial" w:eastAsia="Arial" w:hAnsi="Arial"/>
          <w:sz w:val="18"/>
          <w:szCs w:val="18"/>
          <w:color w:val="auto"/>
        </w:rPr>
        <w:t xml:space="preserve">accordance with the methodology set forth in </w:t>
      </w:r>
      <w:r>
        <w:rPr>
          <w:rFonts w:ascii="Arial" w:cs="Arial" w:eastAsia="Arial" w:hAnsi="Arial"/>
          <w:sz w:val="18"/>
          <w:szCs w:val="18"/>
          <w:u w:val="single" w:color="auto"/>
          <w:color w:val="auto"/>
        </w:rPr>
        <w:t>Appendix 2.6</w:t>
      </w:r>
      <w:r>
        <w:rPr>
          <w:rFonts w:ascii="Arial" w:cs="Arial" w:eastAsia="Arial" w:hAnsi="Arial"/>
          <w:sz w:val="18"/>
          <w:szCs w:val="18"/>
          <w:color w:val="auto"/>
        </w:rPr>
        <w:t xml:space="preserve"> as of the close of business on the Business Day immediately prior to the Closing</w:t>
      </w:r>
    </w:p>
    <w:p>
      <w:pPr>
        <w:spacing w:after="0" w:line="31" w:lineRule="exact"/>
        <w:rPr>
          <w:sz w:val="20"/>
          <w:szCs w:val="20"/>
          <w:color w:val="auto"/>
        </w:rPr>
      </w:pPr>
    </w:p>
    <w:p>
      <w:pPr>
        <w:jc w:val="both"/>
        <w:spacing w:after="0" w:line="261" w:lineRule="auto"/>
        <w:rPr>
          <w:sz w:val="20"/>
          <w:szCs w:val="20"/>
          <w:color w:val="auto"/>
        </w:rPr>
      </w:pPr>
      <w:r>
        <w:rPr>
          <w:rFonts w:ascii="Arial" w:cs="Arial" w:eastAsia="Arial" w:hAnsi="Arial"/>
          <w:sz w:val="19"/>
          <w:szCs w:val="19"/>
          <w:color w:val="auto"/>
        </w:rPr>
        <w:t>Date (the “[ *** ]”) and (</w:t>
      </w:r>
      <w:r>
        <w:rPr>
          <w:rFonts w:ascii="Arial" w:cs="Arial" w:eastAsia="Arial" w:hAnsi="Arial"/>
          <w:sz w:val="19"/>
          <w:szCs w:val="19"/>
          <w:u w:val="single" w:color="auto"/>
          <w:color w:val="auto"/>
        </w:rPr>
        <w:t>C</w:t>
      </w:r>
      <w:r>
        <w:rPr>
          <w:rFonts w:ascii="Arial" w:cs="Arial" w:eastAsia="Arial" w:hAnsi="Arial"/>
          <w:sz w:val="19"/>
          <w:szCs w:val="19"/>
          <w:color w:val="auto"/>
        </w:rPr>
        <w:t xml:space="preserve">) with respect to [ *** ] in the Final Plan Portfolio, as valued as of the close of business on the day immediately preceding the Closing Date in accordance with the methodology set forth in </w:t>
      </w:r>
      <w:r>
        <w:rPr>
          <w:rFonts w:ascii="Arial" w:cs="Arial" w:eastAsia="Arial" w:hAnsi="Arial"/>
          <w:sz w:val="19"/>
          <w:szCs w:val="19"/>
          <w:u w:val="single" w:color="auto"/>
          <w:color w:val="auto"/>
        </w:rPr>
        <w:t>Appendix 2.6</w:t>
      </w:r>
      <w:r>
        <w:rPr>
          <w:rFonts w:ascii="Arial" w:cs="Arial" w:eastAsia="Arial" w:hAnsi="Arial"/>
          <w:sz w:val="19"/>
          <w:szCs w:val="19"/>
          <w:color w:val="auto"/>
        </w:rPr>
        <w:t>, it being understood that with respect to any [ *** ], the value of such [ *** ] shall be unchanged from the value of such [ *** ] calculated in connection with the Final Pre-Closing Asset Valuation (collectively, the “</w:t>
      </w:r>
      <w:r>
        <w:rPr>
          <w:rFonts w:ascii="Arial" w:cs="Arial" w:eastAsia="Arial" w:hAnsi="Arial"/>
          <w:sz w:val="19"/>
          <w:szCs w:val="19"/>
          <w:u w:val="single" w:color="auto"/>
          <w:color w:val="auto"/>
        </w:rPr>
        <w:t>Interim Closing Asset Valuation</w:t>
      </w:r>
      <w:r>
        <w:rPr>
          <w:rFonts w:ascii="Arial" w:cs="Arial" w:eastAsia="Arial" w:hAnsi="Arial"/>
          <w:sz w:val="19"/>
          <w:szCs w:val="19"/>
          <w:color w:val="auto"/>
        </w:rPr>
        <w:t xml:space="preserve">”); provided that if the Plan Investment Fiduciary fails to deliver an Interim Closing Asset Valuation pursuant to this </w:t>
      </w:r>
      <w:r>
        <w:rPr>
          <w:rFonts w:ascii="Arial" w:cs="Arial" w:eastAsia="Arial" w:hAnsi="Arial"/>
          <w:sz w:val="19"/>
          <w:szCs w:val="19"/>
          <w:u w:val="single" w:color="auto"/>
          <w:color w:val="auto"/>
        </w:rPr>
        <w:t>Section 2.10(a)</w:t>
      </w:r>
      <w:r>
        <w:rPr>
          <w:rFonts w:ascii="Arial" w:cs="Arial" w:eastAsia="Arial" w:hAnsi="Arial"/>
          <w:sz w:val="19"/>
          <w:szCs w:val="19"/>
          <w:color w:val="auto"/>
        </w:rPr>
        <w:t>, the Insurer shall deliver to the Company an Interim Closing Asset</w:t>
      </w:r>
    </w:p>
    <w:p>
      <w:pPr>
        <w:spacing w:after="0" w:line="1"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 xml:space="preserve">Valuation with respect to Broker Quote Public Bonds, [ *** ] in connection with its calculation of the Interim Post-Closing Final Premium in accordance with the methodologies set forth in </w:t>
      </w:r>
      <w:r>
        <w:rPr>
          <w:rFonts w:ascii="Arial" w:cs="Arial" w:eastAsia="Arial" w:hAnsi="Arial"/>
          <w:sz w:val="20"/>
          <w:szCs w:val="20"/>
          <w:u w:val="single" w:color="auto"/>
          <w:color w:val="auto"/>
        </w:rPr>
        <w:t>Appendix 2.6</w:t>
      </w:r>
      <w:r>
        <w:rPr>
          <w:rFonts w:ascii="Arial" w:cs="Arial" w:eastAsia="Arial" w:hAnsi="Arial"/>
          <w:sz w:val="20"/>
          <w:szCs w:val="20"/>
          <w:color w:val="auto"/>
        </w:rPr>
        <w:t>.</w:t>
      </w:r>
    </w:p>
    <w:p>
      <w:pPr>
        <w:spacing w:after="0" w:line="203" w:lineRule="exact"/>
        <w:rPr>
          <w:sz w:val="20"/>
          <w:szCs w:val="20"/>
          <w:color w:val="auto"/>
        </w:rPr>
      </w:pPr>
    </w:p>
    <w:p>
      <w:pPr>
        <w:ind w:left="1440" w:hanging="839"/>
        <w:spacing w:after="0"/>
        <w:tabs>
          <w:tab w:leader="none" w:pos="1440" w:val="left"/>
        </w:tabs>
        <w:numPr>
          <w:ilvl w:val="0"/>
          <w:numId w:val="42"/>
        </w:numPr>
        <w:rPr>
          <w:rFonts w:ascii="Arial" w:cs="Arial" w:eastAsia="Arial" w:hAnsi="Arial"/>
          <w:sz w:val="20"/>
          <w:szCs w:val="20"/>
          <w:color w:val="auto"/>
        </w:rPr>
      </w:pPr>
      <w:r>
        <w:rPr>
          <w:rFonts w:ascii="Arial" w:cs="Arial" w:eastAsia="Arial" w:hAnsi="Arial"/>
          <w:sz w:val="20"/>
          <w:szCs w:val="20"/>
          <w:color w:val="auto"/>
        </w:rPr>
        <w:t>If the Closing Date has occurred on or prior to December 10, 2012, then on or prior to December 20, 2012:</w:t>
      </w:r>
    </w:p>
    <w:p>
      <w:pPr>
        <w:spacing w:after="0" w:line="25" w:lineRule="exact"/>
        <w:rPr>
          <w:rFonts w:ascii="Arial" w:cs="Arial" w:eastAsia="Arial" w:hAnsi="Arial"/>
          <w:sz w:val="20"/>
          <w:szCs w:val="20"/>
          <w:color w:val="auto"/>
        </w:rPr>
      </w:pPr>
    </w:p>
    <w:p>
      <w:pPr>
        <w:jc w:val="both"/>
        <w:ind w:left="600" w:firstLine="602"/>
        <w:spacing w:after="0" w:line="293" w:lineRule="auto"/>
        <w:tabs>
          <w:tab w:leader="none" w:pos="1990" w:val="left"/>
        </w:tabs>
        <w:numPr>
          <w:ilvl w:val="1"/>
          <w:numId w:val="42"/>
        </w:numPr>
        <w:rPr>
          <w:rFonts w:ascii="Arial" w:cs="Arial" w:eastAsia="Arial" w:hAnsi="Arial"/>
          <w:sz w:val="18"/>
          <w:szCs w:val="18"/>
          <w:color w:val="auto"/>
        </w:rPr>
      </w:pPr>
      <w:r>
        <w:rPr>
          <w:rFonts w:ascii="Arial" w:cs="Arial" w:eastAsia="Arial" w:hAnsi="Arial"/>
          <w:sz w:val="18"/>
          <w:szCs w:val="18"/>
          <w:color w:val="auto"/>
        </w:rPr>
        <w:t>the Insurer shall deliver to the Company a calculation of the Interim Post-Closing Post-Solicitation Premium. The “</w:t>
      </w:r>
      <w:r>
        <w:rPr>
          <w:rFonts w:ascii="Arial" w:cs="Arial" w:eastAsia="Arial" w:hAnsi="Arial"/>
          <w:sz w:val="18"/>
          <w:szCs w:val="18"/>
          <w:u w:val="single" w:color="auto"/>
          <w:color w:val="auto"/>
        </w:rPr>
        <w:t>Interim Post-Closing Post-Solicitation Premium</w:t>
      </w:r>
      <w:r>
        <w:rPr>
          <w:rFonts w:ascii="Arial" w:cs="Arial" w:eastAsia="Arial" w:hAnsi="Arial"/>
          <w:sz w:val="18"/>
          <w:szCs w:val="18"/>
          <w:color w:val="auto"/>
        </w:rPr>
        <w:t>” which shall be an amount, calculated by the Insurer, equal to (</w:t>
      </w:r>
      <w:r>
        <w:rPr>
          <w:rFonts w:ascii="Arial" w:cs="Arial" w:eastAsia="Arial" w:hAnsi="Arial"/>
          <w:sz w:val="18"/>
          <w:szCs w:val="18"/>
          <w:u w:val="single" w:color="auto"/>
          <w:color w:val="auto"/>
        </w:rPr>
        <w:t>A</w:t>
      </w:r>
      <w:r>
        <w:rPr>
          <w:rFonts w:ascii="Arial" w:cs="Arial" w:eastAsia="Arial" w:hAnsi="Arial"/>
          <w:sz w:val="18"/>
          <w:szCs w:val="18"/>
          <w:color w:val="auto"/>
        </w:rPr>
        <w:t xml:space="preserve">) the Preliminary Post-Solicitation Premium, </w:t>
      </w:r>
      <w:r>
        <w:rPr>
          <w:rFonts w:ascii="Arial" w:cs="Arial" w:eastAsia="Arial" w:hAnsi="Arial"/>
          <w:sz w:val="18"/>
          <w:szCs w:val="18"/>
          <w:i w:val="1"/>
          <w:iCs w:val="1"/>
          <w:color w:val="auto"/>
        </w:rPr>
        <w:t>minus</w:t>
      </w:r>
      <w:r>
        <w:rPr>
          <w:rFonts w:ascii="Arial" w:cs="Arial" w:eastAsia="Arial" w:hAnsi="Arial"/>
          <w:sz w:val="18"/>
          <w:szCs w:val="18"/>
          <w:color w:val="auto"/>
        </w:rPr>
        <w:t xml:space="preserve"> (</w:t>
      </w:r>
      <w:r>
        <w:rPr>
          <w:rFonts w:ascii="Arial" w:cs="Arial" w:eastAsia="Arial" w:hAnsi="Arial"/>
          <w:sz w:val="18"/>
          <w:szCs w:val="18"/>
          <w:u w:val="single" w:color="auto"/>
          <w:color w:val="auto"/>
        </w:rPr>
        <w:t>B</w:t>
      </w:r>
      <w:r>
        <w:rPr>
          <w:rFonts w:ascii="Arial" w:cs="Arial" w:eastAsia="Arial" w:hAnsi="Arial"/>
          <w:sz w:val="18"/>
          <w:szCs w:val="18"/>
          <w:color w:val="auto"/>
        </w:rPr>
        <w:t xml:space="preserve">) the Interim Post-Closing Single Life Mortality Correction, </w:t>
      </w:r>
      <w:r>
        <w:rPr>
          <w:rFonts w:ascii="Arial" w:cs="Arial" w:eastAsia="Arial" w:hAnsi="Arial"/>
          <w:sz w:val="18"/>
          <w:szCs w:val="18"/>
          <w:i w:val="1"/>
          <w:iCs w:val="1"/>
          <w:color w:val="auto"/>
        </w:rPr>
        <w:t>plus</w:t>
      </w:r>
      <w:r>
        <w:rPr>
          <w:rFonts w:ascii="Arial" w:cs="Arial" w:eastAsia="Arial" w:hAnsi="Arial"/>
          <w:sz w:val="18"/>
          <w:szCs w:val="18"/>
          <w:color w:val="auto"/>
        </w:rPr>
        <w:t xml:space="preserve"> (</w:t>
      </w:r>
      <w:r>
        <w:rPr>
          <w:rFonts w:ascii="Arial" w:cs="Arial" w:eastAsia="Arial" w:hAnsi="Arial"/>
          <w:sz w:val="18"/>
          <w:szCs w:val="18"/>
          <w:u w:val="single" w:color="auto"/>
          <w:color w:val="auto"/>
        </w:rPr>
        <w:t>C</w:t>
      </w:r>
      <w:r>
        <w:rPr>
          <w:rFonts w:ascii="Arial" w:cs="Arial" w:eastAsia="Arial" w:hAnsi="Arial"/>
          <w:sz w:val="18"/>
          <w:szCs w:val="18"/>
          <w:color w:val="auto"/>
        </w:rPr>
        <w:t>) the Interim Post-Closing [</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ectPr>
          <w:pgSz w:w="11900" w:h="16838" w:orient="portrait"/>
          <w:cols w:equalWidth="0" w:num="1">
            <w:col w:w="11420"/>
          </w:cols>
          <w:pgMar w:left="240" w:top="556" w:right="239" w:bottom="1440" w:gutter="0" w:footer="0" w:header="0"/>
        </w:sectPr>
      </w:pPr>
    </w:p>
    <w:bookmarkStart w:id="44" w:name="page45"/>
    <w:bookmarkEnd w:id="44"/>
    <w:p>
      <w:pPr>
        <w:ind w:left="1400" w:hanging="799"/>
        <w:spacing w:after="0"/>
        <w:tabs>
          <w:tab w:leader="none" w:pos="1400" w:val="left"/>
        </w:tabs>
        <w:numPr>
          <w:ilvl w:val="0"/>
          <w:numId w:val="43"/>
        </w:numPr>
        <w:rPr>
          <w:rFonts w:ascii="Arial" w:cs="Arial" w:eastAsia="Arial" w:hAnsi="Arial"/>
          <w:sz w:val="19"/>
          <w:szCs w:val="19"/>
          <w:color w:val="auto"/>
        </w:rPr>
      </w:pPr>
      <w:r>
        <w:rPr>
          <w:rFonts w:ascii="Arial" w:cs="Arial" w:eastAsia="Arial" w:hAnsi="Arial"/>
          <w:sz w:val="19"/>
          <w:szCs w:val="19"/>
          <w:color w:val="auto"/>
        </w:rPr>
        <w:t xml:space="preserve">], </w:t>
      </w:r>
      <w:r>
        <w:rPr>
          <w:rFonts w:ascii="Arial" w:cs="Arial" w:eastAsia="Arial" w:hAnsi="Arial"/>
          <w:sz w:val="19"/>
          <w:szCs w:val="19"/>
          <w:i w:val="1"/>
          <w:iCs w:val="1"/>
          <w:color w:val="auto"/>
        </w:rPr>
        <w:t>plus</w:t>
      </w:r>
      <w:r>
        <w:rPr>
          <w:rFonts w:ascii="Arial" w:cs="Arial" w:eastAsia="Arial" w:hAnsi="Arial"/>
          <w:sz w:val="19"/>
          <w:szCs w:val="19"/>
          <w:color w:val="auto"/>
        </w:rPr>
        <w:t xml:space="preserve"> (</w:t>
      </w:r>
      <w:r>
        <w:rPr>
          <w:rFonts w:ascii="Arial" w:cs="Arial" w:eastAsia="Arial" w:hAnsi="Arial"/>
          <w:sz w:val="19"/>
          <w:szCs w:val="19"/>
          <w:u w:val="single" w:color="auto"/>
          <w:color w:val="auto"/>
        </w:rPr>
        <w:t>D</w:t>
      </w:r>
      <w:r>
        <w:rPr>
          <w:rFonts w:ascii="Arial" w:cs="Arial" w:eastAsia="Arial" w:hAnsi="Arial"/>
          <w:sz w:val="19"/>
          <w:szCs w:val="19"/>
          <w:color w:val="auto"/>
        </w:rPr>
        <w:t xml:space="preserve">) the Interim Post-Closing Additional Classification Error Correction, </w:t>
      </w:r>
      <w:r>
        <w:rPr>
          <w:rFonts w:ascii="Arial" w:cs="Arial" w:eastAsia="Arial" w:hAnsi="Arial"/>
          <w:sz w:val="19"/>
          <w:szCs w:val="19"/>
          <w:i w:val="1"/>
          <w:iCs w:val="1"/>
          <w:color w:val="auto"/>
        </w:rPr>
        <w:t>plus</w:t>
      </w:r>
      <w:r>
        <w:rPr>
          <w:rFonts w:ascii="Arial" w:cs="Arial" w:eastAsia="Arial" w:hAnsi="Arial"/>
          <w:sz w:val="19"/>
          <w:szCs w:val="19"/>
          <w:color w:val="auto"/>
        </w:rPr>
        <w:t xml:space="preserve"> (</w:t>
      </w:r>
      <w:r>
        <w:rPr>
          <w:rFonts w:ascii="Arial" w:cs="Arial" w:eastAsia="Arial" w:hAnsi="Arial"/>
          <w:sz w:val="19"/>
          <w:szCs w:val="19"/>
          <w:u w:val="single" w:color="auto"/>
          <w:color w:val="auto"/>
        </w:rPr>
        <w:t>E</w:t>
      </w:r>
      <w:r>
        <w:rPr>
          <w:rFonts w:ascii="Arial" w:cs="Arial" w:eastAsia="Arial" w:hAnsi="Arial"/>
          <w:sz w:val="19"/>
          <w:szCs w:val="19"/>
          <w:color w:val="auto"/>
        </w:rPr>
        <w:t>) the Interim Post-Closing Benefit</w:t>
      </w:r>
    </w:p>
    <w:p>
      <w:pPr>
        <w:spacing w:after="0" w:line="37" w:lineRule="exact"/>
        <w:rPr>
          <w:sz w:val="20"/>
          <w:szCs w:val="20"/>
          <w:color w:val="auto"/>
        </w:rPr>
      </w:pPr>
    </w:p>
    <w:p>
      <w:pPr>
        <w:ind w:left="600"/>
        <w:spacing w:after="0" w:line="257" w:lineRule="auto"/>
        <w:rPr>
          <w:sz w:val="20"/>
          <w:szCs w:val="20"/>
          <w:color w:val="auto"/>
        </w:rPr>
      </w:pPr>
      <w:r>
        <w:rPr>
          <w:rFonts w:ascii="Arial" w:cs="Arial" w:eastAsia="Arial" w:hAnsi="Arial"/>
          <w:sz w:val="20"/>
          <w:szCs w:val="20"/>
          <w:color w:val="auto"/>
        </w:rPr>
        <w:t>Amount Correction (for the avoidance of doubt, the Interim Post-Closing [ *** ], the Interim Post-Closing Additional Classification Error Correction and the Interim Post-Closing Benefit Amount Correction could be negative numbers);</w:t>
      </w:r>
    </w:p>
    <w:p>
      <w:pPr>
        <w:spacing w:after="0" w:line="203" w:lineRule="exact"/>
        <w:rPr>
          <w:sz w:val="20"/>
          <w:szCs w:val="20"/>
          <w:color w:val="auto"/>
        </w:rPr>
      </w:pPr>
    </w:p>
    <w:p>
      <w:pPr>
        <w:jc w:val="both"/>
        <w:ind w:left="600" w:firstLine="602"/>
        <w:spacing w:after="0" w:line="279" w:lineRule="auto"/>
        <w:tabs>
          <w:tab w:leader="none" w:pos="2046" w:val="left"/>
        </w:tabs>
        <w:numPr>
          <w:ilvl w:val="0"/>
          <w:numId w:val="44"/>
        </w:numPr>
        <w:rPr>
          <w:rFonts w:ascii="Arial" w:cs="Arial" w:eastAsia="Arial" w:hAnsi="Arial"/>
          <w:sz w:val="18"/>
          <w:szCs w:val="18"/>
          <w:color w:val="auto"/>
        </w:rPr>
      </w:pPr>
      <w:r>
        <w:rPr>
          <w:rFonts w:ascii="Arial" w:cs="Arial" w:eastAsia="Arial" w:hAnsi="Arial"/>
          <w:sz w:val="18"/>
          <w:szCs w:val="18"/>
          <w:color w:val="auto"/>
        </w:rPr>
        <w:t xml:space="preserve">the Insurer shall calculate and deliver to the Company, and the Company and the Insurer shall jointly direct the Independent Third Party to deliver to the Company and the Insurer, a calculation of the Interim Post-Closing Final Premium in the form of </w:t>
      </w:r>
      <w:r>
        <w:rPr>
          <w:rFonts w:ascii="Arial" w:cs="Arial" w:eastAsia="Arial" w:hAnsi="Arial"/>
          <w:sz w:val="18"/>
          <w:szCs w:val="18"/>
          <w:u w:val="single" w:color="auto"/>
          <w:color w:val="auto"/>
        </w:rPr>
        <w:t>Appendix 2.7</w:t>
      </w:r>
      <w:r>
        <w:rPr>
          <w:rFonts w:ascii="Arial" w:cs="Arial" w:eastAsia="Arial" w:hAnsi="Arial"/>
          <w:sz w:val="18"/>
          <w:szCs w:val="18"/>
          <w:color w:val="auto"/>
        </w:rPr>
        <w:t xml:space="preserve"> (including a proposed Annuity Exhibit). The “</w:t>
      </w:r>
      <w:r>
        <w:rPr>
          <w:rFonts w:ascii="Arial" w:cs="Arial" w:eastAsia="Arial" w:hAnsi="Arial"/>
          <w:sz w:val="18"/>
          <w:szCs w:val="18"/>
          <w:u w:val="single" w:color="auto"/>
          <w:color w:val="auto"/>
        </w:rPr>
        <w:t>Interim Post-Closing Final Premium</w:t>
      </w:r>
      <w:r>
        <w:rPr>
          <w:rFonts w:ascii="Arial" w:cs="Arial" w:eastAsia="Arial" w:hAnsi="Arial"/>
          <w:sz w:val="18"/>
          <w:szCs w:val="18"/>
          <w:color w:val="auto"/>
        </w:rPr>
        <w:t>” shall be equal to (</w:t>
      </w:r>
      <w:r>
        <w:rPr>
          <w:rFonts w:ascii="Arial" w:cs="Arial" w:eastAsia="Arial" w:hAnsi="Arial"/>
          <w:sz w:val="18"/>
          <w:szCs w:val="18"/>
          <w:u w:val="single" w:color="auto"/>
          <w:color w:val="auto"/>
        </w:rPr>
        <w:t>A</w:t>
      </w:r>
      <w:r>
        <w:rPr>
          <w:rFonts w:ascii="Arial" w:cs="Arial" w:eastAsia="Arial" w:hAnsi="Arial"/>
          <w:sz w:val="18"/>
          <w:szCs w:val="18"/>
          <w:color w:val="auto"/>
        </w:rPr>
        <w:t xml:space="preserve">) the Interim Post-Closing Post-Solicitation Premium </w:t>
      </w:r>
      <w:r>
        <w:rPr>
          <w:rFonts w:ascii="Arial" w:cs="Arial" w:eastAsia="Arial" w:hAnsi="Arial"/>
          <w:sz w:val="18"/>
          <w:szCs w:val="18"/>
          <w:i w:val="1"/>
          <w:iCs w:val="1"/>
          <w:color w:val="auto"/>
        </w:rPr>
        <w:t>multiplied by</w:t>
      </w:r>
      <w:r>
        <w:rPr>
          <w:rFonts w:ascii="Arial" w:cs="Arial" w:eastAsia="Arial" w:hAnsi="Arial"/>
          <w:sz w:val="18"/>
          <w:szCs w:val="18"/>
          <w:color w:val="auto"/>
        </w:rPr>
        <w:t xml:space="preserve"> (</w:t>
      </w:r>
      <w:r>
        <w:rPr>
          <w:rFonts w:ascii="Arial" w:cs="Arial" w:eastAsia="Arial" w:hAnsi="Arial"/>
          <w:sz w:val="18"/>
          <w:szCs w:val="18"/>
          <w:u w:val="single" w:color="auto"/>
          <w:color w:val="auto"/>
        </w:rPr>
        <w:t>B</w:t>
      </w:r>
      <w:r>
        <w:rPr>
          <w:rFonts w:ascii="Arial" w:cs="Arial" w:eastAsia="Arial" w:hAnsi="Arial"/>
          <w:sz w:val="18"/>
          <w:szCs w:val="18"/>
          <w:color w:val="auto"/>
        </w:rPr>
        <w:t xml:space="preserve">) 100% plus the Closing Date Adjustment, </w:t>
      </w:r>
      <w:r>
        <w:rPr>
          <w:rFonts w:ascii="Arial" w:cs="Arial" w:eastAsia="Arial" w:hAnsi="Arial"/>
          <w:sz w:val="18"/>
          <w:szCs w:val="18"/>
          <w:i w:val="1"/>
          <w:iCs w:val="1"/>
          <w:color w:val="auto"/>
        </w:rPr>
        <w:t>multiplied by</w:t>
      </w:r>
      <w:r>
        <w:rPr>
          <w:rFonts w:ascii="Arial" w:cs="Arial" w:eastAsia="Arial" w:hAnsi="Arial"/>
          <w:sz w:val="18"/>
          <w:szCs w:val="18"/>
          <w:color w:val="auto"/>
        </w:rPr>
        <w:t xml:space="preserve"> (</w:t>
      </w:r>
      <w:r>
        <w:rPr>
          <w:rFonts w:ascii="Arial" w:cs="Arial" w:eastAsia="Arial" w:hAnsi="Arial"/>
          <w:sz w:val="18"/>
          <w:szCs w:val="18"/>
          <w:u w:val="single" w:color="auto"/>
          <w:color w:val="auto"/>
        </w:rPr>
        <w:t>C</w:t>
      </w:r>
      <w:r>
        <w:rPr>
          <w:rFonts w:ascii="Arial" w:cs="Arial" w:eastAsia="Arial" w:hAnsi="Arial"/>
          <w:sz w:val="18"/>
          <w:szCs w:val="18"/>
          <w:color w:val="auto"/>
        </w:rPr>
        <w:t>) the sum of (</w:t>
      </w:r>
      <w:r>
        <w:rPr>
          <w:rFonts w:ascii="Arial" w:cs="Arial" w:eastAsia="Arial" w:hAnsi="Arial"/>
          <w:sz w:val="18"/>
          <w:szCs w:val="18"/>
          <w:u w:val="single" w:color="auto"/>
          <w:color w:val="auto"/>
        </w:rPr>
        <w:t>I</w:t>
      </w:r>
      <w:r>
        <w:rPr>
          <w:rFonts w:ascii="Arial" w:cs="Arial" w:eastAsia="Arial" w:hAnsi="Arial"/>
          <w:sz w:val="18"/>
          <w:szCs w:val="18"/>
          <w:color w:val="auto"/>
        </w:rPr>
        <w:t>) the Closing CMA Adjustment and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the Closing SCA Adjustment, </w:t>
      </w:r>
      <w:r>
        <w:rPr>
          <w:rFonts w:ascii="Arial" w:cs="Arial" w:eastAsia="Arial" w:hAnsi="Arial"/>
          <w:sz w:val="18"/>
          <w:szCs w:val="18"/>
          <w:i w:val="1"/>
          <w:iCs w:val="1"/>
          <w:color w:val="auto"/>
        </w:rPr>
        <w:t>multiplied by</w:t>
      </w:r>
      <w:r>
        <w:rPr>
          <w:rFonts w:ascii="Arial" w:cs="Arial" w:eastAsia="Arial" w:hAnsi="Arial"/>
          <w:sz w:val="18"/>
          <w:szCs w:val="18"/>
          <w:color w:val="auto"/>
        </w:rPr>
        <w:t xml:space="preserve"> (</w:t>
      </w:r>
      <w:r>
        <w:rPr>
          <w:rFonts w:ascii="Arial" w:cs="Arial" w:eastAsia="Arial" w:hAnsi="Arial"/>
          <w:sz w:val="18"/>
          <w:szCs w:val="18"/>
          <w:u w:val="single" w:color="auto"/>
          <w:color w:val="auto"/>
        </w:rPr>
        <w:t>D</w:t>
      </w:r>
      <w:r>
        <w:rPr>
          <w:rFonts w:ascii="Arial" w:cs="Arial" w:eastAsia="Arial" w:hAnsi="Arial"/>
          <w:sz w:val="18"/>
          <w:szCs w:val="18"/>
          <w:color w:val="auto"/>
        </w:rPr>
        <w:t>) 100% plus the Closing PFS Adjustment,</w:t>
      </w:r>
    </w:p>
    <w:p>
      <w:pPr>
        <w:spacing w:after="0" w:line="4" w:lineRule="exact"/>
        <w:rPr>
          <w:sz w:val="20"/>
          <w:szCs w:val="20"/>
          <w:color w:val="auto"/>
        </w:rPr>
      </w:pPr>
    </w:p>
    <w:p>
      <w:pPr>
        <w:ind w:left="600"/>
        <w:spacing w:after="0"/>
        <w:tabs>
          <w:tab w:leader="none" w:pos="2560" w:val="left"/>
          <w:tab w:leader="none" w:pos="3200" w:val="left"/>
          <w:tab w:leader="none" w:pos="7300" w:val="left"/>
          <w:tab w:leader="none" w:pos="7940" w:val="left"/>
        </w:tabs>
        <w:rPr>
          <w:sz w:val="20"/>
          <w:szCs w:val="20"/>
          <w:color w:val="auto"/>
        </w:rPr>
      </w:pPr>
      <w:r>
        <w:rPr>
          <w:rFonts w:ascii="Arial" w:cs="Arial" w:eastAsia="Arial" w:hAnsi="Arial"/>
          <w:sz w:val="20"/>
          <w:szCs w:val="20"/>
          <w:i w:val="1"/>
          <w:iCs w:val="1"/>
          <w:color w:val="auto"/>
        </w:rPr>
        <w:t xml:space="preserve">plus </w:t>
      </w:r>
      <w:r>
        <w:rPr>
          <w:rFonts w:ascii="Arial" w:cs="Arial" w:eastAsia="Arial" w:hAnsi="Arial"/>
          <w:sz w:val="20"/>
          <w:szCs w:val="20"/>
          <w:color w:val="auto"/>
        </w:rPr>
        <w:t>(</w:t>
      </w:r>
      <w:r>
        <w:rPr>
          <w:rFonts w:ascii="Arial" w:cs="Arial" w:eastAsia="Arial" w:hAnsi="Arial"/>
          <w:sz w:val="20"/>
          <w:szCs w:val="20"/>
          <w:u w:val="single" w:color="auto"/>
          <w:color w:val="auto"/>
        </w:rPr>
        <w:t>E</w:t>
      </w:r>
      <w:r>
        <w:rPr>
          <w:rFonts w:ascii="Arial" w:cs="Arial" w:eastAsia="Arial" w:hAnsi="Arial"/>
          <w:sz w:val="20"/>
          <w:szCs w:val="20"/>
          <w:color w:val="auto"/>
        </w:rPr>
        <w:t>) the Closing [</w:t>
      </w:r>
      <w:r>
        <w:rPr>
          <w:sz w:val="20"/>
          <w:szCs w:val="20"/>
          <w:color w:val="auto"/>
        </w:rPr>
        <w:tab/>
      </w:r>
      <w:r>
        <w:rPr>
          <w:rFonts w:ascii="Arial" w:cs="Arial" w:eastAsia="Arial" w:hAnsi="Arial"/>
          <w:sz w:val="20"/>
          <w:szCs w:val="20"/>
          <w:color w:val="auto"/>
        </w:rPr>
        <w:t>***</w:t>
      </w:r>
      <w:r>
        <w:rPr>
          <w:sz w:val="20"/>
          <w:szCs w:val="20"/>
          <w:color w:val="auto"/>
        </w:rPr>
        <w:tab/>
      </w:r>
      <w:r>
        <w:rPr>
          <w:rFonts w:ascii="Arial" w:cs="Arial" w:eastAsia="Arial" w:hAnsi="Arial"/>
          <w:sz w:val="20"/>
          <w:szCs w:val="20"/>
          <w:color w:val="auto"/>
        </w:rPr>
        <w:t xml:space="preserve">] Adjustment, </w:t>
      </w:r>
      <w:r>
        <w:rPr>
          <w:rFonts w:ascii="Arial" w:cs="Arial" w:eastAsia="Arial" w:hAnsi="Arial"/>
          <w:sz w:val="20"/>
          <w:szCs w:val="20"/>
          <w:i w:val="1"/>
          <w:iCs w:val="1"/>
          <w:color w:val="auto"/>
        </w:rPr>
        <w:t>plus</w:t>
      </w:r>
      <w:r>
        <w:rPr>
          <w:rFonts w:ascii="Arial" w:cs="Arial" w:eastAsia="Arial" w:hAnsi="Arial"/>
          <w:sz w:val="20"/>
          <w:szCs w:val="20"/>
          <w:color w:val="auto"/>
        </w:rPr>
        <w:t xml:space="preserve"> (</w:t>
      </w:r>
      <w:r>
        <w:rPr>
          <w:rFonts w:ascii="Arial" w:cs="Arial" w:eastAsia="Arial" w:hAnsi="Arial"/>
          <w:sz w:val="20"/>
          <w:szCs w:val="20"/>
          <w:u w:val="single" w:color="auto"/>
          <w:color w:val="auto"/>
        </w:rPr>
        <w:t>F</w:t>
      </w:r>
      <w:r>
        <w:rPr>
          <w:rFonts w:ascii="Arial" w:cs="Arial" w:eastAsia="Arial" w:hAnsi="Arial"/>
          <w:sz w:val="20"/>
          <w:szCs w:val="20"/>
          <w:color w:val="auto"/>
        </w:rPr>
        <w:t>) the Incremental Interim [</w:t>
        <w:tab/>
        <w:t>***</w:t>
      </w:r>
      <w:r>
        <w:rPr>
          <w:sz w:val="20"/>
          <w:szCs w:val="20"/>
          <w:color w:val="auto"/>
        </w:rPr>
        <w:tab/>
      </w:r>
      <w:r>
        <w:rPr>
          <w:rFonts w:ascii="Arial" w:cs="Arial" w:eastAsia="Arial" w:hAnsi="Arial"/>
          <w:sz w:val="18"/>
          <w:szCs w:val="18"/>
          <w:color w:val="auto"/>
        </w:rPr>
        <w:t>] Adjustment; and</w:t>
      </w:r>
    </w:p>
    <w:p>
      <w:pPr>
        <w:spacing w:after="0" w:line="228" w:lineRule="exact"/>
        <w:rPr>
          <w:sz w:val="20"/>
          <w:szCs w:val="20"/>
          <w:color w:val="auto"/>
        </w:rPr>
      </w:pPr>
    </w:p>
    <w:p>
      <w:pPr>
        <w:ind w:left="2100" w:hanging="898"/>
        <w:spacing w:after="0"/>
        <w:tabs>
          <w:tab w:leader="none" w:pos="2100" w:val="left"/>
        </w:tabs>
        <w:numPr>
          <w:ilvl w:val="1"/>
          <w:numId w:val="45"/>
        </w:numPr>
        <w:rPr>
          <w:rFonts w:ascii="Arial" w:cs="Arial" w:eastAsia="Arial" w:hAnsi="Arial"/>
          <w:sz w:val="19"/>
          <w:szCs w:val="19"/>
          <w:color w:val="auto"/>
        </w:rPr>
      </w:pPr>
      <w:r>
        <w:rPr>
          <w:rFonts w:ascii="Arial" w:cs="Arial" w:eastAsia="Arial" w:hAnsi="Arial"/>
          <w:sz w:val="19"/>
          <w:szCs w:val="19"/>
          <w:color w:val="auto"/>
        </w:rPr>
        <w:t>the Insurer shall produce and deliver to the Company and the Independent Third Party an updated Transferred</w:t>
      </w:r>
    </w:p>
    <w:p>
      <w:pPr>
        <w:spacing w:after="0" w:line="37" w:lineRule="exact"/>
        <w:rPr>
          <w:rFonts w:ascii="Arial" w:cs="Arial" w:eastAsia="Arial" w:hAnsi="Arial"/>
          <w:sz w:val="19"/>
          <w:szCs w:val="19"/>
          <w:color w:val="auto"/>
        </w:rPr>
      </w:pPr>
    </w:p>
    <w:p>
      <w:pPr>
        <w:ind w:left="600"/>
        <w:spacing w:after="0"/>
        <w:rPr>
          <w:rFonts w:ascii="Arial" w:cs="Arial" w:eastAsia="Arial" w:hAnsi="Arial"/>
          <w:sz w:val="19"/>
          <w:szCs w:val="19"/>
          <w:color w:val="auto"/>
        </w:rPr>
      </w:pPr>
      <w:r>
        <w:rPr>
          <w:rFonts w:ascii="Arial" w:cs="Arial" w:eastAsia="Arial" w:hAnsi="Arial"/>
          <w:sz w:val="20"/>
          <w:szCs w:val="20"/>
          <w:color w:val="auto"/>
        </w:rPr>
        <w:t>Assets Schedule.</w:t>
      </w:r>
    </w:p>
    <w:p>
      <w:pPr>
        <w:spacing w:after="0" w:line="227" w:lineRule="exact"/>
        <w:rPr>
          <w:rFonts w:ascii="Arial" w:cs="Arial" w:eastAsia="Arial" w:hAnsi="Arial"/>
          <w:sz w:val="19"/>
          <w:szCs w:val="19"/>
          <w:color w:val="auto"/>
        </w:rPr>
      </w:pPr>
    </w:p>
    <w:p>
      <w:pPr>
        <w:ind w:left="1420" w:hanging="819"/>
        <w:spacing w:after="0"/>
        <w:tabs>
          <w:tab w:leader="none" w:pos="1420" w:val="left"/>
        </w:tabs>
        <w:numPr>
          <w:ilvl w:val="0"/>
          <w:numId w:val="46"/>
        </w:numPr>
        <w:rPr>
          <w:rFonts w:ascii="Arial" w:cs="Arial" w:eastAsia="Arial" w:hAnsi="Arial"/>
          <w:sz w:val="19"/>
          <w:szCs w:val="19"/>
          <w:color w:val="auto"/>
        </w:rPr>
      </w:pPr>
      <w:r>
        <w:rPr>
          <w:rFonts w:ascii="Arial" w:cs="Arial" w:eastAsia="Arial" w:hAnsi="Arial"/>
          <w:sz w:val="19"/>
          <w:szCs w:val="19"/>
          <w:color w:val="auto"/>
        </w:rPr>
        <w:t>Within 5 Business Days of the delivery by the Insurer of the calculation of the Interim Post-Closing Final Premium:</w:t>
      </w:r>
    </w:p>
    <w:p>
      <w:pPr>
        <w:spacing w:after="0" w:line="257" w:lineRule="exact"/>
        <w:rPr>
          <w:rFonts w:ascii="Arial" w:cs="Arial" w:eastAsia="Arial" w:hAnsi="Arial"/>
          <w:sz w:val="19"/>
          <w:szCs w:val="19"/>
          <w:color w:val="auto"/>
        </w:rPr>
      </w:pPr>
    </w:p>
    <w:p>
      <w:pPr>
        <w:jc w:val="both"/>
        <w:ind w:left="600" w:firstLine="602"/>
        <w:spacing w:after="0" w:line="255" w:lineRule="auto"/>
        <w:tabs>
          <w:tab w:leader="none" w:pos="1990" w:val="left"/>
        </w:tabs>
        <w:numPr>
          <w:ilvl w:val="1"/>
          <w:numId w:val="46"/>
        </w:numPr>
        <w:rPr>
          <w:rFonts w:ascii="Arial" w:cs="Arial" w:eastAsia="Arial" w:hAnsi="Arial"/>
          <w:sz w:val="20"/>
          <w:szCs w:val="20"/>
          <w:color w:val="auto"/>
        </w:rPr>
      </w:pPr>
      <w:r>
        <w:rPr>
          <w:rFonts w:ascii="Arial" w:cs="Arial" w:eastAsia="Arial" w:hAnsi="Arial"/>
          <w:sz w:val="20"/>
          <w:szCs w:val="20"/>
          <w:color w:val="auto"/>
        </w:rPr>
        <w:t>if the sum of (</w:t>
      </w:r>
      <w:r>
        <w:rPr>
          <w:rFonts w:ascii="Arial" w:cs="Arial" w:eastAsia="Arial" w:hAnsi="Arial"/>
          <w:sz w:val="20"/>
          <w:szCs w:val="20"/>
          <w:u w:val="single" w:color="auto"/>
          <w:color w:val="auto"/>
        </w:rPr>
        <w:t>A</w:t>
      </w:r>
      <w:r>
        <w:rPr>
          <w:rFonts w:ascii="Arial" w:cs="Arial" w:eastAsia="Arial" w:hAnsi="Arial"/>
          <w:sz w:val="20"/>
          <w:szCs w:val="20"/>
          <w:color w:val="auto"/>
        </w:rPr>
        <w:t>) the aggregate value of the assets in the Final Plan Portfolio specified in the Interim Closing Asset Valuation and (</w:t>
      </w:r>
      <w:r>
        <w:rPr>
          <w:rFonts w:ascii="Arial" w:cs="Arial" w:eastAsia="Arial" w:hAnsi="Arial"/>
          <w:sz w:val="20"/>
          <w:szCs w:val="20"/>
          <w:u w:val="single" w:color="auto"/>
          <w:color w:val="auto"/>
        </w:rPr>
        <w:t>B</w:t>
      </w:r>
      <w:r>
        <w:rPr>
          <w:rFonts w:ascii="Arial" w:cs="Arial" w:eastAsia="Arial" w:hAnsi="Arial"/>
          <w:sz w:val="20"/>
          <w:szCs w:val="20"/>
          <w:color w:val="auto"/>
        </w:rPr>
        <w:t xml:space="preserve">) the amount of the Cash Closing Payment exceeds the amount of the Interim Post-Closing Final Premium, then, subject to the execution by the Plan Trustee of an amendment of the Group Annuity Contract in connection with </w:t>
      </w:r>
      <w:r>
        <w:rPr>
          <w:rFonts w:ascii="Arial" w:cs="Arial" w:eastAsia="Arial" w:hAnsi="Arial"/>
          <w:sz w:val="20"/>
          <w:szCs w:val="20"/>
          <w:u w:val="single" w:color="auto"/>
          <w:color w:val="auto"/>
        </w:rPr>
        <w:t>Section 2.19</w:t>
      </w:r>
      <w:r>
        <w:rPr>
          <w:rFonts w:ascii="Arial" w:cs="Arial" w:eastAsia="Arial" w:hAnsi="Arial"/>
          <w:sz w:val="20"/>
          <w:szCs w:val="20"/>
          <w:color w:val="auto"/>
        </w:rPr>
        <w:t>, either Insurer Parent or the Insurer shall pay to the Plan Trustee an amount, in Cash, equal to such excess (the “</w:t>
      </w:r>
      <w:r>
        <w:rPr>
          <w:rFonts w:ascii="Arial" w:cs="Arial" w:eastAsia="Arial" w:hAnsi="Arial"/>
          <w:sz w:val="20"/>
          <w:szCs w:val="20"/>
          <w:u w:val="single" w:color="auto"/>
          <w:color w:val="auto"/>
        </w:rPr>
        <w:t>Interim Post-Closing Insurer</w:t>
      </w:r>
      <w:r>
        <w:rPr>
          <w:rFonts w:ascii="Arial" w:cs="Arial" w:eastAsia="Arial" w:hAnsi="Arial"/>
          <w:sz w:val="20"/>
          <w:szCs w:val="20"/>
          <w:color w:val="auto"/>
        </w:rPr>
        <w:t xml:space="preserve"> </w:t>
      </w:r>
      <w:r>
        <w:rPr>
          <w:rFonts w:ascii="Arial" w:cs="Arial" w:eastAsia="Arial" w:hAnsi="Arial"/>
          <w:sz w:val="20"/>
          <w:szCs w:val="20"/>
          <w:u w:val="single" w:color="auto"/>
          <w:color w:val="auto"/>
        </w:rPr>
        <w:t>Payment</w:t>
      </w:r>
      <w:r>
        <w:rPr>
          <w:rFonts w:ascii="Arial" w:cs="Arial" w:eastAsia="Arial" w:hAnsi="Arial"/>
          <w:sz w:val="20"/>
          <w:szCs w:val="20"/>
          <w:color w:val="auto"/>
        </w:rPr>
        <w:t>”); and</w:t>
      </w:r>
    </w:p>
    <w:p>
      <w:pPr>
        <w:spacing w:after="0" w:line="205" w:lineRule="exact"/>
        <w:rPr>
          <w:sz w:val="20"/>
          <w:szCs w:val="20"/>
          <w:color w:val="auto"/>
        </w:rPr>
      </w:pPr>
    </w:p>
    <w:p>
      <w:pPr>
        <w:jc w:val="both"/>
        <w:ind w:left="600" w:firstLine="602"/>
        <w:spacing w:after="0" w:line="255" w:lineRule="auto"/>
        <w:tabs>
          <w:tab w:leader="none" w:pos="2046" w:val="left"/>
        </w:tabs>
        <w:numPr>
          <w:ilvl w:val="1"/>
          <w:numId w:val="47"/>
        </w:numPr>
        <w:rPr>
          <w:rFonts w:ascii="Arial" w:cs="Arial" w:eastAsia="Arial" w:hAnsi="Arial"/>
          <w:sz w:val="20"/>
          <w:szCs w:val="20"/>
          <w:color w:val="auto"/>
        </w:rPr>
      </w:pPr>
      <w:r>
        <w:rPr>
          <w:rFonts w:ascii="Arial" w:cs="Arial" w:eastAsia="Arial" w:hAnsi="Arial"/>
          <w:sz w:val="20"/>
          <w:szCs w:val="20"/>
          <w:color w:val="auto"/>
        </w:rPr>
        <w:t>if the amount of the Interim Post-Closing Final Premium exceeds the sum of (</w:t>
      </w:r>
      <w:r>
        <w:rPr>
          <w:rFonts w:ascii="Arial" w:cs="Arial" w:eastAsia="Arial" w:hAnsi="Arial"/>
          <w:sz w:val="20"/>
          <w:szCs w:val="20"/>
          <w:u w:val="single" w:color="auto"/>
          <w:color w:val="auto"/>
        </w:rPr>
        <w:t>A</w:t>
      </w:r>
      <w:r>
        <w:rPr>
          <w:rFonts w:ascii="Arial" w:cs="Arial" w:eastAsia="Arial" w:hAnsi="Arial"/>
          <w:sz w:val="20"/>
          <w:szCs w:val="20"/>
          <w:color w:val="auto"/>
        </w:rPr>
        <w:t>) the aggregate value of the assets in the Final Plan Portfolio specified in the Interim Closing Asset Valuation and (</w:t>
      </w:r>
      <w:r>
        <w:rPr>
          <w:rFonts w:ascii="Arial" w:cs="Arial" w:eastAsia="Arial" w:hAnsi="Arial"/>
          <w:sz w:val="20"/>
          <w:szCs w:val="20"/>
          <w:u w:val="single" w:color="auto"/>
          <w:color w:val="auto"/>
        </w:rPr>
        <w:t>B</w:t>
      </w:r>
      <w:r>
        <w:rPr>
          <w:rFonts w:ascii="Arial" w:cs="Arial" w:eastAsia="Arial" w:hAnsi="Arial"/>
          <w:sz w:val="20"/>
          <w:szCs w:val="20"/>
          <w:color w:val="auto"/>
        </w:rPr>
        <w:t xml:space="preserve">) the amount of the Cash Closing Payment, then, subject to the execution by the Insurer of an amendment of the Group Annuity Contract in connection with </w:t>
      </w:r>
      <w:r>
        <w:rPr>
          <w:rFonts w:ascii="Arial" w:cs="Arial" w:eastAsia="Arial" w:hAnsi="Arial"/>
          <w:sz w:val="20"/>
          <w:szCs w:val="20"/>
          <w:u w:val="single" w:color="auto"/>
          <w:color w:val="auto"/>
        </w:rPr>
        <w:t>Section 2.19</w:t>
      </w:r>
      <w:r>
        <w:rPr>
          <w:rFonts w:ascii="Arial" w:cs="Arial" w:eastAsia="Arial" w:hAnsi="Arial"/>
          <w:sz w:val="20"/>
          <w:szCs w:val="20"/>
          <w:color w:val="auto"/>
        </w:rPr>
        <w:t>, the Independent Fiduciary shall irrevocably direct the Plan Trustee to pay to the Insurer an amount, in Cash, equal to such excess (the “</w:t>
      </w:r>
      <w:r>
        <w:rPr>
          <w:rFonts w:ascii="Arial" w:cs="Arial" w:eastAsia="Arial" w:hAnsi="Arial"/>
          <w:sz w:val="20"/>
          <w:szCs w:val="20"/>
          <w:u w:val="single" w:color="auto"/>
          <w:color w:val="auto"/>
        </w:rPr>
        <w:t>Interim Post-Closing Plan Payment</w:t>
      </w:r>
      <w:r>
        <w:rPr>
          <w:rFonts w:ascii="Arial" w:cs="Arial" w:eastAsia="Arial" w:hAnsi="Arial"/>
          <w:sz w:val="20"/>
          <w:szCs w:val="20"/>
          <w:color w:val="auto"/>
        </w:rPr>
        <w:t>”).</w:t>
      </w:r>
    </w:p>
    <w:p>
      <w:pPr>
        <w:spacing w:after="0" w:line="205" w:lineRule="exact"/>
        <w:rPr>
          <w:rFonts w:ascii="Arial" w:cs="Arial" w:eastAsia="Arial" w:hAnsi="Arial"/>
          <w:sz w:val="20"/>
          <w:szCs w:val="20"/>
          <w:color w:val="auto"/>
        </w:rPr>
      </w:pPr>
    </w:p>
    <w:p>
      <w:pPr>
        <w:jc w:val="both"/>
        <w:ind w:firstLine="601"/>
        <w:spacing w:after="0" w:line="261" w:lineRule="auto"/>
        <w:tabs>
          <w:tab w:leader="none" w:pos="1435" w:val="left"/>
        </w:tabs>
        <w:numPr>
          <w:ilvl w:val="0"/>
          <w:numId w:val="48"/>
        </w:numPr>
        <w:rPr>
          <w:rFonts w:ascii="Arial" w:cs="Arial" w:eastAsia="Arial" w:hAnsi="Arial"/>
          <w:sz w:val="20"/>
          <w:szCs w:val="20"/>
          <w:color w:val="auto"/>
        </w:rPr>
      </w:pPr>
      <w:r>
        <w:rPr>
          <w:rFonts w:ascii="Arial" w:cs="Arial" w:eastAsia="Arial" w:hAnsi="Arial"/>
          <w:sz w:val="20"/>
          <w:szCs w:val="20"/>
          <w:color w:val="auto"/>
        </w:rPr>
        <w:t xml:space="preserve">The Company shall make available to the Plan, Cash in the amount necessary to enable the Plan Trustee to pay all amounts that it is directed to pay to the Insurer by the Independent Fiduciary pursuant to this </w:t>
      </w:r>
      <w:r>
        <w:rPr>
          <w:rFonts w:ascii="Arial" w:cs="Arial" w:eastAsia="Arial" w:hAnsi="Arial"/>
          <w:sz w:val="20"/>
          <w:szCs w:val="20"/>
          <w:u w:val="single" w:color="auto"/>
          <w:color w:val="auto"/>
        </w:rPr>
        <w:t>Section 2.10</w:t>
      </w:r>
      <w:r>
        <w:rPr>
          <w:rFonts w:ascii="Arial" w:cs="Arial" w:eastAsia="Arial" w:hAnsi="Arial"/>
          <w:sz w:val="20"/>
          <w:szCs w:val="20"/>
          <w:color w:val="auto"/>
        </w:rPr>
        <w:t>. The Plan Trustee shall unconditionally pay all such amounts to the Insurer pursuant to the Plan Trustee Agreement.</w:t>
      </w:r>
    </w:p>
    <w:p>
      <w:pPr>
        <w:spacing w:after="0" w:line="200" w:lineRule="exact"/>
        <w:rPr>
          <w:rFonts w:ascii="Arial" w:cs="Arial" w:eastAsia="Arial" w:hAnsi="Arial"/>
          <w:sz w:val="20"/>
          <w:szCs w:val="20"/>
          <w:color w:val="auto"/>
        </w:rPr>
      </w:pPr>
    </w:p>
    <w:p>
      <w:pPr>
        <w:jc w:val="both"/>
        <w:ind w:firstLine="601"/>
        <w:spacing w:after="0" w:line="282" w:lineRule="auto"/>
        <w:tabs>
          <w:tab w:leader="none" w:pos="1424" w:val="left"/>
        </w:tabs>
        <w:numPr>
          <w:ilvl w:val="0"/>
          <w:numId w:val="48"/>
        </w:numPr>
        <w:rPr>
          <w:rFonts w:ascii="Arial" w:cs="Arial" w:eastAsia="Arial" w:hAnsi="Arial"/>
          <w:sz w:val="19"/>
          <w:szCs w:val="19"/>
          <w:color w:val="auto"/>
        </w:rPr>
      </w:pPr>
      <w:r>
        <w:rPr>
          <w:rFonts w:ascii="Arial" w:cs="Arial" w:eastAsia="Arial" w:hAnsi="Arial"/>
          <w:sz w:val="19"/>
          <w:szCs w:val="19"/>
          <w:color w:val="auto"/>
        </w:rPr>
        <w:t>Three (3) Business Days prior to the date of the Insurer's delivery of the Interim Post-Closing Premium, the Company and the Insurer shall jointly direct the Independent Third Party to prepare an Interim Post-Closing Final Premium, which it shall deliver to the Company and the Insurer on the same date that the Insurer delivers its calculation of the Interim Post-Closing Final Premium.</w:t>
      </w:r>
    </w:p>
    <w:p>
      <w:pPr>
        <w:spacing w:after="0" w:line="381" w:lineRule="exact"/>
        <w:rPr>
          <w:sz w:val="20"/>
          <w:szCs w:val="20"/>
          <w:color w:val="auto"/>
        </w:rPr>
      </w:pPr>
    </w:p>
    <w:p>
      <w:pPr>
        <w:ind w:left="600"/>
        <w:spacing w:after="0"/>
        <w:tabs>
          <w:tab w:leader="none" w:pos="1780" w:val="left"/>
        </w:tabs>
        <w:rPr>
          <w:sz w:val="20"/>
          <w:szCs w:val="20"/>
          <w:color w:val="auto"/>
        </w:rPr>
      </w:pPr>
      <w:r>
        <w:rPr>
          <w:rFonts w:ascii="Arial" w:cs="Arial" w:eastAsia="Arial" w:hAnsi="Arial"/>
          <w:sz w:val="20"/>
          <w:szCs w:val="20"/>
          <w:color w:val="auto"/>
        </w:rPr>
        <w:t>Section 2.11</w:t>
      </w:r>
      <w:r>
        <w:rPr>
          <w:sz w:val="20"/>
          <w:szCs w:val="20"/>
          <w:color w:val="auto"/>
        </w:rPr>
        <w:tab/>
      </w:r>
      <w:r>
        <w:rPr>
          <w:rFonts w:ascii="Arial" w:cs="Arial" w:eastAsia="Arial" w:hAnsi="Arial"/>
          <w:sz w:val="18"/>
          <w:szCs w:val="18"/>
          <w:u w:val="single" w:color="auto"/>
          <w:color w:val="auto"/>
        </w:rPr>
        <w:t>Final Valuation of Final Plan Portfolio and Post-Closing Final Premium</w:t>
      </w:r>
      <w:r>
        <w:rPr>
          <w:rFonts w:ascii="Arial" w:cs="Arial" w:eastAsia="Arial" w:hAnsi="Arial"/>
          <w:sz w:val="18"/>
          <w:szCs w:val="18"/>
          <w:color w:val="auto"/>
        </w:rPr>
        <w:t>.</w:t>
      </w:r>
    </w:p>
    <w:p>
      <w:pPr>
        <w:spacing w:after="0" w:line="246" w:lineRule="exact"/>
        <w:rPr>
          <w:sz w:val="20"/>
          <w:szCs w:val="20"/>
          <w:color w:val="auto"/>
        </w:rPr>
      </w:pPr>
    </w:p>
    <w:p>
      <w:pPr>
        <w:ind w:firstLine="601"/>
        <w:spacing w:after="0" w:line="275" w:lineRule="auto"/>
        <w:tabs>
          <w:tab w:leader="none" w:pos="1086" w:val="left"/>
        </w:tabs>
        <w:numPr>
          <w:ilvl w:val="0"/>
          <w:numId w:val="49"/>
        </w:numPr>
        <w:rPr>
          <w:rFonts w:ascii="Arial" w:cs="Arial" w:eastAsia="Arial" w:hAnsi="Arial"/>
          <w:sz w:val="20"/>
          <w:szCs w:val="20"/>
          <w:color w:val="auto"/>
        </w:rPr>
      </w:pPr>
      <w:r>
        <w:rPr>
          <w:rFonts w:ascii="Arial" w:cs="Arial" w:eastAsia="Arial" w:hAnsi="Arial"/>
          <w:sz w:val="20"/>
          <w:szCs w:val="20"/>
          <w:color w:val="auto"/>
        </w:rPr>
        <w:t>On or prior to the day that is 80 days following the Closing Date, the Plan Investment Fiduciary shall deliver to the Insurer a calculation of the value of each asset in the Final Plan Portfolio, (</w:t>
      </w:r>
      <w:r>
        <w:rPr>
          <w:rFonts w:ascii="Arial" w:cs="Arial" w:eastAsia="Arial" w:hAnsi="Arial"/>
          <w:sz w:val="20"/>
          <w:szCs w:val="20"/>
          <w:u w:val="single" w:color="auto"/>
          <w:color w:val="auto"/>
        </w:rPr>
        <w:t>A</w:t>
      </w:r>
      <w:r>
        <w:rPr>
          <w:rFonts w:ascii="Arial" w:cs="Arial" w:eastAsia="Arial" w:hAnsi="Arial"/>
          <w:sz w:val="20"/>
          <w:szCs w:val="20"/>
          <w:color w:val="auto"/>
        </w:rPr>
        <w:t>) with respect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ectPr>
          <w:pgSz w:w="11900" w:h="16838" w:orient="portrait"/>
          <w:cols w:equalWidth="0" w:num="1">
            <w:col w:w="11420"/>
          </w:cols>
          <w:pgMar w:left="240" w:top="556" w:right="2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38"/>
        </w:trPr>
        <w:tc>
          <w:tcPr>
            <w:tcW w:w="1340" w:type="dxa"/>
            <w:vAlign w:val="bottom"/>
            <w:gridSpan w:val="3"/>
          </w:tcPr>
          <w:p>
            <w:pPr>
              <w:spacing w:after="0"/>
              <w:rPr>
                <w:sz w:val="20"/>
                <w:szCs w:val="20"/>
                <w:color w:val="auto"/>
              </w:rPr>
            </w:pPr>
            <w:r>
              <w:rPr>
                <w:rFonts w:ascii="Arial" w:cs="Arial" w:eastAsia="Arial" w:hAnsi="Arial"/>
                <w:sz w:val="20"/>
                <w:szCs w:val="20"/>
                <w:color w:val="auto"/>
              </w:rPr>
              <w:t>to the [   ***</w:t>
            </w:r>
          </w:p>
        </w:tc>
        <w:tc>
          <w:tcPr>
            <w:tcW w:w="6820" w:type="dxa"/>
            <w:vAlign w:val="bottom"/>
            <w:gridSpan w:val="5"/>
          </w:tcPr>
          <w:p>
            <w:pPr>
              <w:ind w:left="200"/>
              <w:spacing w:after="0"/>
              <w:rPr>
                <w:sz w:val="20"/>
                <w:szCs w:val="20"/>
                <w:color w:val="auto"/>
              </w:rPr>
            </w:pPr>
            <w:r>
              <w:rPr>
                <w:rFonts w:ascii="Arial" w:cs="Arial" w:eastAsia="Arial" w:hAnsi="Arial"/>
                <w:sz w:val="20"/>
                <w:szCs w:val="20"/>
                <w:color w:val="auto"/>
                <w:w w:val="99"/>
              </w:rPr>
              <w:t>] included in the Final Plan Portfolio, valued in an amount equal to the [   ***</w:t>
            </w:r>
          </w:p>
        </w:tc>
        <w:tc>
          <w:tcPr>
            <w:tcW w:w="3260" w:type="dxa"/>
            <w:vAlign w:val="bottom"/>
            <w:gridSpan w:val="3"/>
          </w:tcPr>
          <w:p>
            <w:pPr>
              <w:jc w:val="right"/>
              <w:spacing w:after="0"/>
              <w:rPr>
                <w:sz w:val="20"/>
                <w:szCs w:val="20"/>
                <w:color w:val="auto"/>
              </w:rPr>
            </w:pPr>
            <w:r>
              <w:rPr>
                <w:rFonts w:ascii="Arial" w:cs="Arial" w:eastAsia="Arial" w:hAnsi="Arial"/>
                <w:sz w:val="20"/>
                <w:szCs w:val="20"/>
                <w:color w:val="auto"/>
                <w:w w:val="99"/>
              </w:rPr>
              <w:t>] in connection with calculation of the</w:t>
            </w:r>
          </w:p>
        </w:tc>
      </w:tr>
      <w:tr>
        <w:trPr>
          <w:trHeight w:val="209"/>
        </w:trPr>
        <w:tc>
          <w:tcPr>
            <w:tcW w:w="5540" w:type="dxa"/>
            <w:vAlign w:val="bottom"/>
            <w:gridSpan w:val="7"/>
          </w:tcPr>
          <w:p>
            <w:pPr>
              <w:spacing w:after="0" w:line="209" w:lineRule="exact"/>
              <w:rPr>
                <w:sz w:val="20"/>
                <w:szCs w:val="20"/>
                <w:color w:val="auto"/>
              </w:rPr>
            </w:pPr>
            <w:r>
              <w:rPr>
                <w:rFonts w:ascii="Arial" w:cs="Arial" w:eastAsia="Arial" w:hAnsi="Arial"/>
                <w:sz w:val="20"/>
                <w:szCs w:val="20"/>
                <w:color w:val="auto"/>
                <w:w w:val="97"/>
              </w:rPr>
              <w:t>Final Pre-Closing Asset Valuation (B) with respect to each [   ***</w:t>
            </w:r>
          </w:p>
        </w:tc>
        <w:tc>
          <w:tcPr>
            <w:tcW w:w="4760" w:type="dxa"/>
            <w:vAlign w:val="bottom"/>
            <w:gridSpan w:val="2"/>
          </w:tcPr>
          <w:p>
            <w:pPr>
              <w:ind w:left="180"/>
              <w:spacing w:after="0" w:line="209" w:lineRule="exact"/>
              <w:rPr>
                <w:sz w:val="20"/>
                <w:szCs w:val="20"/>
                <w:color w:val="auto"/>
              </w:rPr>
            </w:pPr>
            <w:r>
              <w:rPr>
                <w:rFonts w:ascii="Arial" w:cs="Arial" w:eastAsia="Arial" w:hAnsi="Arial"/>
                <w:sz w:val="20"/>
                <w:szCs w:val="20"/>
                <w:color w:val="auto"/>
                <w:w w:val="93"/>
              </w:rPr>
              <w:t>] in the Final Plan Portfolio, valued in an amount equal [</w:t>
            </w:r>
          </w:p>
        </w:tc>
        <w:tc>
          <w:tcPr>
            <w:tcW w:w="600" w:type="dxa"/>
            <w:vAlign w:val="bottom"/>
          </w:tcPr>
          <w:p>
            <w:pPr>
              <w:jc w:val="right"/>
              <w:spacing w:after="0" w:line="209" w:lineRule="exact"/>
              <w:rPr>
                <w:sz w:val="20"/>
                <w:szCs w:val="20"/>
                <w:color w:val="auto"/>
              </w:rPr>
            </w:pPr>
            <w:r>
              <w:rPr>
                <w:rFonts w:ascii="Arial" w:cs="Arial" w:eastAsia="Arial" w:hAnsi="Arial"/>
                <w:sz w:val="20"/>
                <w:szCs w:val="20"/>
                <w:color w:val="auto"/>
              </w:rPr>
              <w:t>***</w:t>
            </w:r>
          </w:p>
        </w:tc>
        <w:tc>
          <w:tcPr>
            <w:tcW w:w="520" w:type="dxa"/>
            <w:vAlign w:val="bottom"/>
          </w:tcPr>
          <w:p>
            <w:pPr>
              <w:jc w:val="right"/>
              <w:spacing w:after="0" w:line="209" w:lineRule="exact"/>
              <w:rPr>
                <w:sz w:val="20"/>
                <w:szCs w:val="20"/>
                <w:color w:val="auto"/>
              </w:rPr>
            </w:pPr>
            <w:r>
              <w:rPr>
                <w:rFonts w:ascii="Arial" w:cs="Arial" w:eastAsia="Arial" w:hAnsi="Arial"/>
                <w:sz w:val="20"/>
                <w:szCs w:val="20"/>
                <w:color w:val="auto"/>
              </w:rPr>
              <w:t>] in</w:t>
            </w:r>
          </w:p>
        </w:tc>
      </w:tr>
      <w:tr>
        <w:trPr>
          <w:trHeight w:val="20"/>
        </w:trPr>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40" w:type="dxa"/>
            <w:vAlign w:val="bottom"/>
            <w:gridSpan w:val="3"/>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32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47"/>
        </w:trPr>
        <w:tc>
          <w:tcPr>
            <w:tcW w:w="10300" w:type="dxa"/>
            <w:vAlign w:val="bottom"/>
            <w:gridSpan w:val="9"/>
          </w:tcPr>
          <w:p>
            <w:pPr>
              <w:spacing w:after="0"/>
              <w:rPr>
                <w:sz w:val="20"/>
                <w:szCs w:val="20"/>
                <w:color w:val="auto"/>
              </w:rPr>
            </w:pPr>
            <w:r>
              <w:rPr>
                <w:rFonts w:ascii="Arial" w:cs="Arial" w:eastAsia="Arial" w:hAnsi="Arial"/>
                <w:sz w:val="20"/>
                <w:szCs w:val="20"/>
                <w:color w:val="auto"/>
                <w:w w:val="93"/>
              </w:rPr>
              <w:t>connection with calculation of the Interim Closing Asset Valuation or, if there has not been an Interim Closing Valuation, the [</w:t>
            </w:r>
          </w:p>
        </w:tc>
        <w:tc>
          <w:tcPr>
            <w:tcW w:w="600" w:type="dxa"/>
            <w:vAlign w:val="bottom"/>
          </w:tcPr>
          <w:p>
            <w:pPr>
              <w:jc w:val="right"/>
              <w:ind w:right="140"/>
              <w:spacing w:after="0"/>
              <w:rPr>
                <w:sz w:val="20"/>
                <w:szCs w:val="20"/>
                <w:color w:val="auto"/>
              </w:rPr>
            </w:pPr>
            <w:r>
              <w:rPr>
                <w:rFonts w:ascii="Arial" w:cs="Arial" w:eastAsia="Arial" w:hAnsi="Arial"/>
                <w:sz w:val="20"/>
                <w:szCs w:val="20"/>
                <w:color w:val="auto"/>
              </w:rPr>
              <w:t>***</w:t>
            </w:r>
          </w:p>
        </w:tc>
        <w:tc>
          <w:tcPr>
            <w:tcW w:w="520" w:type="dxa"/>
            <w:vAlign w:val="bottom"/>
          </w:tcPr>
          <w:p>
            <w:pPr>
              <w:jc w:val="right"/>
              <w:spacing w:after="0"/>
              <w:rPr>
                <w:sz w:val="20"/>
                <w:szCs w:val="20"/>
                <w:color w:val="auto"/>
              </w:rPr>
            </w:pPr>
            <w:r>
              <w:rPr>
                <w:rFonts w:ascii="Arial" w:cs="Arial" w:eastAsia="Arial" w:hAnsi="Arial"/>
                <w:sz w:val="20"/>
                <w:szCs w:val="20"/>
                <w:color w:val="auto"/>
              </w:rPr>
              <w:t>] and</w:t>
            </w:r>
          </w:p>
        </w:tc>
      </w:tr>
      <w:tr>
        <w:trPr>
          <w:trHeight w:val="209"/>
        </w:trPr>
        <w:tc>
          <w:tcPr>
            <w:tcW w:w="2340" w:type="dxa"/>
            <w:vAlign w:val="bottom"/>
            <w:gridSpan w:val="4"/>
          </w:tcPr>
          <w:p>
            <w:pPr>
              <w:spacing w:after="0" w:line="209" w:lineRule="exact"/>
              <w:rPr>
                <w:sz w:val="20"/>
                <w:szCs w:val="20"/>
                <w:color w:val="auto"/>
              </w:rPr>
            </w:pPr>
            <w:r>
              <w:rPr>
                <w:rFonts w:ascii="Arial" w:cs="Arial" w:eastAsia="Arial" w:hAnsi="Arial"/>
                <w:sz w:val="20"/>
                <w:szCs w:val="20"/>
                <w:color w:val="auto"/>
              </w:rPr>
              <w:t>(C) with respect to [   ***</w:t>
            </w:r>
          </w:p>
        </w:tc>
        <w:tc>
          <w:tcPr>
            <w:tcW w:w="9080" w:type="dxa"/>
            <w:vAlign w:val="bottom"/>
            <w:gridSpan w:val="7"/>
          </w:tcPr>
          <w:p>
            <w:pPr>
              <w:jc w:val="right"/>
              <w:spacing w:after="0" w:line="209" w:lineRule="exact"/>
              <w:rPr>
                <w:sz w:val="20"/>
                <w:szCs w:val="20"/>
                <w:color w:val="auto"/>
              </w:rPr>
            </w:pPr>
            <w:r>
              <w:rPr>
                <w:rFonts w:ascii="Arial" w:cs="Arial" w:eastAsia="Arial" w:hAnsi="Arial"/>
                <w:sz w:val="20"/>
                <w:szCs w:val="20"/>
                <w:color w:val="auto"/>
                <w:w w:val="92"/>
              </w:rPr>
              <w:t>] in the Final Plan Portfolio as valued as of the close of business on the day immediately preceding the Closing</w:t>
            </w:r>
          </w:p>
        </w:tc>
      </w:tr>
      <w:tr>
        <w:trPr>
          <w:trHeight w:val="20"/>
        </w:trPr>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bl>
    <w:p>
      <w:pPr>
        <w:spacing w:after="0" w:line="16" w:lineRule="exact"/>
        <w:rPr>
          <w:sz w:val="20"/>
          <w:szCs w:val="20"/>
          <w:color w:val="auto"/>
        </w:rPr>
      </w:pPr>
    </w:p>
    <w:p>
      <w:pPr>
        <w:jc w:val="both"/>
        <w:spacing w:after="0" w:line="286" w:lineRule="auto"/>
        <w:rPr>
          <w:sz w:val="20"/>
          <w:szCs w:val="20"/>
          <w:color w:val="auto"/>
        </w:rPr>
      </w:pPr>
      <w:r>
        <w:rPr>
          <w:rFonts w:ascii="Arial" w:cs="Arial" w:eastAsia="Arial" w:hAnsi="Arial"/>
          <w:sz w:val="18"/>
          <w:szCs w:val="18"/>
          <w:color w:val="auto"/>
        </w:rPr>
        <w:t xml:space="preserve">Date in accordance with the methodology set forth in </w:t>
      </w:r>
      <w:r>
        <w:rPr>
          <w:rFonts w:ascii="Arial" w:cs="Arial" w:eastAsia="Arial" w:hAnsi="Arial"/>
          <w:sz w:val="18"/>
          <w:szCs w:val="18"/>
          <w:u w:val="single" w:color="auto"/>
          <w:color w:val="auto"/>
        </w:rPr>
        <w:t>Appendix 2.6</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Closing Asset Valuation</w:t>
      </w:r>
      <w:r>
        <w:rPr>
          <w:rFonts w:ascii="Arial" w:cs="Arial" w:eastAsia="Arial" w:hAnsi="Arial"/>
          <w:sz w:val="18"/>
          <w:szCs w:val="18"/>
          <w:color w:val="auto"/>
        </w:rPr>
        <w:t xml:space="preserve">”); provided that if the Plan Investment Fiduciary fails to deliver a Closing Asset Valuation pursuant to this </w:t>
      </w:r>
      <w:r>
        <w:rPr>
          <w:rFonts w:ascii="Arial" w:cs="Arial" w:eastAsia="Arial" w:hAnsi="Arial"/>
          <w:sz w:val="18"/>
          <w:szCs w:val="18"/>
          <w:u w:val="single" w:color="auto"/>
          <w:color w:val="auto"/>
        </w:rPr>
        <w:t>Section 2.11(a)</w:t>
      </w:r>
      <w:r>
        <w:rPr>
          <w:rFonts w:ascii="Arial" w:cs="Arial" w:eastAsia="Arial" w:hAnsi="Arial"/>
          <w:sz w:val="18"/>
          <w:szCs w:val="18"/>
          <w:color w:val="auto"/>
        </w:rPr>
        <w:t>, the Insurer shall deliver to the Company a Closing Asset</w:t>
      </w:r>
    </w:p>
    <w:tbl>
      <w:tblPr>
        <w:tblLayout w:type="fixed"/>
        <w:tblInd w:w="0" w:type="dxa"/>
        <w:tblCellMar>
          <w:top w:w="0" w:type="dxa"/>
          <w:left w:w="0" w:type="dxa"/>
          <w:bottom w:w="0" w:type="dxa"/>
          <w:right w:w="0" w:type="dxa"/>
        </w:tblCellMar>
      </w:tblPr>
      <w:tr>
        <w:trPr>
          <w:trHeight w:val="220"/>
        </w:trPr>
        <w:tc>
          <w:tcPr>
            <w:tcW w:w="8300" w:type="dxa"/>
            <w:vAlign w:val="bottom"/>
            <w:gridSpan w:val="3"/>
          </w:tcPr>
          <w:p>
            <w:pPr>
              <w:spacing w:after="0" w:line="220" w:lineRule="exact"/>
              <w:rPr>
                <w:sz w:val="20"/>
                <w:szCs w:val="20"/>
                <w:color w:val="auto"/>
              </w:rPr>
            </w:pPr>
            <w:r>
              <w:rPr>
                <w:rFonts w:ascii="Arial" w:cs="Arial" w:eastAsia="Arial" w:hAnsi="Arial"/>
                <w:sz w:val="20"/>
                <w:szCs w:val="20"/>
                <w:color w:val="auto"/>
                <w:w w:val="99"/>
              </w:rPr>
              <w:t>Valuation in connection with its calculation of the Post-Closing Final Premium, with respect to [</w:t>
            </w:r>
          </w:p>
        </w:tc>
        <w:tc>
          <w:tcPr>
            <w:tcW w:w="760" w:type="dxa"/>
            <w:vAlign w:val="bottom"/>
          </w:tcPr>
          <w:p>
            <w:pPr>
              <w:jc w:val="right"/>
              <w:ind w:right="180"/>
              <w:spacing w:after="0" w:line="220" w:lineRule="exact"/>
              <w:rPr>
                <w:sz w:val="20"/>
                <w:szCs w:val="20"/>
                <w:color w:val="auto"/>
              </w:rPr>
            </w:pPr>
            <w:r>
              <w:rPr>
                <w:rFonts w:ascii="Arial" w:cs="Arial" w:eastAsia="Arial" w:hAnsi="Arial"/>
                <w:sz w:val="20"/>
                <w:szCs w:val="20"/>
                <w:color w:val="auto"/>
              </w:rPr>
              <w:t>***</w:t>
            </w:r>
          </w:p>
        </w:tc>
        <w:tc>
          <w:tcPr>
            <w:tcW w:w="2360" w:type="dxa"/>
            <w:vAlign w:val="bottom"/>
          </w:tcPr>
          <w:p>
            <w:pPr>
              <w:ind w:left="280"/>
              <w:spacing w:after="0" w:line="220" w:lineRule="exact"/>
              <w:rPr>
                <w:sz w:val="20"/>
                <w:szCs w:val="20"/>
                <w:color w:val="auto"/>
              </w:rPr>
            </w:pPr>
            <w:r>
              <w:rPr>
                <w:rFonts w:ascii="Arial" w:cs="Arial" w:eastAsia="Arial" w:hAnsi="Arial"/>
                <w:sz w:val="20"/>
                <w:szCs w:val="20"/>
                <w:color w:val="auto"/>
                <w:w w:val="95"/>
              </w:rPr>
              <w:t>], in accordance with the</w:t>
            </w:r>
          </w:p>
        </w:tc>
      </w:tr>
      <w:tr>
        <w:trPr>
          <w:trHeight w:val="209"/>
        </w:trPr>
        <w:tc>
          <w:tcPr>
            <w:tcW w:w="8300" w:type="dxa"/>
            <w:vAlign w:val="bottom"/>
            <w:gridSpan w:val="3"/>
          </w:tcPr>
          <w:p>
            <w:pPr>
              <w:spacing w:after="0" w:line="209" w:lineRule="exact"/>
              <w:rPr>
                <w:sz w:val="20"/>
                <w:szCs w:val="20"/>
                <w:color w:val="auto"/>
              </w:rPr>
            </w:pPr>
            <w:r>
              <w:rPr>
                <w:rFonts w:ascii="Arial" w:cs="Arial" w:eastAsia="Arial" w:hAnsi="Arial"/>
                <w:sz w:val="20"/>
                <w:szCs w:val="20"/>
                <w:color w:val="auto"/>
              </w:rPr>
              <w:t>methodologies set forth in Appendix 2.6.</w:t>
            </w:r>
          </w:p>
        </w:tc>
        <w:tc>
          <w:tcPr>
            <w:tcW w:w="76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0"/>
        </w:trPr>
        <w:tc>
          <w:tcPr>
            <w:tcW w:w="214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bl>
    <w:p>
      <w:pPr>
        <w:spacing w:after="0" w:line="254" w:lineRule="exact"/>
        <w:rPr>
          <w:sz w:val="20"/>
          <w:szCs w:val="20"/>
          <w:color w:val="auto"/>
        </w:rPr>
      </w:pPr>
    </w:p>
    <w:p>
      <w:pPr>
        <w:jc w:val="both"/>
        <w:ind w:firstLine="601"/>
        <w:spacing w:after="0" w:line="255" w:lineRule="auto"/>
        <w:tabs>
          <w:tab w:leader="none" w:pos="1082" w:val="left"/>
        </w:tabs>
        <w:numPr>
          <w:ilvl w:val="0"/>
          <w:numId w:val="50"/>
        </w:numPr>
        <w:rPr>
          <w:rFonts w:ascii="Arial" w:cs="Arial" w:eastAsia="Arial" w:hAnsi="Arial"/>
          <w:sz w:val="20"/>
          <w:szCs w:val="20"/>
          <w:color w:val="auto"/>
        </w:rPr>
      </w:pPr>
      <w:r>
        <w:rPr>
          <w:rFonts w:ascii="Arial" w:cs="Arial" w:eastAsia="Arial" w:hAnsi="Arial"/>
          <w:sz w:val="20"/>
          <w:szCs w:val="20"/>
          <w:color w:val="auto"/>
        </w:rPr>
        <w:t>From and after the Closing until the determination of the Post-Closing Final Premium, the Insurer will, in accordance with the Insurer's standard verification practices and procedures, review the Social Security Master Death file and the Lexis Nexis Accurint tool to attempt to determine if any Covered Lives or Contingent Lives are deceased. If either such data source indicates that a Covered Life or Contingent Life is deceased, the life will be deemed deceased, subject to the Insurer's standard verification practices and procedures. The Insurer will provide monthly updates of such mortality review.</w:t>
      </w:r>
    </w:p>
    <w:p>
      <w:pPr>
        <w:spacing w:after="0" w:line="205" w:lineRule="exact"/>
        <w:rPr>
          <w:rFonts w:ascii="Arial" w:cs="Arial" w:eastAsia="Arial" w:hAnsi="Arial"/>
          <w:sz w:val="20"/>
          <w:szCs w:val="20"/>
          <w:color w:val="auto"/>
        </w:rPr>
      </w:pPr>
    </w:p>
    <w:p>
      <w:pPr>
        <w:ind w:firstLine="601"/>
        <w:spacing w:after="0" w:line="275" w:lineRule="auto"/>
        <w:tabs>
          <w:tab w:leader="none" w:pos="1047" w:val="left"/>
        </w:tabs>
        <w:numPr>
          <w:ilvl w:val="0"/>
          <w:numId w:val="50"/>
        </w:numPr>
        <w:rPr>
          <w:rFonts w:ascii="Arial" w:cs="Arial" w:eastAsia="Arial" w:hAnsi="Arial"/>
          <w:sz w:val="20"/>
          <w:szCs w:val="20"/>
          <w:color w:val="auto"/>
        </w:rPr>
      </w:pPr>
      <w:r>
        <w:rPr>
          <w:rFonts w:ascii="Arial" w:cs="Arial" w:eastAsia="Arial" w:hAnsi="Arial"/>
          <w:sz w:val="20"/>
          <w:szCs w:val="20"/>
          <w:color w:val="auto"/>
        </w:rPr>
        <w:t>On or prior to the date that is 90 days following the Closing Date, but in no event earlier than March 1, 2013 (such date shall be the agreed upon Expected Data Finalization Date under the Group Annuity Contract):</w:t>
      </w:r>
    </w:p>
    <w:p>
      <w:pPr>
        <w:spacing w:after="0" w:line="186" w:lineRule="exact"/>
        <w:rPr>
          <w:rFonts w:ascii="Arial" w:cs="Arial" w:eastAsia="Arial" w:hAnsi="Arial"/>
          <w:sz w:val="20"/>
          <w:szCs w:val="20"/>
          <w:color w:val="auto"/>
        </w:rPr>
      </w:pPr>
    </w:p>
    <w:p>
      <w:pPr>
        <w:ind w:left="2000" w:hanging="798"/>
        <w:spacing w:after="0"/>
        <w:tabs>
          <w:tab w:leader="none" w:pos="2000" w:val="left"/>
        </w:tabs>
        <w:numPr>
          <w:ilvl w:val="1"/>
          <w:numId w:val="50"/>
        </w:numPr>
        <w:rPr>
          <w:rFonts w:ascii="Arial" w:cs="Arial" w:eastAsia="Arial" w:hAnsi="Arial"/>
          <w:sz w:val="19"/>
          <w:szCs w:val="19"/>
          <w:color w:val="auto"/>
        </w:rPr>
      </w:pPr>
      <w:r>
        <w:rPr>
          <w:rFonts w:ascii="Arial" w:cs="Arial" w:eastAsia="Arial" w:hAnsi="Arial"/>
          <w:sz w:val="19"/>
          <w:szCs w:val="19"/>
          <w:color w:val="auto"/>
        </w:rPr>
        <w:t>the Insurer shall deliver to the Company a calculation of the Post-Closing Post-Solicitation Premium. The “</w:t>
      </w:r>
      <w:r>
        <w:rPr>
          <w:rFonts w:ascii="Arial" w:cs="Arial" w:eastAsia="Arial" w:hAnsi="Arial"/>
          <w:sz w:val="19"/>
          <w:szCs w:val="19"/>
          <w:u w:val="single" w:color="auto"/>
          <w:color w:val="auto"/>
        </w:rPr>
        <w:t>Post-</w:t>
      </w:r>
    </w:p>
    <w:p>
      <w:pPr>
        <w:spacing w:after="0" w:line="37" w:lineRule="exact"/>
        <w:rPr>
          <w:sz w:val="20"/>
          <w:szCs w:val="20"/>
          <w:color w:val="auto"/>
        </w:rPr>
      </w:pPr>
    </w:p>
    <w:p>
      <w:pPr>
        <w:ind w:left="600"/>
        <w:spacing w:after="0" w:line="261" w:lineRule="auto"/>
        <w:rPr>
          <w:sz w:val="20"/>
          <w:szCs w:val="20"/>
          <w:color w:val="auto"/>
        </w:rPr>
      </w:pPr>
      <w:r>
        <w:rPr>
          <w:rFonts w:ascii="Arial" w:cs="Arial" w:eastAsia="Arial" w:hAnsi="Arial"/>
          <w:sz w:val="19"/>
          <w:szCs w:val="19"/>
          <w:u w:val="single" w:color="auto"/>
          <w:color w:val="auto"/>
        </w:rPr>
        <w:t>Closing Post-Solicitation Premium</w:t>
      </w:r>
      <w:r>
        <w:rPr>
          <w:rFonts w:ascii="Arial" w:cs="Arial" w:eastAsia="Arial" w:hAnsi="Arial"/>
          <w:sz w:val="19"/>
          <w:szCs w:val="19"/>
          <w:color w:val="auto"/>
        </w:rPr>
        <w:t>” shall be an amount, calculated by the Insurer, equal to (</w:t>
      </w:r>
      <w:r>
        <w:rPr>
          <w:rFonts w:ascii="Arial" w:cs="Arial" w:eastAsia="Arial" w:hAnsi="Arial"/>
          <w:sz w:val="19"/>
          <w:szCs w:val="19"/>
          <w:u w:val="single" w:color="auto"/>
          <w:color w:val="auto"/>
        </w:rPr>
        <w:t>A</w:t>
      </w:r>
      <w:r>
        <w:rPr>
          <w:rFonts w:ascii="Arial" w:cs="Arial" w:eastAsia="Arial" w:hAnsi="Arial"/>
          <w:sz w:val="19"/>
          <w:szCs w:val="19"/>
          <w:color w:val="auto"/>
        </w:rPr>
        <w:t>) the Interim Post-Closing Post-Solicitation Premium, or if no Interim Post-Closing Post-Solicitation Premium was delivered, the Preliminary Post-Solicitation</w:t>
      </w:r>
    </w:p>
    <w:tbl>
      <w:tblPr>
        <w:tblLayout w:type="fixed"/>
        <w:tblInd w:w="600" w:type="dxa"/>
        <w:tblCellMar>
          <w:top w:w="0" w:type="dxa"/>
          <w:left w:w="0" w:type="dxa"/>
          <w:bottom w:w="0" w:type="dxa"/>
          <w:right w:w="0" w:type="dxa"/>
        </w:tblCellMar>
      </w:tblPr>
      <w:tr>
        <w:trPr>
          <w:trHeight w:val="191"/>
        </w:trPr>
        <w:tc>
          <w:tcPr>
            <w:tcW w:w="7180" w:type="dxa"/>
            <w:vAlign w:val="bottom"/>
            <w:gridSpan w:val="7"/>
          </w:tcPr>
          <w:p>
            <w:pPr>
              <w:spacing w:after="0" w:line="191" w:lineRule="exact"/>
              <w:rPr>
                <w:sz w:val="20"/>
                <w:szCs w:val="20"/>
                <w:color w:val="auto"/>
              </w:rPr>
            </w:pPr>
            <w:r>
              <w:rPr>
                <w:rFonts w:ascii="Arial" w:cs="Arial" w:eastAsia="Arial" w:hAnsi="Arial"/>
                <w:sz w:val="20"/>
                <w:szCs w:val="20"/>
                <w:color w:val="auto"/>
              </w:rPr>
              <w:t xml:space="preserve">Premium, </w:t>
            </w:r>
            <w:r>
              <w:rPr>
                <w:rFonts w:ascii="Arial" w:cs="Arial" w:eastAsia="Arial" w:hAnsi="Arial"/>
                <w:sz w:val="20"/>
                <w:szCs w:val="20"/>
                <w:i w:val="1"/>
                <w:iCs w:val="1"/>
                <w:color w:val="auto"/>
              </w:rPr>
              <w:t>minus</w:t>
            </w:r>
            <w:r>
              <w:rPr>
                <w:rFonts w:ascii="Arial" w:cs="Arial" w:eastAsia="Arial" w:hAnsi="Arial"/>
                <w:sz w:val="20"/>
                <w:szCs w:val="20"/>
                <w:color w:val="auto"/>
              </w:rPr>
              <w:t xml:space="preserve"> (B) the Final Single Life Mortality Correction, </w:t>
            </w:r>
            <w:r>
              <w:rPr>
                <w:rFonts w:ascii="Arial" w:cs="Arial" w:eastAsia="Arial" w:hAnsi="Arial"/>
                <w:sz w:val="20"/>
                <w:szCs w:val="20"/>
                <w:i w:val="1"/>
                <w:iCs w:val="1"/>
                <w:color w:val="auto"/>
              </w:rPr>
              <w:t>plus</w:t>
            </w:r>
            <w:r>
              <w:rPr>
                <w:rFonts w:ascii="Arial" w:cs="Arial" w:eastAsia="Arial" w:hAnsi="Arial"/>
                <w:sz w:val="20"/>
                <w:szCs w:val="20"/>
                <w:color w:val="auto"/>
              </w:rPr>
              <w:t xml:space="preserve"> (C) the Final [</w:t>
            </w:r>
          </w:p>
        </w:tc>
        <w:tc>
          <w:tcPr>
            <w:tcW w:w="760" w:type="dxa"/>
            <w:vAlign w:val="bottom"/>
          </w:tcPr>
          <w:p>
            <w:pPr>
              <w:jc w:val="right"/>
              <w:ind w:right="160"/>
              <w:spacing w:after="0" w:line="191" w:lineRule="exact"/>
              <w:rPr>
                <w:sz w:val="20"/>
                <w:szCs w:val="20"/>
                <w:color w:val="auto"/>
              </w:rPr>
            </w:pPr>
            <w:r>
              <w:rPr>
                <w:rFonts w:ascii="Arial" w:cs="Arial" w:eastAsia="Arial" w:hAnsi="Arial"/>
                <w:sz w:val="20"/>
                <w:szCs w:val="20"/>
                <w:color w:val="auto"/>
              </w:rPr>
              <w:t>***</w:t>
            </w:r>
          </w:p>
        </w:tc>
        <w:tc>
          <w:tcPr>
            <w:tcW w:w="2880" w:type="dxa"/>
            <w:vAlign w:val="bottom"/>
            <w:gridSpan w:val="4"/>
          </w:tcPr>
          <w:p>
            <w:pPr>
              <w:jc w:val="right"/>
              <w:spacing w:after="0" w:line="191" w:lineRule="exact"/>
              <w:rPr>
                <w:sz w:val="20"/>
                <w:szCs w:val="20"/>
                <w:color w:val="auto"/>
              </w:rPr>
            </w:pPr>
            <w:r>
              <w:rPr>
                <w:rFonts w:ascii="Arial" w:cs="Arial" w:eastAsia="Arial" w:hAnsi="Arial"/>
                <w:sz w:val="20"/>
                <w:szCs w:val="20"/>
                <w:color w:val="auto"/>
              </w:rPr>
              <w:t xml:space="preserve">], </w:t>
            </w:r>
            <w:r>
              <w:rPr>
                <w:rFonts w:ascii="Arial" w:cs="Arial" w:eastAsia="Arial" w:hAnsi="Arial"/>
                <w:sz w:val="20"/>
                <w:szCs w:val="20"/>
                <w:i w:val="1"/>
                <w:iCs w:val="1"/>
                <w:color w:val="auto"/>
              </w:rPr>
              <w:t>plus</w:t>
            </w:r>
            <w:r>
              <w:rPr>
                <w:rFonts w:ascii="Arial" w:cs="Arial" w:eastAsia="Arial" w:hAnsi="Arial"/>
                <w:sz w:val="20"/>
                <w:szCs w:val="20"/>
                <w:color w:val="auto"/>
              </w:rPr>
              <w:t xml:space="preserve"> (D) the Final Additional</w:t>
            </w:r>
          </w:p>
        </w:tc>
      </w:tr>
      <w:tr>
        <w:trPr>
          <w:trHeight w:val="20"/>
        </w:trPr>
        <w:tc>
          <w:tcPr>
            <w:tcW w:w="14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80" w:type="dxa"/>
            <w:vAlign w:val="bottom"/>
            <w:gridSpan w:val="3"/>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18"/>
        </w:trPr>
        <w:tc>
          <w:tcPr>
            <w:tcW w:w="10220" w:type="dxa"/>
            <w:vAlign w:val="bottom"/>
            <w:gridSpan w:val="11"/>
          </w:tcPr>
          <w:p>
            <w:pPr>
              <w:spacing w:after="0" w:line="218" w:lineRule="exact"/>
              <w:rPr>
                <w:sz w:val="20"/>
                <w:szCs w:val="20"/>
                <w:color w:val="auto"/>
              </w:rPr>
            </w:pPr>
            <w:r>
              <w:rPr>
                <w:rFonts w:ascii="Arial" w:cs="Arial" w:eastAsia="Arial" w:hAnsi="Arial"/>
                <w:sz w:val="20"/>
                <w:szCs w:val="20"/>
                <w:color w:val="auto"/>
                <w:w w:val="97"/>
              </w:rPr>
              <w:t xml:space="preserve">Classification Error Correction, </w:t>
            </w:r>
            <w:r>
              <w:rPr>
                <w:rFonts w:ascii="Arial" w:cs="Arial" w:eastAsia="Arial" w:hAnsi="Arial"/>
                <w:sz w:val="20"/>
                <w:szCs w:val="20"/>
                <w:i w:val="1"/>
                <w:iCs w:val="1"/>
                <w:color w:val="auto"/>
                <w:w w:val="97"/>
              </w:rPr>
              <w:t>plus</w:t>
            </w:r>
            <w:r>
              <w:rPr>
                <w:rFonts w:ascii="Arial" w:cs="Arial" w:eastAsia="Arial" w:hAnsi="Arial"/>
                <w:sz w:val="20"/>
                <w:szCs w:val="20"/>
                <w:color w:val="auto"/>
                <w:w w:val="97"/>
              </w:rPr>
              <w:t xml:space="preserve"> (E) the Final Benefit Amount Correction (for the avoidance of doubt, the Final [   ***</w:t>
            </w:r>
          </w:p>
        </w:tc>
        <w:tc>
          <w:tcPr>
            <w:tcW w:w="600" w:type="dxa"/>
            <w:vAlign w:val="bottom"/>
          </w:tcPr>
          <w:p>
            <w:pPr>
              <w:jc w:val="right"/>
              <w:spacing w:after="0" w:line="218" w:lineRule="exact"/>
              <w:rPr>
                <w:sz w:val="20"/>
                <w:szCs w:val="20"/>
                <w:color w:val="auto"/>
              </w:rPr>
            </w:pPr>
            <w:r>
              <w:rPr>
                <w:rFonts w:ascii="Arial" w:cs="Arial" w:eastAsia="Arial" w:hAnsi="Arial"/>
                <w:sz w:val="20"/>
                <w:szCs w:val="20"/>
                <w:color w:val="auto"/>
              </w:rPr>
              <w:t>], the</w:t>
            </w:r>
          </w:p>
        </w:tc>
      </w:tr>
      <w:tr>
        <w:trPr>
          <w:trHeight w:val="20"/>
        </w:trPr>
        <w:tc>
          <w:tcPr>
            <w:tcW w:w="3040" w:type="dxa"/>
            <w:vAlign w:val="bottom"/>
            <w:gridSpan w:val="3"/>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60" w:type="dxa"/>
            <w:vAlign w:val="bottom"/>
            <w:gridSpan w:val="7"/>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65"/>
        </w:trPr>
        <w:tc>
          <w:tcPr>
            <w:tcW w:w="10220" w:type="dxa"/>
            <w:vAlign w:val="bottom"/>
            <w:gridSpan w:val="11"/>
          </w:tcPr>
          <w:p>
            <w:pPr>
              <w:spacing w:after="0"/>
              <w:rPr>
                <w:sz w:val="20"/>
                <w:szCs w:val="20"/>
                <w:color w:val="auto"/>
              </w:rPr>
            </w:pPr>
            <w:r>
              <w:rPr>
                <w:rFonts w:ascii="Arial" w:cs="Arial" w:eastAsia="Arial" w:hAnsi="Arial"/>
                <w:sz w:val="20"/>
                <w:szCs w:val="20"/>
                <w:color w:val="auto"/>
                <w:w w:val="99"/>
              </w:rPr>
              <w:t>Final Additional Classification Error Correction and the Final Benefit Amount Correction could be negative numbers);</w:t>
            </w:r>
          </w:p>
        </w:tc>
        <w:tc>
          <w:tcPr>
            <w:tcW w:w="600" w:type="dxa"/>
            <w:vAlign w:val="bottom"/>
          </w:tcPr>
          <w:p>
            <w:pPr>
              <w:spacing w:after="0"/>
              <w:rPr>
                <w:sz w:val="23"/>
                <w:szCs w:val="23"/>
                <w:color w:val="auto"/>
              </w:rPr>
            </w:pPr>
          </w:p>
        </w:tc>
      </w:tr>
    </w:tbl>
    <w:p>
      <w:pPr>
        <w:spacing w:after="0" w:line="219" w:lineRule="exact"/>
        <w:rPr>
          <w:sz w:val="20"/>
          <w:szCs w:val="20"/>
          <w:color w:val="auto"/>
        </w:rPr>
      </w:pPr>
    </w:p>
    <w:p>
      <w:pPr>
        <w:jc w:val="both"/>
        <w:ind w:left="600" w:firstLine="602"/>
        <w:spacing w:after="0" w:line="280" w:lineRule="auto"/>
        <w:tabs>
          <w:tab w:leader="none" w:pos="2046" w:val="left"/>
        </w:tabs>
        <w:numPr>
          <w:ilvl w:val="0"/>
          <w:numId w:val="51"/>
        </w:numPr>
        <w:rPr>
          <w:rFonts w:ascii="Arial" w:cs="Arial" w:eastAsia="Arial" w:hAnsi="Arial"/>
          <w:sz w:val="18"/>
          <w:szCs w:val="18"/>
          <w:color w:val="auto"/>
        </w:rPr>
      </w:pPr>
      <w:r>
        <w:rPr>
          <w:rFonts w:ascii="Arial" w:cs="Arial" w:eastAsia="Arial" w:hAnsi="Arial"/>
          <w:sz w:val="18"/>
          <w:szCs w:val="18"/>
          <w:color w:val="auto"/>
        </w:rPr>
        <w:t xml:space="preserve">the Insurer shall calculate and deliver to the Company a calculation of the Post-Closing Final Premium in the form of </w:t>
      </w:r>
      <w:r>
        <w:rPr>
          <w:rFonts w:ascii="Arial" w:cs="Arial" w:eastAsia="Arial" w:hAnsi="Arial"/>
          <w:sz w:val="18"/>
          <w:szCs w:val="18"/>
          <w:u w:val="single" w:color="auto"/>
          <w:color w:val="auto"/>
        </w:rPr>
        <w:t>Appendix 2.7</w:t>
      </w:r>
      <w:r>
        <w:rPr>
          <w:rFonts w:ascii="Arial" w:cs="Arial" w:eastAsia="Arial" w:hAnsi="Arial"/>
          <w:sz w:val="18"/>
          <w:szCs w:val="18"/>
          <w:color w:val="auto"/>
        </w:rPr>
        <w:t xml:space="preserve"> (including a proposed Annuity Exhibit). The “</w:t>
      </w:r>
      <w:r>
        <w:rPr>
          <w:rFonts w:ascii="Arial" w:cs="Arial" w:eastAsia="Arial" w:hAnsi="Arial"/>
          <w:sz w:val="18"/>
          <w:szCs w:val="18"/>
          <w:u w:val="single" w:color="auto"/>
          <w:color w:val="auto"/>
        </w:rPr>
        <w:t>Post-Closing Final Premium</w:t>
      </w:r>
      <w:r>
        <w:rPr>
          <w:rFonts w:ascii="Arial" w:cs="Arial" w:eastAsia="Arial" w:hAnsi="Arial"/>
          <w:sz w:val="18"/>
          <w:szCs w:val="18"/>
          <w:color w:val="auto"/>
        </w:rPr>
        <w:t>” shall be equal to (</w:t>
      </w:r>
      <w:r>
        <w:rPr>
          <w:rFonts w:ascii="Arial" w:cs="Arial" w:eastAsia="Arial" w:hAnsi="Arial"/>
          <w:sz w:val="18"/>
          <w:szCs w:val="18"/>
          <w:u w:val="single" w:color="auto"/>
          <w:color w:val="auto"/>
        </w:rPr>
        <w:t>A</w:t>
      </w:r>
      <w:r>
        <w:rPr>
          <w:rFonts w:ascii="Arial" w:cs="Arial" w:eastAsia="Arial" w:hAnsi="Arial"/>
          <w:sz w:val="18"/>
          <w:szCs w:val="18"/>
          <w:color w:val="auto"/>
        </w:rPr>
        <w:t xml:space="preserve">) the Post-Closing Post-Solicitation Premium </w:t>
      </w:r>
      <w:r>
        <w:rPr>
          <w:rFonts w:ascii="Arial" w:cs="Arial" w:eastAsia="Arial" w:hAnsi="Arial"/>
          <w:sz w:val="18"/>
          <w:szCs w:val="18"/>
          <w:i w:val="1"/>
          <w:iCs w:val="1"/>
          <w:color w:val="auto"/>
        </w:rPr>
        <w:t>multiplied by</w:t>
      </w:r>
      <w:r>
        <w:rPr>
          <w:rFonts w:ascii="Arial" w:cs="Arial" w:eastAsia="Arial" w:hAnsi="Arial"/>
          <w:sz w:val="18"/>
          <w:szCs w:val="18"/>
          <w:color w:val="auto"/>
        </w:rPr>
        <w:t xml:space="preserve"> (</w:t>
      </w:r>
      <w:r>
        <w:rPr>
          <w:rFonts w:ascii="Arial" w:cs="Arial" w:eastAsia="Arial" w:hAnsi="Arial"/>
          <w:sz w:val="18"/>
          <w:szCs w:val="18"/>
          <w:u w:val="single" w:color="auto"/>
          <w:color w:val="auto"/>
        </w:rPr>
        <w:t>B</w:t>
      </w:r>
      <w:r>
        <w:rPr>
          <w:rFonts w:ascii="Arial" w:cs="Arial" w:eastAsia="Arial" w:hAnsi="Arial"/>
          <w:sz w:val="18"/>
          <w:szCs w:val="18"/>
          <w:color w:val="auto"/>
        </w:rPr>
        <w:t xml:space="preserve">) 100% plus the Closing Date Adjustment, </w:t>
      </w:r>
      <w:r>
        <w:rPr>
          <w:rFonts w:ascii="Arial" w:cs="Arial" w:eastAsia="Arial" w:hAnsi="Arial"/>
          <w:sz w:val="18"/>
          <w:szCs w:val="18"/>
          <w:i w:val="1"/>
          <w:iCs w:val="1"/>
          <w:color w:val="auto"/>
        </w:rPr>
        <w:t>multiplied by</w:t>
      </w:r>
      <w:r>
        <w:rPr>
          <w:rFonts w:ascii="Arial" w:cs="Arial" w:eastAsia="Arial" w:hAnsi="Arial"/>
          <w:sz w:val="18"/>
          <w:szCs w:val="18"/>
          <w:color w:val="auto"/>
        </w:rPr>
        <w:t xml:space="preserve"> (</w:t>
      </w:r>
      <w:r>
        <w:rPr>
          <w:rFonts w:ascii="Arial" w:cs="Arial" w:eastAsia="Arial" w:hAnsi="Arial"/>
          <w:sz w:val="18"/>
          <w:szCs w:val="18"/>
          <w:u w:val="single" w:color="auto"/>
          <w:color w:val="auto"/>
        </w:rPr>
        <w:t>C</w:t>
      </w:r>
      <w:r>
        <w:rPr>
          <w:rFonts w:ascii="Arial" w:cs="Arial" w:eastAsia="Arial" w:hAnsi="Arial"/>
          <w:sz w:val="18"/>
          <w:szCs w:val="18"/>
          <w:color w:val="auto"/>
        </w:rPr>
        <w:t>) the sum of (</w:t>
      </w:r>
      <w:r>
        <w:rPr>
          <w:rFonts w:ascii="Arial" w:cs="Arial" w:eastAsia="Arial" w:hAnsi="Arial"/>
          <w:sz w:val="18"/>
          <w:szCs w:val="18"/>
          <w:u w:val="single" w:color="auto"/>
          <w:color w:val="auto"/>
        </w:rPr>
        <w:t>I</w:t>
      </w:r>
      <w:r>
        <w:rPr>
          <w:rFonts w:ascii="Arial" w:cs="Arial" w:eastAsia="Arial" w:hAnsi="Arial"/>
          <w:sz w:val="18"/>
          <w:szCs w:val="18"/>
          <w:color w:val="auto"/>
        </w:rPr>
        <w:t>) the Closing CMA Adjustment and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the Closing SCA Adjustment, </w:t>
      </w:r>
      <w:r>
        <w:rPr>
          <w:rFonts w:ascii="Arial" w:cs="Arial" w:eastAsia="Arial" w:hAnsi="Arial"/>
          <w:sz w:val="18"/>
          <w:szCs w:val="18"/>
          <w:i w:val="1"/>
          <w:iCs w:val="1"/>
          <w:color w:val="auto"/>
        </w:rPr>
        <w:t>multiplied by</w:t>
      </w:r>
      <w:r>
        <w:rPr>
          <w:rFonts w:ascii="Arial" w:cs="Arial" w:eastAsia="Arial" w:hAnsi="Arial"/>
          <w:sz w:val="18"/>
          <w:szCs w:val="18"/>
          <w:color w:val="auto"/>
        </w:rPr>
        <w:t xml:space="preserve"> (</w:t>
      </w:r>
      <w:r>
        <w:rPr>
          <w:rFonts w:ascii="Arial" w:cs="Arial" w:eastAsia="Arial" w:hAnsi="Arial"/>
          <w:sz w:val="18"/>
          <w:szCs w:val="18"/>
          <w:u w:val="single" w:color="auto"/>
          <w:color w:val="auto"/>
        </w:rPr>
        <w:t>D</w:t>
      </w:r>
      <w:r>
        <w:rPr>
          <w:rFonts w:ascii="Arial" w:cs="Arial" w:eastAsia="Arial" w:hAnsi="Arial"/>
          <w:sz w:val="18"/>
          <w:szCs w:val="18"/>
          <w:color w:val="auto"/>
        </w:rPr>
        <w:t xml:space="preserve">) 100% plus the Closing PFS Adjustment, </w:t>
      </w:r>
      <w:r>
        <w:rPr>
          <w:rFonts w:ascii="Arial" w:cs="Arial" w:eastAsia="Arial" w:hAnsi="Arial"/>
          <w:sz w:val="18"/>
          <w:szCs w:val="18"/>
          <w:i w:val="1"/>
          <w:iCs w:val="1"/>
          <w:color w:val="auto"/>
        </w:rPr>
        <w:t>plus</w:t>
      </w:r>
      <w:r>
        <w:rPr>
          <w:rFonts w:ascii="Arial" w:cs="Arial" w:eastAsia="Arial" w:hAnsi="Arial"/>
          <w:sz w:val="18"/>
          <w:szCs w:val="18"/>
          <w:color w:val="auto"/>
        </w:rPr>
        <w:t xml:space="preserve"> (</w:t>
      </w:r>
      <w:r>
        <w:rPr>
          <w:rFonts w:ascii="Arial" w:cs="Arial" w:eastAsia="Arial" w:hAnsi="Arial"/>
          <w:sz w:val="18"/>
          <w:szCs w:val="18"/>
          <w:u w:val="single" w:color="auto"/>
          <w:color w:val="auto"/>
        </w:rPr>
        <w:t>E</w:t>
      </w:r>
      <w:r>
        <w:rPr>
          <w:rFonts w:ascii="Arial" w:cs="Arial" w:eastAsia="Arial" w:hAnsi="Arial"/>
          <w:sz w:val="18"/>
          <w:szCs w:val="18"/>
          <w:color w:val="auto"/>
        </w:rPr>
        <w:t>) the</w:t>
      </w:r>
    </w:p>
    <w:p>
      <w:pPr>
        <w:spacing w:after="0" w:line="3" w:lineRule="exact"/>
        <w:rPr>
          <w:sz w:val="20"/>
          <w:szCs w:val="20"/>
          <w:color w:val="auto"/>
        </w:rPr>
      </w:pPr>
    </w:p>
    <w:p>
      <w:pPr>
        <w:ind w:left="600"/>
        <w:spacing w:after="0"/>
        <w:tabs>
          <w:tab w:leader="none" w:pos="1580" w:val="left"/>
          <w:tab w:leader="none" w:pos="2240" w:val="left"/>
          <w:tab w:leader="none" w:pos="7260" w:val="left"/>
          <w:tab w:leader="none" w:pos="7920" w:val="left"/>
        </w:tabs>
        <w:rPr>
          <w:sz w:val="20"/>
          <w:szCs w:val="20"/>
          <w:color w:val="auto"/>
        </w:rPr>
      </w:pPr>
      <w:r>
        <w:rPr>
          <w:rFonts w:ascii="Arial" w:cs="Arial" w:eastAsia="Arial" w:hAnsi="Arial"/>
          <w:sz w:val="20"/>
          <w:szCs w:val="20"/>
          <w:color w:val="auto"/>
        </w:rPr>
        <w:t>Closing [</w:t>
        <w:tab/>
        <w:t>***</w:t>
      </w:r>
      <w:r>
        <w:rPr>
          <w:sz w:val="20"/>
          <w:szCs w:val="20"/>
          <w:color w:val="auto"/>
        </w:rPr>
        <w:tab/>
      </w:r>
      <w:r>
        <w:rPr>
          <w:rFonts w:ascii="Arial" w:cs="Arial" w:eastAsia="Arial" w:hAnsi="Arial"/>
          <w:sz w:val="20"/>
          <w:szCs w:val="20"/>
          <w:color w:val="auto"/>
        </w:rPr>
        <w:t xml:space="preserve">] Adjustment, </w:t>
      </w:r>
      <w:r>
        <w:rPr>
          <w:rFonts w:ascii="Arial" w:cs="Arial" w:eastAsia="Arial" w:hAnsi="Arial"/>
          <w:sz w:val="20"/>
          <w:szCs w:val="20"/>
          <w:i w:val="1"/>
          <w:iCs w:val="1"/>
          <w:color w:val="auto"/>
        </w:rPr>
        <w:t>plus</w:t>
      </w:r>
      <w:r>
        <w:rPr>
          <w:rFonts w:ascii="Arial" w:cs="Arial" w:eastAsia="Arial" w:hAnsi="Arial"/>
          <w:sz w:val="20"/>
          <w:szCs w:val="20"/>
          <w:color w:val="auto"/>
        </w:rPr>
        <w:t xml:space="preserve"> (</w:t>
      </w:r>
      <w:r>
        <w:rPr>
          <w:rFonts w:ascii="Arial" w:cs="Arial" w:eastAsia="Arial" w:hAnsi="Arial"/>
          <w:sz w:val="20"/>
          <w:szCs w:val="20"/>
          <w:u w:val="single" w:color="auto"/>
          <w:color w:val="auto"/>
        </w:rPr>
        <w:t>F</w:t>
      </w:r>
      <w:r>
        <w:rPr>
          <w:rFonts w:ascii="Arial" w:cs="Arial" w:eastAsia="Arial" w:hAnsi="Arial"/>
          <w:sz w:val="20"/>
          <w:szCs w:val="20"/>
          <w:color w:val="auto"/>
        </w:rPr>
        <w:t>) the sum of the Incremental Interim [</w:t>
        <w:tab/>
        <w:t>***</w:t>
      </w:r>
      <w:r>
        <w:rPr>
          <w:sz w:val="20"/>
          <w:szCs w:val="20"/>
          <w:color w:val="auto"/>
        </w:rPr>
        <w:tab/>
      </w:r>
      <w:r>
        <w:rPr>
          <w:rFonts w:ascii="Arial" w:cs="Arial" w:eastAsia="Arial" w:hAnsi="Arial"/>
          <w:sz w:val="18"/>
          <w:szCs w:val="18"/>
          <w:color w:val="auto"/>
        </w:rPr>
        <w:t>] Adjustment and the Incremental Final [</w:t>
      </w:r>
    </w:p>
    <w:p>
      <w:pPr>
        <w:spacing w:after="0" w:line="8" w:lineRule="exact"/>
        <w:rPr>
          <w:sz w:val="20"/>
          <w:szCs w:val="20"/>
          <w:color w:val="auto"/>
        </w:rPr>
      </w:pPr>
    </w:p>
    <w:p>
      <w:pPr>
        <w:ind w:left="1260" w:hanging="659"/>
        <w:spacing w:after="0"/>
        <w:tabs>
          <w:tab w:leader="none" w:pos="1260" w:val="left"/>
        </w:tabs>
        <w:numPr>
          <w:ilvl w:val="0"/>
          <w:numId w:val="52"/>
        </w:numPr>
        <w:rPr>
          <w:rFonts w:ascii="Arial" w:cs="Arial" w:eastAsia="Arial" w:hAnsi="Arial"/>
          <w:sz w:val="20"/>
          <w:szCs w:val="20"/>
          <w:color w:val="auto"/>
        </w:rPr>
      </w:pPr>
      <w:r>
        <w:rPr>
          <w:rFonts w:ascii="Arial" w:cs="Arial" w:eastAsia="Arial" w:hAnsi="Arial"/>
          <w:sz w:val="20"/>
          <w:szCs w:val="20"/>
          <w:color w:val="auto"/>
        </w:rPr>
        <w:t>] Adjustment, and</w:t>
      </w:r>
    </w:p>
    <w:p>
      <w:pPr>
        <w:spacing w:after="0" w:line="227" w:lineRule="exact"/>
        <w:rPr>
          <w:rFonts w:ascii="Arial" w:cs="Arial" w:eastAsia="Arial" w:hAnsi="Arial"/>
          <w:sz w:val="20"/>
          <w:szCs w:val="20"/>
          <w:color w:val="auto"/>
        </w:rPr>
      </w:pPr>
    </w:p>
    <w:p>
      <w:pPr>
        <w:ind w:left="2100" w:hanging="898"/>
        <w:spacing w:after="0"/>
        <w:tabs>
          <w:tab w:leader="none" w:pos="2100" w:val="left"/>
        </w:tabs>
        <w:numPr>
          <w:ilvl w:val="1"/>
          <w:numId w:val="52"/>
        </w:numPr>
        <w:rPr>
          <w:rFonts w:ascii="Arial" w:cs="Arial" w:eastAsia="Arial" w:hAnsi="Arial"/>
          <w:sz w:val="19"/>
          <w:szCs w:val="19"/>
          <w:color w:val="auto"/>
        </w:rPr>
      </w:pPr>
      <w:r>
        <w:rPr>
          <w:rFonts w:ascii="Arial" w:cs="Arial" w:eastAsia="Arial" w:hAnsi="Arial"/>
          <w:sz w:val="19"/>
          <w:szCs w:val="19"/>
          <w:color w:val="auto"/>
        </w:rPr>
        <w:t>the Insurer shall produce and deliver to the Company and the Independent Third Party an updated Transferred</w:t>
      </w:r>
    </w:p>
    <w:p>
      <w:pPr>
        <w:spacing w:after="0" w:line="37" w:lineRule="exact"/>
        <w:rPr>
          <w:rFonts w:ascii="Arial" w:cs="Arial" w:eastAsia="Arial" w:hAnsi="Arial"/>
          <w:sz w:val="19"/>
          <w:szCs w:val="19"/>
          <w:color w:val="auto"/>
        </w:rPr>
      </w:pPr>
    </w:p>
    <w:p>
      <w:pPr>
        <w:ind w:left="600"/>
        <w:spacing w:after="0"/>
        <w:rPr>
          <w:rFonts w:ascii="Arial" w:cs="Arial" w:eastAsia="Arial" w:hAnsi="Arial"/>
          <w:sz w:val="19"/>
          <w:szCs w:val="19"/>
          <w:color w:val="auto"/>
        </w:rPr>
      </w:pPr>
      <w:r>
        <w:rPr>
          <w:rFonts w:ascii="Arial" w:cs="Arial" w:eastAsia="Arial" w:hAnsi="Arial"/>
          <w:sz w:val="20"/>
          <w:szCs w:val="20"/>
          <w:color w:val="auto"/>
        </w:rPr>
        <w:t>Assets Schedule.</w:t>
      </w:r>
    </w:p>
    <w:p>
      <w:pPr>
        <w:spacing w:after="0" w:line="228" w:lineRule="exact"/>
        <w:rPr>
          <w:sz w:val="20"/>
          <w:szCs w:val="20"/>
          <w:color w:val="auto"/>
        </w:rPr>
      </w:pPr>
    </w:p>
    <w:p>
      <w:pPr>
        <w:jc w:val="both"/>
        <w:ind w:firstLine="601"/>
        <w:spacing w:after="0" w:line="261" w:lineRule="auto"/>
        <w:tabs>
          <w:tab w:leader="none" w:pos="1112" w:val="left"/>
        </w:tabs>
        <w:numPr>
          <w:ilvl w:val="0"/>
          <w:numId w:val="53"/>
        </w:numPr>
        <w:rPr>
          <w:rFonts w:ascii="Arial" w:cs="Arial" w:eastAsia="Arial" w:hAnsi="Arial"/>
          <w:sz w:val="20"/>
          <w:szCs w:val="20"/>
          <w:color w:val="auto"/>
        </w:rPr>
      </w:pPr>
      <w:r>
        <w:rPr>
          <w:rFonts w:ascii="Arial" w:cs="Arial" w:eastAsia="Arial" w:hAnsi="Arial"/>
          <w:sz w:val="20"/>
          <w:szCs w:val="20"/>
          <w:color w:val="auto"/>
        </w:rPr>
        <w:t>Three (3) Business Days prior to the date of the Insurer's delivery of the Post-Closing Final Premium, the Company and the Insurer shall jointly direct the Independent Third Party to prepare a Post-Closing Final Premium, which it shall deliver to the Company and the Insurer on the same date that the Insurer delivers its calculation of the Post-Closing Final Premium.</w:t>
      </w:r>
    </w:p>
    <w:p>
      <w:pPr>
        <w:spacing w:after="0" w:line="163" w:lineRule="exact"/>
        <w:rPr>
          <w:sz w:val="20"/>
          <w:szCs w:val="20"/>
          <w:color w:val="auto"/>
        </w:rPr>
      </w:pPr>
    </w:p>
    <w:p>
      <w:pPr>
        <w:ind w:left="600"/>
        <w:spacing w:after="0"/>
        <w:tabs>
          <w:tab w:leader="none" w:pos="1780" w:val="left"/>
        </w:tabs>
        <w:rPr>
          <w:sz w:val="20"/>
          <w:szCs w:val="20"/>
          <w:color w:val="auto"/>
        </w:rPr>
      </w:pPr>
      <w:r>
        <w:rPr>
          <w:rFonts w:ascii="Arial" w:cs="Arial" w:eastAsia="Arial" w:hAnsi="Arial"/>
          <w:sz w:val="20"/>
          <w:szCs w:val="20"/>
          <w:color w:val="auto"/>
        </w:rPr>
        <w:t>Section 2.12</w:t>
      </w:r>
      <w:r>
        <w:rPr>
          <w:sz w:val="20"/>
          <w:szCs w:val="20"/>
          <w:color w:val="auto"/>
        </w:rPr>
        <w:tab/>
      </w:r>
      <w:r>
        <w:rPr>
          <w:rFonts w:ascii="Arial" w:cs="Arial" w:eastAsia="Arial" w:hAnsi="Arial"/>
          <w:sz w:val="18"/>
          <w:szCs w:val="18"/>
          <w:u w:val="single" w:color="auto"/>
          <w:color w:val="auto"/>
        </w:rPr>
        <w:t>Post-Closing Final Premium and Closing Asset Valuation Disputes</w:t>
      </w:r>
      <w:r>
        <w:rPr>
          <w:rFonts w:ascii="Arial" w:cs="Arial" w:eastAsia="Arial" w:hAnsi="Arial"/>
          <w:sz w:val="18"/>
          <w:szCs w:val="18"/>
          <w:color w:val="auto"/>
        </w:rPr>
        <w:t>.</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ectPr>
          <w:pgSz w:w="11900" w:h="16838" w:orient="portrait"/>
          <w:cols w:equalWidth="0" w:num="1">
            <w:col w:w="11420"/>
          </w:cols>
          <w:pgMar w:left="240" w:top="556" w:right="239" w:bottom="1440" w:gutter="0" w:footer="0" w:header="0"/>
        </w:sectPr>
      </w:pPr>
    </w:p>
    <w:bookmarkStart w:id="46" w:name="page47"/>
    <w:bookmarkEnd w:id="46"/>
    <w:p>
      <w:pPr>
        <w:jc w:val="both"/>
        <w:ind w:firstLine="601"/>
        <w:spacing w:after="0" w:line="282" w:lineRule="auto"/>
        <w:tabs>
          <w:tab w:leader="none" w:pos="1076" w:val="left"/>
        </w:tabs>
        <w:numPr>
          <w:ilvl w:val="0"/>
          <w:numId w:val="54"/>
        </w:numPr>
        <w:rPr>
          <w:rFonts w:ascii="Arial" w:cs="Arial" w:eastAsia="Arial" w:hAnsi="Arial"/>
          <w:sz w:val="18"/>
          <w:szCs w:val="18"/>
          <w:color w:val="auto"/>
        </w:rPr>
      </w:pPr>
      <w:r>
        <w:rPr>
          <w:rFonts w:ascii="Arial" w:cs="Arial" w:eastAsia="Arial" w:hAnsi="Arial"/>
          <w:sz w:val="18"/>
          <w:szCs w:val="18"/>
          <w:color w:val="auto"/>
        </w:rPr>
        <w:t xml:space="preserve">Within ten (10) days following the delivery by the Insurer of the calculation of the Post-Closing Final Premium in accordance with </w:t>
      </w:r>
      <w:r>
        <w:rPr>
          <w:rFonts w:ascii="Arial" w:cs="Arial" w:eastAsia="Arial" w:hAnsi="Arial"/>
          <w:sz w:val="18"/>
          <w:szCs w:val="18"/>
          <w:u w:val="single" w:color="auto"/>
          <w:color w:val="auto"/>
        </w:rPr>
        <w:t>Section 2.11(c)(ii)</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2.12(b)</w:t>
      </w:r>
      <w:r>
        <w:rPr>
          <w:rFonts w:ascii="Arial" w:cs="Arial" w:eastAsia="Arial" w:hAnsi="Arial"/>
          <w:sz w:val="18"/>
          <w:szCs w:val="18"/>
          <w:color w:val="auto"/>
        </w:rPr>
        <w:t>, (</w:t>
      </w:r>
      <w:r>
        <w:rPr>
          <w:rFonts w:ascii="Arial" w:cs="Arial" w:eastAsia="Arial" w:hAnsi="Arial"/>
          <w:sz w:val="18"/>
          <w:szCs w:val="18"/>
          <w:u w:val="single" w:color="auto"/>
          <w:color w:val="auto"/>
        </w:rPr>
        <w:t>i</w:t>
      </w:r>
      <w:r>
        <w:rPr>
          <w:rFonts w:ascii="Arial" w:cs="Arial" w:eastAsia="Arial" w:hAnsi="Arial"/>
          <w:sz w:val="18"/>
          <w:szCs w:val="18"/>
          <w:color w:val="auto"/>
        </w:rPr>
        <w:t>) the Company or the Insurer may dispute any component of the calculation of the Post-Closing Post-Solicitation Premium, the Post-Closing Final Premium, or any other item set forth in the calculation of the Post-Closing Final</w:t>
      </w:r>
    </w:p>
    <w:tbl>
      <w:tblPr>
        <w:tblLayout w:type="fixed"/>
        <w:tblInd w:w="0" w:type="dxa"/>
        <w:tblCellMar>
          <w:top w:w="0" w:type="dxa"/>
          <w:left w:w="0" w:type="dxa"/>
          <w:bottom w:w="0" w:type="dxa"/>
          <w:right w:w="0" w:type="dxa"/>
        </w:tblCellMar>
      </w:tblPr>
      <w:tr>
        <w:trPr>
          <w:trHeight w:val="222"/>
        </w:trPr>
        <w:tc>
          <w:tcPr>
            <w:tcW w:w="7680" w:type="dxa"/>
            <w:vAlign w:val="bottom"/>
            <w:gridSpan w:val="2"/>
          </w:tcPr>
          <w:p>
            <w:pPr>
              <w:spacing w:after="0" w:line="222" w:lineRule="exact"/>
              <w:rPr>
                <w:sz w:val="20"/>
                <w:szCs w:val="20"/>
                <w:color w:val="auto"/>
              </w:rPr>
            </w:pPr>
            <w:r>
              <w:rPr>
                <w:rFonts w:ascii="Arial" w:cs="Arial" w:eastAsia="Arial" w:hAnsi="Arial"/>
                <w:sz w:val="20"/>
                <w:szCs w:val="20"/>
                <w:color w:val="auto"/>
              </w:rPr>
              <w:t>Premium (or any component of a prior calculation of the premium), including whether [</w:t>
            </w:r>
          </w:p>
        </w:tc>
        <w:tc>
          <w:tcPr>
            <w:tcW w:w="800" w:type="dxa"/>
            <w:vAlign w:val="bottom"/>
          </w:tcPr>
          <w:p>
            <w:pPr>
              <w:jc w:val="right"/>
              <w:ind w:right="200"/>
              <w:spacing w:after="0" w:line="222" w:lineRule="exact"/>
              <w:rPr>
                <w:sz w:val="20"/>
                <w:szCs w:val="20"/>
                <w:color w:val="auto"/>
              </w:rPr>
            </w:pPr>
            <w:r>
              <w:rPr>
                <w:rFonts w:ascii="Arial" w:cs="Arial" w:eastAsia="Arial" w:hAnsi="Arial"/>
                <w:sz w:val="20"/>
                <w:szCs w:val="20"/>
                <w:color w:val="auto"/>
              </w:rPr>
              <w:t>***</w:t>
            </w:r>
          </w:p>
        </w:tc>
        <w:tc>
          <w:tcPr>
            <w:tcW w:w="2940" w:type="dxa"/>
            <w:vAlign w:val="bottom"/>
            <w:gridSpan w:val="3"/>
          </w:tcPr>
          <w:p>
            <w:pPr>
              <w:jc w:val="right"/>
              <w:spacing w:after="0" w:line="222" w:lineRule="exact"/>
              <w:rPr>
                <w:sz w:val="20"/>
                <w:szCs w:val="20"/>
                <w:color w:val="auto"/>
              </w:rPr>
            </w:pPr>
            <w:r>
              <w:rPr>
                <w:rFonts w:ascii="Arial" w:cs="Arial" w:eastAsia="Arial" w:hAnsi="Arial"/>
                <w:sz w:val="20"/>
                <w:szCs w:val="20"/>
                <w:color w:val="auto"/>
              </w:rPr>
              <w:t>] and any Single Life Mortality</w:t>
            </w:r>
          </w:p>
        </w:tc>
      </w:tr>
      <w:tr>
        <w:trPr>
          <w:trHeight w:val="209"/>
        </w:trPr>
        <w:tc>
          <w:tcPr>
            <w:tcW w:w="1840" w:type="dxa"/>
            <w:vAlign w:val="bottom"/>
          </w:tcPr>
          <w:p>
            <w:pPr>
              <w:spacing w:after="0" w:line="209" w:lineRule="exact"/>
              <w:rPr>
                <w:sz w:val="20"/>
                <w:szCs w:val="20"/>
                <w:color w:val="auto"/>
              </w:rPr>
            </w:pPr>
            <w:r>
              <w:rPr>
                <w:rFonts w:ascii="Arial" w:cs="Arial" w:eastAsia="Arial" w:hAnsi="Arial"/>
                <w:sz w:val="20"/>
                <w:szCs w:val="20"/>
                <w:color w:val="auto"/>
              </w:rPr>
              <w:t>Corrections, [   ***</w:t>
            </w:r>
          </w:p>
        </w:tc>
        <w:tc>
          <w:tcPr>
            <w:tcW w:w="9580" w:type="dxa"/>
            <w:vAlign w:val="bottom"/>
            <w:gridSpan w:val="5"/>
          </w:tcPr>
          <w:p>
            <w:pPr>
              <w:jc w:val="right"/>
              <w:spacing w:after="0" w:line="209" w:lineRule="exact"/>
              <w:rPr>
                <w:sz w:val="20"/>
                <w:szCs w:val="20"/>
                <w:color w:val="auto"/>
              </w:rPr>
            </w:pPr>
            <w:r>
              <w:rPr>
                <w:rFonts w:ascii="Arial" w:cs="Arial" w:eastAsia="Arial" w:hAnsi="Arial"/>
                <w:sz w:val="20"/>
                <w:szCs w:val="20"/>
                <w:color w:val="auto"/>
                <w:w w:val="94"/>
              </w:rPr>
              <w:t>], Benefit Amount Corrections, and Signing and Additional Classification Errors; and (ii) the Insurer may dispute the</w:t>
            </w:r>
          </w:p>
        </w:tc>
      </w:tr>
      <w:tr>
        <w:trPr>
          <w:trHeight w:val="20"/>
        </w:trPr>
        <w:tc>
          <w:tcPr>
            <w:tcW w:w="184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bl>
    <w:p>
      <w:pPr>
        <w:spacing w:after="0" w:line="16" w:lineRule="exact"/>
        <w:rPr>
          <w:sz w:val="20"/>
          <w:szCs w:val="20"/>
          <w:color w:val="auto"/>
        </w:rPr>
      </w:pPr>
    </w:p>
    <w:p>
      <w:pPr>
        <w:jc w:val="both"/>
        <w:spacing w:after="0" w:line="275" w:lineRule="auto"/>
        <w:rPr>
          <w:sz w:val="20"/>
          <w:szCs w:val="20"/>
          <w:color w:val="auto"/>
        </w:rPr>
      </w:pPr>
      <w:r>
        <w:rPr>
          <w:rFonts w:ascii="Arial" w:cs="Arial" w:eastAsia="Arial" w:hAnsi="Arial"/>
          <w:sz w:val="20"/>
          <w:szCs w:val="20"/>
          <w:color w:val="auto"/>
        </w:rPr>
        <w:t>Closing Asset Valuation. Any such dispute (an “</w:t>
      </w:r>
      <w:r>
        <w:rPr>
          <w:rFonts w:ascii="Arial" w:cs="Arial" w:eastAsia="Arial" w:hAnsi="Arial"/>
          <w:sz w:val="20"/>
          <w:szCs w:val="20"/>
          <w:u w:val="single" w:color="auto"/>
          <w:color w:val="auto"/>
        </w:rPr>
        <w:t>Arbitration Dispute</w:t>
      </w:r>
      <w:r>
        <w:rPr>
          <w:rFonts w:ascii="Arial" w:cs="Arial" w:eastAsia="Arial" w:hAnsi="Arial"/>
          <w:sz w:val="20"/>
          <w:szCs w:val="20"/>
          <w:color w:val="auto"/>
        </w:rPr>
        <w:t xml:space="preserve">”) shall be resolved in accordance with the procedures set forth in </w:t>
      </w:r>
      <w:r>
        <w:rPr>
          <w:rFonts w:ascii="Arial" w:cs="Arial" w:eastAsia="Arial" w:hAnsi="Arial"/>
          <w:sz w:val="20"/>
          <w:szCs w:val="20"/>
          <w:u w:val="single" w:color="auto"/>
          <w:color w:val="auto"/>
        </w:rPr>
        <w:t>Appendix 2.12</w:t>
      </w:r>
      <w:r>
        <w:rPr>
          <w:rFonts w:ascii="Arial" w:cs="Arial" w:eastAsia="Arial" w:hAnsi="Arial"/>
          <w:sz w:val="20"/>
          <w:szCs w:val="20"/>
          <w:color w:val="auto"/>
        </w:rPr>
        <w:t>.</w:t>
      </w:r>
    </w:p>
    <w:p>
      <w:pPr>
        <w:spacing w:after="0" w:line="186" w:lineRule="exact"/>
        <w:rPr>
          <w:sz w:val="20"/>
          <w:szCs w:val="20"/>
          <w:color w:val="auto"/>
        </w:rPr>
      </w:pPr>
    </w:p>
    <w:p>
      <w:pPr>
        <w:ind w:left="1080" w:hanging="479"/>
        <w:spacing w:after="0"/>
        <w:tabs>
          <w:tab w:leader="none" w:pos="1080" w:val="left"/>
        </w:tabs>
        <w:numPr>
          <w:ilvl w:val="1"/>
          <w:numId w:val="55"/>
        </w:numPr>
        <w:rPr>
          <w:rFonts w:ascii="Arial" w:cs="Arial" w:eastAsia="Arial" w:hAnsi="Arial"/>
          <w:sz w:val="18"/>
          <w:szCs w:val="18"/>
          <w:color w:val="auto"/>
        </w:rPr>
      </w:pPr>
      <w:r>
        <w:rPr>
          <w:rFonts w:ascii="Arial" w:cs="Arial" w:eastAsia="Arial" w:hAnsi="Arial"/>
          <w:sz w:val="18"/>
          <w:szCs w:val="18"/>
          <w:color w:val="auto"/>
        </w:rPr>
        <w:t>Notwithstanding anything to the contrary in Section 2.12(a), (i) if the Company shall have made the election set forth in clause</w:t>
      </w:r>
    </w:p>
    <w:p>
      <w:pPr>
        <w:spacing w:after="0" w:line="48" w:lineRule="exact"/>
        <w:rPr>
          <w:rFonts w:ascii="Arial" w:cs="Arial" w:eastAsia="Arial" w:hAnsi="Arial"/>
          <w:sz w:val="18"/>
          <w:szCs w:val="18"/>
          <w:color w:val="auto"/>
        </w:rPr>
      </w:pPr>
    </w:p>
    <w:p>
      <w:pPr>
        <w:jc w:val="both"/>
        <w:spacing w:after="0" w:line="275" w:lineRule="auto"/>
        <w:tabs>
          <w:tab w:leader="none" w:pos="284" w:val="left"/>
        </w:tabs>
        <w:numPr>
          <w:ilvl w:val="0"/>
          <w:numId w:val="56"/>
        </w:numPr>
        <w:rPr>
          <w:rFonts w:ascii="Arial" w:cs="Arial" w:eastAsia="Arial" w:hAnsi="Arial"/>
          <w:sz w:val="18"/>
          <w:szCs w:val="18"/>
          <w:color w:val="auto"/>
        </w:rPr>
      </w:pPr>
      <w:r>
        <w:rPr>
          <w:rFonts w:ascii="Arial" w:cs="Arial" w:eastAsia="Arial" w:hAnsi="Arial"/>
          <w:sz w:val="18"/>
          <w:szCs w:val="18"/>
          <w:color w:val="auto"/>
        </w:rPr>
        <w:t xml:space="preserve">of </w:t>
      </w:r>
      <w:r>
        <w:rPr>
          <w:rFonts w:ascii="Arial" w:cs="Arial" w:eastAsia="Arial" w:hAnsi="Arial"/>
          <w:sz w:val="18"/>
          <w:szCs w:val="18"/>
          <w:u w:val="single" w:color="auto"/>
          <w:color w:val="auto"/>
        </w:rPr>
        <w:t>Section 2.9(e)</w:t>
      </w:r>
      <w:r>
        <w:rPr>
          <w:rFonts w:ascii="Arial" w:cs="Arial" w:eastAsia="Arial" w:hAnsi="Arial"/>
          <w:sz w:val="18"/>
          <w:szCs w:val="18"/>
          <w:color w:val="auto"/>
        </w:rPr>
        <w:t xml:space="preserve"> or clause (1) of </w:t>
      </w:r>
      <w:r>
        <w:rPr>
          <w:rFonts w:ascii="Arial" w:cs="Arial" w:eastAsia="Arial" w:hAnsi="Arial"/>
          <w:sz w:val="18"/>
          <w:szCs w:val="18"/>
          <w:u w:val="single" w:color="auto"/>
          <w:color w:val="auto"/>
        </w:rPr>
        <w:t>Section 2.9(f)</w:t>
      </w:r>
      <w:r>
        <w:rPr>
          <w:rFonts w:ascii="Arial" w:cs="Arial" w:eastAsia="Arial" w:hAnsi="Arial"/>
          <w:sz w:val="18"/>
          <w:szCs w:val="18"/>
          <w:color w:val="auto"/>
        </w:rPr>
        <w:t xml:space="preserve"> the Insurer shall not have the right to dispute any component of the calculation of the Post-Closing Post-Solicitation Premium, the Post-Closing Final Premium, or any other item set forth in the calculation of the Post-Closing Final</w:t>
      </w:r>
    </w:p>
    <w:p>
      <w:pPr>
        <w:spacing w:after="0" w:line="1" w:lineRule="exact"/>
        <w:rPr>
          <w:sz w:val="20"/>
          <w:szCs w:val="20"/>
          <w:color w:val="auto"/>
        </w:rPr>
      </w:pPr>
    </w:p>
    <w:p>
      <w:pPr>
        <w:spacing w:after="0" w:line="257" w:lineRule="auto"/>
        <w:rPr>
          <w:sz w:val="20"/>
          <w:szCs w:val="20"/>
          <w:color w:val="auto"/>
        </w:rPr>
      </w:pPr>
      <w:r>
        <w:rPr>
          <w:rFonts w:ascii="Arial" w:cs="Arial" w:eastAsia="Arial" w:hAnsi="Arial"/>
          <w:sz w:val="20"/>
          <w:szCs w:val="20"/>
          <w:color w:val="auto"/>
        </w:rPr>
        <w:t>Premium (other than (A) whether an [ *** ], (B) the In-Kind Asset Information or (C) the Closing Asset Valuation) and (ii) the Company shall not have the right to dispute the Closing Asset Valuation.</w:t>
      </w:r>
    </w:p>
    <w:p>
      <w:pPr>
        <w:spacing w:after="0" w:line="203" w:lineRule="exact"/>
        <w:rPr>
          <w:sz w:val="20"/>
          <w:szCs w:val="20"/>
          <w:color w:val="auto"/>
        </w:rPr>
      </w:pPr>
    </w:p>
    <w:p>
      <w:pPr>
        <w:ind w:left="1060" w:hanging="459"/>
        <w:spacing w:after="0"/>
        <w:tabs>
          <w:tab w:leader="none" w:pos="10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Any component of the calculation of (</w:t>
      </w:r>
      <w:r>
        <w:rPr>
          <w:rFonts w:ascii="Arial" w:cs="Arial" w:eastAsia="Arial" w:hAnsi="Arial"/>
          <w:sz w:val="18"/>
          <w:szCs w:val="18"/>
          <w:u w:val="single" w:color="auto"/>
          <w:color w:val="auto"/>
        </w:rPr>
        <w:t>i</w:t>
      </w:r>
      <w:r>
        <w:rPr>
          <w:rFonts w:ascii="Arial" w:cs="Arial" w:eastAsia="Arial" w:hAnsi="Arial"/>
          <w:sz w:val="18"/>
          <w:szCs w:val="18"/>
          <w:color w:val="auto"/>
        </w:rPr>
        <w:t>) the Post-Closing Post-Solicitation Premium or (</w:t>
      </w:r>
      <w:r>
        <w:rPr>
          <w:rFonts w:ascii="Arial" w:cs="Arial" w:eastAsia="Arial" w:hAnsi="Arial"/>
          <w:sz w:val="18"/>
          <w:szCs w:val="18"/>
          <w:u w:val="single" w:color="auto"/>
          <w:color w:val="auto"/>
        </w:rPr>
        <w:t>ii</w:t>
      </w:r>
      <w:r>
        <w:rPr>
          <w:rFonts w:ascii="Arial" w:cs="Arial" w:eastAsia="Arial" w:hAnsi="Arial"/>
          <w:sz w:val="18"/>
          <w:szCs w:val="18"/>
          <w:color w:val="auto"/>
        </w:rPr>
        <w:t>) the Post-Closing Final Premium, or</w:t>
      </w:r>
    </w:p>
    <w:p>
      <w:pPr>
        <w:spacing w:after="0" w:line="49" w:lineRule="exact"/>
        <w:rPr>
          <w:sz w:val="20"/>
          <w:szCs w:val="20"/>
          <w:color w:val="auto"/>
        </w:rPr>
      </w:pPr>
    </w:p>
    <w:p>
      <w:pPr>
        <w:spacing w:after="0"/>
        <w:tabs>
          <w:tab w:leader="none" w:pos="11000" w:val="left"/>
        </w:tabs>
        <w:rPr>
          <w:sz w:val="20"/>
          <w:szCs w:val="20"/>
          <w:color w:val="auto"/>
        </w:rPr>
      </w:pPr>
      <w:r>
        <w:rPr>
          <w:rFonts w:ascii="Arial" w:cs="Arial" w:eastAsia="Arial" w:hAnsi="Arial"/>
          <w:sz w:val="19"/>
          <w:szCs w:val="19"/>
          <w:color w:val="auto"/>
        </w:rPr>
        <w:t>any other item set forth in the calculation of the Post-Closing Final Premium, including the Closing Asset Valuation, or whether an [</w:t>
      </w:r>
      <w:r>
        <w:rPr>
          <w:sz w:val="20"/>
          <w:szCs w:val="20"/>
          <w:color w:val="auto"/>
        </w:rPr>
        <w:tab/>
      </w:r>
      <w:r>
        <w:rPr>
          <w:rFonts w:ascii="Arial" w:cs="Arial" w:eastAsia="Arial" w:hAnsi="Arial"/>
          <w:sz w:val="20"/>
          <w:szCs w:val="20"/>
          <w:color w:val="auto"/>
        </w:rPr>
        <w:t>***</w:t>
      </w:r>
    </w:p>
    <w:p>
      <w:pPr>
        <w:spacing w:after="0" w:line="8" w:lineRule="exact"/>
        <w:rPr>
          <w:sz w:val="20"/>
          <w:szCs w:val="20"/>
          <w:color w:val="auto"/>
        </w:rPr>
      </w:pPr>
    </w:p>
    <w:p>
      <w:pPr>
        <w:ind w:left="200"/>
        <w:spacing w:after="0"/>
        <w:rPr>
          <w:sz w:val="20"/>
          <w:szCs w:val="20"/>
          <w:color w:val="auto"/>
        </w:rPr>
      </w:pPr>
      <w:r>
        <w:rPr>
          <w:rFonts w:ascii="Arial" w:cs="Arial" w:eastAsia="Arial" w:hAnsi="Arial"/>
          <w:sz w:val="20"/>
          <w:szCs w:val="20"/>
          <w:color w:val="auto"/>
        </w:rPr>
        <w:t xml:space="preserve">] which is not disputed pursuant to </w:t>
      </w:r>
      <w:r>
        <w:rPr>
          <w:rFonts w:ascii="Arial" w:cs="Arial" w:eastAsia="Arial" w:hAnsi="Arial"/>
          <w:sz w:val="20"/>
          <w:szCs w:val="20"/>
          <w:u w:val="single" w:color="auto"/>
          <w:color w:val="auto"/>
        </w:rPr>
        <w:t>Section 2.12(a)</w:t>
      </w:r>
      <w:r>
        <w:rPr>
          <w:rFonts w:ascii="Arial" w:cs="Arial" w:eastAsia="Arial" w:hAnsi="Arial"/>
          <w:sz w:val="20"/>
          <w:szCs w:val="20"/>
          <w:color w:val="auto"/>
        </w:rPr>
        <w:t xml:space="preserve"> shall be final and binding on the Parties.</w:t>
      </w:r>
    </w:p>
    <w:p>
      <w:pPr>
        <w:spacing w:after="0" w:line="390" w:lineRule="exact"/>
        <w:rPr>
          <w:sz w:val="20"/>
          <w:szCs w:val="20"/>
          <w:color w:val="auto"/>
        </w:rPr>
      </w:pPr>
    </w:p>
    <w:p>
      <w:pPr>
        <w:ind w:left="600"/>
        <w:spacing w:after="0"/>
        <w:tabs>
          <w:tab w:leader="none" w:pos="1780" w:val="left"/>
        </w:tabs>
        <w:rPr>
          <w:sz w:val="20"/>
          <w:szCs w:val="20"/>
          <w:color w:val="auto"/>
        </w:rPr>
      </w:pPr>
      <w:r>
        <w:rPr>
          <w:rFonts w:ascii="Arial" w:cs="Arial" w:eastAsia="Arial" w:hAnsi="Arial"/>
          <w:sz w:val="20"/>
          <w:szCs w:val="20"/>
          <w:color w:val="auto"/>
        </w:rPr>
        <w:t>Section 2.13</w:t>
      </w:r>
      <w:r>
        <w:rPr>
          <w:sz w:val="20"/>
          <w:szCs w:val="20"/>
          <w:color w:val="auto"/>
        </w:rPr>
        <w:tab/>
      </w:r>
      <w:r>
        <w:rPr>
          <w:rFonts w:ascii="Arial" w:cs="Arial" w:eastAsia="Arial" w:hAnsi="Arial"/>
          <w:sz w:val="18"/>
          <w:szCs w:val="18"/>
          <w:u w:val="single" w:color="auto"/>
          <w:color w:val="auto"/>
        </w:rPr>
        <w:t>True-Up Payment Upon Resolution of Post-Closing Final Premium and Closing Asset Valuation Disputes</w:t>
      </w:r>
      <w:r>
        <w:rPr>
          <w:rFonts w:ascii="Arial" w:cs="Arial" w:eastAsia="Arial" w:hAnsi="Arial"/>
          <w:sz w:val="18"/>
          <w:szCs w:val="18"/>
          <w:color w:val="auto"/>
        </w:rPr>
        <w:t>.</w:t>
      </w:r>
    </w:p>
    <w:p>
      <w:pPr>
        <w:spacing w:after="0" w:line="246" w:lineRule="exact"/>
        <w:rPr>
          <w:sz w:val="20"/>
          <w:szCs w:val="20"/>
          <w:color w:val="auto"/>
        </w:rPr>
      </w:pPr>
    </w:p>
    <w:p>
      <w:pPr>
        <w:jc w:val="both"/>
        <w:ind w:firstLine="601"/>
        <w:spacing w:after="0" w:line="261" w:lineRule="auto"/>
        <w:tabs>
          <w:tab w:leader="none" w:pos="1111" w:val="left"/>
        </w:tabs>
        <w:numPr>
          <w:ilvl w:val="0"/>
          <w:numId w:val="58"/>
        </w:numPr>
        <w:rPr>
          <w:rFonts w:ascii="Arial" w:cs="Arial" w:eastAsia="Arial" w:hAnsi="Arial"/>
          <w:sz w:val="20"/>
          <w:szCs w:val="20"/>
          <w:color w:val="auto"/>
        </w:rPr>
      </w:pPr>
      <w:r>
        <w:rPr>
          <w:rFonts w:ascii="Arial" w:cs="Arial" w:eastAsia="Arial" w:hAnsi="Arial"/>
          <w:sz w:val="20"/>
          <w:szCs w:val="20"/>
          <w:color w:val="auto"/>
        </w:rPr>
        <w:t>By the earlier of (</w:t>
      </w:r>
      <w:r>
        <w:rPr>
          <w:rFonts w:ascii="Arial" w:cs="Arial" w:eastAsia="Arial" w:hAnsi="Arial"/>
          <w:sz w:val="20"/>
          <w:szCs w:val="20"/>
          <w:u w:val="single" w:color="auto"/>
          <w:color w:val="auto"/>
        </w:rPr>
        <w:t>x</w:t>
      </w:r>
      <w:r>
        <w:rPr>
          <w:rFonts w:ascii="Arial" w:cs="Arial" w:eastAsia="Arial" w:hAnsi="Arial"/>
          <w:sz w:val="20"/>
          <w:szCs w:val="20"/>
          <w:color w:val="auto"/>
        </w:rPr>
        <w:t xml:space="preserve">) the date that is five (5) Business Days following the final resolution of all disputes in accordance with </w:t>
      </w:r>
      <w:r>
        <w:rPr>
          <w:rFonts w:ascii="Arial" w:cs="Arial" w:eastAsia="Arial" w:hAnsi="Arial"/>
          <w:sz w:val="20"/>
          <w:szCs w:val="20"/>
          <w:u w:val="single" w:color="auto"/>
          <w:color w:val="auto"/>
        </w:rPr>
        <w:t>Section 2.12</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y</w:t>
      </w:r>
      <w:r>
        <w:rPr>
          <w:rFonts w:ascii="Arial" w:cs="Arial" w:eastAsia="Arial" w:hAnsi="Arial"/>
          <w:sz w:val="20"/>
          <w:szCs w:val="20"/>
          <w:color w:val="auto"/>
        </w:rPr>
        <w:t>) the later of the date that is (</w:t>
      </w:r>
      <w:r>
        <w:rPr>
          <w:rFonts w:ascii="Arial" w:cs="Arial" w:eastAsia="Arial" w:hAnsi="Arial"/>
          <w:sz w:val="20"/>
          <w:szCs w:val="20"/>
          <w:u w:val="single" w:color="auto"/>
          <w:color w:val="auto"/>
        </w:rPr>
        <w:t>1</w:t>
      </w:r>
      <w:r>
        <w:rPr>
          <w:rFonts w:ascii="Arial" w:cs="Arial" w:eastAsia="Arial" w:hAnsi="Arial"/>
          <w:sz w:val="20"/>
          <w:szCs w:val="20"/>
          <w:color w:val="auto"/>
        </w:rPr>
        <w:t>) 175 days following the end of the PBGC Review Period and (</w:t>
      </w:r>
      <w:r>
        <w:rPr>
          <w:rFonts w:ascii="Arial" w:cs="Arial" w:eastAsia="Arial" w:hAnsi="Arial"/>
          <w:sz w:val="20"/>
          <w:szCs w:val="20"/>
          <w:u w:val="single" w:color="auto"/>
          <w:color w:val="auto"/>
        </w:rPr>
        <w:t>2</w:t>
      </w:r>
      <w:r>
        <w:rPr>
          <w:rFonts w:ascii="Arial" w:cs="Arial" w:eastAsia="Arial" w:hAnsi="Arial"/>
          <w:sz w:val="20"/>
          <w:szCs w:val="20"/>
          <w:color w:val="auto"/>
        </w:rPr>
        <w:t>) 145 days following the Closing Date:</w:t>
      </w:r>
    </w:p>
    <w:p>
      <w:pPr>
        <w:spacing w:after="0" w:line="200" w:lineRule="exact"/>
        <w:rPr>
          <w:rFonts w:ascii="Arial" w:cs="Arial" w:eastAsia="Arial" w:hAnsi="Arial"/>
          <w:sz w:val="20"/>
          <w:szCs w:val="20"/>
          <w:color w:val="auto"/>
        </w:rPr>
      </w:pPr>
    </w:p>
    <w:p>
      <w:pPr>
        <w:jc w:val="both"/>
        <w:ind w:left="600" w:firstLine="602"/>
        <w:spacing w:after="0" w:line="286" w:lineRule="auto"/>
        <w:tabs>
          <w:tab w:leader="none" w:pos="1635" w:val="left"/>
        </w:tabs>
        <w:numPr>
          <w:ilvl w:val="1"/>
          <w:numId w:val="58"/>
        </w:numPr>
        <w:rPr>
          <w:rFonts w:ascii="Arial" w:cs="Arial" w:eastAsia="Arial" w:hAnsi="Arial"/>
          <w:sz w:val="18"/>
          <w:szCs w:val="18"/>
          <w:color w:val="auto"/>
        </w:rPr>
      </w:pPr>
      <w:r>
        <w:rPr>
          <w:rFonts w:ascii="Arial" w:cs="Arial" w:eastAsia="Arial" w:hAnsi="Arial"/>
          <w:sz w:val="18"/>
          <w:szCs w:val="18"/>
          <w:color w:val="auto"/>
        </w:rPr>
        <w:t>if (A) the sum of (</w:t>
      </w:r>
      <w:r>
        <w:rPr>
          <w:rFonts w:ascii="Arial" w:cs="Arial" w:eastAsia="Arial" w:hAnsi="Arial"/>
          <w:sz w:val="18"/>
          <w:szCs w:val="18"/>
          <w:u w:val="single" w:color="auto"/>
          <w:color w:val="auto"/>
        </w:rPr>
        <w:t>x</w:t>
      </w:r>
      <w:r>
        <w:rPr>
          <w:rFonts w:ascii="Arial" w:cs="Arial" w:eastAsia="Arial" w:hAnsi="Arial"/>
          <w:sz w:val="18"/>
          <w:szCs w:val="18"/>
          <w:color w:val="auto"/>
        </w:rPr>
        <w:t xml:space="preserve">) the aggregate Closing Asset Valuation of the assets in the Final Plan Portfolio (as may be adjusted following the resolution of disputes in accordance with </w:t>
      </w:r>
      <w:r>
        <w:rPr>
          <w:rFonts w:ascii="Arial" w:cs="Arial" w:eastAsia="Arial" w:hAnsi="Arial"/>
          <w:sz w:val="18"/>
          <w:szCs w:val="18"/>
          <w:u w:val="single" w:color="auto"/>
          <w:color w:val="auto"/>
        </w:rPr>
        <w:t>Section 2.12(a)</w:t>
      </w:r>
      <w:r>
        <w:rPr>
          <w:rFonts w:ascii="Arial" w:cs="Arial" w:eastAsia="Arial" w:hAnsi="Arial"/>
          <w:sz w:val="18"/>
          <w:szCs w:val="18"/>
          <w:color w:val="auto"/>
        </w:rPr>
        <w:t>) and (</w:t>
      </w:r>
      <w:r>
        <w:rPr>
          <w:rFonts w:ascii="Arial" w:cs="Arial" w:eastAsia="Arial" w:hAnsi="Arial"/>
          <w:sz w:val="18"/>
          <w:szCs w:val="18"/>
          <w:u w:val="single" w:color="auto"/>
          <w:color w:val="auto"/>
        </w:rPr>
        <w:t>y</w:t>
      </w:r>
      <w:r>
        <w:rPr>
          <w:rFonts w:ascii="Arial" w:cs="Arial" w:eastAsia="Arial" w:hAnsi="Arial"/>
          <w:sz w:val="18"/>
          <w:szCs w:val="18"/>
          <w:color w:val="auto"/>
        </w:rPr>
        <w:t xml:space="preserve">) the amount of the Cash Closing Payment </w:t>
      </w:r>
      <w:r>
        <w:rPr>
          <w:rFonts w:ascii="Arial" w:cs="Arial" w:eastAsia="Arial" w:hAnsi="Arial"/>
          <w:sz w:val="18"/>
          <w:szCs w:val="18"/>
          <w:i w:val="1"/>
          <w:iCs w:val="1"/>
          <w:color w:val="auto"/>
        </w:rPr>
        <w:t>minus</w:t>
      </w:r>
      <w:r>
        <w:rPr>
          <w:rFonts w:ascii="Arial" w:cs="Arial" w:eastAsia="Arial" w:hAnsi="Arial"/>
          <w:sz w:val="18"/>
          <w:szCs w:val="18"/>
          <w:color w:val="auto"/>
        </w:rPr>
        <w:t xml:space="preserve"> (B)</w:t>
      </w:r>
    </w:p>
    <w:p>
      <w:pPr>
        <w:jc w:val="both"/>
        <w:ind w:left="600"/>
        <w:spacing w:after="0" w:line="251" w:lineRule="auto"/>
        <w:rPr>
          <w:sz w:val="20"/>
          <w:szCs w:val="20"/>
          <w:color w:val="auto"/>
        </w:rPr>
      </w:pPr>
      <w:r>
        <w:rPr>
          <w:rFonts w:ascii="Arial" w:cs="Arial" w:eastAsia="Arial" w:hAnsi="Arial"/>
          <w:sz w:val="20"/>
          <w:szCs w:val="20"/>
          <w:color w:val="auto"/>
        </w:rPr>
        <w:t xml:space="preserve">the [ *** ], if any, </w:t>
      </w:r>
      <w:r>
        <w:rPr>
          <w:rFonts w:ascii="Arial" w:cs="Arial" w:eastAsia="Arial" w:hAnsi="Arial"/>
          <w:sz w:val="20"/>
          <w:szCs w:val="20"/>
          <w:i w:val="1"/>
          <w:iCs w:val="1"/>
          <w:color w:val="auto"/>
        </w:rPr>
        <w:t>plus</w:t>
      </w:r>
      <w:r>
        <w:rPr>
          <w:rFonts w:ascii="Arial" w:cs="Arial" w:eastAsia="Arial" w:hAnsi="Arial"/>
          <w:sz w:val="20"/>
          <w:szCs w:val="20"/>
          <w:color w:val="auto"/>
        </w:rPr>
        <w:t xml:space="preserve"> (C) the Interim Post-Closing Plan Payment, exceeds the amount of the Post-Closing Final Premium (as may be adjusted following the resolution of any disputes in accordance with </w:t>
      </w:r>
      <w:r>
        <w:rPr>
          <w:rFonts w:ascii="Arial" w:cs="Arial" w:eastAsia="Arial" w:hAnsi="Arial"/>
          <w:sz w:val="20"/>
          <w:szCs w:val="20"/>
          <w:u w:val="single" w:color="auto"/>
          <w:color w:val="auto"/>
        </w:rPr>
        <w:t>Section 2.12(a)</w:t>
      </w:r>
      <w:r>
        <w:rPr>
          <w:rFonts w:ascii="Arial" w:cs="Arial" w:eastAsia="Arial" w:hAnsi="Arial"/>
          <w:sz w:val="20"/>
          <w:szCs w:val="20"/>
          <w:color w:val="auto"/>
        </w:rPr>
        <w:t xml:space="preserve">), if any, then, subject to the execution by the Plan Trustee of an amendment of the Group Annuity Contract in connection with </w:t>
      </w:r>
      <w:r>
        <w:rPr>
          <w:rFonts w:ascii="Arial" w:cs="Arial" w:eastAsia="Arial" w:hAnsi="Arial"/>
          <w:sz w:val="20"/>
          <w:szCs w:val="20"/>
          <w:u w:val="single" w:color="auto"/>
          <w:color w:val="auto"/>
        </w:rPr>
        <w:t>Section 2.19</w:t>
      </w:r>
      <w:r>
        <w:rPr>
          <w:rFonts w:ascii="Arial" w:cs="Arial" w:eastAsia="Arial" w:hAnsi="Arial"/>
          <w:sz w:val="20"/>
          <w:szCs w:val="20"/>
          <w:color w:val="auto"/>
        </w:rPr>
        <w:t>, either Insurer Parent or the Insurer shall pay to the Plan Trustee an amount, in Cash, equal to such excess; and</w:t>
      </w:r>
    </w:p>
    <w:p>
      <w:pPr>
        <w:spacing w:after="0" w:line="209" w:lineRule="exact"/>
        <w:rPr>
          <w:sz w:val="20"/>
          <w:szCs w:val="20"/>
          <w:color w:val="auto"/>
        </w:rPr>
      </w:pPr>
    </w:p>
    <w:p>
      <w:pPr>
        <w:jc w:val="both"/>
        <w:ind w:left="600" w:firstLine="602"/>
        <w:spacing w:after="0" w:line="287" w:lineRule="auto"/>
        <w:tabs>
          <w:tab w:leader="none" w:pos="1659" w:val="left"/>
        </w:tabs>
        <w:numPr>
          <w:ilvl w:val="1"/>
          <w:numId w:val="59"/>
        </w:numPr>
        <w:rPr>
          <w:rFonts w:ascii="Arial" w:cs="Arial" w:eastAsia="Arial" w:hAnsi="Arial"/>
          <w:sz w:val="18"/>
          <w:szCs w:val="18"/>
          <w:color w:val="auto"/>
        </w:rPr>
      </w:pPr>
      <w:r>
        <w:rPr>
          <w:rFonts w:ascii="Arial" w:cs="Arial" w:eastAsia="Arial" w:hAnsi="Arial"/>
          <w:sz w:val="18"/>
          <w:szCs w:val="18"/>
          <w:color w:val="auto"/>
        </w:rPr>
        <w:t xml:space="preserve">if (A) the amount of the Post-Closing Final Premium (as adjusted following the resolution of disputes in accordance with </w:t>
      </w:r>
      <w:r>
        <w:rPr>
          <w:rFonts w:ascii="Arial" w:cs="Arial" w:eastAsia="Arial" w:hAnsi="Arial"/>
          <w:sz w:val="18"/>
          <w:szCs w:val="18"/>
          <w:u w:val="single" w:color="auto"/>
          <w:color w:val="auto"/>
        </w:rPr>
        <w:t>Section 2.12(a)</w:t>
      </w:r>
      <w:r>
        <w:rPr>
          <w:rFonts w:ascii="Arial" w:cs="Arial" w:eastAsia="Arial" w:hAnsi="Arial"/>
          <w:sz w:val="18"/>
          <w:szCs w:val="18"/>
          <w:color w:val="auto"/>
        </w:rPr>
        <w:t xml:space="preserve">) </w:t>
      </w:r>
      <w:r>
        <w:rPr>
          <w:rFonts w:ascii="Arial" w:cs="Arial" w:eastAsia="Arial" w:hAnsi="Arial"/>
          <w:sz w:val="18"/>
          <w:szCs w:val="18"/>
          <w:i w:val="1"/>
          <w:iCs w:val="1"/>
          <w:color w:val="auto"/>
        </w:rPr>
        <w:t>plus</w:t>
      </w:r>
      <w:r>
        <w:rPr>
          <w:rFonts w:ascii="Arial" w:cs="Arial" w:eastAsia="Arial" w:hAnsi="Arial"/>
          <w:sz w:val="18"/>
          <w:szCs w:val="18"/>
          <w:color w:val="auto"/>
        </w:rPr>
        <w:t xml:space="preserve"> (B) the Interim Post-Closing Insurer Payment, if any, </w:t>
      </w:r>
      <w:r>
        <w:rPr>
          <w:rFonts w:ascii="Arial" w:cs="Arial" w:eastAsia="Arial" w:hAnsi="Arial"/>
          <w:sz w:val="18"/>
          <w:szCs w:val="18"/>
          <w:i w:val="1"/>
          <w:iCs w:val="1"/>
          <w:color w:val="auto"/>
        </w:rPr>
        <w:t>minus</w:t>
      </w:r>
      <w:r>
        <w:rPr>
          <w:rFonts w:ascii="Arial" w:cs="Arial" w:eastAsia="Arial" w:hAnsi="Arial"/>
          <w:sz w:val="18"/>
          <w:szCs w:val="18"/>
          <w:color w:val="auto"/>
        </w:rPr>
        <w:t xml:space="preserve"> (C) the Interim Post-Closing Plan Payment, exceeds the sum of (</w:t>
      </w:r>
      <w:r>
        <w:rPr>
          <w:rFonts w:ascii="Arial" w:cs="Arial" w:eastAsia="Arial" w:hAnsi="Arial"/>
          <w:sz w:val="18"/>
          <w:szCs w:val="18"/>
          <w:u w:val="single" w:color="auto"/>
          <w:color w:val="auto"/>
        </w:rPr>
        <w:t>x</w:t>
      </w:r>
      <w:r>
        <w:rPr>
          <w:rFonts w:ascii="Arial" w:cs="Arial" w:eastAsia="Arial" w:hAnsi="Arial"/>
          <w:sz w:val="18"/>
          <w:szCs w:val="18"/>
          <w:color w:val="auto"/>
        </w:rPr>
        <w:t xml:space="preserve">) the aggregate Closing Asset Valuation of the assets in the Final Plan Portfolio (as may be adjusted following the resolution of any disputes in accordance with </w:t>
      </w:r>
      <w:r>
        <w:rPr>
          <w:rFonts w:ascii="Arial" w:cs="Arial" w:eastAsia="Arial" w:hAnsi="Arial"/>
          <w:sz w:val="18"/>
          <w:szCs w:val="18"/>
          <w:u w:val="single" w:color="auto"/>
          <w:color w:val="auto"/>
        </w:rPr>
        <w:t>Section 2.12(a)</w:t>
      </w:r>
      <w:r>
        <w:rPr>
          <w:rFonts w:ascii="Arial" w:cs="Arial" w:eastAsia="Arial" w:hAnsi="Arial"/>
          <w:sz w:val="18"/>
          <w:szCs w:val="18"/>
          <w:color w:val="auto"/>
        </w:rPr>
        <w:t>) and (</w:t>
      </w:r>
      <w:r>
        <w:rPr>
          <w:rFonts w:ascii="Arial" w:cs="Arial" w:eastAsia="Arial" w:hAnsi="Arial"/>
          <w:sz w:val="18"/>
          <w:szCs w:val="18"/>
          <w:u w:val="single" w:color="auto"/>
          <w:color w:val="auto"/>
        </w:rPr>
        <w:t>y</w:t>
      </w:r>
      <w:r>
        <w:rPr>
          <w:rFonts w:ascii="Arial" w:cs="Arial" w:eastAsia="Arial" w:hAnsi="Arial"/>
          <w:sz w:val="18"/>
          <w:szCs w:val="18"/>
          <w:color w:val="auto"/>
        </w:rPr>
        <w:t xml:space="preserve">) the amount of the Cash Closing Payment, then, subject to the execution by the Insurer of an amendment of the Group Annuity Contract in connection with </w:t>
      </w:r>
      <w:r>
        <w:rPr>
          <w:rFonts w:ascii="Arial" w:cs="Arial" w:eastAsia="Arial" w:hAnsi="Arial"/>
          <w:sz w:val="18"/>
          <w:szCs w:val="18"/>
          <w:u w:val="single" w:color="auto"/>
          <w:color w:val="auto"/>
        </w:rPr>
        <w:t>Section 2.19</w:t>
      </w:r>
      <w:r>
        <w:rPr>
          <w:rFonts w:ascii="Arial" w:cs="Arial" w:eastAsia="Arial" w:hAnsi="Arial"/>
          <w:sz w:val="18"/>
          <w:szCs w:val="18"/>
          <w:color w:val="auto"/>
        </w:rPr>
        <w:t>, the Independent Fiduciary shall irrevocably direct the Plan Trustee to pay to the Insurer, an amount, in Cash, equal to such.</w:t>
      </w:r>
    </w:p>
    <w:p>
      <w:pPr>
        <w:spacing w:after="0" w:line="179" w:lineRule="exact"/>
        <w:rPr>
          <w:rFonts w:ascii="Arial" w:cs="Arial" w:eastAsia="Arial" w:hAnsi="Arial"/>
          <w:sz w:val="18"/>
          <w:szCs w:val="18"/>
          <w:color w:val="auto"/>
        </w:rPr>
      </w:pPr>
    </w:p>
    <w:p>
      <w:pPr>
        <w:ind w:firstLine="601"/>
        <w:spacing w:after="0" w:line="275" w:lineRule="auto"/>
        <w:tabs>
          <w:tab w:leader="none" w:pos="1035" w:val="left"/>
        </w:tabs>
        <w:numPr>
          <w:ilvl w:val="0"/>
          <w:numId w:val="60"/>
        </w:numPr>
        <w:rPr>
          <w:rFonts w:ascii="Arial" w:cs="Arial" w:eastAsia="Arial" w:hAnsi="Arial"/>
          <w:sz w:val="20"/>
          <w:szCs w:val="20"/>
          <w:color w:val="auto"/>
        </w:rPr>
      </w:pPr>
      <w:r>
        <w:rPr>
          <w:rFonts w:ascii="Arial" w:cs="Arial" w:eastAsia="Arial" w:hAnsi="Arial"/>
          <w:sz w:val="20"/>
          <w:szCs w:val="20"/>
          <w:color w:val="auto"/>
        </w:rPr>
        <w:t>The Company shall make available to the Plan, Cash in the amount necessary to enable the Plan Trustee to pay all amounts that it is directed to pay to the Insurer by the Independent Fiduciary pursuant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ectPr>
          <w:pgSz w:w="11900" w:h="16838" w:orient="portrait"/>
          <w:cols w:equalWidth="0" w:num="1">
            <w:col w:w="11420"/>
          </w:cols>
          <w:pgMar w:left="240" w:top="556" w:right="239" w:bottom="1440" w:gutter="0" w:footer="0" w:header="0"/>
        </w:sectPr>
      </w:pPr>
    </w:p>
    <w:bookmarkStart w:id="47" w:name="page48"/>
    <w:bookmarkEnd w:id="47"/>
    <w:p>
      <w:pPr>
        <w:ind w:right="540"/>
        <w:spacing w:after="0" w:line="463" w:lineRule="auto"/>
        <w:rPr>
          <w:sz w:val="20"/>
          <w:szCs w:val="20"/>
          <w:color w:val="auto"/>
        </w:rPr>
      </w:pPr>
      <w:r>
        <w:rPr>
          <w:rFonts w:ascii="Arial" w:cs="Arial" w:eastAsia="Arial" w:hAnsi="Arial"/>
          <w:sz w:val="20"/>
          <w:szCs w:val="20"/>
          <w:color w:val="auto"/>
        </w:rPr>
        <w:t xml:space="preserve">to this </w:t>
      </w:r>
      <w:r>
        <w:rPr>
          <w:rFonts w:ascii="Arial" w:cs="Arial" w:eastAsia="Arial" w:hAnsi="Arial"/>
          <w:sz w:val="20"/>
          <w:szCs w:val="20"/>
          <w:u w:val="single" w:color="auto"/>
          <w:color w:val="auto"/>
        </w:rPr>
        <w:t>Section 2.13</w:t>
      </w:r>
      <w:r>
        <w:rPr>
          <w:rFonts w:ascii="Arial" w:cs="Arial" w:eastAsia="Arial" w:hAnsi="Arial"/>
          <w:sz w:val="20"/>
          <w:szCs w:val="20"/>
          <w:color w:val="auto"/>
        </w:rPr>
        <w:t xml:space="preserve">. The Plan Trustee shall unconditionally pay all such amounts to the Insurer pursuant to the Plan Trustee Agreement. </w:t>
      </w:r>
      <w:r>
        <w:rPr>
          <w:rFonts w:ascii="Arial" w:cs="Arial" w:eastAsia="Arial" w:hAnsi="Arial"/>
          <w:sz w:val="20"/>
          <w:szCs w:val="20"/>
          <w:b w:val="1"/>
          <w:bCs w:val="1"/>
          <w:color w:val="auto"/>
        </w:rPr>
        <w:t>D. TCF</w:t>
      </w:r>
    </w:p>
    <w:p>
      <w:pPr>
        <w:spacing w:after="0" w:line="1" w:lineRule="exact"/>
        <w:rPr>
          <w:sz w:val="20"/>
          <w:szCs w:val="20"/>
          <w:color w:val="auto"/>
        </w:rPr>
      </w:pPr>
    </w:p>
    <w:p>
      <w:pPr>
        <w:ind w:left="600"/>
        <w:spacing w:after="0"/>
        <w:tabs>
          <w:tab w:leader="none" w:pos="1780" w:val="left"/>
        </w:tabs>
        <w:rPr>
          <w:sz w:val="20"/>
          <w:szCs w:val="20"/>
          <w:color w:val="auto"/>
        </w:rPr>
      </w:pPr>
      <w:r>
        <w:rPr>
          <w:rFonts w:ascii="Arial" w:cs="Arial" w:eastAsia="Arial" w:hAnsi="Arial"/>
          <w:sz w:val="20"/>
          <w:szCs w:val="20"/>
          <w:color w:val="auto"/>
        </w:rPr>
        <w:t>Section 2.14</w:t>
      </w:r>
      <w:r>
        <w:rPr>
          <w:sz w:val="20"/>
          <w:szCs w:val="20"/>
          <w:color w:val="auto"/>
        </w:rPr>
        <w:tab/>
      </w:r>
      <w:r>
        <w:rPr>
          <w:rFonts w:ascii="Arial" w:cs="Arial" w:eastAsia="Arial" w:hAnsi="Arial"/>
          <w:sz w:val="18"/>
          <w:szCs w:val="18"/>
          <w:u w:val="single" w:color="auto"/>
          <w:color w:val="auto"/>
        </w:rPr>
        <w:t>TCF</w:t>
      </w:r>
      <w:r>
        <w:rPr>
          <w:rFonts w:ascii="Arial" w:cs="Arial" w:eastAsia="Arial" w:hAnsi="Arial"/>
          <w:sz w:val="18"/>
          <w:szCs w:val="18"/>
          <w:color w:val="auto"/>
        </w:rPr>
        <w:t>.</w:t>
      </w:r>
    </w:p>
    <w:p>
      <w:pPr>
        <w:spacing w:after="0" w:line="246" w:lineRule="exact"/>
        <w:rPr>
          <w:sz w:val="20"/>
          <w:szCs w:val="20"/>
          <w:color w:val="auto"/>
        </w:rPr>
      </w:pPr>
    </w:p>
    <w:p>
      <w:pPr>
        <w:jc w:val="both"/>
        <w:ind w:firstLine="601"/>
        <w:spacing w:after="0" w:line="261" w:lineRule="auto"/>
        <w:tabs>
          <w:tab w:leader="none" w:pos="1424" w:val="left"/>
        </w:tabs>
        <w:numPr>
          <w:ilvl w:val="0"/>
          <w:numId w:val="61"/>
        </w:numPr>
        <w:rPr>
          <w:rFonts w:ascii="Arial" w:cs="Arial" w:eastAsia="Arial" w:hAnsi="Arial"/>
          <w:sz w:val="20"/>
          <w:szCs w:val="20"/>
          <w:color w:val="auto"/>
        </w:rPr>
      </w:pPr>
      <w:r>
        <w:rPr>
          <w:rFonts w:ascii="Arial" w:cs="Arial" w:eastAsia="Arial" w:hAnsi="Arial"/>
          <w:sz w:val="20"/>
          <w:szCs w:val="20"/>
          <w:color w:val="auto"/>
        </w:rPr>
        <w:t xml:space="preserve">The Company shall deposit into the Escrow Account, by wire transfer of immediately available funds, the TCF on the Business Day following the DTFA Execution Date and the 5th Business Day of each calendar month thereafter (starting in July of 2012), until the earlier to occur of the Closing Date and the termination of this Agreement in accordance with </w:t>
      </w:r>
      <w:r>
        <w:rPr>
          <w:rFonts w:ascii="Arial" w:cs="Arial" w:eastAsia="Arial" w:hAnsi="Arial"/>
          <w:sz w:val="20"/>
          <w:szCs w:val="20"/>
          <w:u w:val="single" w:color="auto"/>
          <w:color w:val="auto"/>
        </w:rPr>
        <w:t>Article</w:t>
      </w:r>
      <w:r>
        <w:rPr>
          <w:rFonts w:ascii="Arial" w:cs="Arial" w:eastAsia="Arial" w:hAnsi="Arial"/>
          <w:sz w:val="20"/>
          <w:szCs w:val="20"/>
          <w:color w:val="auto"/>
        </w:rPr>
        <w:t xml:space="preserve"> X.</w:t>
      </w:r>
    </w:p>
    <w:p>
      <w:pPr>
        <w:spacing w:after="0" w:line="200" w:lineRule="exact"/>
        <w:rPr>
          <w:rFonts w:ascii="Arial" w:cs="Arial" w:eastAsia="Arial" w:hAnsi="Arial"/>
          <w:sz w:val="20"/>
          <w:szCs w:val="20"/>
          <w:color w:val="auto"/>
        </w:rPr>
      </w:pPr>
    </w:p>
    <w:p>
      <w:pPr>
        <w:ind w:firstLine="601"/>
        <w:spacing w:after="0" w:line="275" w:lineRule="auto"/>
        <w:tabs>
          <w:tab w:leader="none" w:pos="1435" w:val="left"/>
        </w:tabs>
        <w:numPr>
          <w:ilvl w:val="0"/>
          <w:numId w:val="61"/>
        </w:numPr>
        <w:rPr>
          <w:rFonts w:ascii="Arial" w:cs="Arial" w:eastAsia="Arial" w:hAnsi="Arial"/>
          <w:sz w:val="20"/>
          <w:szCs w:val="20"/>
          <w:color w:val="auto"/>
        </w:rPr>
      </w:pPr>
      <w:r>
        <w:rPr>
          <w:rFonts w:ascii="Arial" w:cs="Arial" w:eastAsia="Arial" w:hAnsi="Arial"/>
          <w:sz w:val="20"/>
          <w:szCs w:val="20"/>
          <w:color w:val="auto"/>
        </w:rPr>
        <w:t>The Company shall pay any and all fees and other amounts that may become due and payable to the Escrow Agent pursuant to the Escrow Agreement.</w:t>
      </w:r>
    </w:p>
    <w:p>
      <w:pPr>
        <w:spacing w:after="0" w:line="345"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E.</w:t>
      </w:r>
      <w:r>
        <w:rPr>
          <w:sz w:val="20"/>
          <w:szCs w:val="20"/>
          <w:color w:val="auto"/>
        </w:rPr>
        <w:tab/>
      </w:r>
      <w:r>
        <w:rPr>
          <w:rFonts w:ascii="Arial" w:cs="Arial" w:eastAsia="Arial" w:hAnsi="Arial"/>
          <w:sz w:val="18"/>
          <w:szCs w:val="18"/>
          <w:b w:val="1"/>
          <w:bCs w:val="1"/>
          <w:color w:val="auto"/>
        </w:rPr>
        <w:t>General</w:t>
      </w:r>
    </w:p>
    <w:p>
      <w:pPr>
        <w:spacing w:after="0" w:line="225" w:lineRule="exact"/>
        <w:rPr>
          <w:sz w:val="20"/>
          <w:szCs w:val="20"/>
          <w:color w:val="auto"/>
        </w:rPr>
      </w:pPr>
    </w:p>
    <w:p>
      <w:pPr>
        <w:ind w:right="80" w:firstLine="601"/>
        <w:spacing w:after="0" w:line="281" w:lineRule="auto"/>
        <w:rPr>
          <w:sz w:val="20"/>
          <w:szCs w:val="20"/>
          <w:color w:val="auto"/>
        </w:rPr>
      </w:pPr>
      <w:r>
        <w:rPr>
          <w:rFonts w:ascii="Arial" w:cs="Arial" w:eastAsia="Arial" w:hAnsi="Arial"/>
          <w:sz w:val="18"/>
          <w:szCs w:val="18"/>
          <w:color w:val="auto"/>
        </w:rPr>
        <w:t>Section 2.15 Access and Cooperation. The Company, the Insurer and their respective Representatives will be entitled to reasonable access during normal business hours to examine and be provided copies of (a) the work papers and files related to the preparation of, or support for, the calculations and valuations contemplated by this Article II, including any such work papers or files related to POINT and (b) the relevant books and records of the Insurer or the Company, as applicable, and to discuss with the Insurer's or the Company's, as applicable, employees and Representatives involved with respect thereto; provided, however, that notwithstanding anything to the contrary set forth herein, other than as set forth in Section 11.7, the Company and its Representatives shall not have access to the Insurer Provided Life-by-Life Information or any work papers or other information that discloses or reveals Insurer Provided Life-by-Life Information, nor shall the Company or any of its Representatives attempt to derive, directly or indirectly, Insurer Provided Life-by-Life Information from any other information provided to the Company, the Company's Affiliates or Representatives or the Company's Affiliates' Representatives. Should, notwithstanding the foregoing, the Company or any of its Representatives obtain Insurer Provided Life-by-Life Information, whether directly or indirectly, or through a process of derivation, they hereby agree to transfer any rights in such information to the Insurer.</w:t>
      </w:r>
    </w:p>
    <w:p>
      <w:pPr>
        <w:spacing w:after="0" w:line="388" w:lineRule="exact"/>
        <w:rPr>
          <w:sz w:val="20"/>
          <w:szCs w:val="20"/>
          <w:color w:val="auto"/>
        </w:rPr>
      </w:pPr>
    </w:p>
    <w:p>
      <w:pPr>
        <w:jc w:val="both"/>
        <w:ind w:firstLine="601"/>
        <w:spacing w:after="0" w:line="304" w:lineRule="auto"/>
        <w:rPr>
          <w:sz w:val="20"/>
          <w:szCs w:val="20"/>
          <w:color w:val="auto"/>
        </w:rPr>
      </w:pPr>
      <w:r>
        <w:rPr>
          <w:rFonts w:ascii="Arial" w:cs="Arial" w:eastAsia="Arial" w:hAnsi="Arial"/>
          <w:sz w:val="18"/>
          <w:szCs w:val="18"/>
          <w:color w:val="auto"/>
        </w:rPr>
        <w:t xml:space="preserve">Section 2.16 </w:t>
      </w:r>
      <w:r>
        <w:rPr>
          <w:rFonts w:ascii="Arial" w:cs="Arial" w:eastAsia="Arial" w:hAnsi="Arial"/>
          <w:sz w:val="18"/>
          <w:szCs w:val="18"/>
          <w:u w:val="single" w:color="auto"/>
          <w:color w:val="auto"/>
        </w:rPr>
        <w:t>Data Updates</w:t>
      </w:r>
      <w:r>
        <w:rPr>
          <w:rFonts w:ascii="Arial" w:cs="Arial" w:eastAsia="Arial" w:hAnsi="Arial"/>
          <w:sz w:val="18"/>
          <w:szCs w:val="18"/>
          <w:color w:val="auto"/>
        </w:rPr>
        <w:t>. The Insurer shall have reasonable access to all updates to data, including benefit amounts, benefit forms, dates of birth, dates of death, gender, and lives missing from the original data provided by Towers Watson that relate to the premium payable to the Insurer, in each case limited to data in connection with Priced Lives who are Covered Lives, Contingent Lives and Beneficiaries.</w:t>
      </w:r>
    </w:p>
    <w:p>
      <w:pPr>
        <w:spacing w:after="0" w:line="327" w:lineRule="exact"/>
        <w:rPr>
          <w:sz w:val="20"/>
          <w:szCs w:val="20"/>
          <w:color w:val="auto"/>
        </w:rPr>
      </w:pPr>
    </w:p>
    <w:p>
      <w:pPr>
        <w:jc w:val="both"/>
        <w:ind w:firstLine="601"/>
        <w:spacing w:after="0" w:line="275" w:lineRule="auto"/>
        <w:rPr>
          <w:sz w:val="20"/>
          <w:szCs w:val="20"/>
          <w:color w:val="auto"/>
        </w:rPr>
      </w:pPr>
      <w:r>
        <w:rPr>
          <w:rFonts w:ascii="Arial" w:cs="Arial" w:eastAsia="Arial" w:hAnsi="Arial"/>
          <w:sz w:val="20"/>
          <w:szCs w:val="20"/>
          <w:color w:val="auto"/>
        </w:rPr>
        <w:t xml:space="preserve">Section 2.17 </w:t>
      </w:r>
      <w:r>
        <w:rPr>
          <w:rFonts w:ascii="Arial" w:cs="Arial" w:eastAsia="Arial" w:hAnsi="Arial"/>
          <w:sz w:val="20"/>
          <w:szCs w:val="20"/>
          <w:u w:val="single" w:color="auto"/>
          <w:color w:val="auto"/>
        </w:rPr>
        <w:t>Business Day Adjustments</w:t>
      </w:r>
      <w:r>
        <w:rPr>
          <w:rFonts w:ascii="Arial" w:cs="Arial" w:eastAsia="Arial" w:hAnsi="Arial"/>
          <w:sz w:val="20"/>
          <w:szCs w:val="20"/>
          <w:color w:val="auto"/>
        </w:rPr>
        <w:t xml:space="preserve">. If any calculation set forth in this </w:t>
      </w:r>
      <w:r>
        <w:rPr>
          <w:rFonts w:ascii="Arial" w:cs="Arial" w:eastAsia="Arial" w:hAnsi="Arial"/>
          <w:sz w:val="20"/>
          <w:szCs w:val="20"/>
          <w:u w:val="single" w:color="auto"/>
          <w:color w:val="auto"/>
        </w:rPr>
        <w:t>Article II</w:t>
      </w:r>
      <w:r>
        <w:rPr>
          <w:rFonts w:ascii="Arial" w:cs="Arial" w:eastAsia="Arial" w:hAnsi="Arial"/>
          <w:sz w:val="20"/>
          <w:szCs w:val="20"/>
          <w:color w:val="auto"/>
        </w:rPr>
        <w:t xml:space="preserve"> is to be performed as of a day that is not a Business Day, such calculation shall be performed as of the immediately preceding Business Day.</w:t>
      </w:r>
    </w:p>
    <w:p>
      <w:pPr>
        <w:spacing w:after="0" w:line="349" w:lineRule="exact"/>
        <w:rPr>
          <w:sz w:val="20"/>
          <w:szCs w:val="20"/>
          <w:color w:val="auto"/>
        </w:rPr>
      </w:pPr>
    </w:p>
    <w:p>
      <w:pPr>
        <w:jc w:val="both"/>
        <w:ind w:firstLine="601"/>
        <w:spacing w:after="0" w:line="275" w:lineRule="auto"/>
        <w:rPr>
          <w:sz w:val="20"/>
          <w:szCs w:val="20"/>
          <w:color w:val="auto"/>
        </w:rPr>
      </w:pPr>
      <w:r>
        <w:rPr>
          <w:rFonts w:ascii="Arial" w:cs="Arial" w:eastAsia="Arial" w:hAnsi="Arial"/>
          <w:sz w:val="19"/>
          <w:szCs w:val="19"/>
          <w:color w:val="auto"/>
        </w:rPr>
        <w:t xml:space="preserve">Section 2.18 </w:t>
      </w:r>
      <w:r>
        <w:rPr>
          <w:rFonts w:ascii="Arial" w:cs="Arial" w:eastAsia="Arial" w:hAnsi="Arial"/>
          <w:sz w:val="19"/>
          <w:szCs w:val="19"/>
          <w:u w:val="single" w:color="auto"/>
          <w:color w:val="auto"/>
        </w:rPr>
        <w:t>Adjustment to the Target Closing Date</w:t>
      </w:r>
      <w:r>
        <w:rPr>
          <w:rFonts w:ascii="Arial" w:cs="Arial" w:eastAsia="Arial" w:hAnsi="Arial"/>
          <w:sz w:val="19"/>
          <w:szCs w:val="19"/>
          <w:color w:val="auto"/>
        </w:rPr>
        <w:t>. If subsequent to the calculation or delivery of a calculation or other deliverable that was required to be performed or delivered as of, on or prior to a day that is some number of days prior to the Target Closing Date, the Target Closing Date is adjusted so that it is a later date, the applicable Party shall re-calculate or deliver such calculation or other deliverable as of, on or prior, as applicable, to such number of days prior to the Target Closing Date as so adjusted.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ectPr>
          <w:pgSz w:w="11900" w:h="16838" w:orient="portrait"/>
          <w:cols w:equalWidth="0" w:num="1">
            <w:col w:w="11420"/>
          </w:cols>
          <w:pgMar w:left="240" w:top="556" w:right="239" w:bottom="1440" w:gutter="0" w:footer="0" w:header="0"/>
        </w:sectPr>
      </w:pPr>
    </w:p>
    <w:bookmarkStart w:id="48" w:name="page49"/>
    <w:bookmarkEnd w:id="48"/>
    <w:p>
      <w:pPr>
        <w:ind w:left="600"/>
        <w:spacing w:after="0"/>
        <w:tabs>
          <w:tab w:leader="none" w:pos="1780" w:val="left"/>
        </w:tabs>
        <w:rPr>
          <w:sz w:val="20"/>
          <w:szCs w:val="20"/>
          <w:color w:val="auto"/>
        </w:rPr>
      </w:pPr>
      <w:r>
        <w:rPr>
          <w:rFonts w:ascii="Arial" w:cs="Arial" w:eastAsia="Arial" w:hAnsi="Arial"/>
          <w:sz w:val="20"/>
          <w:szCs w:val="20"/>
          <w:color w:val="auto"/>
        </w:rPr>
        <w:t>Section 2.19</w:t>
      </w:r>
      <w:r>
        <w:rPr>
          <w:sz w:val="20"/>
          <w:szCs w:val="20"/>
          <w:color w:val="auto"/>
        </w:rPr>
        <w:tab/>
      </w:r>
      <w:r>
        <w:rPr>
          <w:rFonts w:ascii="Arial" w:cs="Arial" w:eastAsia="Arial" w:hAnsi="Arial"/>
          <w:sz w:val="18"/>
          <w:szCs w:val="18"/>
          <w:u w:val="single" w:color="auto"/>
          <w:color w:val="auto"/>
        </w:rPr>
        <w:t>Amendments to the Group Annuity Contract</w:t>
      </w:r>
      <w:r>
        <w:rPr>
          <w:rFonts w:ascii="Arial" w:cs="Arial" w:eastAsia="Arial" w:hAnsi="Arial"/>
          <w:sz w:val="18"/>
          <w:szCs w:val="18"/>
          <w:color w:val="auto"/>
        </w:rPr>
        <w:t>.</w:t>
      </w:r>
    </w:p>
    <w:p>
      <w:pPr>
        <w:spacing w:after="0" w:line="246" w:lineRule="exact"/>
        <w:rPr>
          <w:sz w:val="20"/>
          <w:szCs w:val="20"/>
          <w:color w:val="auto"/>
        </w:rPr>
      </w:pPr>
    </w:p>
    <w:p>
      <w:pPr>
        <w:jc w:val="both"/>
        <w:ind w:firstLine="601"/>
        <w:spacing w:after="0" w:line="252" w:lineRule="auto"/>
        <w:tabs>
          <w:tab w:leader="none" w:pos="1424" w:val="left"/>
        </w:tabs>
        <w:numPr>
          <w:ilvl w:val="0"/>
          <w:numId w:val="62"/>
        </w:numPr>
        <w:rPr>
          <w:rFonts w:ascii="Arial" w:cs="Arial" w:eastAsia="Arial" w:hAnsi="Arial"/>
          <w:sz w:val="20"/>
          <w:szCs w:val="20"/>
          <w:color w:val="auto"/>
        </w:rPr>
      </w:pPr>
      <w:r>
        <w:rPr>
          <w:rFonts w:ascii="Arial" w:cs="Arial" w:eastAsia="Arial" w:hAnsi="Arial"/>
          <w:sz w:val="20"/>
          <w:szCs w:val="20"/>
          <w:color w:val="auto"/>
        </w:rPr>
        <w:t>Within five Business Days following the delivery by the Insurer of the calculation of the Interim Post-Closing Final Premium, the Insurer shall amend the Group Annuity Contract, and the Independent Fiduciary shall irrevocably direct the Plan Trustee to amend the Group Annuity Contract, in each case, to reflect any differences between (</w:t>
      </w:r>
      <w:r>
        <w:rPr>
          <w:rFonts w:ascii="Arial" w:cs="Arial" w:eastAsia="Arial" w:hAnsi="Arial"/>
          <w:sz w:val="20"/>
          <w:szCs w:val="20"/>
          <w:u w:val="single" w:color="auto"/>
          <w:color w:val="auto"/>
        </w:rPr>
        <w:t>A</w:t>
      </w:r>
      <w:r>
        <w:rPr>
          <w:rFonts w:ascii="Arial" w:cs="Arial" w:eastAsia="Arial" w:hAnsi="Arial"/>
          <w:sz w:val="20"/>
          <w:szCs w:val="20"/>
          <w:color w:val="auto"/>
        </w:rPr>
        <w:t>) the amount of the Interim Post-Closing Final Premium and the amount of the Closing Final Premium, (</w:t>
      </w:r>
      <w:r>
        <w:rPr>
          <w:rFonts w:ascii="Arial" w:cs="Arial" w:eastAsia="Arial" w:hAnsi="Arial"/>
          <w:sz w:val="20"/>
          <w:szCs w:val="20"/>
          <w:u w:val="single" w:color="auto"/>
          <w:color w:val="auto"/>
        </w:rPr>
        <w:t>B</w:t>
      </w:r>
      <w:r>
        <w:rPr>
          <w:rFonts w:ascii="Arial" w:cs="Arial" w:eastAsia="Arial" w:hAnsi="Arial"/>
          <w:sz w:val="20"/>
          <w:szCs w:val="20"/>
          <w:color w:val="auto"/>
        </w:rPr>
        <w:t>) the Annuity Exhibit delivered in connection with the calculation of the Interim Post-Closing Final Premium and the Annuity Exhibit delivered in connection with the delivery of calculation of the Closing Final Premium and (</w:t>
      </w:r>
      <w:r>
        <w:rPr>
          <w:rFonts w:ascii="Arial" w:cs="Arial" w:eastAsia="Arial" w:hAnsi="Arial"/>
          <w:sz w:val="20"/>
          <w:szCs w:val="20"/>
          <w:u w:val="single" w:color="auto"/>
          <w:color w:val="auto"/>
        </w:rPr>
        <w:t>C</w:t>
      </w:r>
      <w:r>
        <w:rPr>
          <w:rFonts w:ascii="Arial" w:cs="Arial" w:eastAsia="Arial" w:hAnsi="Arial"/>
          <w:sz w:val="20"/>
          <w:szCs w:val="20"/>
          <w:color w:val="auto"/>
        </w:rPr>
        <w:t xml:space="preserve">) the Transferred Assets Schedule delivered in connection with the calculation of the Interim Post-Closing Final Premium and the Transferred Assets Schedule delivered pursuant to </w:t>
      </w:r>
      <w:r>
        <w:rPr>
          <w:rFonts w:ascii="Arial" w:cs="Arial" w:eastAsia="Arial" w:hAnsi="Arial"/>
          <w:sz w:val="20"/>
          <w:szCs w:val="20"/>
          <w:u w:val="single" w:color="auto"/>
          <w:color w:val="auto"/>
        </w:rPr>
        <w:t>Section 2.9(a)</w:t>
      </w:r>
      <w:r>
        <w:rPr>
          <w:rFonts w:ascii="Arial" w:cs="Arial" w:eastAsia="Arial" w:hAnsi="Arial"/>
          <w:sz w:val="20"/>
          <w:szCs w:val="20"/>
          <w:color w:val="auto"/>
        </w:rPr>
        <w:t>.</w:t>
      </w:r>
    </w:p>
    <w:p>
      <w:pPr>
        <w:spacing w:after="0" w:line="212" w:lineRule="exact"/>
        <w:rPr>
          <w:rFonts w:ascii="Arial" w:cs="Arial" w:eastAsia="Arial" w:hAnsi="Arial"/>
          <w:sz w:val="20"/>
          <w:szCs w:val="20"/>
          <w:color w:val="auto"/>
        </w:rPr>
      </w:pPr>
    </w:p>
    <w:p>
      <w:pPr>
        <w:jc w:val="both"/>
        <w:ind w:firstLine="601"/>
        <w:spacing w:after="0" w:line="264" w:lineRule="auto"/>
        <w:tabs>
          <w:tab w:leader="none" w:pos="1435" w:val="left"/>
        </w:tabs>
        <w:numPr>
          <w:ilvl w:val="0"/>
          <w:numId w:val="62"/>
        </w:numPr>
        <w:rPr>
          <w:rFonts w:ascii="Arial" w:cs="Arial" w:eastAsia="Arial" w:hAnsi="Arial"/>
          <w:sz w:val="19"/>
          <w:szCs w:val="19"/>
          <w:color w:val="auto"/>
        </w:rPr>
      </w:pPr>
      <w:r>
        <w:rPr>
          <w:rFonts w:ascii="Arial" w:cs="Arial" w:eastAsia="Arial" w:hAnsi="Arial"/>
          <w:sz w:val="19"/>
          <w:szCs w:val="19"/>
          <w:color w:val="auto"/>
        </w:rPr>
        <w:t>By the earlier of (</w:t>
      </w:r>
      <w:r>
        <w:rPr>
          <w:rFonts w:ascii="Arial" w:cs="Arial" w:eastAsia="Arial" w:hAnsi="Arial"/>
          <w:sz w:val="19"/>
          <w:szCs w:val="19"/>
          <w:u w:val="single" w:color="auto"/>
          <w:color w:val="auto"/>
        </w:rPr>
        <w:t>x</w:t>
      </w:r>
      <w:r>
        <w:rPr>
          <w:rFonts w:ascii="Arial" w:cs="Arial" w:eastAsia="Arial" w:hAnsi="Arial"/>
          <w:sz w:val="19"/>
          <w:szCs w:val="19"/>
          <w:color w:val="auto"/>
        </w:rPr>
        <w:t xml:space="preserve">) the date that is five (5) Business Days following the final resolution of all disputes in accordance with </w:t>
      </w:r>
      <w:r>
        <w:rPr>
          <w:rFonts w:ascii="Arial" w:cs="Arial" w:eastAsia="Arial" w:hAnsi="Arial"/>
          <w:sz w:val="19"/>
          <w:szCs w:val="19"/>
          <w:u w:val="single" w:color="auto"/>
          <w:color w:val="auto"/>
        </w:rPr>
        <w:t>Section 2.12</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y</w:t>
      </w:r>
      <w:r>
        <w:rPr>
          <w:rFonts w:ascii="Arial" w:cs="Arial" w:eastAsia="Arial" w:hAnsi="Arial"/>
          <w:sz w:val="19"/>
          <w:szCs w:val="19"/>
          <w:color w:val="auto"/>
        </w:rPr>
        <w:t>) the later of the date that is (</w:t>
      </w:r>
      <w:r>
        <w:rPr>
          <w:rFonts w:ascii="Arial" w:cs="Arial" w:eastAsia="Arial" w:hAnsi="Arial"/>
          <w:sz w:val="19"/>
          <w:szCs w:val="19"/>
          <w:u w:val="single" w:color="auto"/>
          <w:color w:val="auto"/>
        </w:rPr>
        <w:t>1</w:t>
      </w:r>
      <w:r>
        <w:rPr>
          <w:rFonts w:ascii="Arial" w:cs="Arial" w:eastAsia="Arial" w:hAnsi="Arial"/>
          <w:sz w:val="19"/>
          <w:szCs w:val="19"/>
          <w:color w:val="auto"/>
        </w:rPr>
        <w:t>) 175 days following the end of the PBGC Review Period and (</w:t>
      </w:r>
      <w:r>
        <w:rPr>
          <w:rFonts w:ascii="Arial" w:cs="Arial" w:eastAsia="Arial" w:hAnsi="Arial"/>
          <w:sz w:val="19"/>
          <w:szCs w:val="19"/>
          <w:u w:val="single" w:color="auto"/>
          <w:color w:val="auto"/>
        </w:rPr>
        <w:t>2</w:t>
      </w:r>
      <w:r>
        <w:rPr>
          <w:rFonts w:ascii="Arial" w:cs="Arial" w:eastAsia="Arial" w:hAnsi="Arial"/>
          <w:sz w:val="19"/>
          <w:szCs w:val="19"/>
          <w:color w:val="auto"/>
        </w:rPr>
        <w:t>) 145 days following the Closing Date, the Insurer shall amend the Group Annuity Contract, and the Independent Fiduciary shall irrevocably direct the Plan Trustee to amend the Group Annuity Contract, in each case, to reflect any differences between (</w:t>
      </w:r>
      <w:r>
        <w:rPr>
          <w:rFonts w:ascii="Arial" w:cs="Arial" w:eastAsia="Arial" w:hAnsi="Arial"/>
          <w:sz w:val="19"/>
          <w:szCs w:val="19"/>
          <w:u w:val="single" w:color="auto"/>
          <w:color w:val="auto"/>
        </w:rPr>
        <w:t>A</w:t>
      </w:r>
      <w:r>
        <w:rPr>
          <w:rFonts w:ascii="Arial" w:cs="Arial" w:eastAsia="Arial" w:hAnsi="Arial"/>
          <w:sz w:val="19"/>
          <w:szCs w:val="19"/>
          <w:color w:val="auto"/>
        </w:rPr>
        <w:t xml:space="preserve">) the amount of the Post-Closing Final Premium (as adjusted following the resolution of any disputes in accordance with </w:t>
      </w:r>
      <w:r>
        <w:rPr>
          <w:rFonts w:ascii="Arial" w:cs="Arial" w:eastAsia="Arial" w:hAnsi="Arial"/>
          <w:sz w:val="19"/>
          <w:szCs w:val="19"/>
          <w:u w:val="single" w:color="auto"/>
          <w:color w:val="auto"/>
        </w:rPr>
        <w:t>Section 2.12(a)</w:t>
      </w:r>
      <w:r>
        <w:rPr>
          <w:rFonts w:ascii="Arial" w:cs="Arial" w:eastAsia="Arial" w:hAnsi="Arial"/>
          <w:sz w:val="19"/>
          <w:szCs w:val="19"/>
          <w:color w:val="auto"/>
        </w:rPr>
        <w:t>) and the amount of the Interim Post-Closing Final Premium, or if no Interim Post-Closing Final Premium was delivered, the Closing Final Premium, (</w:t>
      </w:r>
      <w:r>
        <w:rPr>
          <w:rFonts w:ascii="Arial" w:cs="Arial" w:eastAsia="Arial" w:hAnsi="Arial"/>
          <w:sz w:val="19"/>
          <w:szCs w:val="19"/>
          <w:u w:val="single" w:color="auto"/>
          <w:color w:val="auto"/>
        </w:rPr>
        <w:t>B</w:t>
      </w:r>
      <w:r>
        <w:rPr>
          <w:rFonts w:ascii="Arial" w:cs="Arial" w:eastAsia="Arial" w:hAnsi="Arial"/>
          <w:sz w:val="19"/>
          <w:szCs w:val="19"/>
          <w:color w:val="auto"/>
        </w:rPr>
        <w:t xml:space="preserve">) the Annuity Exhibit delivered in connection with the calculation of the Post-Closing Final Premium (as adjusted following the resolution of any disputes in accordance with </w:t>
      </w:r>
      <w:r>
        <w:rPr>
          <w:rFonts w:ascii="Arial" w:cs="Arial" w:eastAsia="Arial" w:hAnsi="Arial"/>
          <w:sz w:val="19"/>
          <w:szCs w:val="19"/>
          <w:u w:val="single" w:color="auto"/>
          <w:color w:val="auto"/>
        </w:rPr>
        <w:t>Section 2.12(a)</w:t>
      </w:r>
      <w:r>
        <w:rPr>
          <w:rFonts w:ascii="Arial" w:cs="Arial" w:eastAsia="Arial" w:hAnsi="Arial"/>
          <w:sz w:val="19"/>
          <w:szCs w:val="19"/>
          <w:color w:val="auto"/>
        </w:rPr>
        <w:t>) and the Annuity Exhibit delivered in connection with the delivery of calculation of the Interim Post-Closing Final Premium, or if no Interim Post-Closing Final Premium was delivered, the Annuity Exhibit delivered in connection with the delivery of the calculation of the Closing Final Premium and (</w:t>
      </w:r>
      <w:r>
        <w:rPr>
          <w:rFonts w:ascii="Arial" w:cs="Arial" w:eastAsia="Arial" w:hAnsi="Arial"/>
          <w:sz w:val="19"/>
          <w:szCs w:val="19"/>
          <w:u w:val="single" w:color="auto"/>
          <w:color w:val="auto"/>
        </w:rPr>
        <w:t>C</w:t>
      </w:r>
      <w:r>
        <w:rPr>
          <w:rFonts w:ascii="Arial" w:cs="Arial" w:eastAsia="Arial" w:hAnsi="Arial"/>
          <w:sz w:val="19"/>
          <w:szCs w:val="19"/>
          <w:color w:val="auto"/>
        </w:rPr>
        <w:t xml:space="preserve">) the Transferred Assets Schedule delivered in connection with the calculation of the Post-Closing Final Premium (as adjusted following the resolution of any disputes in accordance with </w:t>
      </w:r>
      <w:r>
        <w:rPr>
          <w:rFonts w:ascii="Arial" w:cs="Arial" w:eastAsia="Arial" w:hAnsi="Arial"/>
          <w:sz w:val="19"/>
          <w:szCs w:val="19"/>
          <w:u w:val="single" w:color="auto"/>
          <w:color w:val="auto"/>
        </w:rPr>
        <w:t>Section 2.12(a)</w:t>
      </w:r>
      <w:r>
        <w:rPr>
          <w:rFonts w:ascii="Arial" w:cs="Arial" w:eastAsia="Arial" w:hAnsi="Arial"/>
          <w:sz w:val="19"/>
          <w:szCs w:val="19"/>
          <w:color w:val="auto"/>
        </w:rPr>
        <w:t xml:space="preserve">) and the Transferred Assets Schedule delivered pursuant to </w:t>
      </w:r>
      <w:r>
        <w:rPr>
          <w:rFonts w:ascii="Arial" w:cs="Arial" w:eastAsia="Arial" w:hAnsi="Arial"/>
          <w:sz w:val="19"/>
          <w:szCs w:val="19"/>
          <w:u w:val="single" w:color="auto"/>
          <w:color w:val="auto"/>
        </w:rPr>
        <w:t>Section 2.10(b)(iii)</w:t>
      </w:r>
      <w:r>
        <w:rPr>
          <w:rFonts w:ascii="Arial" w:cs="Arial" w:eastAsia="Arial" w:hAnsi="Arial"/>
          <w:sz w:val="19"/>
          <w:szCs w:val="19"/>
          <w:color w:val="auto"/>
        </w:rPr>
        <w:t xml:space="preserve"> or if no Transferred Assets Schedule was delivered pursuant to </w:t>
      </w:r>
      <w:r>
        <w:rPr>
          <w:rFonts w:ascii="Arial" w:cs="Arial" w:eastAsia="Arial" w:hAnsi="Arial"/>
          <w:sz w:val="19"/>
          <w:szCs w:val="19"/>
          <w:u w:val="single" w:color="auto"/>
          <w:color w:val="auto"/>
        </w:rPr>
        <w:t>Section 2.10(b)(iii)</w:t>
      </w:r>
      <w:r>
        <w:rPr>
          <w:rFonts w:ascii="Arial" w:cs="Arial" w:eastAsia="Arial" w:hAnsi="Arial"/>
          <w:sz w:val="19"/>
          <w:szCs w:val="19"/>
          <w:color w:val="auto"/>
        </w:rPr>
        <w:t xml:space="preserve">, the Transferred Assets Schedule delivered pursuant to </w:t>
      </w:r>
      <w:r>
        <w:rPr>
          <w:rFonts w:ascii="Arial" w:cs="Arial" w:eastAsia="Arial" w:hAnsi="Arial"/>
          <w:sz w:val="19"/>
          <w:szCs w:val="19"/>
          <w:u w:val="single" w:color="auto"/>
          <w:color w:val="auto"/>
        </w:rPr>
        <w:t>Section 2.9(a)</w:t>
      </w:r>
      <w:r>
        <w:rPr>
          <w:rFonts w:ascii="Arial" w:cs="Arial" w:eastAsia="Arial" w:hAnsi="Arial"/>
          <w:sz w:val="19"/>
          <w:szCs w:val="19"/>
          <w:color w:val="auto"/>
        </w:rPr>
        <w:t>.</w:t>
      </w:r>
    </w:p>
    <w:p>
      <w:pPr>
        <w:spacing w:after="0" w:line="368" w:lineRule="exact"/>
        <w:rPr>
          <w:sz w:val="20"/>
          <w:szCs w:val="20"/>
          <w:color w:val="auto"/>
        </w:rPr>
      </w:pPr>
    </w:p>
    <w:p>
      <w:pPr>
        <w:ind w:left="600"/>
        <w:spacing w:after="0"/>
        <w:tabs>
          <w:tab w:leader="none" w:pos="1780" w:val="left"/>
        </w:tabs>
        <w:rPr>
          <w:sz w:val="20"/>
          <w:szCs w:val="20"/>
          <w:color w:val="auto"/>
        </w:rPr>
      </w:pPr>
      <w:r>
        <w:rPr>
          <w:rFonts w:ascii="Arial" w:cs="Arial" w:eastAsia="Arial" w:hAnsi="Arial"/>
          <w:sz w:val="20"/>
          <w:szCs w:val="20"/>
          <w:color w:val="auto"/>
        </w:rPr>
        <w:t>Section 2.20</w:t>
      </w:r>
      <w:r>
        <w:rPr>
          <w:sz w:val="20"/>
          <w:szCs w:val="20"/>
          <w:color w:val="auto"/>
        </w:rPr>
        <w:tab/>
      </w:r>
      <w:r>
        <w:rPr>
          <w:rFonts w:ascii="Arial" w:cs="Arial" w:eastAsia="Arial" w:hAnsi="Arial"/>
          <w:sz w:val="18"/>
          <w:szCs w:val="18"/>
          <w:u w:val="single" w:color="auto"/>
          <w:color w:val="auto"/>
        </w:rPr>
        <w:t>Amendments to the Procedures Manual and Identified CD-ROM</w:t>
      </w:r>
      <w:r>
        <w:rPr>
          <w:rFonts w:ascii="Arial" w:cs="Arial" w:eastAsia="Arial" w:hAnsi="Arial"/>
          <w:sz w:val="18"/>
          <w:szCs w:val="18"/>
          <w:color w:val="auto"/>
        </w:rPr>
        <w:t>.</w:t>
      </w:r>
    </w:p>
    <w:p>
      <w:pPr>
        <w:spacing w:after="0" w:line="246" w:lineRule="exact"/>
        <w:rPr>
          <w:sz w:val="20"/>
          <w:szCs w:val="20"/>
          <w:color w:val="auto"/>
        </w:rPr>
      </w:pPr>
    </w:p>
    <w:p>
      <w:pPr>
        <w:jc w:val="both"/>
        <w:ind w:firstLine="601"/>
        <w:spacing w:after="0" w:line="282" w:lineRule="auto"/>
        <w:tabs>
          <w:tab w:leader="none" w:pos="1146" w:val="left"/>
        </w:tabs>
        <w:numPr>
          <w:ilvl w:val="0"/>
          <w:numId w:val="63"/>
        </w:numPr>
        <w:rPr>
          <w:rFonts w:ascii="Arial" w:cs="Arial" w:eastAsia="Arial" w:hAnsi="Arial"/>
          <w:sz w:val="18"/>
          <w:szCs w:val="18"/>
          <w:color w:val="auto"/>
        </w:rPr>
      </w:pPr>
      <w:r>
        <w:rPr>
          <w:rFonts w:ascii="Arial" w:cs="Arial" w:eastAsia="Arial" w:hAnsi="Arial"/>
          <w:sz w:val="18"/>
          <w:szCs w:val="18"/>
          <w:color w:val="auto"/>
        </w:rPr>
        <w:t>Within thirty (30) days following the DTFA Execution Date, the Insurer shall deliver an updated Identified CD-ROM and Procedures Manual, to reflect, in the Insurer's judgment, the Agreed Updates. Within ten (10) Business Days following the receipt of such updated Identified CD-ROM and Procedures Manual, the Company shall either (</w:t>
      </w:r>
      <w:r>
        <w:rPr>
          <w:rFonts w:ascii="Arial" w:cs="Arial" w:eastAsia="Arial" w:hAnsi="Arial"/>
          <w:sz w:val="18"/>
          <w:szCs w:val="18"/>
          <w:u w:val="single" w:color="auto"/>
          <w:color w:val="auto"/>
        </w:rPr>
        <w:t>i</w:t>
      </w:r>
      <w:r>
        <w:rPr>
          <w:rFonts w:ascii="Arial" w:cs="Arial" w:eastAsia="Arial" w:hAnsi="Arial"/>
          <w:sz w:val="18"/>
          <w:szCs w:val="18"/>
          <w:color w:val="auto"/>
        </w:rPr>
        <w:t>) consent in writing to such updated Identified CD-ROM and Procedures Manual (such consent not to be unreasonably withheld, delayed or conditioned) or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inform the Insurer in writing of any disagreements with such updated Identified CD-ROM or Procedures Manual. In the event that the Company informs the Insurer of any such disagreement, the Insurer and the Company shall cooperate in good faith to resolve any such disagreement as soon as practical. The Procedures Manual and the Identified CD-ROM updated pursuant to this </w:t>
      </w:r>
      <w:r>
        <w:rPr>
          <w:rFonts w:ascii="Arial" w:cs="Arial" w:eastAsia="Arial" w:hAnsi="Arial"/>
          <w:sz w:val="18"/>
          <w:szCs w:val="18"/>
          <w:u w:val="single" w:color="auto"/>
          <w:color w:val="auto"/>
        </w:rPr>
        <w:t>Section 2.20(a)</w:t>
      </w:r>
      <w:r>
        <w:rPr>
          <w:rFonts w:ascii="Arial" w:cs="Arial" w:eastAsia="Arial" w:hAnsi="Arial"/>
          <w:sz w:val="18"/>
          <w:szCs w:val="18"/>
          <w:color w:val="auto"/>
        </w:rPr>
        <w:t xml:space="preserve"> shall, following the consent of the Company or the resolution of any disagreements in connection with the preceding sentence, be binding on the Parties and such updated Identified CD-ROM (which shall be updated following the certification provided by the Independent Third Party in connection with </w:t>
      </w:r>
      <w:r>
        <w:rPr>
          <w:rFonts w:ascii="Arial" w:cs="Arial" w:eastAsia="Arial" w:hAnsi="Arial"/>
          <w:sz w:val="18"/>
          <w:szCs w:val="18"/>
          <w:u w:val="single" w:color="auto"/>
          <w:color w:val="auto"/>
        </w:rPr>
        <w:t>Section 2.4(c)</w:t>
      </w:r>
      <w:r>
        <w:rPr>
          <w:rFonts w:ascii="Arial" w:cs="Arial" w:eastAsia="Arial" w:hAnsi="Arial"/>
          <w:sz w:val="18"/>
          <w:szCs w:val="18"/>
          <w:color w:val="auto"/>
        </w:rPr>
        <w:t>) shall be initialed by the Company and the Insurer and shall replace any previous versions of the Identified CD-ROM.</w:t>
      </w:r>
    </w:p>
    <w:p>
      <w:pPr>
        <w:spacing w:after="0" w:line="183" w:lineRule="exact"/>
        <w:rPr>
          <w:rFonts w:ascii="Arial" w:cs="Arial" w:eastAsia="Arial" w:hAnsi="Arial"/>
          <w:sz w:val="18"/>
          <w:szCs w:val="18"/>
          <w:color w:val="auto"/>
        </w:rPr>
      </w:pPr>
    </w:p>
    <w:p>
      <w:pPr>
        <w:ind w:firstLine="601"/>
        <w:spacing w:after="0" w:line="275" w:lineRule="auto"/>
        <w:tabs>
          <w:tab w:leader="none" w:pos="1051" w:val="left"/>
        </w:tabs>
        <w:numPr>
          <w:ilvl w:val="0"/>
          <w:numId w:val="63"/>
        </w:numPr>
        <w:rPr>
          <w:rFonts w:ascii="Arial" w:cs="Arial" w:eastAsia="Arial" w:hAnsi="Arial"/>
          <w:sz w:val="20"/>
          <w:szCs w:val="20"/>
          <w:color w:val="auto"/>
        </w:rPr>
      </w:pPr>
      <w:r>
        <w:rPr>
          <w:rFonts w:ascii="Arial" w:cs="Arial" w:eastAsia="Arial" w:hAnsi="Arial"/>
          <w:sz w:val="20"/>
          <w:szCs w:val="20"/>
          <w:color w:val="auto"/>
        </w:rPr>
        <w:t>If the Company or the Insurer identify any error or omission in the Procedures Manual or the Identified CD-ROM (other than an error or omission that would be resolved by an Agreed Update), the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ectPr>
          <w:pgSz w:w="11900" w:h="16838" w:orient="portrait"/>
          <w:cols w:equalWidth="0" w:num="1">
            <w:col w:w="11420"/>
          </w:cols>
          <w:pgMar w:left="240" w:top="757" w:right="239" w:bottom="1440" w:gutter="0" w:footer="0" w:header="0"/>
        </w:sectPr>
      </w:pPr>
    </w:p>
    <w:bookmarkStart w:id="49" w:name="page50"/>
    <w:bookmarkEnd w:id="49"/>
    <w:p>
      <w:pPr>
        <w:jc w:val="both"/>
        <w:spacing w:after="0" w:line="257" w:lineRule="auto"/>
        <w:rPr>
          <w:sz w:val="20"/>
          <w:szCs w:val="20"/>
          <w:color w:val="auto"/>
        </w:rPr>
      </w:pPr>
      <w:r>
        <w:rPr>
          <w:rFonts w:ascii="Arial" w:cs="Arial" w:eastAsia="Arial" w:hAnsi="Arial"/>
          <w:sz w:val="20"/>
          <w:szCs w:val="20"/>
          <w:color w:val="auto"/>
        </w:rPr>
        <w:t xml:space="preserve">Company or the Insurer, as applicable, shall promptly inform the other and the Company and the Insurer shall cooperate in good faith to update the Procedures Manual or the Identified CD-ROM to resolve such error or omission, and such updated Identified CD-ROM shall be initialed by the Company and the Insurer. The Procedures Manual or the Identified CD-ROM, as updated pursuant to this </w:t>
      </w:r>
      <w:r>
        <w:rPr>
          <w:rFonts w:ascii="Arial" w:cs="Arial" w:eastAsia="Arial" w:hAnsi="Arial"/>
          <w:sz w:val="20"/>
          <w:szCs w:val="20"/>
          <w:u w:val="single" w:color="auto"/>
          <w:color w:val="auto"/>
        </w:rPr>
        <w:t>Section 2.20(b)</w:t>
      </w:r>
      <w:r>
        <w:rPr>
          <w:rFonts w:ascii="Arial" w:cs="Arial" w:eastAsia="Arial" w:hAnsi="Arial"/>
          <w:sz w:val="20"/>
          <w:szCs w:val="20"/>
          <w:color w:val="auto"/>
        </w:rPr>
        <w:t>, shall be binding on the Parties.</w:t>
      </w:r>
    </w:p>
    <w:p>
      <w:pPr>
        <w:spacing w:after="0" w:line="200" w:lineRule="exact"/>
        <w:rPr>
          <w:sz w:val="20"/>
          <w:szCs w:val="20"/>
          <w:color w:val="auto"/>
        </w:rPr>
      </w:pPr>
    </w:p>
    <w:p>
      <w:pPr>
        <w:spacing w:after="0" w:line="204" w:lineRule="exact"/>
        <w:rPr>
          <w:sz w:val="20"/>
          <w:szCs w:val="20"/>
          <w:color w:val="auto"/>
        </w:rPr>
      </w:pPr>
    </w:p>
    <w:p>
      <w:pPr>
        <w:ind w:left="600"/>
        <w:spacing w:after="0"/>
        <w:tabs>
          <w:tab w:leader="none" w:pos="1780" w:val="left"/>
          <w:tab w:leader="none" w:pos="2100" w:val="left"/>
          <w:tab w:leader="none" w:pos="2760" w:val="left"/>
        </w:tabs>
        <w:rPr>
          <w:sz w:val="20"/>
          <w:szCs w:val="20"/>
          <w:color w:val="auto"/>
        </w:rPr>
      </w:pPr>
      <w:r>
        <w:rPr>
          <w:rFonts w:ascii="Arial" w:cs="Arial" w:eastAsia="Arial" w:hAnsi="Arial"/>
          <w:sz w:val="20"/>
          <w:szCs w:val="20"/>
          <w:color w:val="auto"/>
        </w:rPr>
        <w:t>Section 2.21</w:t>
        <w:tab/>
        <w:t>[</w:t>
        <w:tab/>
        <w:t>***</w:t>
      </w:r>
      <w:r>
        <w:rPr>
          <w:sz w:val="20"/>
          <w:szCs w:val="20"/>
          <w:color w:val="auto"/>
        </w:rPr>
        <w:tab/>
      </w:r>
      <w:r>
        <w:rPr>
          <w:rFonts w:ascii="Arial" w:cs="Arial" w:eastAsia="Arial" w:hAnsi="Arial"/>
          <w:sz w:val="20"/>
          <w:szCs w:val="20"/>
          <w:color w:val="auto"/>
        </w:rPr>
        <w:t>]</w:t>
      </w:r>
    </w:p>
    <w:p>
      <w:pPr>
        <w:spacing w:after="0" w:line="246" w:lineRule="exact"/>
        <w:rPr>
          <w:sz w:val="20"/>
          <w:szCs w:val="20"/>
          <w:color w:val="auto"/>
        </w:rPr>
      </w:pPr>
    </w:p>
    <w:p>
      <w:pPr>
        <w:ind w:left="1040" w:hanging="439"/>
        <w:spacing w:after="0"/>
        <w:tabs>
          <w:tab w:leader="none" w:pos="10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If, prior to the later of the date that is (</w:t>
      </w:r>
      <w:r>
        <w:rPr>
          <w:rFonts w:ascii="Arial" w:cs="Arial" w:eastAsia="Arial" w:hAnsi="Arial"/>
          <w:sz w:val="18"/>
          <w:szCs w:val="18"/>
          <w:u w:val="single" w:color="auto"/>
          <w:color w:val="auto"/>
        </w:rPr>
        <w:t>1</w:t>
      </w:r>
      <w:r>
        <w:rPr>
          <w:rFonts w:ascii="Arial" w:cs="Arial" w:eastAsia="Arial" w:hAnsi="Arial"/>
          <w:sz w:val="18"/>
          <w:szCs w:val="18"/>
          <w:color w:val="auto"/>
        </w:rPr>
        <w:t>) 175 days following the end of the PBGC Review Period and (</w:t>
      </w:r>
      <w:r>
        <w:rPr>
          <w:rFonts w:ascii="Arial" w:cs="Arial" w:eastAsia="Arial" w:hAnsi="Arial"/>
          <w:sz w:val="18"/>
          <w:szCs w:val="18"/>
          <w:u w:val="single" w:color="auto"/>
          <w:color w:val="auto"/>
        </w:rPr>
        <w:t>2</w:t>
      </w:r>
      <w:r>
        <w:rPr>
          <w:rFonts w:ascii="Arial" w:cs="Arial" w:eastAsia="Arial" w:hAnsi="Arial"/>
          <w:sz w:val="18"/>
          <w:szCs w:val="18"/>
          <w:color w:val="auto"/>
        </w:rPr>
        <w:t>) 145 days following the</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980" w:type="dxa"/>
            <w:vAlign w:val="bottom"/>
          </w:tcPr>
          <w:p>
            <w:pPr>
              <w:spacing w:after="0"/>
              <w:rPr>
                <w:sz w:val="20"/>
                <w:szCs w:val="20"/>
                <w:color w:val="auto"/>
              </w:rPr>
            </w:pPr>
            <w:r>
              <w:rPr>
                <w:rFonts w:ascii="Arial" w:cs="Arial" w:eastAsia="Arial" w:hAnsi="Arial"/>
                <w:sz w:val="20"/>
                <w:szCs w:val="20"/>
                <w:color w:val="auto"/>
              </w:rPr>
              <w:t>Closing Date, [   ***</w:t>
            </w:r>
          </w:p>
        </w:tc>
        <w:tc>
          <w:tcPr>
            <w:tcW w:w="7400" w:type="dxa"/>
            <w:vAlign w:val="bottom"/>
            <w:gridSpan w:val="5"/>
          </w:tcPr>
          <w:p>
            <w:pPr>
              <w:ind w:left="200"/>
              <w:spacing w:after="0"/>
              <w:rPr>
                <w:sz w:val="20"/>
                <w:szCs w:val="20"/>
                <w:color w:val="auto"/>
              </w:rPr>
            </w:pPr>
            <w:r>
              <w:rPr>
                <w:rFonts w:ascii="Arial" w:cs="Arial" w:eastAsia="Arial" w:hAnsi="Arial"/>
                <w:sz w:val="20"/>
                <w:szCs w:val="20"/>
                <w:color w:val="auto"/>
                <w:w w:val="97"/>
              </w:rPr>
              <w:t>] to the Insurer at Closing is identified by either the Insurer or the Company as [   ***</w:t>
            </w:r>
          </w:p>
        </w:tc>
        <w:tc>
          <w:tcPr>
            <w:tcW w:w="2040" w:type="dxa"/>
            <w:vAlign w:val="bottom"/>
            <w:gridSpan w:val="6"/>
          </w:tcPr>
          <w:p>
            <w:pPr>
              <w:jc w:val="right"/>
              <w:spacing w:after="0"/>
              <w:rPr>
                <w:sz w:val="20"/>
                <w:szCs w:val="20"/>
                <w:color w:val="auto"/>
              </w:rPr>
            </w:pPr>
            <w:r>
              <w:rPr>
                <w:rFonts w:ascii="Arial" w:cs="Arial" w:eastAsia="Arial" w:hAnsi="Arial"/>
                <w:sz w:val="20"/>
                <w:szCs w:val="20"/>
                <w:color w:val="auto"/>
              </w:rPr>
              <w:t>], (x) the Insurer or the</w:t>
            </w:r>
          </w:p>
        </w:tc>
      </w:tr>
      <w:tr>
        <w:trPr>
          <w:trHeight w:val="20"/>
        </w:trPr>
        <w:tc>
          <w:tcPr>
            <w:tcW w:w="646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8"/>
        </w:trPr>
        <w:tc>
          <w:tcPr>
            <w:tcW w:w="6460" w:type="dxa"/>
            <w:vAlign w:val="bottom"/>
            <w:gridSpan w:val="3"/>
          </w:tcPr>
          <w:p>
            <w:pPr>
              <w:spacing w:after="0" w:line="218" w:lineRule="exact"/>
              <w:rPr>
                <w:sz w:val="20"/>
                <w:szCs w:val="20"/>
                <w:color w:val="auto"/>
              </w:rPr>
            </w:pPr>
            <w:r>
              <w:rPr>
                <w:rFonts w:ascii="Arial" w:cs="Arial" w:eastAsia="Arial" w:hAnsi="Arial"/>
                <w:sz w:val="20"/>
                <w:szCs w:val="20"/>
                <w:color w:val="auto"/>
                <w:w w:val="97"/>
              </w:rPr>
              <w:t>Company, as applicable, shall promptly inform the other, and, if such [   ***</w:t>
            </w:r>
          </w:p>
        </w:tc>
        <w:tc>
          <w:tcPr>
            <w:tcW w:w="4080" w:type="dxa"/>
            <w:vAlign w:val="bottom"/>
            <w:gridSpan w:val="6"/>
          </w:tcPr>
          <w:p>
            <w:pPr>
              <w:ind w:left="200"/>
              <w:spacing w:after="0" w:line="218" w:lineRule="exact"/>
              <w:rPr>
                <w:sz w:val="20"/>
                <w:szCs w:val="20"/>
                <w:color w:val="auto"/>
              </w:rPr>
            </w:pPr>
            <w:r>
              <w:rPr>
                <w:rFonts w:ascii="Arial" w:cs="Arial" w:eastAsia="Arial" w:hAnsi="Arial"/>
                <w:sz w:val="20"/>
                <w:szCs w:val="20"/>
                <w:color w:val="auto"/>
              </w:rPr>
              <w:t>], (y) the Insurer shall, within 5 days, [   ***</w:t>
            </w:r>
          </w:p>
        </w:tc>
        <w:tc>
          <w:tcPr>
            <w:tcW w:w="880" w:type="dxa"/>
            <w:vAlign w:val="bottom"/>
            <w:gridSpan w:val="3"/>
          </w:tcPr>
          <w:p>
            <w:pPr>
              <w:jc w:val="right"/>
              <w:spacing w:after="0" w:line="218" w:lineRule="exact"/>
              <w:rPr>
                <w:sz w:val="20"/>
                <w:szCs w:val="20"/>
                <w:color w:val="auto"/>
              </w:rPr>
            </w:pPr>
            <w:r>
              <w:rPr>
                <w:rFonts w:ascii="Arial" w:cs="Arial" w:eastAsia="Arial" w:hAnsi="Arial"/>
                <w:sz w:val="20"/>
                <w:szCs w:val="20"/>
                <w:color w:val="auto"/>
              </w:rPr>
              <w:t>] and (z)</w:t>
            </w:r>
          </w:p>
        </w:tc>
      </w:tr>
      <w:tr>
        <w:trPr>
          <w:trHeight w:val="265"/>
        </w:trPr>
        <w:tc>
          <w:tcPr>
            <w:tcW w:w="3380" w:type="dxa"/>
            <w:vAlign w:val="bottom"/>
            <w:gridSpan w:val="2"/>
          </w:tcPr>
          <w:p>
            <w:pPr>
              <w:spacing w:after="0"/>
              <w:rPr>
                <w:sz w:val="20"/>
                <w:szCs w:val="20"/>
                <w:color w:val="auto"/>
              </w:rPr>
            </w:pPr>
            <w:r>
              <w:rPr>
                <w:rFonts w:ascii="Arial" w:cs="Arial" w:eastAsia="Arial" w:hAnsi="Arial"/>
                <w:sz w:val="20"/>
                <w:szCs w:val="20"/>
                <w:color w:val="auto"/>
              </w:rPr>
              <w:t>the Independent Fiduciary shall [   ***</w:t>
            </w:r>
          </w:p>
        </w:tc>
        <w:tc>
          <w:tcPr>
            <w:tcW w:w="3080" w:type="dxa"/>
            <w:vAlign w:val="bottom"/>
          </w:tcPr>
          <w:p>
            <w:pPr>
              <w:jc w:val="right"/>
              <w:ind w:right="2700"/>
              <w:spacing w:after="0"/>
              <w:rPr>
                <w:sz w:val="20"/>
                <w:szCs w:val="20"/>
                <w:color w:val="auto"/>
              </w:rPr>
            </w:pPr>
            <w:r>
              <w:rPr>
                <w:rFonts w:ascii="Arial" w:cs="Arial" w:eastAsia="Arial" w:hAnsi="Arial"/>
                <w:sz w:val="20"/>
                <w:szCs w:val="20"/>
                <w:color w:val="auto"/>
              </w:rPr>
              <w:t>].</w:t>
            </w:r>
          </w:p>
        </w:tc>
        <w:tc>
          <w:tcPr>
            <w:tcW w:w="440" w:type="dxa"/>
            <w:vAlign w:val="bottom"/>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23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60" w:type="dxa"/>
            <w:vAlign w:val="bottom"/>
          </w:tcPr>
          <w:p>
            <w:pPr>
              <w:spacing w:after="0"/>
              <w:rPr>
                <w:sz w:val="23"/>
                <w:szCs w:val="23"/>
                <w:color w:val="auto"/>
              </w:rPr>
            </w:pPr>
          </w:p>
        </w:tc>
      </w:tr>
    </w:tbl>
    <w:p>
      <w:pPr>
        <w:spacing w:after="0" w:line="219" w:lineRule="exact"/>
        <w:rPr>
          <w:sz w:val="20"/>
          <w:szCs w:val="20"/>
          <w:color w:val="auto"/>
        </w:rPr>
      </w:pPr>
    </w:p>
    <w:p>
      <w:pPr>
        <w:jc w:val="both"/>
        <w:ind w:firstLine="601"/>
        <w:spacing w:after="0" w:line="261" w:lineRule="auto"/>
        <w:tabs>
          <w:tab w:leader="none" w:pos="1035" w:val="left"/>
        </w:tabs>
        <w:numPr>
          <w:ilvl w:val="0"/>
          <w:numId w:val="65"/>
        </w:numPr>
        <w:rPr>
          <w:rFonts w:ascii="Arial" w:cs="Arial" w:eastAsia="Arial" w:hAnsi="Arial"/>
          <w:sz w:val="20"/>
          <w:szCs w:val="20"/>
          <w:color w:val="auto"/>
        </w:rPr>
      </w:pPr>
      <w:r>
        <w:rPr>
          <w:rFonts w:ascii="Arial" w:cs="Arial" w:eastAsia="Arial" w:hAnsi="Arial"/>
          <w:sz w:val="20"/>
          <w:szCs w:val="20"/>
          <w:color w:val="auto"/>
        </w:rPr>
        <w:t xml:space="preserve">The Company shall make available to the Plan, Cash in the amount necessary to enable the Plan Trustee to pay all amounts that it is directed to pay to the Insurer by the Independent Fiduciary pursuant to this </w:t>
      </w:r>
      <w:r>
        <w:rPr>
          <w:rFonts w:ascii="Arial" w:cs="Arial" w:eastAsia="Arial" w:hAnsi="Arial"/>
          <w:sz w:val="20"/>
          <w:szCs w:val="20"/>
          <w:u w:val="single" w:color="auto"/>
          <w:color w:val="auto"/>
        </w:rPr>
        <w:t>Section 2.21</w:t>
      </w:r>
      <w:r>
        <w:rPr>
          <w:rFonts w:ascii="Arial" w:cs="Arial" w:eastAsia="Arial" w:hAnsi="Arial"/>
          <w:sz w:val="20"/>
          <w:szCs w:val="20"/>
          <w:color w:val="auto"/>
        </w:rPr>
        <w:t>. The Plan Trustee shall unconditionally pay all such amounts to the Insurer pursuant to the Plan Trustee Agreement.</w:t>
      </w:r>
    </w:p>
    <w:p>
      <w:pPr>
        <w:spacing w:after="0" w:line="163" w:lineRule="exact"/>
        <w:rPr>
          <w:sz w:val="20"/>
          <w:szCs w:val="20"/>
          <w:color w:val="auto"/>
        </w:rPr>
      </w:pPr>
    </w:p>
    <w:p>
      <w:pPr>
        <w:jc w:val="both"/>
        <w:ind w:firstLine="601"/>
        <w:spacing w:after="0" w:line="269" w:lineRule="auto"/>
        <w:rPr>
          <w:sz w:val="20"/>
          <w:szCs w:val="20"/>
          <w:color w:val="auto"/>
        </w:rPr>
      </w:pPr>
      <w:r>
        <w:rPr>
          <w:rFonts w:ascii="Arial" w:cs="Arial" w:eastAsia="Arial" w:hAnsi="Arial"/>
          <w:sz w:val="19"/>
          <w:szCs w:val="19"/>
          <w:color w:val="auto"/>
        </w:rPr>
        <w:t xml:space="preserve">Section 2.22 </w:t>
      </w:r>
      <w:r>
        <w:rPr>
          <w:rFonts w:ascii="Arial" w:cs="Arial" w:eastAsia="Arial" w:hAnsi="Arial"/>
          <w:sz w:val="19"/>
          <w:szCs w:val="19"/>
          <w:u w:val="single" w:color="auto"/>
          <w:color w:val="auto"/>
        </w:rPr>
        <w:t>Return of Additional Premium Due To Late Discovery of Mortality</w:t>
      </w:r>
      <w:r>
        <w:rPr>
          <w:rFonts w:ascii="Arial" w:cs="Arial" w:eastAsia="Arial" w:hAnsi="Arial"/>
          <w:sz w:val="19"/>
          <w:szCs w:val="19"/>
          <w:color w:val="auto"/>
        </w:rPr>
        <w:t xml:space="preserve">. Notwithstanding Sections 2.10-2.13 (and any arbitration relating thereto), if after the date that is 7 days prior to the date that the Post-Closing Final Premium is delivered pursuant to </w:t>
      </w:r>
      <w:r>
        <w:rPr>
          <w:rFonts w:ascii="Arial" w:cs="Arial" w:eastAsia="Arial" w:hAnsi="Arial"/>
          <w:sz w:val="19"/>
          <w:szCs w:val="19"/>
          <w:u w:val="single" w:color="auto"/>
          <w:color w:val="auto"/>
        </w:rPr>
        <w:t>Section 2.11(c)(ii)</w:t>
      </w:r>
      <w:r>
        <w:rPr>
          <w:rFonts w:ascii="Arial" w:cs="Arial" w:eastAsia="Arial" w:hAnsi="Arial"/>
          <w:sz w:val="19"/>
          <w:szCs w:val="19"/>
          <w:color w:val="auto"/>
        </w:rPr>
        <w:t xml:space="preserve"> and prior to the date that is ninety (90) days after the Annuity Commencement Date, the Insurer discovers additional data corrections relating to deaths of Covered Lives and Contingent Lives that occurred prior to the Annuity Commencement Date, the Insurer shall return the portion of the Post-Closing Final Premium relating to such deaths to the Plan or, in the event that the Plan is no longer in existence, to the Company, within twenty (20) days thereafter. The Company shall have no rights to dispute such calculation.</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800" w:type="dxa"/>
            <w:vAlign w:val="bottom"/>
            <w:gridSpan w:val="2"/>
          </w:tcPr>
          <w:p>
            <w:pPr>
              <w:ind w:left="600"/>
              <w:spacing w:after="0"/>
              <w:rPr>
                <w:sz w:val="20"/>
                <w:szCs w:val="20"/>
                <w:color w:val="auto"/>
              </w:rPr>
            </w:pPr>
            <w:r>
              <w:rPr>
                <w:rFonts w:ascii="Arial" w:cs="Arial" w:eastAsia="Arial" w:hAnsi="Arial"/>
                <w:sz w:val="20"/>
                <w:szCs w:val="20"/>
                <w:color w:val="auto"/>
              </w:rPr>
              <w:t>Section 2.23</w:t>
            </w:r>
          </w:p>
        </w:tc>
        <w:tc>
          <w:tcPr>
            <w:tcW w:w="1780" w:type="dxa"/>
            <w:vAlign w:val="bottom"/>
            <w:gridSpan w:val="3"/>
          </w:tcPr>
          <w:p>
            <w:pPr>
              <w:spacing w:after="0"/>
              <w:rPr>
                <w:sz w:val="20"/>
                <w:szCs w:val="20"/>
                <w:color w:val="auto"/>
              </w:rPr>
            </w:pPr>
            <w:r>
              <w:rPr>
                <w:rFonts w:ascii="Arial" w:cs="Arial" w:eastAsia="Arial" w:hAnsi="Arial"/>
                <w:sz w:val="20"/>
                <w:szCs w:val="20"/>
                <w:color w:val="auto"/>
              </w:rPr>
              <w:t>Reimbursement of [</w:t>
            </w:r>
          </w:p>
        </w:tc>
        <w:tc>
          <w:tcPr>
            <w:tcW w:w="600" w:type="dxa"/>
            <w:vAlign w:val="bottom"/>
          </w:tcPr>
          <w:p>
            <w:pPr>
              <w:jc w:val="right"/>
              <w:ind w:right="120"/>
              <w:spacing w:after="0"/>
              <w:rPr>
                <w:sz w:val="20"/>
                <w:szCs w:val="20"/>
                <w:color w:val="auto"/>
              </w:rPr>
            </w:pPr>
            <w:r>
              <w:rPr>
                <w:rFonts w:ascii="Arial" w:cs="Arial" w:eastAsia="Arial" w:hAnsi="Arial"/>
                <w:sz w:val="20"/>
                <w:szCs w:val="20"/>
                <w:color w:val="auto"/>
              </w:rPr>
              <w:t>***</w:t>
            </w:r>
          </w:p>
        </w:tc>
        <w:tc>
          <w:tcPr>
            <w:tcW w:w="240" w:type="dxa"/>
            <w:vAlign w:val="bottom"/>
          </w:tcPr>
          <w:p>
            <w:pPr>
              <w:jc w:val="right"/>
              <w:spacing w:after="0"/>
              <w:rPr>
                <w:sz w:val="20"/>
                <w:szCs w:val="20"/>
                <w:color w:val="auto"/>
              </w:rPr>
            </w:pPr>
            <w:r>
              <w:rPr>
                <w:rFonts w:ascii="Arial" w:cs="Arial" w:eastAsia="Arial" w:hAnsi="Arial"/>
                <w:sz w:val="20"/>
                <w:szCs w:val="20"/>
                <w:color w:val="auto"/>
              </w:rPr>
              <w:t>].</w:t>
            </w:r>
          </w:p>
        </w:tc>
        <w:tc>
          <w:tcPr>
            <w:tcW w:w="78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20"/>
        </w:trPr>
        <w:tc>
          <w:tcPr>
            <w:tcW w:w="10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40" w:type="dxa"/>
            <w:vAlign w:val="bottom"/>
            <w:gridSpan w:val="5"/>
          </w:tcPr>
          <w:p>
            <w:pPr>
              <w:spacing w:after="0" w:line="20" w:lineRule="exact"/>
              <w:rPr>
                <w:sz w:val="1"/>
                <w:szCs w:val="1"/>
                <w:color w:val="auto"/>
              </w:rPr>
            </w:pPr>
          </w:p>
        </w:tc>
        <w:tc>
          <w:tcPr>
            <w:tcW w:w="4240" w:type="dxa"/>
            <w:vAlign w:val="bottom"/>
            <w:gridSpan w:val="3"/>
          </w:tcPr>
          <w:p>
            <w:pPr>
              <w:spacing w:after="0" w:line="20" w:lineRule="exact"/>
              <w:rPr>
                <w:sz w:val="1"/>
                <w:szCs w:val="1"/>
                <w:color w:val="auto"/>
              </w:rPr>
            </w:pPr>
          </w:p>
        </w:tc>
      </w:tr>
      <w:tr>
        <w:trPr>
          <w:trHeight w:val="484"/>
        </w:trPr>
        <w:tc>
          <w:tcPr>
            <w:tcW w:w="1040" w:type="dxa"/>
            <w:vAlign w:val="bottom"/>
          </w:tcPr>
          <w:p>
            <w:pPr>
              <w:ind w:left="600"/>
              <w:spacing w:after="0"/>
              <w:rPr>
                <w:sz w:val="20"/>
                <w:szCs w:val="20"/>
                <w:color w:val="auto"/>
              </w:rPr>
            </w:pPr>
            <w:r>
              <w:rPr>
                <w:rFonts w:ascii="Arial" w:cs="Arial" w:eastAsia="Arial" w:hAnsi="Arial"/>
                <w:sz w:val="20"/>
                <w:szCs w:val="20"/>
                <w:color w:val="auto"/>
              </w:rPr>
              <w:t>(a)</w:t>
            </w:r>
          </w:p>
        </w:tc>
        <w:tc>
          <w:tcPr>
            <w:tcW w:w="6140" w:type="dxa"/>
            <w:vAlign w:val="bottom"/>
            <w:gridSpan w:val="8"/>
          </w:tcPr>
          <w:p>
            <w:pPr>
              <w:spacing w:after="0"/>
              <w:rPr>
                <w:sz w:val="20"/>
                <w:szCs w:val="20"/>
                <w:color w:val="auto"/>
              </w:rPr>
            </w:pPr>
            <w:r>
              <w:rPr>
                <w:rFonts w:ascii="Arial" w:cs="Arial" w:eastAsia="Arial" w:hAnsi="Arial"/>
                <w:sz w:val="20"/>
                <w:szCs w:val="20"/>
                <w:color w:val="auto"/>
                <w:w w:val="99"/>
              </w:rPr>
              <w:t>If, during the period from and after the Closing Date through the [   ***</w:t>
            </w:r>
          </w:p>
        </w:tc>
        <w:tc>
          <w:tcPr>
            <w:tcW w:w="4240" w:type="dxa"/>
            <w:vAlign w:val="bottom"/>
            <w:gridSpan w:val="3"/>
          </w:tcPr>
          <w:p>
            <w:pPr>
              <w:jc w:val="right"/>
              <w:spacing w:after="0"/>
              <w:rPr>
                <w:sz w:val="20"/>
                <w:szCs w:val="20"/>
                <w:color w:val="auto"/>
              </w:rPr>
            </w:pPr>
            <w:r>
              <w:rPr>
                <w:rFonts w:ascii="Arial" w:cs="Arial" w:eastAsia="Arial" w:hAnsi="Arial"/>
                <w:sz w:val="20"/>
                <w:szCs w:val="20"/>
                <w:color w:val="auto"/>
                <w:w w:val="95"/>
              </w:rPr>
              <w:t>] of the Closing Date, the Insurer made a payment</w:t>
            </w:r>
          </w:p>
        </w:tc>
      </w:tr>
      <w:tr>
        <w:trPr>
          <w:trHeight w:val="256"/>
        </w:trPr>
        <w:tc>
          <w:tcPr>
            <w:tcW w:w="1040" w:type="dxa"/>
            <w:vAlign w:val="bottom"/>
          </w:tcPr>
          <w:p>
            <w:pPr>
              <w:spacing w:after="0"/>
              <w:rPr>
                <w:sz w:val="20"/>
                <w:szCs w:val="20"/>
                <w:color w:val="auto"/>
              </w:rPr>
            </w:pPr>
            <w:r>
              <w:rPr>
                <w:rFonts w:ascii="Arial" w:cs="Arial" w:eastAsia="Arial" w:hAnsi="Arial"/>
                <w:sz w:val="20"/>
                <w:szCs w:val="20"/>
                <w:color w:val="auto"/>
                <w:w w:val="90"/>
              </w:rPr>
              <w:t>to, or had a [</w:t>
            </w:r>
          </w:p>
        </w:tc>
        <w:tc>
          <w:tcPr>
            <w:tcW w:w="760" w:type="dxa"/>
            <w:vAlign w:val="bottom"/>
          </w:tcPr>
          <w:p>
            <w:pPr>
              <w:jc w:val="right"/>
              <w:ind w:right="140"/>
              <w:spacing w:after="0"/>
              <w:rPr>
                <w:sz w:val="20"/>
                <w:szCs w:val="20"/>
                <w:color w:val="auto"/>
              </w:rPr>
            </w:pPr>
            <w:r>
              <w:rPr>
                <w:rFonts w:ascii="Arial" w:cs="Arial" w:eastAsia="Arial" w:hAnsi="Arial"/>
                <w:sz w:val="20"/>
                <w:szCs w:val="20"/>
                <w:color w:val="auto"/>
              </w:rPr>
              <w:t>***</w:t>
            </w:r>
          </w:p>
        </w:tc>
        <w:tc>
          <w:tcPr>
            <w:tcW w:w="3400" w:type="dxa"/>
            <w:vAlign w:val="bottom"/>
            <w:gridSpan w:val="6"/>
          </w:tcPr>
          <w:p>
            <w:pPr>
              <w:jc w:val="right"/>
              <w:ind w:right="480"/>
              <w:spacing w:after="0"/>
              <w:rPr>
                <w:sz w:val="20"/>
                <w:szCs w:val="20"/>
                <w:color w:val="auto"/>
              </w:rPr>
            </w:pPr>
            <w:r>
              <w:rPr>
                <w:rFonts w:ascii="Arial" w:cs="Arial" w:eastAsia="Arial" w:hAnsi="Arial"/>
                <w:sz w:val="20"/>
                <w:szCs w:val="20"/>
                <w:color w:val="auto"/>
                <w:w w:val="96"/>
              </w:rPr>
              <w:t>] at Closing, due to the following:</w:t>
            </w:r>
          </w:p>
        </w:tc>
        <w:tc>
          <w:tcPr>
            <w:tcW w:w="1980" w:type="dxa"/>
            <w:vAlign w:val="bottom"/>
          </w:tcPr>
          <w:p>
            <w:pPr>
              <w:spacing w:after="0"/>
              <w:rPr>
                <w:sz w:val="22"/>
                <w:szCs w:val="22"/>
                <w:color w:val="auto"/>
              </w:rPr>
            </w:pPr>
          </w:p>
        </w:tc>
        <w:tc>
          <w:tcPr>
            <w:tcW w:w="32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20" w:type="dxa"/>
            <w:vAlign w:val="bottom"/>
          </w:tcPr>
          <w:p>
            <w:pPr>
              <w:spacing w:after="0"/>
              <w:rPr>
                <w:sz w:val="22"/>
                <w:szCs w:val="22"/>
                <w:color w:val="auto"/>
              </w:rPr>
            </w:pPr>
          </w:p>
        </w:tc>
      </w:tr>
      <w:tr>
        <w:trPr>
          <w:trHeight w:val="457"/>
        </w:trPr>
        <w:tc>
          <w:tcPr>
            <w:tcW w:w="1040" w:type="dxa"/>
            <w:vAlign w:val="bottom"/>
          </w:tcPr>
          <w:p>
            <w:pPr>
              <w:spacing w:after="0"/>
              <w:rPr>
                <w:sz w:val="24"/>
                <w:szCs w:val="24"/>
                <w:color w:val="auto"/>
              </w:rPr>
            </w:pPr>
          </w:p>
        </w:tc>
        <w:tc>
          <w:tcPr>
            <w:tcW w:w="760" w:type="dxa"/>
            <w:vAlign w:val="bottom"/>
          </w:tcPr>
          <w:p>
            <w:pPr>
              <w:jc w:val="right"/>
              <w:ind w:right="300"/>
              <w:spacing w:after="0"/>
              <w:rPr>
                <w:sz w:val="20"/>
                <w:szCs w:val="20"/>
                <w:color w:val="auto"/>
              </w:rPr>
            </w:pPr>
            <w:r>
              <w:rPr>
                <w:rFonts w:ascii="Arial" w:cs="Arial" w:eastAsia="Arial" w:hAnsi="Arial"/>
                <w:sz w:val="20"/>
                <w:szCs w:val="20"/>
                <w:color w:val="auto"/>
              </w:rPr>
              <w:t>(i)</w:t>
            </w:r>
          </w:p>
        </w:tc>
        <w:tc>
          <w:tcPr>
            <w:tcW w:w="2620" w:type="dxa"/>
            <w:vAlign w:val="bottom"/>
            <w:gridSpan w:val="5"/>
          </w:tcPr>
          <w:p>
            <w:pPr>
              <w:jc w:val="right"/>
              <w:spacing w:after="0"/>
              <w:rPr>
                <w:sz w:val="20"/>
                <w:szCs w:val="20"/>
                <w:color w:val="auto"/>
              </w:rPr>
            </w:pPr>
            <w:r>
              <w:rPr>
                <w:rFonts w:ascii="Arial" w:cs="Arial" w:eastAsia="Arial" w:hAnsi="Arial"/>
                <w:sz w:val="20"/>
                <w:szCs w:val="20"/>
                <w:color w:val="auto"/>
              </w:rPr>
              <w:t>an obligation pursuant to an [</w:t>
            </w:r>
          </w:p>
        </w:tc>
        <w:tc>
          <w:tcPr>
            <w:tcW w:w="780" w:type="dxa"/>
            <w:vAlign w:val="bottom"/>
          </w:tcPr>
          <w:p>
            <w:pPr>
              <w:jc w:val="right"/>
              <w:ind w:right="120"/>
              <w:spacing w:after="0"/>
              <w:rPr>
                <w:sz w:val="20"/>
                <w:szCs w:val="20"/>
                <w:color w:val="auto"/>
              </w:rPr>
            </w:pPr>
            <w:r>
              <w:rPr>
                <w:rFonts w:ascii="Arial" w:cs="Arial" w:eastAsia="Arial" w:hAnsi="Arial"/>
                <w:sz w:val="20"/>
                <w:szCs w:val="20"/>
                <w:color w:val="auto"/>
              </w:rPr>
              <w:t>***</w:t>
            </w:r>
          </w:p>
        </w:tc>
        <w:tc>
          <w:tcPr>
            <w:tcW w:w="5240" w:type="dxa"/>
            <w:vAlign w:val="bottom"/>
            <w:gridSpan w:val="2"/>
          </w:tcPr>
          <w:p>
            <w:pPr>
              <w:ind w:left="200"/>
              <w:spacing w:after="0"/>
              <w:rPr>
                <w:sz w:val="20"/>
                <w:szCs w:val="20"/>
                <w:color w:val="auto"/>
              </w:rPr>
            </w:pPr>
            <w:r>
              <w:rPr>
                <w:rFonts w:ascii="Arial" w:cs="Arial" w:eastAsia="Arial" w:hAnsi="Arial"/>
                <w:sz w:val="20"/>
                <w:szCs w:val="20"/>
                <w:color w:val="auto"/>
                <w:w w:val="97"/>
              </w:rPr>
              <w:t>], in whole or in part, or otherwise reimburse or pay to the [</w:t>
            </w:r>
          </w:p>
        </w:tc>
        <w:tc>
          <w:tcPr>
            <w:tcW w:w="660" w:type="dxa"/>
            <w:vAlign w:val="bottom"/>
          </w:tcPr>
          <w:p>
            <w:pPr>
              <w:jc w:val="right"/>
              <w:ind w:right="120"/>
              <w:spacing w:after="0"/>
              <w:rPr>
                <w:sz w:val="20"/>
                <w:szCs w:val="20"/>
                <w:color w:val="auto"/>
              </w:rPr>
            </w:pPr>
            <w:r>
              <w:rPr>
                <w:rFonts w:ascii="Arial" w:cs="Arial" w:eastAsia="Arial" w:hAnsi="Arial"/>
                <w:sz w:val="20"/>
                <w:szCs w:val="20"/>
                <w:color w:val="auto"/>
              </w:rPr>
              <w:t>***</w:t>
            </w:r>
          </w:p>
        </w:tc>
        <w:tc>
          <w:tcPr>
            <w:tcW w:w="32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09"/>
        </w:trPr>
        <w:tc>
          <w:tcPr>
            <w:tcW w:w="3580" w:type="dxa"/>
            <w:vAlign w:val="bottom"/>
            <w:gridSpan w:val="5"/>
          </w:tcPr>
          <w:p>
            <w:pPr>
              <w:ind w:left="600"/>
              <w:spacing w:after="0" w:line="209" w:lineRule="exact"/>
              <w:rPr>
                <w:sz w:val="20"/>
                <w:szCs w:val="20"/>
                <w:color w:val="auto"/>
              </w:rPr>
            </w:pPr>
            <w:r>
              <w:rPr>
                <w:rFonts w:ascii="Arial" w:cs="Arial" w:eastAsia="Arial" w:hAnsi="Arial"/>
                <w:sz w:val="20"/>
                <w:szCs w:val="20"/>
                <w:color w:val="auto"/>
                <w:w w:val="94"/>
              </w:rPr>
              <w:t>prior to the Closing Date, provided [</w:t>
            </w:r>
          </w:p>
        </w:tc>
        <w:tc>
          <w:tcPr>
            <w:tcW w:w="600" w:type="dxa"/>
            <w:vAlign w:val="bottom"/>
          </w:tcPr>
          <w:p>
            <w:pPr>
              <w:jc w:val="right"/>
              <w:spacing w:after="0" w:line="209" w:lineRule="exact"/>
              <w:rPr>
                <w:sz w:val="20"/>
                <w:szCs w:val="20"/>
                <w:color w:val="auto"/>
              </w:rPr>
            </w:pPr>
            <w:r>
              <w:rPr>
                <w:rFonts w:ascii="Arial" w:cs="Arial" w:eastAsia="Arial" w:hAnsi="Arial"/>
                <w:sz w:val="20"/>
                <w:szCs w:val="20"/>
                <w:color w:val="auto"/>
              </w:rPr>
              <w:t>***</w:t>
            </w:r>
          </w:p>
        </w:tc>
        <w:tc>
          <w:tcPr>
            <w:tcW w:w="240" w:type="dxa"/>
            <w:vAlign w:val="bottom"/>
          </w:tcPr>
          <w:p>
            <w:pPr>
              <w:spacing w:after="0"/>
              <w:rPr>
                <w:sz w:val="18"/>
                <w:szCs w:val="18"/>
                <w:color w:val="auto"/>
              </w:rPr>
            </w:pPr>
          </w:p>
        </w:tc>
        <w:tc>
          <w:tcPr>
            <w:tcW w:w="780" w:type="dxa"/>
            <w:vAlign w:val="bottom"/>
          </w:tcPr>
          <w:p>
            <w:pPr>
              <w:jc w:val="right"/>
              <w:ind w:right="560"/>
              <w:spacing w:after="0" w:line="209" w:lineRule="exact"/>
              <w:rPr>
                <w:sz w:val="20"/>
                <w:szCs w:val="20"/>
                <w:color w:val="auto"/>
              </w:rPr>
            </w:pPr>
            <w:r>
              <w:rPr>
                <w:rFonts w:ascii="Arial" w:cs="Arial" w:eastAsia="Arial" w:hAnsi="Arial"/>
                <w:sz w:val="20"/>
                <w:szCs w:val="20"/>
                <w:color w:val="auto"/>
                <w:w w:val="89"/>
              </w:rPr>
              <w:t>],</w:t>
            </w:r>
          </w:p>
        </w:tc>
        <w:tc>
          <w:tcPr>
            <w:tcW w:w="198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0"/>
        </w:trPr>
        <w:tc>
          <w:tcPr>
            <w:tcW w:w="10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56" w:right="239" w:bottom="1440" w:gutter="0" w:footer="0" w:header="0"/>
        </w:sectPr>
      </w:pPr>
    </w:p>
    <w:p>
      <w:pPr>
        <w:spacing w:after="0" w:line="54" w:lineRule="exact"/>
        <w:rPr>
          <w:sz w:val="20"/>
          <w:szCs w:val="20"/>
          <w:color w:val="auto"/>
        </w:rPr>
      </w:pPr>
    </w:p>
    <w:p>
      <w:pPr>
        <w:jc w:val="both"/>
        <w:ind w:left="600" w:firstLine="602"/>
        <w:spacing w:after="0" w:line="333" w:lineRule="auto"/>
        <w:tabs>
          <w:tab w:leader="none" w:pos="2046"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any tax, fee or other governmental charge (including, without withholding tax deductions or other payments of taxes) to the extent attributable to [</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spacing w:after="0"/>
        <w:rPr>
          <w:sz w:val="20"/>
          <w:szCs w:val="20"/>
          <w:color w:val="auto"/>
        </w:rPr>
      </w:pPr>
      <w:r>
        <w:rPr>
          <w:rFonts w:ascii="Arial" w:cs="Arial" w:eastAsia="Arial" w:hAnsi="Arial"/>
          <w:sz w:val="19"/>
          <w:szCs w:val="19"/>
          <w:color w:val="auto"/>
        </w:rPr>
        <w:t>limitation, any deductions or offsets relating to</w:t>
      </w:r>
    </w:p>
    <w:p>
      <w:pPr>
        <w:spacing w:after="0" w:line="37" w:lineRule="exact"/>
        <w:rPr>
          <w:sz w:val="20"/>
          <w:szCs w:val="20"/>
          <w:color w:val="auto"/>
        </w:rPr>
      </w:pPr>
    </w:p>
    <w:p>
      <w:pPr>
        <w:ind w:left="820" w:hanging="642"/>
        <w:spacing w:after="0"/>
        <w:tabs>
          <w:tab w:leader="none" w:pos="820" w:val="left"/>
        </w:tabs>
        <w:numPr>
          <w:ilvl w:val="0"/>
          <w:numId w:val="67"/>
        </w:numPr>
        <w:rPr>
          <w:rFonts w:ascii="Arial" w:cs="Arial" w:eastAsia="Arial" w:hAnsi="Arial"/>
          <w:sz w:val="20"/>
          <w:szCs w:val="20"/>
          <w:color w:val="auto"/>
        </w:rPr>
      </w:pPr>
      <w:r>
        <w:rPr>
          <w:rFonts w:ascii="Arial" w:cs="Arial" w:eastAsia="Arial" w:hAnsi="Arial"/>
          <w:sz w:val="20"/>
          <w:szCs w:val="20"/>
          <w:color w:val="auto"/>
        </w:rPr>
        <w:t>] prior to the Closing Date, or</w:t>
      </w:r>
    </w:p>
    <w:p>
      <w:pPr>
        <w:spacing w:after="0" w:line="227" w:lineRule="exact"/>
        <w:rPr>
          <w:sz w:val="20"/>
          <w:szCs w:val="20"/>
          <w:color w:val="auto"/>
        </w:rPr>
      </w:pPr>
    </w:p>
    <w:p>
      <w:pPr>
        <w:sectPr>
          <w:pgSz w:w="11900" w:h="16838" w:orient="portrait"/>
          <w:cols w:equalWidth="0" w:num="2">
            <w:col w:w="7340" w:space="80"/>
            <w:col w:w="4000"/>
          </w:cols>
          <w:pgMar w:left="240" w:top="556" w:right="239" w:bottom="1440" w:gutter="0" w:footer="0" w:header="0"/>
          <w:type w:val="continuous"/>
        </w:sectPr>
      </w:pPr>
    </w:p>
    <w:p>
      <w:pPr>
        <w:jc w:val="both"/>
        <w:ind w:left="1200"/>
        <w:spacing w:after="0"/>
        <w:tabs>
          <w:tab w:leader="none" w:pos="2080" w:val="left"/>
          <w:tab w:leader="none" w:pos="5040" w:val="left"/>
          <w:tab w:leader="none" w:pos="5760" w:val="left"/>
        </w:tabs>
        <w:rPr>
          <w:sz w:val="20"/>
          <w:szCs w:val="20"/>
          <w:color w:val="auto"/>
        </w:rPr>
      </w:pPr>
      <w:r>
        <w:rPr>
          <w:rFonts w:ascii="Arial" w:cs="Arial" w:eastAsia="Arial" w:hAnsi="Arial"/>
          <w:sz w:val="20"/>
          <w:szCs w:val="20"/>
          <w:color w:val="auto"/>
        </w:rPr>
        <w:t>(iii)</w:t>
      </w:r>
      <w:r>
        <w:rPr>
          <w:sz w:val="20"/>
          <w:szCs w:val="20"/>
          <w:color w:val="auto"/>
        </w:rPr>
        <w:tab/>
      </w:r>
      <w:r>
        <w:rPr>
          <w:rFonts w:ascii="Arial" w:cs="Arial" w:eastAsia="Arial" w:hAnsi="Arial"/>
          <w:sz w:val="20"/>
          <w:szCs w:val="20"/>
          <w:color w:val="auto"/>
        </w:rPr>
        <w:t>any Losses arising from breach [</w:t>
      </w:r>
      <w:r>
        <w:rPr>
          <w:sz w:val="20"/>
          <w:szCs w:val="20"/>
          <w:color w:val="auto"/>
        </w:rPr>
        <w:tab/>
      </w:r>
      <w:r>
        <w:rPr>
          <w:rFonts w:ascii="Arial" w:cs="Arial" w:eastAsia="Arial" w:hAnsi="Arial"/>
          <w:sz w:val="20"/>
          <w:szCs w:val="20"/>
          <w:color w:val="auto"/>
        </w:rPr>
        <w:t>***</w:t>
      </w:r>
      <w:r>
        <w:rPr>
          <w:sz w:val="20"/>
          <w:szCs w:val="20"/>
          <w:color w:val="auto"/>
        </w:rPr>
        <w:tab/>
      </w:r>
      <w:r>
        <w:rPr>
          <w:rFonts w:ascii="Arial" w:cs="Arial" w:eastAsia="Arial" w:hAnsi="Arial"/>
          <w:sz w:val="18"/>
          <w:szCs w:val="18"/>
          <w:color w:val="auto"/>
        </w:rPr>
        <w:t>], of its representations, warranties or covenants made by it under the</w:t>
      </w:r>
    </w:p>
    <w:p>
      <w:pPr>
        <w:spacing w:after="0" w:line="26" w:lineRule="exact"/>
        <w:rPr>
          <w:sz w:val="20"/>
          <w:szCs w:val="20"/>
          <w:color w:val="auto"/>
        </w:rPr>
      </w:pPr>
    </w:p>
    <w:p>
      <w:pPr>
        <w:ind w:left="920" w:hanging="319"/>
        <w:spacing w:after="0"/>
        <w:tabs>
          <w:tab w:leader="none" w:pos="920" w:val="left"/>
        </w:tabs>
        <w:numPr>
          <w:ilvl w:val="0"/>
          <w:numId w:val="68"/>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18"/>
          <w:szCs w:val="18"/>
          <w:color w:val="auto"/>
        </w:rPr>
        <w:t>] which arise, accrue or relate to the period prior to the Closing,</w:t>
      </w:r>
    </w:p>
    <w:p>
      <w:pPr>
        <w:spacing w:after="0" w:line="190"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the Insurer shall deliver notice to the Company setting forth in reasonable detail the amount of the claim and indemnification reimbursement that the Insurer seeks. The Insurer shall also provide such supporting documentation as may be reasonably requested by the Company in connection therewith. The Company shall, within ninety (90) days following its receipt of such notice, remit such amount to the Insurer (or if such claim is disputed in good faith, promptly on resolution of such dispute). For the avoidance of doubt,</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ectPr>
          <w:pgSz w:w="11900" w:h="16838" w:orient="portrait"/>
          <w:cols w:equalWidth="0" w:num="1">
            <w:col w:w="11420"/>
          </w:cols>
          <w:pgMar w:left="240" w:top="556" w:right="239" w:bottom="1440" w:gutter="0" w:footer="0" w:header="0"/>
          <w:type w:val="continuous"/>
        </w:sectPr>
      </w:pPr>
    </w:p>
    <w:bookmarkStart w:id="50" w:name="page51"/>
    <w:bookmarkEnd w:id="50"/>
    <w:p>
      <w:pPr>
        <w:jc w:val="both"/>
        <w:spacing w:after="0" w:line="275" w:lineRule="auto"/>
        <w:rPr>
          <w:sz w:val="20"/>
          <w:szCs w:val="20"/>
          <w:color w:val="auto"/>
        </w:rPr>
      </w:pPr>
      <w:r>
        <w:rPr>
          <w:rFonts w:ascii="Arial" w:cs="Arial" w:eastAsia="Arial" w:hAnsi="Arial"/>
          <w:sz w:val="19"/>
          <w:szCs w:val="19"/>
          <w:color w:val="auto"/>
        </w:rPr>
        <w:t xml:space="preserve">only those amounts that (i) result in an actual economic loss to the Insurer, and (ii) only with respect to </w:t>
      </w:r>
      <w:r>
        <w:rPr>
          <w:rFonts w:ascii="Arial" w:cs="Arial" w:eastAsia="Arial" w:hAnsi="Arial"/>
          <w:sz w:val="19"/>
          <w:szCs w:val="19"/>
          <w:u w:val="single" w:color="auto"/>
          <w:color w:val="auto"/>
        </w:rPr>
        <w:t>Section 2.23(a)(i)</w:t>
      </w:r>
      <w:r>
        <w:rPr>
          <w:rFonts w:ascii="Arial" w:cs="Arial" w:eastAsia="Arial" w:hAnsi="Arial"/>
          <w:sz w:val="19"/>
          <w:szCs w:val="19"/>
          <w:color w:val="auto"/>
        </w:rPr>
        <w:t xml:space="preserve">, are related to a prior economic gain to the Plan Trustee, on behalf of the Plan, are eligible for payment by the Company pursuant to this </w:t>
      </w:r>
      <w:r>
        <w:rPr>
          <w:rFonts w:ascii="Arial" w:cs="Arial" w:eastAsia="Arial" w:hAnsi="Arial"/>
          <w:sz w:val="19"/>
          <w:szCs w:val="19"/>
          <w:u w:val="single" w:color="auto"/>
          <w:color w:val="auto"/>
        </w:rPr>
        <w:t>Section 2.23</w:t>
      </w:r>
      <w:r>
        <w:rPr>
          <w:rFonts w:ascii="Arial" w:cs="Arial" w:eastAsia="Arial" w:hAnsi="Arial"/>
          <w:sz w:val="19"/>
          <w:szCs w:val="19"/>
          <w:color w:val="auto"/>
        </w:rPr>
        <w:t xml:space="preserve">. The maximum aggregate obligation of the Company to make payments under this </w:t>
      </w:r>
      <w:r>
        <w:rPr>
          <w:rFonts w:ascii="Arial" w:cs="Arial" w:eastAsia="Arial" w:hAnsi="Arial"/>
          <w:sz w:val="19"/>
          <w:szCs w:val="19"/>
          <w:u w:val="single" w:color="auto"/>
          <w:color w:val="auto"/>
        </w:rPr>
        <w:t>Section 2.23</w:t>
      </w:r>
      <w:r>
        <w:rPr>
          <w:rFonts w:ascii="Arial" w:cs="Arial" w:eastAsia="Arial" w:hAnsi="Arial"/>
          <w:sz w:val="19"/>
          <w:szCs w:val="19"/>
          <w:color w:val="auto"/>
        </w:rPr>
        <w:t xml:space="preserve"> [ *** ], and the Company shall have no other obligations in respect of Transferred Liabilities described in this </w:t>
      </w:r>
      <w:r>
        <w:rPr>
          <w:rFonts w:ascii="Arial" w:cs="Arial" w:eastAsia="Arial" w:hAnsi="Arial"/>
          <w:sz w:val="19"/>
          <w:szCs w:val="19"/>
          <w:u w:val="single" w:color="auto"/>
          <w:color w:val="auto"/>
        </w:rPr>
        <w:t>Section 2.23</w:t>
      </w:r>
      <w:r>
        <w:rPr>
          <w:rFonts w:ascii="Arial" w:cs="Arial" w:eastAsia="Arial" w:hAnsi="Arial"/>
          <w:sz w:val="19"/>
          <w:szCs w:val="19"/>
          <w:color w:val="auto"/>
        </w:rPr>
        <w:t xml:space="preserve"> other than as provided in this </w:t>
      </w:r>
      <w:r>
        <w:rPr>
          <w:rFonts w:ascii="Arial" w:cs="Arial" w:eastAsia="Arial" w:hAnsi="Arial"/>
          <w:sz w:val="19"/>
          <w:szCs w:val="19"/>
          <w:u w:val="single" w:color="auto"/>
          <w:color w:val="auto"/>
        </w:rPr>
        <w:t>Section 2.23</w:t>
      </w:r>
      <w:r>
        <w:rPr>
          <w:rFonts w:ascii="Arial" w:cs="Arial" w:eastAsia="Arial" w:hAnsi="Arial"/>
          <w:sz w:val="19"/>
          <w:szCs w:val="19"/>
          <w:color w:val="auto"/>
        </w:rPr>
        <w:t>.</w:t>
      </w:r>
    </w:p>
    <w:p>
      <w:pPr>
        <w:spacing w:after="0" w:line="150" w:lineRule="exact"/>
        <w:rPr>
          <w:sz w:val="20"/>
          <w:szCs w:val="20"/>
          <w:color w:val="auto"/>
        </w:rPr>
      </w:pPr>
    </w:p>
    <w:p>
      <w:pPr>
        <w:ind w:right="300" w:firstLine="601"/>
        <w:spacing w:after="0" w:line="254" w:lineRule="auto"/>
        <w:rPr>
          <w:sz w:val="20"/>
          <w:szCs w:val="20"/>
          <w:color w:val="auto"/>
        </w:rPr>
      </w:pPr>
      <w:r>
        <w:rPr>
          <w:rFonts w:ascii="Arial" w:cs="Arial" w:eastAsia="Arial" w:hAnsi="Arial"/>
          <w:sz w:val="20"/>
          <w:szCs w:val="20"/>
          <w:color w:val="auto"/>
        </w:rPr>
        <w:t>(b) If, during the period from and after the Closing Date through the [ *** ] of the Closing Date, the Insurer receives a [ *** ] to it at Closing, then upon becoming aware that [ *** ], the Insurer shall deliver a notice to the Company setting forth in reasonable detail the amount of the [ *** ] to such entity as the Company may direct. [ *** ], to the Insurer prior to the second</w:t>
      </w:r>
    </w:p>
    <w:p>
      <w:pPr>
        <w:spacing w:after="0" w:line="1"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anniversary of the Closing Date with respect to any payment made on behalf of the Plan prior to the Closing Date that is determined under the [ *** ] to be in excess of the amount that was actually required to paid on behalf of the Plan, but only to the extent the [ *** ] was reduced by such payment made on behalf of the Plan. The maximum aggregate obligation of the Insurer to make payments under this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320"/>
        <w:spacing w:after="0" w:line="257" w:lineRule="auto"/>
        <w:rPr>
          <w:sz w:val="20"/>
          <w:szCs w:val="20"/>
          <w:color w:val="auto"/>
        </w:rPr>
      </w:pPr>
      <w:r>
        <w:rPr>
          <w:rFonts w:ascii="Arial" w:cs="Arial" w:eastAsia="Arial" w:hAnsi="Arial"/>
          <w:sz w:val="20"/>
          <w:szCs w:val="20"/>
          <w:color w:val="auto"/>
        </w:rPr>
        <w:t>2.23 is [ *** ], and the Insurer shall have no other obligations with respect to any [ *** ] with respect to [ *** ] after the Closing.</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III</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COMPANY'S REPRESENTATIONS AND WARRANTIES</w:t>
      </w:r>
    </w:p>
    <w:p>
      <w:pPr>
        <w:spacing w:after="0" w:line="190" w:lineRule="exact"/>
        <w:rPr>
          <w:sz w:val="20"/>
          <w:szCs w:val="20"/>
          <w:color w:val="auto"/>
        </w:rPr>
      </w:pPr>
    </w:p>
    <w:p>
      <w:pPr>
        <w:jc w:val="both"/>
        <w:ind w:firstLine="601"/>
        <w:spacing w:after="0" w:line="275" w:lineRule="auto"/>
        <w:rPr>
          <w:sz w:val="20"/>
          <w:szCs w:val="20"/>
          <w:color w:val="auto"/>
        </w:rPr>
      </w:pPr>
      <w:r>
        <w:rPr>
          <w:rFonts w:ascii="Arial" w:cs="Arial" w:eastAsia="Arial" w:hAnsi="Arial"/>
          <w:sz w:val="20"/>
          <w:szCs w:val="20"/>
          <w:color w:val="auto"/>
        </w:rPr>
        <w:t>The Company hereby represents and warrants to Insurer Parent, the Insurer and the Independent Fiduciary as of the DTFA Execution Date and the Closing Date that, except as set forth in the Company Disclosure Letter:</w:t>
      </w:r>
    </w:p>
    <w:p>
      <w:pPr>
        <w:spacing w:after="0" w:line="349" w:lineRule="exact"/>
        <w:rPr>
          <w:sz w:val="20"/>
          <w:szCs w:val="20"/>
          <w:color w:val="auto"/>
        </w:rPr>
      </w:pPr>
    </w:p>
    <w:p>
      <w:pPr>
        <w:jc w:val="both"/>
        <w:ind w:firstLine="601"/>
        <w:spacing w:after="0" w:line="287" w:lineRule="auto"/>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u w:val="single" w:color="auto"/>
          <w:color w:val="auto"/>
        </w:rPr>
        <w:t>Due Organization, Good Standing and Corporate Power</w:t>
      </w:r>
      <w:r>
        <w:rPr>
          <w:rFonts w:ascii="Arial" w:cs="Arial" w:eastAsia="Arial" w:hAnsi="Arial"/>
          <w:sz w:val="18"/>
          <w:szCs w:val="18"/>
          <w:color w:val="auto"/>
        </w:rPr>
        <w:t>. The Company is a limited liability company duly organized, validly existing and in good standing under the Laws of the State of Delaware. The Company has all requisite power and authority to enter into and carry out its obligations under this Agreement and the Ancillary Agreements to which it is, or will be at Closing, a party (if any) and to consummate the transactions contemplated to be undertaken by the Company herein or therein. The Company is duly qualified or licensed to do business and is in good standing in each jurisdiction in which its sponsorship of the Plan makes such qualification or licensing necessary, except in such jurisdictions where the failure to be in good standing, or so qualified or licensed is not material.</w:t>
      </w:r>
    </w:p>
    <w:p>
      <w:pPr>
        <w:spacing w:after="0" w:line="142" w:lineRule="exact"/>
        <w:rPr>
          <w:sz w:val="20"/>
          <w:szCs w:val="20"/>
          <w:color w:val="auto"/>
        </w:rPr>
      </w:pPr>
    </w:p>
    <w:p>
      <w:pPr>
        <w:jc w:val="both"/>
        <w:ind w:firstLine="601"/>
        <w:spacing w:after="0" w:line="283" w:lineRule="auto"/>
        <w:rPr>
          <w:sz w:val="20"/>
          <w:szCs w:val="20"/>
          <w:color w:val="auto"/>
        </w:rPr>
      </w:pPr>
      <w:r>
        <w:rPr>
          <w:rFonts w:ascii="Arial" w:cs="Arial" w:eastAsia="Arial" w:hAnsi="Arial"/>
          <w:sz w:val="18"/>
          <w:szCs w:val="18"/>
          <w:color w:val="auto"/>
        </w:rPr>
        <w:t xml:space="preserve">Section 3.2 </w:t>
      </w:r>
      <w:r>
        <w:rPr>
          <w:rFonts w:ascii="Arial" w:cs="Arial" w:eastAsia="Arial" w:hAnsi="Arial"/>
          <w:sz w:val="18"/>
          <w:szCs w:val="18"/>
          <w:u w:val="single" w:color="auto"/>
          <w:color w:val="auto"/>
        </w:rPr>
        <w:t>Authorization of Agreement; Enforceability</w:t>
      </w:r>
      <w:r>
        <w:rPr>
          <w:rFonts w:ascii="Arial" w:cs="Arial" w:eastAsia="Arial" w:hAnsi="Arial"/>
          <w:sz w:val="18"/>
          <w:szCs w:val="18"/>
          <w:color w:val="auto"/>
        </w:rPr>
        <w:t>. The Company has received all appropriate corporate approvals and no other action on the part of the Company or its Affiliates is necessary to authorize the execution, delivery and performance of this Agreement and the consummation of the transactions contemplated to be undertaken by the Company under this Agreement and the Ancillary Agreements (to the extent a party thereto, if any). This Agreement is, and the Ancillary Agreements (to the extent that the Company is a party thereto, if any), when executed will be, duly executed and delivered by the Company, and each is (or when executed will be) a valid and binding obligation of the Company and enforceable against the Company, in accordance with its terms, except to the extent that its enforceability may be subject to applicable bankruptcy, insolvency, reorganization, moratorium and similar Law affecting the enforcement of creditors' rights generally and by general equitable principles (such exception is the “</w:t>
      </w:r>
      <w:r>
        <w:rPr>
          <w:rFonts w:ascii="Arial" w:cs="Arial" w:eastAsia="Arial" w:hAnsi="Arial"/>
          <w:sz w:val="18"/>
          <w:szCs w:val="18"/>
          <w:u w:val="single" w:color="auto"/>
          <w:color w:val="auto"/>
        </w:rPr>
        <w:t>Enforceability Exception</w:t>
      </w:r>
      <w:r>
        <w:rPr>
          <w:rFonts w:ascii="Arial" w:cs="Arial" w:eastAsia="Arial" w:hAnsi="Arial"/>
          <w:sz w:val="18"/>
          <w:szCs w:val="18"/>
          <w:color w:val="auto"/>
        </w:rPr>
        <w:t>”).</w:t>
      </w:r>
    </w:p>
    <w:p>
      <w:pPr>
        <w:spacing w:after="0" w:line="150" w:lineRule="exact"/>
        <w:rPr>
          <w:sz w:val="20"/>
          <w:szCs w:val="20"/>
          <w:color w:val="auto"/>
        </w:rPr>
      </w:pPr>
    </w:p>
    <w:p>
      <w:pPr>
        <w:jc w:val="both"/>
        <w:ind w:firstLine="601"/>
        <w:spacing w:after="0" w:line="261" w:lineRule="auto"/>
        <w:rPr>
          <w:sz w:val="20"/>
          <w:szCs w:val="20"/>
          <w:color w:val="auto"/>
        </w:rPr>
      </w:pPr>
      <w:r>
        <w:rPr>
          <w:rFonts w:ascii="Arial" w:cs="Arial" w:eastAsia="Arial" w:hAnsi="Arial"/>
          <w:sz w:val="20"/>
          <w:szCs w:val="20"/>
          <w:color w:val="auto"/>
        </w:rPr>
        <w:t xml:space="preserve">Section 3.3 </w:t>
      </w:r>
      <w:r>
        <w:rPr>
          <w:rFonts w:ascii="Arial" w:cs="Arial" w:eastAsia="Arial" w:hAnsi="Arial"/>
          <w:sz w:val="20"/>
          <w:szCs w:val="20"/>
          <w:u w:val="single" w:color="auto"/>
          <w:color w:val="auto"/>
        </w:rPr>
        <w:t>Consents And Approvals; No Violations</w:t>
      </w:r>
      <w:r>
        <w:rPr>
          <w:rFonts w:ascii="Arial" w:cs="Arial" w:eastAsia="Arial" w:hAnsi="Arial"/>
          <w:sz w:val="20"/>
          <w:szCs w:val="20"/>
          <w:color w:val="auto"/>
        </w:rPr>
        <w:t xml:space="preserve">. Assuming the Consents from Governmental Authorities set forth on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3.3</w:t>
      </w:r>
      <w:r>
        <w:rPr>
          <w:rFonts w:ascii="Arial" w:cs="Arial" w:eastAsia="Arial" w:hAnsi="Arial"/>
          <w:sz w:val="20"/>
          <w:szCs w:val="20"/>
          <w:color w:val="auto"/>
        </w:rPr>
        <w:t xml:space="preserve"> of the Company Disclosure Letter have been obtained, the execution, delivery and performance of this Agreement by the Company and the consummation by the Company of the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ectPr>
          <w:pgSz w:w="11900" w:h="16838" w:orient="portrait"/>
          <w:cols w:equalWidth="0" w:num="1">
            <w:col w:w="11420"/>
          </w:cols>
          <w:pgMar w:left="240" w:top="757" w:right="239" w:bottom="1440" w:gutter="0" w:footer="0" w:header="0"/>
        </w:sectPr>
      </w:pPr>
    </w:p>
    <w:bookmarkStart w:id="51" w:name="page52"/>
    <w:bookmarkEnd w:id="51"/>
    <w:p>
      <w:pPr>
        <w:jc w:val="both"/>
        <w:spacing w:after="0" w:line="282" w:lineRule="auto"/>
        <w:rPr>
          <w:sz w:val="20"/>
          <w:szCs w:val="20"/>
          <w:color w:val="auto"/>
        </w:rPr>
      </w:pPr>
      <w:r>
        <w:rPr>
          <w:rFonts w:ascii="Arial" w:cs="Arial" w:eastAsia="Arial" w:hAnsi="Arial"/>
          <w:sz w:val="18"/>
          <w:szCs w:val="18"/>
          <w:color w:val="auto"/>
        </w:rPr>
        <w:t>transactions contemplated to be undertaken by the Company pursuant to this Agreement do not (</w:t>
      </w:r>
      <w:r>
        <w:rPr>
          <w:rFonts w:ascii="Arial" w:cs="Arial" w:eastAsia="Arial" w:hAnsi="Arial"/>
          <w:sz w:val="18"/>
          <w:szCs w:val="18"/>
          <w:u w:val="single" w:color="auto"/>
          <w:color w:val="auto"/>
        </w:rPr>
        <w:t>a</w:t>
      </w:r>
      <w:r>
        <w:rPr>
          <w:rFonts w:ascii="Arial" w:cs="Arial" w:eastAsia="Arial" w:hAnsi="Arial"/>
          <w:sz w:val="18"/>
          <w:szCs w:val="18"/>
          <w:color w:val="auto"/>
        </w:rPr>
        <w:t>) violate or conflict with any provision of its certificate or articles of incorporation, bylaws or code of regulations (or the comparable governing documents); (</w:t>
      </w:r>
      <w:r>
        <w:rPr>
          <w:rFonts w:ascii="Arial" w:cs="Arial" w:eastAsia="Arial" w:hAnsi="Arial"/>
          <w:sz w:val="18"/>
          <w:szCs w:val="18"/>
          <w:u w:val="single" w:color="auto"/>
          <w:color w:val="auto"/>
        </w:rPr>
        <w:t>b</w:t>
      </w:r>
      <w:r>
        <w:rPr>
          <w:rFonts w:ascii="Arial" w:cs="Arial" w:eastAsia="Arial" w:hAnsi="Arial"/>
          <w:sz w:val="18"/>
          <w:szCs w:val="18"/>
          <w:color w:val="auto"/>
        </w:rPr>
        <w:t>) violate or conflict with any Law or Order of any Governmental Authority applicable to the Company; (</w:t>
      </w:r>
      <w:r>
        <w:rPr>
          <w:rFonts w:ascii="Arial" w:cs="Arial" w:eastAsia="Arial" w:hAnsi="Arial"/>
          <w:sz w:val="18"/>
          <w:szCs w:val="18"/>
          <w:u w:val="single" w:color="auto"/>
          <w:color w:val="auto"/>
        </w:rPr>
        <w:t>c</w:t>
      </w:r>
      <w:r>
        <w:rPr>
          <w:rFonts w:ascii="Arial" w:cs="Arial" w:eastAsia="Arial" w:hAnsi="Arial"/>
          <w:sz w:val="18"/>
          <w:szCs w:val="18"/>
          <w:color w:val="auto"/>
        </w:rPr>
        <w:t>) require any additional Governmental Approval; or (</w:t>
      </w:r>
      <w:r>
        <w:rPr>
          <w:rFonts w:ascii="Arial" w:cs="Arial" w:eastAsia="Arial" w:hAnsi="Arial"/>
          <w:sz w:val="18"/>
          <w:szCs w:val="18"/>
          <w:u w:val="single" w:color="auto"/>
          <w:color w:val="auto"/>
        </w:rPr>
        <w:t>d</w:t>
      </w:r>
      <w:r>
        <w:rPr>
          <w:rFonts w:ascii="Arial" w:cs="Arial" w:eastAsia="Arial" w:hAnsi="Arial"/>
          <w:sz w:val="18"/>
          <w:szCs w:val="18"/>
          <w:color w:val="auto"/>
        </w:rPr>
        <w:t>) except for</w:t>
      </w:r>
    </w:p>
    <w:p>
      <w:pPr>
        <w:spacing w:after="0" w:line="2"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Consents required in connection with [ *** ], require any Consent of or other action by any Person under, constitute a default or an event that, with or without notice or lapse of time or both, would constitute a default under, or cause or permit termination, cancellation, acceleration or other change of any right or obligation or the loss of any benefit under, any provision of any Contract to which the Company is a party, the absence or occurrence of any of the foregoing would have a material adverse impact on the Company's ability to consummate the Transaction.</w:t>
      </w:r>
    </w:p>
    <w:p>
      <w:pPr>
        <w:spacing w:after="0" w:line="174" w:lineRule="exact"/>
        <w:rPr>
          <w:sz w:val="20"/>
          <w:szCs w:val="20"/>
          <w:color w:val="auto"/>
        </w:rPr>
      </w:pPr>
    </w:p>
    <w:p>
      <w:pPr>
        <w:jc w:val="both"/>
        <w:ind w:firstLine="601"/>
        <w:spacing w:after="0" w:line="280" w:lineRule="auto"/>
        <w:rPr>
          <w:sz w:val="20"/>
          <w:szCs w:val="20"/>
          <w:color w:val="auto"/>
        </w:rPr>
      </w:pPr>
      <w:r>
        <w:rPr>
          <w:rFonts w:ascii="Arial" w:cs="Arial" w:eastAsia="Arial" w:hAnsi="Arial"/>
          <w:sz w:val="18"/>
          <w:szCs w:val="18"/>
          <w:color w:val="auto"/>
        </w:rPr>
        <w:t xml:space="preserve">Section 3.4 </w:t>
      </w:r>
      <w:r>
        <w:rPr>
          <w:rFonts w:ascii="Arial" w:cs="Arial" w:eastAsia="Arial" w:hAnsi="Arial"/>
          <w:sz w:val="18"/>
          <w:szCs w:val="18"/>
          <w:u w:val="single" w:color="auto"/>
          <w:color w:val="auto"/>
        </w:rPr>
        <w:t>Compliance with ERISA and Code</w:t>
      </w:r>
      <w:r>
        <w:rPr>
          <w:rFonts w:ascii="Arial" w:cs="Arial" w:eastAsia="Arial" w:hAnsi="Arial"/>
          <w:sz w:val="18"/>
          <w:szCs w:val="18"/>
          <w:color w:val="auto"/>
        </w:rPr>
        <w:t>. The Plan is maintained under and is subject to ERISA and operated in compliance therewith and with its terms. The Plan is Tax Qualified and its trust is exempt from taxation. The Plan's most recent favorable Determination Letter is dated May 18, 2012 and reflects all changes to the plan through April 30, 2012. All Plan amendments necessary to effect the Lump-Sum Solicitation, and the other transactions contemplated by this Agreement, and the Ancillary Agreements, except for the Plan Termination and Plan Spin-Off, have been duly authorized and made by the Company. The Independent Fiduciary has been duly appointed as a fiduciary of the Plan with respect to the purchase of one or more group annuity contracts as set forth in an engagement letter with the Annuity Committee dated March 16, 2012, as amended (the “</w:t>
      </w:r>
      <w:r>
        <w:rPr>
          <w:rFonts w:ascii="Arial" w:cs="Arial" w:eastAsia="Arial" w:hAnsi="Arial"/>
          <w:sz w:val="18"/>
          <w:szCs w:val="18"/>
          <w:u w:val="single" w:color="auto"/>
          <w:color w:val="auto"/>
        </w:rPr>
        <w:t>IF Engagement Letter</w:t>
      </w:r>
      <w:r>
        <w:rPr>
          <w:rFonts w:ascii="Arial" w:cs="Arial" w:eastAsia="Arial" w:hAnsi="Arial"/>
          <w:sz w:val="18"/>
          <w:szCs w:val="18"/>
          <w:color w:val="auto"/>
        </w:rPr>
        <w:t>”), and has the sole authority and responsibility to (</w:t>
      </w:r>
      <w:r>
        <w:rPr>
          <w:rFonts w:ascii="Arial" w:cs="Arial" w:eastAsia="Arial" w:hAnsi="Arial"/>
          <w:sz w:val="18"/>
          <w:szCs w:val="18"/>
          <w:u w:val="single" w:color="auto"/>
          <w:color w:val="auto"/>
        </w:rPr>
        <w:t>i</w:t>
      </w:r>
      <w:r>
        <w:rPr>
          <w:rFonts w:ascii="Arial" w:cs="Arial" w:eastAsia="Arial" w:hAnsi="Arial"/>
          <w:sz w:val="18"/>
          <w:szCs w:val="18"/>
          <w:color w:val="auto"/>
        </w:rPr>
        <w:t>) determine whether the Transaction satisfies ERISA and applicable guidance, including Interpretative Bulletin 95-1, (</w:t>
      </w:r>
      <w:r>
        <w:rPr>
          <w:rFonts w:ascii="Arial" w:cs="Arial" w:eastAsia="Arial" w:hAnsi="Arial"/>
          <w:sz w:val="18"/>
          <w:szCs w:val="18"/>
          <w:u w:val="single" w:color="auto"/>
          <w:color w:val="auto"/>
        </w:rPr>
        <w:t>ii</w:t>
      </w:r>
      <w:r>
        <w:rPr>
          <w:rFonts w:ascii="Arial" w:cs="Arial" w:eastAsia="Arial" w:hAnsi="Arial"/>
          <w:sz w:val="18"/>
          <w:szCs w:val="18"/>
          <w:color w:val="auto"/>
        </w:rPr>
        <w:t>) direct the Plan Trustee on behalf of the Plan in connection with the transfer of the Transferred Assets in connection with the consummation of the Transaction, (</w:t>
      </w:r>
      <w:r>
        <w:rPr>
          <w:rFonts w:ascii="Arial" w:cs="Arial" w:eastAsia="Arial" w:hAnsi="Arial"/>
          <w:sz w:val="18"/>
          <w:szCs w:val="18"/>
          <w:u w:val="single" w:color="auto"/>
          <w:color w:val="auto"/>
        </w:rPr>
        <w:t>iii</w:t>
      </w:r>
      <w:r>
        <w:rPr>
          <w:rFonts w:ascii="Arial" w:cs="Arial" w:eastAsia="Arial" w:hAnsi="Arial"/>
          <w:sz w:val="18"/>
          <w:szCs w:val="18"/>
          <w:color w:val="auto"/>
        </w:rPr>
        <w:t>) direct the Plan Trustee on behalf of the Plan in connection with the execution or any amendment of the Group Annuity Contract, and (</w:t>
      </w:r>
      <w:r>
        <w:rPr>
          <w:rFonts w:ascii="Arial" w:cs="Arial" w:eastAsia="Arial" w:hAnsi="Arial"/>
          <w:sz w:val="18"/>
          <w:szCs w:val="18"/>
          <w:u w:val="single" w:color="auto"/>
          <w:color w:val="auto"/>
        </w:rPr>
        <w:t>iv</w:t>
      </w:r>
      <w:r>
        <w:rPr>
          <w:rFonts w:ascii="Arial" w:cs="Arial" w:eastAsia="Arial" w:hAnsi="Arial"/>
          <w:sz w:val="18"/>
          <w:szCs w:val="18"/>
          <w:color w:val="auto"/>
        </w:rPr>
        <w:t>) perform the covenants and agreements and make the representations and warranties set forth in this Agreement, the Ancillary Agreements (to the extent a party thereto) and the IF Engagement Letter to be performed or made by the Independent Fiduciary.</w:t>
      </w:r>
    </w:p>
    <w:p>
      <w:pPr>
        <w:spacing w:after="0" w:line="156" w:lineRule="exact"/>
        <w:rPr>
          <w:sz w:val="20"/>
          <w:szCs w:val="20"/>
          <w:color w:val="auto"/>
        </w:rPr>
      </w:pPr>
    </w:p>
    <w:p>
      <w:pPr>
        <w:jc w:val="both"/>
        <w:ind w:firstLine="601"/>
        <w:spacing w:after="0" w:line="275" w:lineRule="auto"/>
        <w:rPr>
          <w:sz w:val="20"/>
          <w:szCs w:val="20"/>
          <w:color w:val="auto"/>
        </w:rPr>
      </w:pPr>
      <w:r>
        <w:rPr>
          <w:rFonts w:ascii="Arial" w:cs="Arial" w:eastAsia="Arial" w:hAnsi="Arial"/>
          <w:sz w:val="20"/>
          <w:szCs w:val="20"/>
          <w:color w:val="auto"/>
        </w:rPr>
        <w:t xml:space="preserve">Section 3.5 </w:t>
      </w:r>
      <w:r>
        <w:rPr>
          <w:rFonts w:ascii="Arial" w:cs="Arial" w:eastAsia="Arial" w:hAnsi="Arial"/>
          <w:sz w:val="20"/>
          <w:szCs w:val="20"/>
          <w:u w:val="single" w:color="auto"/>
          <w:color w:val="auto"/>
        </w:rPr>
        <w:t>No Brokers' Fee</w:t>
      </w:r>
      <w:r>
        <w:rPr>
          <w:rFonts w:ascii="Arial" w:cs="Arial" w:eastAsia="Arial" w:hAnsi="Arial"/>
          <w:sz w:val="20"/>
          <w:szCs w:val="20"/>
          <w:color w:val="auto"/>
        </w:rPr>
        <w:t>. The Company has no Liability for any fee, commission or payment to any broker, finder or agent with respect to the Transactions for which any other Party, or its respective Affiliates or Representatives, could be liable.</w:t>
      </w:r>
    </w:p>
    <w:p>
      <w:pPr>
        <w:spacing w:after="0" w:line="149" w:lineRule="exact"/>
        <w:rPr>
          <w:sz w:val="20"/>
          <w:szCs w:val="20"/>
          <w:color w:val="auto"/>
        </w:rPr>
      </w:pPr>
    </w:p>
    <w:p>
      <w:pPr>
        <w:jc w:val="both"/>
        <w:ind w:firstLine="601"/>
        <w:spacing w:after="0" w:line="275" w:lineRule="auto"/>
        <w:rPr>
          <w:sz w:val="20"/>
          <w:szCs w:val="20"/>
          <w:color w:val="auto"/>
        </w:rPr>
      </w:pPr>
      <w:r>
        <w:rPr>
          <w:rFonts w:ascii="Arial" w:cs="Arial" w:eastAsia="Arial" w:hAnsi="Arial"/>
          <w:sz w:val="20"/>
          <w:szCs w:val="20"/>
          <w:color w:val="auto"/>
        </w:rPr>
        <w:t xml:space="preserve">Section 3.6 </w:t>
      </w:r>
      <w:r>
        <w:rPr>
          <w:rFonts w:ascii="Arial" w:cs="Arial" w:eastAsia="Arial" w:hAnsi="Arial"/>
          <w:sz w:val="20"/>
          <w:szCs w:val="20"/>
          <w:u w:val="single" w:color="auto"/>
          <w:color w:val="auto"/>
        </w:rPr>
        <w:t>No Discretionary Authority</w:t>
      </w:r>
      <w:r>
        <w:rPr>
          <w:rFonts w:ascii="Arial" w:cs="Arial" w:eastAsia="Arial" w:hAnsi="Arial"/>
          <w:sz w:val="20"/>
          <w:szCs w:val="20"/>
          <w:color w:val="auto"/>
        </w:rPr>
        <w:t>. The Company has no discretionary asset management authority or responsibility regarding management of the Plan Assets.</w:t>
      </w:r>
    </w:p>
    <w:p>
      <w:pPr>
        <w:spacing w:after="0" w:line="149" w:lineRule="exact"/>
        <w:rPr>
          <w:sz w:val="20"/>
          <w:szCs w:val="20"/>
          <w:color w:val="auto"/>
        </w:rPr>
      </w:pPr>
    </w:p>
    <w:p>
      <w:pPr>
        <w:jc w:val="both"/>
        <w:ind w:firstLine="601"/>
        <w:spacing w:after="0" w:line="283" w:lineRule="auto"/>
        <w:rPr>
          <w:sz w:val="20"/>
          <w:szCs w:val="20"/>
          <w:color w:val="auto"/>
        </w:rPr>
      </w:pPr>
      <w:r>
        <w:rPr>
          <w:rFonts w:ascii="Arial" w:cs="Arial" w:eastAsia="Arial" w:hAnsi="Arial"/>
          <w:sz w:val="18"/>
          <w:szCs w:val="18"/>
          <w:color w:val="auto"/>
        </w:rPr>
        <w:t xml:space="preserve">Section 3.7 </w:t>
      </w:r>
      <w:r>
        <w:rPr>
          <w:rFonts w:ascii="Arial" w:cs="Arial" w:eastAsia="Arial" w:hAnsi="Arial"/>
          <w:sz w:val="18"/>
          <w:szCs w:val="18"/>
          <w:u w:val="single" w:color="auto"/>
          <w:color w:val="auto"/>
        </w:rPr>
        <w:t>Accuracy of Information</w:t>
      </w:r>
      <w:r>
        <w:rPr>
          <w:rFonts w:ascii="Arial" w:cs="Arial" w:eastAsia="Arial" w:hAnsi="Arial"/>
          <w:sz w:val="18"/>
          <w:szCs w:val="18"/>
          <w:color w:val="auto"/>
        </w:rPr>
        <w:t>. To the Company's Knowledge, (</w:t>
      </w:r>
      <w:r>
        <w:rPr>
          <w:rFonts w:ascii="Arial" w:cs="Arial" w:eastAsia="Arial" w:hAnsi="Arial"/>
          <w:sz w:val="18"/>
          <w:szCs w:val="18"/>
          <w:u w:val="single" w:color="auto"/>
          <w:color w:val="auto"/>
        </w:rPr>
        <w:t>a</w:t>
      </w:r>
      <w:r>
        <w:rPr>
          <w:rFonts w:ascii="Arial" w:cs="Arial" w:eastAsia="Arial" w:hAnsi="Arial"/>
          <w:sz w:val="18"/>
          <w:szCs w:val="18"/>
          <w:color w:val="auto"/>
        </w:rPr>
        <w:t>) the data in respect of mortality experience with respect to the Plan through November 30, 2011 that was furnished by or on behalf of the Company or the Plan or any of their respective Affiliates prior to the date hereof to the Insurer, its Affiliates or any of its actuarial, accounting or legal advisors in connection with the negotiation of this Agreement, the Group Annuity Contract, and the transactions contemplated by this Agreement did not contain any material misstatement or material omission; and (</w:t>
      </w:r>
      <w:r>
        <w:rPr>
          <w:rFonts w:ascii="Arial" w:cs="Arial" w:eastAsia="Arial" w:hAnsi="Arial"/>
          <w:sz w:val="18"/>
          <w:szCs w:val="18"/>
          <w:u w:val="single" w:color="auto"/>
          <w:color w:val="auto"/>
        </w:rPr>
        <w:t>b</w:t>
      </w:r>
      <w:r>
        <w:rPr>
          <w:rFonts w:ascii="Arial" w:cs="Arial" w:eastAsia="Arial" w:hAnsi="Arial"/>
          <w:sz w:val="18"/>
          <w:szCs w:val="18"/>
          <w:color w:val="auto"/>
        </w:rPr>
        <w:t>) the data in respect of date of birth, date of death or gender of any Non-Solicited Lives or Solicited Lives that was furnished by or on behalf of the Company or the Plan or any of their respective Affiliates prior to the date hereof to the Insurer, its Affiliates or any of its actuarial, accounting or legal advisors in connection with the negotiation of this Agreement, the Group Annuity Contract, and the transactions contemplated by this Agreement, was not generated using any materially incorrect systematic assumptions or omissions.</w:t>
      </w:r>
    </w:p>
    <w:p>
      <w:pPr>
        <w:spacing w:after="0" w:line="150" w:lineRule="exact"/>
        <w:rPr>
          <w:sz w:val="20"/>
          <w:szCs w:val="20"/>
          <w:color w:val="auto"/>
        </w:rPr>
      </w:pPr>
    </w:p>
    <w:p>
      <w:pPr>
        <w:jc w:val="both"/>
        <w:ind w:firstLine="601"/>
        <w:spacing w:after="0" w:line="261" w:lineRule="auto"/>
        <w:rPr>
          <w:sz w:val="20"/>
          <w:szCs w:val="20"/>
          <w:color w:val="auto"/>
        </w:rPr>
      </w:pPr>
      <w:r>
        <w:rPr>
          <w:rFonts w:ascii="Arial" w:cs="Arial" w:eastAsia="Arial" w:hAnsi="Arial"/>
          <w:sz w:val="20"/>
          <w:szCs w:val="20"/>
          <w:color w:val="auto"/>
        </w:rPr>
        <w:t xml:space="preserve">Section 3.8 </w:t>
      </w:r>
      <w:r>
        <w:rPr>
          <w:rFonts w:ascii="Arial" w:cs="Arial" w:eastAsia="Arial" w:hAnsi="Arial"/>
          <w:sz w:val="20"/>
          <w:szCs w:val="20"/>
          <w:u w:val="single" w:color="auto"/>
          <w:color w:val="auto"/>
        </w:rPr>
        <w:t>Parent Liquidity Position</w:t>
      </w:r>
      <w:r>
        <w:rPr>
          <w:rFonts w:ascii="Arial" w:cs="Arial" w:eastAsia="Arial" w:hAnsi="Arial"/>
          <w:sz w:val="20"/>
          <w:szCs w:val="20"/>
          <w:color w:val="auto"/>
        </w:rPr>
        <w:t>. The Parent Liquidity Position as of March 31, 2012 was $31.455 billion. As of the DTFA Execution Date, to the Company's Knowledge there are no circumstances existing or that would reasonably be expected to occur that would reasonably be expected to cause a Company</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ectPr>
          <w:pgSz w:w="11900" w:h="16838" w:orient="portrait"/>
          <w:cols w:equalWidth="0" w:num="1">
            <w:col w:w="11420"/>
          </w:cols>
          <w:pgMar w:left="240" w:top="556" w:right="239" w:bottom="1440" w:gutter="0" w:footer="0" w:header="0"/>
        </w:sectPr>
      </w:pPr>
    </w:p>
    <w:bookmarkStart w:id="52" w:name="page53"/>
    <w:bookmarkEnd w:id="52"/>
    <w:p>
      <w:pPr>
        <w:spacing w:after="0"/>
        <w:rPr>
          <w:sz w:val="20"/>
          <w:szCs w:val="20"/>
          <w:color w:val="auto"/>
        </w:rPr>
      </w:pPr>
      <w:r>
        <w:rPr>
          <w:rFonts w:ascii="Arial" w:cs="Arial" w:eastAsia="Arial" w:hAnsi="Arial"/>
          <w:sz w:val="20"/>
          <w:szCs w:val="20"/>
          <w:color w:val="auto"/>
        </w:rPr>
        <w:t>MAC.</w:t>
      </w:r>
    </w:p>
    <w:p>
      <w:pPr>
        <w:spacing w:after="0" w:line="208" w:lineRule="exact"/>
        <w:rPr>
          <w:sz w:val="20"/>
          <w:szCs w:val="20"/>
          <w:color w:val="auto"/>
        </w:rPr>
      </w:pPr>
    </w:p>
    <w:p>
      <w:pPr>
        <w:jc w:val="both"/>
        <w:ind w:firstLine="601"/>
        <w:spacing w:after="0" w:line="275" w:lineRule="auto"/>
        <w:rPr>
          <w:sz w:val="20"/>
          <w:szCs w:val="20"/>
          <w:color w:val="auto"/>
        </w:rPr>
      </w:pPr>
      <w:r>
        <w:rPr>
          <w:rFonts w:ascii="Arial" w:cs="Arial" w:eastAsia="Arial" w:hAnsi="Arial"/>
          <w:sz w:val="20"/>
          <w:szCs w:val="20"/>
          <w:color w:val="auto"/>
        </w:rPr>
        <w:t xml:space="preserve">Section 3.9 </w:t>
      </w:r>
      <w:r>
        <w:rPr>
          <w:rFonts w:ascii="Arial" w:cs="Arial" w:eastAsia="Arial" w:hAnsi="Arial"/>
          <w:sz w:val="20"/>
          <w:szCs w:val="20"/>
          <w:u w:val="single" w:color="auto"/>
          <w:color w:val="auto"/>
        </w:rPr>
        <w:t>Delivery of Plan</w:t>
      </w:r>
      <w:r>
        <w:rPr>
          <w:rFonts w:ascii="Arial" w:cs="Arial" w:eastAsia="Arial" w:hAnsi="Arial"/>
          <w:sz w:val="20"/>
          <w:szCs w:val="20"/>
          <w:color w:val="auto"/>
        </w:rPr>
        <w:t>. A true, correct and complete copy of the Plan has been delivered to the Independent Fiduciary and the Insurer on or prior to the DTFA Execution Date.</w:t>
      </w:r>
    </w:p>
    <w:p>
      <w:pPr>
        <w:spacing w:after="0" w:line="149" w:lineRule="exact"/>
        <w:rPr>
          <w:sz w:val="20"/>
          <w:szCs w:val="20"/>
          <w:color w:val="auto"/>
        </w:rPr>
      </w:pPr>
    </w:p>
    <w:p>
      <w:pPr>
        <w:jc w:val="both"/>
        <w:ind w:firstLine="601"/>
        <w:spacing w:after="0" w:line="304" w:lineRule="auto"/>
        <w:rPr>
          <w:sz w:val="20"/>
          <w:szCs w:val="20"/>
          <w:color w:val="auto"/>
        </w:rPr>
      </w:pPr>
      <w:r>
        <w:rPr>
          <w:rFonts w:ascii="Arial" w:cs="Arial" w:eastAsia="Arial" w:hAnsi="Arial"/>
          <w:sz w:val="18"/>
          <w:szCs w:val="18"/>
          <w:color w:val="auto"/>
        </w:rPr>
        <w:t xml:space="preserve">Section 3.10 </w:t>
      </w:r>
      <w:r>
        <w:rPr>
          <w:rFonts w:ascii="Arial" w:cs="Arial" w:eastAsia="Arial" w:hAnsi="Arial"/>
          <w:sz w:val="18"/>
          <w:szCs w:val="18"/>
          <w:u w:val="single" w:color="auto"/>
          <w:color w:val="auto"/>
        </w:rPr>
        <w:t>Settlement Accounting</w:t>
      </w:r>
      <w:r>
        <w:rPr>
          <w:rFonts w:ascii="Arial" w:cs="Arial" w:eastAsia="Arial" w:hAnsi="Arial"/>
          <w:sz w:val="18"/>
          <w:szCs w:val="18"/>
          <w:color w:val="auto"/>
        </w:rPr>
        <w:t>. As of the DTFA Execution Date, to the Company's Knowledge there are no circumstances existing or that would reasonably be expected to occur that would be reasonably likely to cause the Company to conclude that the Company may not account for the transactions contemplated by this Agreement and the Ancillary Agreements as a settlement under ASC 715.</w:t>
      </w:r>
    </w:p>
    <w:p>
      <w:pPr>
        <w:spacing w:after="0" w:line="327" w:lineRule="exact"/>
        <w:rPr>
          <w:sz w:val="20"/>
          <w:szCs w:val="20"/>
          <w:color w:val="auto"/>
        </w:rPr>
      </w:pPr>
    </w:p>
    <w:p>
      <w:pPr>
        <w:jc w:val="both"/>
        <w:ind w:firstLine="601"/>
        <w:spacing w:after="0" w:line="253" w:lineRule="auto"/>
        <w:rPr>
          <w:sz w:val="20"/>
          <w:szCs w:val="20"/>
          <w:color w:val="auto"/>
        </w:rPr>
      </w:pPr>
      <w:r>
        <w:rPr>
          <w:rFonts w:ascii="Arial" w:cs="Arial" w:eastAsia="Arial" w:hAnsi="Arial"/>
          <w:sz w:val="20"/>
          <w:szCs w:val="20"/>
          <w:color w:val="auto"/>
        </w:rPr>
        <w:t xml:space="preserve">Section 3.11 </w:t>
      </w:r>
      <w:r>
        <w:rPr>
          <w:rFonts w:ascii="Arial" w:cs="Arial" w:eastAsia="Arial" w:hAnsi="Arial"/>
          <w:sz w:val="20"/>
          <w:szCs w:val="20"/>
          <w:u w:val="single" w:color="auto"/>
          <w:color w:val="auto"/>
        </w:rPr>
        <w:t>No Other Representations or Warranties; Reliance</w:t>
      </w:r>
      <w:r>
        <w:rPr>
          <w:rFonts w:ascii="Arial" w:cs="Arial" w:eastAsia="Arial" w:hAnsi="Arial"/>
          <w:sz w:val="20"/>
          <w:szCs w:val="20"/>
          <w:color w:val="auto"/>
        </w:rPr>
        <w:t xml:space="preserve">. Except for the representations and warranties of the Company expressly set forth in this </w:t>
      </w:r>
      <w:r>
        <w:rPr>
          <w:rFonts w:ascii="Arial" w:cs="Arial" w:eastAsia="Arial" w:hAnsi="Arial"/>
          <w:sz w:val="20"/>
          <w:szCs w:val="20"/>
          <w:u w:val="single" w:color="auto"/>
          <w:color w:val="auto"/>
        </w:rPr>
        <w:t>Article III</w:t>
      </w:r>
      <w:r>
        <w:rPr>
          <w:rFonts w:ascii="Arial" w:cs="Arial" w:eastAsia="Arial" w:hAnsi="Arial"/>
          <w:sz w:val="20"/>
          <w:szCs w:val="20"/>
          <w:color w:val="auto"/>
        </w:rPr>
        <w:t xml:space="preserve">, neither the Company, nor any of its Affiliates, nor any other Person makes any express or implied representation or warranty on behalf of the Company or any of its Affiliates with respect to the Company, its Affiliates, the Plan, the Transferred Assets or the transactions contemplated by this Agreement or the Standard Termination and the Lump-Sum Solicitation. The Company acknowledges and agrees that Insurer Parent, the Insurer and the Independent Fiduciary have relied on the representations set forth in this </w:t>
      </w:r>
      <w:r>
        <w:rPr>
          <w:rFonts w:ascii="Arial" w:cs="Arial" w:eastAsia="Arial" w:hAnsi="Arial"/>
          <w:sz w:val="20"/>
          <w:szCs w:val="20"/>
          <w:u w:val="single" w:color="auto"/>
          <w:color w:val="auto"/>
        </w:rPr>
        <w:t>Article III</w:t>
      </w:r>
      <w:r>
        <w:rPr>
          <w:rFonts w:ascii="Arial" w:cs="Arial" w:eastAsia="Arial" w:hAnsi="Arial"/>
          <w:sz w:val="20"/>
          <w:szCs w:val="20"/>
          <w:color w:val="auto"/>
        </w:rPr>
        <w:t>.</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IV</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INDEPENDENT FIDUCIARY'S REPRESENTATIONS AND WARRANTIES</w:t>
      </w:r>
    </w:p>
    <w:p>
      <w:pPr>
        <w:spacing w:after="0" w:line="190" w:lineRule="exact"/>
        <w:rPr>
          <w:sz w:val="20"/>
          <w:szCs w:val="20"/>
          <w:color w:val="auto"/>
        </w:rPr>
      </w:pPr>
    </w:p>
    <w:p>
      <w:pPr>
        <w:jc w:val="both"/>
        <w:ind w:firstLine="601"/>
        <w:spacing w:after="0" w:line="275" w:lineRule="auto"/>
        <w:rPr>
          <w:sz w:val="20"/>
          <w:szCs w:val="20"/>
          <w:color w:val="auto"/>
        </w:rPr>
      </w:pPr>
      <w:r>
        <w:rPr>
          <w:rFonts w:ascii="Arial" w:cs="Arial" w:eastAsia="Arial" w:hAnsi="Arial"/>
          <w:sz w:val="20"/>
          <w:szCs w:val="20"/>
          <w:color w:val="auto"/>
        </w:rPr>
        <w:t>The Independent Fiduciary hereby represents and warrants to the Company, Insurer Parent and the Insurer as of the DTFA Execution Date and the Closing Date that:</w:t>
      </w:r>
    </w:p>
    <w:p>
      <w:pPr>
        <w:spacing w:after="0" w:line="149" w:lineRule="exact"/>
        <w:rPr>
          <w:sz w:val="20"/>
          <w:szCs w:val="20"/>
          <w:color w:val="auto"/>
        </w:rPr>
      </w:pPr>
    </w:p>
    <w:p>
      <w:pPr>
        <w:ind w:left="600"/>
        <w:spacing w:after="0"/>
        <w:tabs>
          <w:tab w:leader="none" w:pos="1680" w:val="left"/>
        </w:tabs>
        <w:rPr>
          <w:sz w:val="20"/>
          <w:szCs w:val="20"/>
          <w:color w:val="auto"/>
        </w:rPr>
      </w:pPr>
      <w:r>
        <w:rPr>
          <w:rFonts w:ascii="Arial" w:cs="Arial" w:eastAsia="Arial" w:hAnsi="Arial"/>
          <w:sz w:val="20"/>
          <w:szCs w:val="20"/>
          <w:color w:val="auto"/>
        </w:rPr>
        <w:t>Section 4.1</w:t>
      </w:r>
      <w:r>
        <w:rPr>
          <w:sz w:val="20"/>
          <w:szCs w:val="20"/>
          <w:color w:val="auto"/>
        </w:rPr>
        <w:tab/>
      </w:r>
      <w:r>
        <w:rPr>
          <w:rFonts w:ascii="Arial" w:cs="Arial" w:eastAsia="Arial" w:hAnsi="Arial"/>
          <w:sz w:val="18"/>
          <w:szCs w:val="18"/>
          <w:u w:val="single" w:color="auto"/>
          <w:color w:val="auto"/>
        </w:rPr>
        <w:t>Due Organization, Good Standing and Corporate Power</w:t>
      </w:r>
      <w:r>
        <w:rPr>
          <w:rFonts w:ascii="Arial" w:cs="Arial" w:eastAsia="Arial" w:hAnsi="Arial"/>
          <w:sz w:val="18"/>
          <w:szCs w:val="18"/>
          <w:color w:val="auto"/>
        </w:rPr>
        <w:t>.</w:t>
      </w:r>
    </w:p>
    <w:p>
      <w:pPr>
        <w:spacing w:after="0" w:line="246" w:lineRule="exact"/>
        <w:rPr>
          <w:sz w:val="20"/>
          <w:szCs w:val="20"/>
          <w:color w:val="auto"/>
        </w:rPr>
      </w:pPr>
    </w:p>
    <w:p>
      <w:pPr>
        <w:jc w:val="both"/>
        <w:ind w:firstLine="601"/>
        <w:spacing w:after="0" w:line="287" w:lineRule="auto"/>
        <w:tabs>
          <w:tab w:leader="none" w:pos="1424" w:val="left"/>
        </w:tabs>
        <w:numPr>
          <w:ilvl w:val="1"/>
          <w:numId w:val="69"/>
        </w:numPr>
        <w:rPr>
          <w:rFonts w:ascii="Arial" w:cs="Arial" w:eastAsia="Arial" w:hAnsi="Arial"/>
          <w:sz w:val="18"/>
          <w:szCs w:val="18"/>
          <w:color w:val="auto"/>
        </w:rPr>
      </w:pPr>
      <w:r>
        <w:rPr>
          <w:rFonts w:ascii="Arial" w:cs="Arial" w:eastAsia="Arial" w:hAnsi="Arial"/>
          <w:sz w:val="18"/>
          <w:szCs w:val="18"/>
          <w:color w:val="auto"/>
        </w:rPr>
        <w:t>Independent Fiduciary is a Massachusetts trust company duly organized, validly existing and in good standing under the Laws of the Commonwealth of Massachusetts. The Independent Fiduciary has all requisite power and authority to enter into and carry out its obligations under this Agreement and the Ancillary Agreements (to the extent a party thereto) to which it is, or will be at Closing, a party and to direct the Plan Trustee to consummate the transactions on behalf of the Plan trust. The Independent Fiduciary is duly qualified or licensed to do business and is in good standing in each jurisdiction in which its representation of the Plan makes such qualification or licensing necessary, except in such jurisdictions where the failure to be or in good standing or so qualified or licensed is not material.</w:t>
      </w:r>
    </w:p>
    <w:p>
      <w:pPr>
        <w:spacing w:after="0" w:line="179" w:lineRule="exact"/>
        <w:rPr>
          <w:rFonts w:ascii="Arial" w:cs="Arial" w:eastAsia="Arial" w:hAnsi="Arial"/>
          <w:sz w:val="18"/>
          <w:szCs w:val="18"/>
          <w:color w:val="auto"/>
        </w:rPr>
      </w:pPr>
    </w:p>
    <w:p>
      <w:pPr>
        <w:jc w:val="both"/>
        <w:ind w:firstLine="601"/>
        <w:spacing w:after="0" w:line="286" w:lineRule="auto"/>
        <w:tabs>
          <w:tab w:leader="none" w:pos="1435" w:val="left"/>
        </w:tabs>
        <w:numPr>
          <w:ilvl w:val="1"/>
          <w:numId w:val="69"/>
        </w:numPr>
        <w:rPr>
          <w:rFonts w:ascii="Arial" w:cs="Arial" w:eastAsia="Arial" w:hAnsi="Arial"/>
          <w:sz w:val="18"/>
          <w:szCs w:val="18"/>
          <w:color w:val="auto"/>
        </w:rPr>
      </w:pPr>
      <w:r>
        <w:rPr>
          <w:rFonts w:ascii="Arial" w:cs="Arial" w:eastAsia="Arial" w:hAnsi="Arial"/>
          <w:sz w:val="18"/>
          <w:szCs w:val="18"/>
          <w:color w:val="auto"/>
        </w:rPr>
        <w:t>The Independent Fiduciary meets the requirements of, and in the transactions contemplated by this Agreement and the Ancillary Agreements (to the extent a party thereto) is acting as, an investment manager under ERISA § 3(38) and a QPAM under PTCE 84-</w:t>
      </w:r>
    </w:p>
    <w:p>
      <w:pPr>
        <w:jc w:val="both"/>
        <w:spacing w:after="0" w:line="280" w:lineRule="auto"/>
        <w:tabs>
          <w:tab w:leader="none" w:pos="313"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Independent Fiduciary is experienced in independent fiduciary work, and together with its reliance on its consultant Oliver Wyman Inc. and its counsel, K&amp;L Gates, LLP, the Independent Fiduciary is knowledgeable concerning the large scale group annuity marketplace and reasonably believes that it has the requisite expertise to select the Insurer of the Group Annuity Contract and perform its obligations under this Agreement, the Ancillary Agreements (to the extent a party thereto) and the IF Engagement Letter. The Independent Fiduciary was designated a fiduciary of the Plan by the Annuity Committee with respect to the purchase of one or more group annuity contracts in the IF Engagement Letter (a true and correct copy of which has been provided to the Insurer, other than the attachment thereto regarding the fees to be paid to the Independent Fiduciary), reaffirms its fiduciary status as set forth in such letter; and has provided the services described in Exhibit A of such letter prudently and solely in the interest of the Plan Participants and Plan Beneficiaries. The Independent Fiduciary has the authority and responsibility to (</w:t>
      </w:r>
      <w:r>
        <w:rPr>
          <w:rFonts w:ascii="Arial" w:cs="Arial" w:eastAsia="Arial" w:hAnsi="Arial"/>
          <w:sz w:val="18"/>
          <w:szCs w:val="18"/>
          <w:u w:val="single" w:color="auto"/>
          <w:color w:val="auto"/>
        </w:rPr>
        <w:t>i</w:t>
      </w:r>
      <w:r>
        <w:rPr>
          <w:rFonts w:ascii="Arial" w:cs="Arial" w:eastAsia="Arial" w:hAnsi="Arial"/>
          <w:sz w:val="18"/>
          <w:szCs w:val="18"/>
          <w:color w:val="auto"/>
        </w:rPr>
        <w:t>) determine whether the Transaction satisfies ERISA and applicable guidance,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ectPr>
          <w:pgSz w:w="11900" w:h="16838" w:orient="portrait"/>
          <w:cols w:equalWidth="0" w:num="1">
            <w:col w:w="11420"/>
          </w:cols>
          <w:pgMar w:left="240" w:top="556" w:right="239" w:bottom="1440" w:gutter="0" w:footer="0" w:header="0"/>
        </w:sectPr>
      </w:pPr>
    </w:p>
    <w:bookmarkStart w:id="53" w:name="page54"/>
    <w:bookmarkEnd w:id="53"/>
    <w:p>
      <w:pPr>
        <w:jc w:val="both"/>
        <w:spacing w:after="0" w:line="271" w:lineRule="auto"/>
        <w:rPr>
          <w:sz w:val="20"/>
          <w:szCs w:val="20"/>
          <w:color w:val="auto"/>
        </w:rPr>
      </w:pPr>
      <w:r>
        <w:rPr>
          <w:rFonts w:ascii="Arial" w:cs="Arial" w:eastAsia="Arial" w:hAnsi="Arial"/>
          <w:sz w:val="19"/>
          <w:szCs w:val="19"/>
          <w:color w:val="auto"/>
        </w:rPr>
        <w:t>including Interpretative Bulletin 95-1, (</w:t>
      </w:r>
      <w:r>
        <w:rPr>
          <w:rFonts w:ascii="Arial" w:cs="Arial" w:eastAsia="Arial" w:hAnsi="Arial"/>
          <w:sz w:val="19"/>
          <w:szCs w:val="19"/>
          <w:u w:val="single" w:color="auto"/>
          <w:color w:val="auto"/>
        </w:rPr>
        <w:t>ii</w:t>
      </w:r>
      <w:r>
        <w:rPr>
          <w:rFonts w:ascii="Arial" w:cs="Arial" w:eastAsia="Arial" w:hAnsi="Arial"/>
          <w:sz w:val="19"/>
          <w:szCs w:val="19"/>
          <w:color w:val="auto"/>
        </w:rPr>
        <w:t>) direct the Plan Trustee on behalf of the Plan in connection with the transfer of the Transferred Assets in connection with the consummation of the Transaction, (</w:t>
      </w:r>
      <w:r>
        <w:rPr>
          <w:rFonts w:ascii="Arial" w:cs="Arial" w:eastAsia="Arial" w:hAnsi="Arial"/>
          <w:sz w:val="19"/>
          <w:szCs w:val="19"/>
          <w:u w:val="single" w:color="auto"/>
          <w:color w:val="auto"/>
        </w:rPr>
        <w:t>iii</w:t>
      </w:r>
      <w:r>
        <w:rPr>
          <w:rFonts w:ascii="Arial" w:cs="Arial" w:eastAsia="Arial" w:hAnsi="Arial"/>
          <w:sz w:val="19"/>
          <w:szCs w:val="19"/>
          <w:color w:val="auto"/>
        </w:rPr>
        <w:t>) direct the Plan Trustee on behalf of the Plan in connection with the execution of the Group Annuity Contract and the amendments thereto contemplated by this Agreement, and (</w:t>
      </w:r>
      <w:r>
        <w:rPr>
          <w:rFonts w:ascii="Arial" w:cs="Arial" w:eastAsia="Arial" w:hAnsi="Arial"/>
          <w:sz w:val="19"/>
          <w:szCs w:val="19"/>
          <w:u w:val="single" w:color="auto"/>
          <w:color w:val="auto"/>
        </w:rPr>
        <w:t>iv</w:t>
      </w:r>
      <w:r>
        <w:rPr>
          <w:rFonts w:ascii="Arial" w:cs="Arial" w:eastAsia="Arial" w:hAnsi="Arial"/>
          <w:sz w:val="19"/>
          <w:szCs w:val="19"/>
          <w:color w:val="auto"/>
        </w:rPr>
        <w:t>) perform the covenants and agreements and make the representations and warranties set forth in this Agreement, the Ancillary Agreements (to the extent a party thereto) and the IF Engagement Letter to be performed or made by the Independent Fiduciary.</w:t>
      </w:r>
    </w:p>
    <w:p>
      <w:pPr>
        <w:spacing w:after="0" w:line="193" w:lineRule="exact"/>
        <w:rPr>
          <w:sz w:val="20"/>
          <w:szCs w:val="20"/>
          <w:color w:val="auto"/>
        </w:rPr>
      </w:pPr>
    </w:p>
    <w:p>
      <w:pPr>
        <w:jc w:val="both"/>
        <w:ind w:firstLine="601"/>
        <w:spacing w:after="0" w:line="280" w:lineRule="auto"/>
        <w:rPr>
          <w:sz w:val="20"/>
          <w:szCs w:val="20"/>
          <w:color w:val="auto"/>
        </w:rPr>
      </w:pPr>
      <w:r>
        <w:rPr>
          <w:rFonts w:ascii="Arial" w:cs="Arial" w:eastAsia="Arial" w:hAnsi="Arial"/>
          <w:sz w:val="18"/>
          <w:szCs w:val="18"/>
          <w:color w:val="auto"/>
        </w:rPr>
        <w:t xml:space="preserve">Section 4.2 </w:t>
      </w:r>
      <w:r>
        <w:rPr>
          <w:rFonts w:ascii="Arial" w:cs="Arial" w:eastAsia="Arial" w:hAnsi="Arial"/>
          <w:sz w:val="18"/>
          <w:szCs w:val="18"/>
          <w:u w:val="single" w:color="auto"/>
          <w:color w:val="auto"/>
        </w:rPr>
        <w:t>Authorization of Agreement; Enforceability</w:t>
      </w:r>
      <w:r>
        <w:rPr>
          <w:rFonts w:ascii="Arial" w:cs="Arial" w:eastAsia="Arial" w:hAnsi="Arial"/>
          <w:sz w:val="18"/>
          <w:szCs w:val="18"/>
          <w:color w:val="auto"/>
        </w:rPr>
        <w:t xml:space="preserve">. The Independent Fiduciary has received all appropriate corporate approvals and no other action on the part of the Independent Fiduciary is necessary to authorize the execution, delivery and performance of this Agreement and the Ancillary Agreements (to the extent a party thereto) and the consummation of the transactions contemplated to be undertaken by the Independent Fiduciary under this Agreement and the Ancillary Agreements (to the extent a party thereto). This Agreement is, and the Ancillary Agreements (to the extent a party thereto), when executed will be, duly executed and delivered by the Independent Fiduciary, and each is (or when executed will be) a valid and binding obligation of Independent Fiduciary and enforceable against Independent Fiduciary, in accordance with its terms, subject to the Enforceability Exception and the prudence requirements of ERISA;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except as set forth in </w:t>
      </w:r>
      <w:r>
        <w:rPr>
          <w:rFonts w:ascii="Arial" w:cs="Arial" w:eastAsia="Arial" w:hAnsi="Arial"/>
          <w:sz w:val="18"/>
          <w:szCs w:val="18"/>
          <w:u w:val="single" w:color="auto"/>
          <w:color w:val="auto"/>
        </w:rPr>
        <w:t>Section 10.2</w:t>
      </w:r>
      <w:r>
        <w:rPr>
          <w:rFonts w:ascii="Arial" w:cs="Arial" w:eastAsia="Arial" w:hAnsi="Arial"/>
          <w:sz w:val="18"/>
          <w:szCs w:val="18"/>
          <w:color w:val="auto"/>
        </w:rPr>
        <w:t xml:space="preserve">, neither this Agreement nor the Ancillary Agreements (to the extent a party thereto) shall be enforceable against the Independent Fiduciary if this Agreement is terminated pursuant to </w:t>
      </w:r>
      <w:r>
        <w:rPr>
          <w:rFonts w:ascii="Arial" w:cs="Arial" w:eastAsia="Arial" w:hAnsi="Arial"/>
          <w:sz w:val="18"/>
          <w:szCs w:val="18"/>
          <w:u w:val="single" w:color="auto"/>
          <w:color w:val="auto"/>
        </w:rPr>
        <w:t>Section 10.1(f)</w:t>
      </w:r>
      <w:r>
        <w:rPr>
          <w:rFonts w:ascii="Arial" w:cs="Arial" w:eastAsia="Arial" w:hAnsi="Arial"/>
          <w:sz w:val="18"/>
          <w:szCs w:val="18"/>
          <w:color w:val="auto"/>
        </w:rPr>
        <w:t xml:space="preserve"> or the Closing condition set forth in </w:t>
      </w:r>
      <w:r>
        <w:rPr>
          <w:rFonts w:ascii="Arial" w:cs="Arial" w:eastAsia="Arial" w:hAnsi="Arial"/>
          <w:sz w:val="18"/>
          <w:szCs w:val="18"/>
          <w:u w:val="single" w:color="auto"/>
          <w:color w:val="auto"/>
        </w:rPr>
        <w:t>Section 8.1</w:t>
      </w:r>
      <w:r>
        <w:rPr>
          <w:rFonts w:ascii="Arial" w:cs="Arial" w:eastAsia="Arial" w:hAnsi="Arial"/>
          <w:sz w:val="18"/>
          <w:szCs w:val="18"/>
          <w:color w:val="auto"/>
        </w:rPr>
        <w:t xml:space="preserve"> has not been satisfied. Notwithstanding any other provision in this Agreement or the Ancillary Agreements (to the extent a party thereto), the Confidentiality Agreements applicable to the Independent Fiduciary shall remain enforceable against the Independent Fiduciary if this Agreement is terminated pursuant to </w:t>
      </w:r>
      <w:r>
        <w:rPr>
          <w:rFonts w:ascii="Arial" w:cs="Arial" w:eastAsia="Arial" w:hAnsi="Arial"/>
          <w:sz w:val="18"/>
          <w:szCs w:val="18"/>
          <w:u w:val="single" w:color="auto"/>
          <w:color w:val="auto"/>
        </w:rPr>
        <w:t>Section 10.1(f)</w:t>
      </w:r>
      <w:r>
        <w:rPr>
          <w:rFonts w:ascii="Arial" w:cs="Arial" w:eastAsia="Arial" w:hAnsi="Arial"/>
          <w:sz w:val="18"/>
          <w:szCs w:val="18"/>
          <w:color w:val="auto"/>
        </w:rPr>
        <w:t xml:space="preserve"> or the Closing condition set forth in </w:t>
      </w:r>
      <w:r>
        <w:rPr>
          <w:rFonts w:ascii="Arial" w:cs="Arial" w:eastAsia="Arial" w:hAnsi="Arial"/>
          <w:sz w:val="18"/>
          <w:szCs w:val="18"/>
          <w:u w:val="single" w:color="auto"/>
          <w:color w:val="auto"/>
        </w:rPr>
        <w:t>Section 8.1</w:t>
      </w:r>
      <w:r>
        <w:rPr>
          <w:rFonts w:ascii="Arial" w:cs="Arial" w:eastAsia="Arial" w:hAnsi="Arial"/>
          <w:sz w:val="18"/>
          <w:szCs w:val="18"/>
          <w:color w:val="auto"/>
        </w:rPr>
        <w:t xml:space="preserve"> has not been satisfied.</w:t>
      </w:r>
    </w:p>
    <w:p>
      <w:pPr>
        <w:spacing w:after="0" w:line="156" w:lineRule="exact"/>
        <w:rPr>
          <w:sz w:val="20"/>
          <w:szCs w:val="20"/>
          <w:color w:val="auto"/>
        </w:rPr>
      </w:pPr>
    </w:p>
    <w:p>
      <w:pPr>
        <w:jc w:val="both"/>
        <w:ind w:firstLine="601"/>
        <w:spacing w:after="0" w:line="269" w:lineRule="auto"/>
        <w:rPr>
          <w:sz w:val="20"/>
          <w:szCs w:val="20"/>
          <w:color w:val="auto"/>
        </w:rPr>
      </w:pPr>
      <w:r>
        <w:rPr>
          <w:rFonts w:ascii="Arial" w:cs="Arial" w:eastAsia="Arial" w:hAnsi="Arial"/>
          <w:sz w:val="19"/>
          <w:szCs w:val="19"/>
          <w:color w:val="auto"/>
        </w:rPr>
        <w:t xml:space="preserve">Section 4.3 </w:t>
      </w:r>
      <w:r>
        <w:rPr>
          <w:rFonts w:ascii="Arial" w:cs="Arial" w:eastAsia="Arial" w:hAnsi="Arial"/>
          <w:sz w:val="19"/>
          <w:szCs w:val="19"/>
          <w:u w:val="single" w:color="auto"/>
          <w:color w:val="auto"/>
        </w:rPr>
        <w:t>Consents And Approvals; No Violations</w:t>
      </w:r>
      <w:r>
        <w:rPr>
          <w:rFonts w:ascii="Arial" w:cs="Arial" w:eastAsia="Arial" w:hAnsi="Arial"/>
          <w:sz w:val="19"/>
          <w:szCs w:val="19"/>
          <w:color w:val="auto"/>
        </w:rPr>
        <w:t>. The execution, delivery and performance of this Agreement and the Ancillary Agreements (to the extent a party thereto) by the Independent Fiduciary, or the consummation by the Independent Fiduciary of the transactions contemplated to be undertaken by the Independent Fiduciary, do not: (</w:t>
      </w:r>
      <w:r>
        <w:rPr>
          <w:rFonts w:ascii="Arial" w:cs="Arial" w:eastAsia="Arial" w:hAnsi="Arial"/>
          <w:sz w:val="19"/>
          <w:szCs w:val="19"/>
          <w:u w:val="single" w:color="auto"/>
          <w:color w:val="auto"/>
        </w:rPr>
        <w:t>a</w:t>
      </w:r>
      <w:r>
        <w:rPr>
          <w:rFonts w:ascii="Arial" w:cs="Arial" w:eastAsia="Arial" w:hAnsi="Arial"/>
          <w:sz w:val="19"/>
          <w:szCs w:val="19"/>
          <w:color w:val="auto"/>
        </w:rPr>
        <w:t>) violate or conflict with any provision of its certificate or articles of incorporation, bylaws or code of regulations (or the comparable governing documents); (</w:t>
      </w:r>
      <w:r>
        <w:rPr>
          <w:rFonts w:ascii="Arial" w:cs="Arial" w:eastAsia="Arial" w:hAnsi="Arial"/>
          <w:sz w:val="19"/>
          <w:szCs w:val="19"/>
          <w:u w:val="single" w:color="auto"/>
          <w:color w:val="auto"/>
        </w:rPr>
        <w:t>b</w:t>
      </w:r>
      <w:r>
        <w:rPr>
          <w:rFonts w:ascii="Arial" w:cs="Arial" w:eastAsia="Arial" w:hAnsi="Arial"/>
          <w:sz w:val="19"/>
          <w:szCs w:val="19"/>
          <w:color w:val="auto"/>
        </w:rPr>
        <w:t>) violate or conflict with any Law or Order of any Governmental Authority applicable to Independent Fiduciary; (</w:t>
      </w:r>
      <w:r>
        <w:rPr>
          <w:rFonts w:ascii="Arial" w:cs="Arial" w:eastAsia="Arial" w:hAnsi="Arial"/>
          <w:sz w:val="19"/>
          <w:szCs w:val="19"/>
          <w:u w:val="single" w:color="auto"/>
          <w:color w:val="auto"/>
        </w:rPr>
        <w:t>c</w:t>
      </w:r>
      <w:r>
        <w:rPr>
          <w:rFonts w:ascii="Arial" w:cs="Arial" w:eastAsia="Arial" w:hAnsi="Arial"/>
          <w:sz w:val="19"/>
          <w:szCs w:val="19"/>
          <w:color w:val="auto"/>
        </w:rPr>
        <w:t>) require any Governmental Approval; (</w:t>
      </w:r>
      <w:r>
        <w:rPr>
          <w:rFonts w:ascii="Arial" w:cs="Arial" w:eastAsia="Arial" w:hAnsi="Arial"/>
          <w:sz w:val="19"/>
          <w:szCs w:val="19"/>
          <w:u w:val="single" w:color="auto"/>
          <w:color w:val="auto"/>
        </w:rPr>
        <w:t>d</w:t>
      </w:r>
      <w:r>
        <w:rPr>
          <w:rFonts w:ascii="Arial" w:cs="Arial" w:eastAsia="Arial" w:hAnsi="Arial"/>
          <w:sz w:val="19"/>
          <w:szCs w:val="19"/>
          <w:color w:val="auto"/>
        </w:rPr>
        <w:t>) require any Consent of or other action by any Person; or (</w:t>
      </w:r>
      <w:r>
        <w:rPr>
          <w:rFonts w:ascii="Arial" w:cs="Arial" w:eastAsia="Arial" w:hAnsi="Arial"/>
          <w:sz w:val="19"/>
          <w:szCs w:val="19"/>
          <w:u w:val="single" w:color="auto"/>
          <w:color w:val="auto"/>
        </w:rPr>
        <w:t>e</w:t>
      </w:r>
      <w:r>
        <w:rPr>
          <w:rFonts w:ascii="Arial" w:cs="Arial" w:eastAsia="Arial" w:hAnsi="Arial"/>
          <w:sz w:val="19"/>
          <w:szCs w:val="19"/>
          <w:color w:val="auto"/>
        </w:rPr>
        <w:t>) result in a Non-Exempt Prohibited Transaction.</w:t>
      </w:r>
    </w:p>
    <w:p>
      <w:pPr>
        <w:spacing w:after="0" w:line="158" w:lineRule="exact"/>
        <w:rPr>
          <w:sz w:val="20"/>
          <w:szCs w:val="20"/>
          <w:color w:val="auto"/>
        </w:rPr>
      </w:pPr>
    </w:p>
    <w:p>
      <w:pPr>
        <w:ind w:left="600"/>
        <w:spacing w:after="0"/>
        <w:tabs>
          <w:tab w:leader="none" w:pos="1680" w:val="left"/>
        </w:tabs>
        <w:rPr>
          <w:sz w:val="20"/>
          <w:szCs w:val="20"/>
          <w:color w:val="auto"/>
        </w:rPr>
      </w:pPr>
      <w:r>
        <w:rPr>
          <w:rFonts w:ascii="Arial" w:cs="Arial" w:eastAsia="Arial" w:hAnsi="Arial"/>
          <w:sz w:val="20"/>
          <w:szCs w:val="20"/>
          <w:color w:val="auto"/>
        </w:rPr>
        <w:t>Section 4.4</w:t>
      </w:r>
      <w:r>
        <w:rPr>
          <w:sz w:val="20"/>
          <w:szCs w:val="20"/>
          <w:color w:val="auto"/>
        </w:rPr>
        <w:tab/>
      </w:r>
      <w:r>
        <w:rPr>
          <w:rFonts w:ascii="Arial" w:cs="Arial" w:eastAsia="Arial" w:hAnsi="Arial"/>
          <w:sz w:val="18"/>
          <w:szCs w:val="18"/>
          <w:u w:val="single" w:color="auto"/>
          <w:color w:val="auto"/>
        </w:rPr>
        <w:t>ERISA Related Determinations</w:t>
      </w:r>
      <w:r>
        <w:rPr>
          <w:rFonts w:ascii="Arial" w:cs="Arial" w:eastAsia="Arial" w:hAnsi="Arial"/>
          <w:sz w:val="18"/>
          <w:szCs w:val="18"/>
          <w:color w:val="auto"/>
        </w:rPr>
        <w:t>.</w:t>
      </w:r>
    </w:p>
    <w:p>
      <w:pPr>
        <w:spacing w:after="0" w:line="246" w:lineRule="exact"/>
        <w:rPr>
          <w:sz w:val="20"/>
          <w:szCs w:val="20"/>
          <w:color w:val="auto"/>
        </w:rPr>
      </w:pPr>
    </w:p>
    <w:p>
      <w:pPr>
        <w:jc w:val="both"/>
        <w:ind w:firstLine="601"/>
        <w:spacing w:after="0" w:line="252" w:lineRule="auto"/>
        <w:tabs>
          <w:tab w:leader="none" w:pos="1225" w:val="left"/>
        </w:tabs>
        <w:numPr>
          <w:ilvl w:val="0"/>
          <w:numId w:val="71"/>
        </w:numPr>
        <w:rPr>
          <w:rFonts w:ascii="Arial" w:cs="Arial" w:eastAsia="Arial" w:hAnsi="Arial"/>
          <w:sz w:val="20"/>
          <w:szCs w:val="20"/>
          <w:color w:val="auto"/>
        </w:rPr>
      </w:pPr>
      <w:r>
        <w:rPr>
          <w:rFonts w:ascii="Arial" w:cs="Arial" w:eastAsia="Arial" w:hAnsi="Arial"/>
          <w:sz w:val="20"/>
          <w:szCs w:val="20"/>
          <w:color w:val="auto"/>
        </w:rPr>
        <w:t>The Independent Fiduciary is fully qualified to serve as an independent fiduciary in connection with the Transactions contemplated by this Agreement and it is independent of the Company. The annual revenues of the Independent Fiduciary Controlled Group from the Company Controlled Group in 2011 were less than five percent of the Independent Fiduciary Controlled Group's total annual revenues in that year and the annual revenues of the Independent Fiduciary Controlled Group projected to be received from the Company Controlled Group in 2012 are less than five percent of the Independent Fiduciary Controlled Group's total projected annual revenues for 2012. Commercially reasonable ethical walls have been erected between the personnel working on the Transaction and the personnel working on other matters involving the Company Controlled Group.</w:t>
      </w:r>
    </w:p>
    <w:p>
      <w:pPr>
        <w:spacing w:after="0" w:line="212" w:lineRule="exact"/>
        <w:rPr>
          <w:rFonts w:ascii="Arial" w:cs="Arial" w:eastAsia="Arial" w:hAnsi="Arial"/>
          <w:sz w:val="20"/>
          <w:szCs w:val="20"/>
          <w:color w:val="auto"/>
        </w:rPr>
      </w:pPr>
    </w:p>
    <w:p>
      <w:pPr>
        <w:jc w:val="both"/>
        <w:ind w:firstLine="601"/>
        <w:spacing w:after="0" w:line="257" w:lineRule="auto"/>
        <w:tabs>
          <w:tab w:leader="none" w:pos="1058" w:val="left"/>
        </w:tabs>
        <w:numPr>
          <w:ilvl w:val="0"/>
          <w:numId w:val="71"/>
        </w:numPr>
        <w:rPr>
          <w:rFonts w:ascii="Arial" w:cs="Arial" w:eastAsia="Arial" w:hAnsi="Arial"/>
          <w:sz w:val="20"/>
          <w:szCs w:val="20"/>
          <w:color w:val="auto"/>
        </w:rPr>
      </w:pPr>
      <w:r>
        <w:rPr>
          <w:rFonts w:ascii="Arial" w:cs="Arial" w:eastAsia="Arial" w:hAnsi="Arial"/>
          <w:sz w:val="20"/>
          <w:szCs w:val="20"/>
          <w:color w:val="auto"/>
        </w:rPr>
        <w:t>The Independent Fiduciary has selected the Insurer to issue the Group Annuity Contract as set forth in this Agreement and such selection satisfies the requirements of ERISA and applicable guidance, including Interpretive Bulletin 95-1. The Independent Fiduciary has delivered a certification confirming the foregoing, executed by a duly authorized officer of the Independent Fiduciary, to the Annuity Committee.</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ectPr>
          <w:pgSz w:w="11900" w:h="16838" w:orient="portrait"/>
          <w:cols w:equalWidth="0" w:num="1">
            <w:col w:w="11420"/>
          </w:cols>
          <w:pgMar w:left="240" w:top="556" w:right="239" w:bottom="1440" w:gutter="0" w:footer="0" w:header="0"/>
        </w:sectPr>
      </w:pPr>
    </w:p>
    <w:bookmarkStart w:id="54" w:name="page55"/>
    <w:bookmarkEnd w:id="54"/>
    <w:p>
      <w:pPr>
        <w:jc w:val="both"/>
        <w:ind w:firstLine="601"/>
        <w:spacing w:after="0" w:line="261" w:lineRule="auto"/>
        <w:tabs>
          <w:tab w:leader="none" w:pos="1173" w:val="left"/>
        </w:tabs>
        <w:numPr>
          <w:ilvl w:val="0"/>
          <w:numId w:val="72"/>
        </w:numPr>
        <w:rPr>
          <w:rFonts w:ascii="Arial" w:cs="Arial" w:eastAsia="Arial" w:hAnsi="Arial"/>
          <w:sz w:val="20"/>
          <w:szCs w:val="20"/>
          <w:color w:val="auto"/>
        </w:rPr>
      </w:pPr>
      <w:r>
        <w:rPr>
          <w:rFonts w:ascii="Arial" w:cs="Arial" w:eastAsia="Arial" w:hAnsi="Arial"/>
          <w:sz w:val="20"/>
          <w:szCs w:val="20"/>
          <w:color w:val="auto"/>
        </w:rPr>
        <w:t>If an Independent Fiduciary MAC has not occurred between the DTFA Execution Date and the Closing Date and is not continuing as of the Closing Date, the selection of the Insurer to provide the Group Annuity Contract will continue to satisfy the requirements of ERISA and applicable guidance, including Interpretive Bulletin 95-1, as of the Closing Date.</w:t>
      </w:r>
    </w:p>
    <w:p>
      <w:pPr>
        <w:spacing w:after="0" w:line="201" w:lineRule="exact"/>
        <w:rPr>
          <w:sz w:val="20"/>
          <w:szCs w:val="20"/>
          <w:color w:val="auto"/>
        </w:rPr>
      </w:pPr>
    </w:p>
    <w:p>
      <w:pPr>
        <w:jc w:val="both"/>
        <w:ind w:firstLine="601"/>
        <w:spacing w:after="0" w:line="333" w:lineRule="auto"/>
        <w:rPr>
          <w:sz w:val="20"/>
          <w:szCs w:val="20"/>
          <w:color w:val="auto"/>
        </w:rPr>
      </w:pPr>
      <w:r>
        <w:rPr>
          <w:rFonts w:ascii="Arial" w:cs="Arial" w:eastAsia="Arial" w:hAnsi="Arial"/>
          <w:sz w:val="18"/>
          <w:szCs w:val="18"/>
          <w:color w:val="auto"/>
        </w:rPr>
        <w:t xml:space="preserve">Section 4.5 </w:t>
      </w:r>
      <w:r>
        <w:rPr>
          <w:rFonts w:ascii="Arial" w:cs="Arial" w:eastAsia="Arial" w:hAnsi="Arial"/>
          <w:sz w:val="18"/>
          <w:szCs w:val="18"/>
          <w:u w:val="single" w:color="auto"/>
          <w:color w:val="auto"/>
        </w:rPr>
        <w:t>No Brokers' Fee</w:t>
      </w:r>
      <w:r>
        <w:rPr>
          <w:rFonts w:ascii="Arial" w:cs="Arial" w:eastAsia="Arial" w:hAnsi="Arial"/>
          <w:sz w:val="18"/>
          <w:szCs w:val="18"/>
          <w:color w:val="auto"/>
        </w:rPr>
        <w:t>. The Independent Fiduciary has no Liability for any fee, commission or payment to any broker, finder or agent with respect to the Transactions for which any other Party, or their respective Affiliates or Representatives, could be liable.</w:t>
      </w:r>
    </w:p>
    <w:p>
      <w:pPr>
        <w:spacing w:after="0" w:line="102" w:lineRule="exact"/>
        <w:rPr>
          <w:sz w:val="20"/>
          <w:szCs w:val="20"/>
          <w:color w:val="auto"/>
        </w:rPr>
      </w:pPr>
    </w:p>
    <w:p>
      <w:pPr>
        <w:jc w:val="both"/>
        <w:ind w:firstLine="601"/>
        <w:spacing w:after="0" w:line="287" w:lineRule="auto"/>
        <w:rPr>
          <w:sz w:val="20"/>
          <w:szCs w:val="20"/>
          <w:color w:val="auto"/>
        </w:rPr>
      </w:pPr>
      <w:r>
        <w:rPr>
          <w:rFonts w:ascii="Arial" w:cs="Arial" w:eastAsia="Arial" w:hAnsi="Arial"/>
          <w:sz w:val="18"/>
          <w:szCs w:val="18"/>
          <w:color w:val="auto"/>
        </w:rPr>
        <w:t xml:space="preserve">Section 4.6 </w:t>
      </w:r>
      <w:r>
        <w:rPr>
          <w:rFonts w:ascii="Arial" w:cs="Arial" w:eastAsia="Arial" w:hAnsi="Arial"/>
          <w:sz w:val="18"/>
          <w:szCs w:val="18"/>
          <w:u w:val="single" w:color="auto"/>
          <w:color w:val="auto"/>
        </w:rPr>
        <w:t>No Other Representations or Warranties; Reliance</w:t>
      </w:r>
      <w:r>
        <w:rPr>
          <w:rFonts w:ascii="Arial" w:cs="Arial" w:eastAsia="Arial" w:hAnsi="Arial"/>
          <w:sz w:val="18"/>
          <w:szCs w:val="18"/>
          <w:color w:val="auto"/>
        </w:rPr>
        <w:t xml:space="preserve">. Except for the representations and warranties of the Independent Fiduciary expressly set forth in this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neither the Independent Fiduciary, nor its Affiliates, nor any other Person makes any express or implied representation or warranty on behalf of the Independent Fiduciary or any of its Affiliates with respect to the Independent Fiduciary, the Plan, the Transferred Assets or the transactions contemplated by this Agreement and the Ancillary Agreements (to the extent a party thereto), including the Standard Termination and the Lump-Sum Solicitation. The Independent Fiduciary acknowledges and agrees that Insurer Parent, the Insurer and the Company have relied on the representations set forth in this </w:t>
      </w:r>
      <w:r>
        <w:rPr>
          <w:rFonts w:ascii="Arial" w:cs="Arial" w:eastAsia="Arial" w:hAnsi="Arial"/>
          <w:sz w:val="18"/>
          <w:szCs w:val="18"/>
          <w:u w:val="single" w:color="auto"/>
          <w:color w:val="auto"/>
        </w:rPr>
        <w:t>Article IV</w:t>
      </w:r>
      <w:r>
        <w:rPr>
          <w:rFonts w:ascii="Arial" w:cs="Arial" w:eastAsia="Arial" w:hAnsi="Arial"/>
          <w:sz w:val="18"/>
          <w:szCs w:val="18"/>
          <w:color w:val="auto"/>
        </w:rPr>
        <w:t>.</w:t>
      </w:r>
    </w:p>
    <w:p>
      <w:pPr>
        <w:spacing w:after="0" w:line="376" w:lineRule="exact"/>
        <w:rPr>
          <w:sz w:val="20"/>
          <w:szCs w:val="20"/>
          <w:color w:val="auto"/>
        </w:rPr>
      </w:pPr>
    </w:p>
    <w:p>
      <w:pPr>
        <w:ind w:left="5460"/>
        <w:spacing w:after="0"/>
        <w:rPr>
          <w:sz w:val="20"/>
          <w:szCs w:val="20"/>
          <w:color w:val="auto"/>
        </w:rPr>
      </w:pPr>
      <w:r>
        <w:rPr>
          <w:rFonts w:ascii="Arial" w:cs="Arial" w:eastAsia="Arial" w:hAnsi="Arial"/>
          <w:sz w:val="20"/>
          <w:szCs w:val="20"/>
          <w:b w:val="1"/>
          <w:bCs w:val="1"/>
          <w:color w:val="auto"/>
        </w:rPr>
        <w:t>ARTICLE V</w:t>
      </w:r>
    </w:p>
    <w:p>
      <w:pPr>
        <w:spacing w:after="0" w:line="30" w:lineRule="exact"/>
        <w:rPr>
          <w:sz w:val="20"/>
          <w:szCs w:val="20"/>
          <w:color w:val="auto"/>
        </w:rPr>
      </w:pPr>
    </w:p>
    <w:p>
      <w:pPr>
        <w:ind w:left="2180"/>
        <w:spacing w:after="0"/>
        <w:rPr>
          <w:sz w:val="20"/>
          <w:szCs w:val="20"/>
          <w:color w:val="auto"/>
        </w:rPr>
      </w:pPr>
      <w:r>
        <w:rPr>
          <w:rFonts w:ascii="Arial" w:cs="Arial" w:eastAsia="Arial" w:hAnsi="Arial"/>
          <w:sz w:val="20"/>
          <w:szCs w:val="20"/>
          <w:b w:val="1"/>
          <w:bCs w:val="1"/>
          <w:color w:val="auto"/>
        </w:rPr>
        <w:t>INSURER AND INSURER PARENT REPRESENTATIONS AND WARRANTIES</w:t>
      </w:r>
    </w:p>
    <w:p>
      <w:pPr>
        <w:spacing w:after="0" w:line="190" w:lineRule="exact"/>
        <w:rPr>
          <w:sz w:val="20"/>
          <w:szCs w:val="20"/>
          <w:color w:val="auto"/>
        </w:rPr>
      </w:pPr>
    </w:p>
    <w:p>
      <w:pPr>
        <w:jc w:val="both"/>
        <w:ind w:firstLine="601"/>
        <w:spacing w:after="0" w:line="275" w:lineRule="auto"/>
        <w:rPr>
          <w:sz w:val="20"/>
          <w:szCs w:val="20"/>
          <w:color w:val="auto"/>
        </w:rPr>
      </w:pPr>
      <w:r>
        <w:rPr>
          <w:rFonts w:ascii="Arial" w:cs="Arial" w:eastAsia="Arial" w:hAnsi="Arial"/>
          <w:sz w:val="20"/>
          <w:szCs w:val="20"/>
          <w:color w:val="auto"/>
        </w:rPr>
        <w:t>Each of Insurer Parent and the Insurer hereby represents and warrants to the Company and the Independent Fiduciary as of the DTFA Execution Date and the Closing Date that, except as set forth in the Prudential Disclosure Letter:</w:t>
      </w:r>
    </w:p>
    <w:p>
      <w:pPr>
        <w:spacing w:after="0" w:line="349" w:lineRule="exact"/>
        <w:rPr>
          <w:sz w:val="20"/>
          <w:szCs w:val="20"/>
          <w:color w:val="auto"/>
        </w:rPr>
      </w:pPr>
    </w:p>
    <w:p>
      <w:pPr>
        <w:jc w:val="both"/>
        <w:ind w:firstLine="601"/>
        <w:spacing w:after="0" w:line="283" w:lineRule="auto"/>
        <w:rPr>
          <w:sz w:val="20"/>
          <w:szCs w:val="20"/>
          <w:color w:val="auto"/>
        </w:rPr>
      </w:pPr>
      <w:r>
        <w:rPr>
          <w:rFonts w:ascii="Arial" w:cs="Arial" w:eastAsia="Arial" w:hAnsi="Arial"/>
          <w:sz w:val="18"/>
          <w:szCs w:val="18"/>
          <w:color w:val="auto"/>
        </w:rPr>
        <w:t xml:space="preserve">Section 5.1 </w:t>
      </w:r>
      <w:r>
        <w:rPr>
          <w:rFonts w:ascii="Arial" w:cs="Arial" w:eastAsia="Arial" w:hAnsi="Arial"/>
          <w:sz w:val="18"/>
          <w:szCs w:val="18"/>
          <w:u w:val="single" w:color="auto"/>
          <w:color w:val="auto"/>
        </w:rPr>
        <w:t>Due Organization, Good Standing and Corporate Power</w:t>
      </w:r>
      <w:r>
        <w:rPr>
          <w:rFonts w:ascii="Arial" w:cs="Arial" w:eastAsia="Arial" w:hAnsi="Arial"/>
          <w:sz w:val="18"/>
          <w:szCs w:val="18"/>
          <w:color w:val="auto"/>
        </w:rPr>
        <w:t>. Insurer Parent is a corporation duly organized, validly existing and in good standing under the Laws of the State of New Jersey. The Insurer is a life insurance company duly organized, validly existing and in good standing under the Laws of the State of New Jersey. Each of Insurer Parent and the Insurer have all requisite power and authority to enter into and carry out their respective obligations under this Agreement and the Ancillary Agreements to which each is, or will be at Closing, a party and to consummate the transactions contemplated to be undertaken by each of Insurer Parent or the Insurer herein or therein. The Insurer is duly qualified or licensed to do business and is in good standing in each jurisdiction in which its performance of its obligations set forth in the Group Annuity Contract and Contract 300 Article P makes such qualification or licensing necessary, except in such jurisdictions where the failure to be in good standing or so qualified or licensed is not material.</w:t>
      </w:r>
    </w:p>
    <w:p>
      <w:pPr>
        <w:spacing w:after="0" w:line="150" w:lineRule="exact"/>
        <w:rPr>
          <w:sz w:val="20"/>
          <w:szCs w:val="20"/>
          <w:color w:val="auto"/>
        </w:rPr>
      </w:pPr>
    </w:p>
    <w:p>
      <w:pPr>
        <w:jc w:val="both"/>
        <w:ind w:firstLine="601"/>
        <w:spacing w:after="0" w:line="282" w:lineRule="auto"/>
        <w:rPr>
          <w:sz w:val="20"/>
          <w:szCs w:val="20"/>
          <w:color w:val="auto"/>
        </w:rPr>
      </w:pPr>
      <w:r>
        <w:rPr>
          <w:rFonts w:ascii="Arial" w:cs="Arial" w:eastAsia="Arial" w:hAnsi="Arial"/>
          <w:sz w:val="18"/>
          <w:szCs w:val="18"/>
          <w:color w:val="auto"/>
        </w:rPr>
        <w:t xml:space="preserve">Section 5.2 </w:t>
      </w:r>
      <w:r>
        <w:rPr>
          <w:rFonts w:ascii="Arial" w:cs="Arial" w:eastAsia="Arial" w:hAnsi="Arial"/>
          <w:sz w:val="18"/>
          <w:szCs w:val="18"/>
          <w:u w:val="single" w:color="auto"/>
          <w:color w:val="auto"/>
        </w:rPr>
        <w:t>Authorization of Agreement; Enforceability</w:t>
      </w:r>
      <w:r>
        <w:rPr>
          <w:rFonts w:ascii="Arial" w:cs="Arial" w:eastAsia="Arial" w:hAnsi="Arial"/>
          <w:sz w:val="18"/>
          <w:szCs w:val="18"/>
          <w:color w:val="auto"/>
        </w:rPr>
        <w:t xml:space="preserve">. Each of Insurer Parent and the Insurer have received all appropriate corporate approvals and no other action on the part of Insurer Parent, the Insurer or their respective Affiliates is necessary to authorize the execution, delivery and performance of this Agreement and the Ancillary Agreements (to the extent a party thereto) and the consummation of the transactions contemplated to be undertaken by Insurer Parent and the Insurer under this Agreement and the Ancillary Agreements (to the extent a party thereto). This Agreement is, and the Ancillary Agreements, other than the Group Annuity Contract, which is covered by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5.4</w:t>
      </w:r>
      <w:r>
        <w:rPr>
          <w:rFonts w:ascii="Arial" w:cs="Arial" w:eastAsia="Arial" w:hAnsi="Arial"/>
          <w:sz w:val="18"/>
          <w:szCs w:val="18"/>
          <w:color w:val="auto"/>
        </w:rPr>
        <w:t xml:space="preserve"> below, (to the extent the Insurer is a party thereto) when executed will be, duly executed and delivered by the Insurer, and each is (or when executed will be) a valid and binding obligation of the Insurer and enforceable against the Insurer in accordance with its terms, except to the extent that its enforceability may be subject to the Enforceability Exceptions. This Agreement has been, and the Ancillary Agreements (to the extent that the Insurer Parent is a party thereto) when executed will be, duly executed and delivered by Insurer Parent and each is a valid and binding obligation of Insurer Parent (to the extent the Insurer Parent is a party thereto) and enforceable against Insurer Parent,</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ectPr>
          <w:pgSz w:w="11900" w:h="16838" w:orient="portrait"/>
          <w:cols w:equalWidth="0" w:num="1">
            <w:col w:w="11420"/>
          </w:cols>
          <w:pgMar w:left="240" w:top="556" w:right="239" w:bottom="1440" w:gutter="0" w:footer="0" w:header="0"/>
        </w:sectPr>
      </w:pPr>
    </w:p>
    <w:bookmarkStart w:id="55" w:name="page56"/>
    <w:bookmarkEnd w:id="55"/>
    <w:p>
      <w:pPr>
        <w:spacing w:after="0"/>
        <w:rPr>
          <w:sz w:val="20"/>
          <w:szCs w:val="20"/>
          <w:color w:val="auto"/>
        </w:rPr>
      </w:pPr>
      <w:r>
        <w:rPr>
          <w:rFonts w:ascii="Arial" w:cs="Arial" w:eastAsia="Arial" w:hAnsi="Arial"/>
          <w:sz w:val="20"/>
          <w:szCs w:val="20"/>
          <w:color w:val="auto"/>
        </w:rPr>
        <w:t>in accordance with its terms, except to the extent that its enforceability may be subject to the Enforceability Exceptions.</w:t>
      </w:r>
    </w:p>
    <w:p>
      <w:pPr>
        <w:spacing w:after="0" w:line="208" w:lineRule="exact"/>
        <w:rPr>
          <w:sz w:val="20"/>
          <w:szCs w:val="20"/>
          <w:color w:val="auto"/>
        </w:rPr>
      </w:pPr>
    </w:p>
    <w:p>
      <w:pPr>
        <w:jc w:val="both"/>
        <w:ind w:firstLine="601"/>
        <w:spacing w:after="0" w:line="280" w:lineRule="auto"/>
        <w:rPr>
          <w:sz w:val="20"/>
          <w:szCs w:val="20"/>
          <w:color w:val="auto"/>
        </w:rPr>
      </w:pPr>
      <w:r>
        <w:rPr>
          <w:rFonts w:ascii="Arial" w:cs="Arial" w:eastAsia="Arial" w:hAnsi="Arial"/>
          <w:sz w:val="18"/>
          <w:szCs w:val="18"/>
          <w:color w:val="auto"/>
        </w:rPr>
        <w:t xml:space="preserve">Section 5.3 </w:t>
      </w:r>
      <w:r>
        <w:rPr>
          <w:rFonts w:ascii="Arial" w:cs="Arial" w:eastAsia="Arial" w:hAnsi="Arial"/>
          <w:sz w:val="18"/>
          <w:szCs w:val="18"/>
          <w:u w:val="single" w:color="auto"/>
          <w:color w:val="auto"/>
        </w:rPr>
        <w:t>Consents And Approvals; No Violations</w:t>
      </w:r>
      <w:r>
        <w:rPr>
          <w:rFonts w:ascii="Arial" w:cs="Arial" w:eastAsia="Arial" w:hAnsi="Arial"/>
          <w:sz w:val="18"/>
          <w:szCs w:val="18"/>
          <w:color w:val="auto"/>
        </w:rPr>
        <w:t xml:space="preserve">. Assuming the Consents from Governmental Authorities set forth on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5.3</w:t>
      </w:r>
      <w:r>
        <w:rPr>
          <w:rFonts w:ascii="Arial" w:cs="Arial" w:eastAsia="Arial" w:hAnsi="Arial"/>
          <w:sz w:val="18"/>
          <w:szCs w:val="18"/>
          <w:color w:val="auto"/>
        </w:rPr>
        <w:t xml:space="preserve"> of the Prudential Disclosure Letter have been obtained, the execution and delivery of this Agreement and the Ancillary Agreements (to the extent a party thereto) by Insurer Parent and the Insurer and the consummation by Insurer Parent and the Insurer of the transactions contemplated to be undertaken by the Insurer Parent and the Insurer do not (</w:t>
      </w:r>
      <w:r>
        <w:rPr>
          <w:rFonts w:ascii="Arial" w:cs="Arial" w:eastAsia="Arial" w:hAnsi="Arial"/>
          <w:sz w:val="18"/>
          <w:szCs w:val="18"/>
          <w:u w:val="single" w:color="auto"/>
          <w:color w:val="auto"/>
        </w:rPr>
        <w:t>a</w:t>
      </w:r>
      <w:r>
        <w:rPr>
          <w:rFonts w:ascii="Arial" w:cs="Arial" w:eastAsia="Arial" w:hAnsi="Arial"/>
          <w:sz w:val="18"/>
          <w:szCs w:val="18"/>
          <w:color w:val="auto"/>
        </w:rPr>
        <w:t>) violate or conflict with any provision of their respective certificates or articles of incorporation, bylaws or code of regulations (or the comparable governing documents); (</w:t>
      </w:r>
      <w:r>
        <w:rPr>
          <w:rFonts w:ascii="Arial" w:cs="Arial" w:eastAsia="Arial" w:hAnsi="Arial"/>
          <w:sz w:val="18"/>
          <w:szCs w:val="18"/>
          <w:u w:val="single" w:color="auto"/>
          <w:color w:val="auto"/>
        </w:rPr>
        <w:t>b</w:t>
      </w:r>
      <w:r>
        <w:rPr>
          <w:rFonts w:ascii="Arial" w:cs="Arial" w:eastAsia="Arial" w:hAnsi="Arial"/>
          <w:sz w:val="18"/>
          <w:szCs w:val="18"/>
          <w:color w:val="auto"/>
        </w:rPr>
        <w:t>) violate or conflict with any Law or Order of any Governmental Authority applicable to Insurer Parent or the Insurer or any Transferred Assets; (</w:t>
      </w:r>
      <w:r>
        <w:rPr>
          <w:rFonts w:ascii="Arial" w:cs="Arial" w:eastAsia="Arial" w:hAnsi="Arial"/>
          <w:sz w:val="18"/>
          <w:szCs w:val="18"/>
          <w:u w:val="single" w:color="auto"/>
          <w:color w:val="auto"/>
        </w:rPr>
        <w:t>c</w:t>
      </w:r>
      <w:r>
        <w:rPr>
          <w:rFonts w:ascii="Arial" w:cs="Arial" w:eastAsia="Arial" w:hAnsi="Arial"/>
          <w:sz w:val="18"/>
          <w:szCs w:val="18"/>
          <w:color w:val="auto"/>
        </w:rPr>
        <w:t>) require any Governmental Approval; (</w:t>
      </w:r>
      <w:r>
        <w:rPr>
          <w:rFonts w:ascii="Arial" w:cs="Arial" w:eastAsia="Arial" w:hAnsi="Arial"/>
          <w:sz w:val="18"/>
          <w:szCs w:val="18"/>
          <w:u w:val="single" w:color="auto"/>
          <w:color w:val="auto"/>
        </w:rPr>
        <w:t>d</w:t>
      </w:r>
      <w:r>
        <w:rPr>
          <w:rFonts w:ascii="Arial" w:cs="Arial" w:eastAsia="Arial" w:hAnsi="Arial"/>
          <w:sz w:val="18"/>
          <w:szCs w:val="18"/>
          <w:color w:val="auto"/>
        </w:rPr>
        <w:t>) require any Consent of or other action by any Person under, constitute a default or an event that, with or without notice or lapse of time or both, would constitute a default under, or cause or permit termination, cancellation, acceleration or other change of any right or obligation or the loss of any benefit under, any provision of any Contract to which the Insurer is a party, to the extent the absence or occurrence of any of the foregoing would have a material adverse impact on the Insurer's ability to consummate the Transaction; or (</w:t>
      </w:r>
      <w:r>
        <w:rPr>
          <w:rFonts w:ascii="Arial" w:cs="Arial" w:eastAsia="Arial" w:hAnsi="Arial"/>
          <w:sz w:val="18"/>
          <w:szCs w:val="18"/>
          <w:u w:val="single" w:color="auto"/>
          <w:color w:val="auto"/>
        </w:rPr>
        <w:t>e</w:t>
      </w:r>
      <w:r>
        <w:rPr>
          <w:rFonts w:ascii="Arial" w:cs="Arial" w:eastAsia="Arial" w:hAnsi="Arial"/>
          <w:sz w:val="18"/>
          <w:szCs w:val="18"/>
          <w:color w:val="auto"/>
        </w:rPr>
        <w:t>) result in a Non-Exempt Prohibited Transaction. The form of Group Annuity Contract has been approved for issuance by the New York State Department of Financial Services. The Plan of Operations has been approved by the New York State Department of Financial Services and the New Jersey Department of Banking and Insurance. The Annuity Certificates have been filed with the New York State Department of Financial Services for use in accordance with the General Annuity Contract.</w:t>
      </w:r>
    </w:p>
    <w:p>
      <w:pPr>
        <w:spacing w:after="0" w:line="149" w:lineRule="exact"/>
        <w:rPr>
          <w:sz w:val="20"/>
          <w:szCs w:val="20"/>
          <w:color w:val="auto"/>
        </w:rPr>
      </w:pPr>
    </w:p>
    <w:p>
      <w:pPr>
        <w:jc w:val="both"/>
        <w:ind w:firstLine="601"/>
        <w:spacing w:after="0" w:line="268" w:lineRule="auto"/>
        <w:rPr>
          <w:sz w:val="20"/>
          <w:szCs w:val="20"/>
          <w:color w:val="auto"/>
        </w:rPr>
      </w:pPr>
      <w:r>
        <w:rPr>
          <w:rFonts w:ascii="Arial" w:cs="Arial" w:eastAsia="Arial" w:hAnsi="Arial"/>
          <w:sz w:val="19"/>
          <w:szCs w:val="19"/>
          <w:color w:val="auto"/>
        </w:rPr>
        <w:t xml:space="preserve">Section 5.4 </w:t>
      </w:r>
      <w:r>
        <w:rPr>
          <w:rFonts w:ascii="Arial" w:cs="Arial" w:eastAsia="Arial" w:hAnsi="Arial"/>
          <w:sz w:val="19"/>
          <w:szCs w:val="19"/>
          <w:u w:val="single" w:color="auto"/>
          <w:color w:val="auto"/>
        </w:rPr>
        <w:t>Enforceability of Group Annuity Contract</w:t>
      </w:r>
      <w:r>
        <w:rPr>
          <w:rFonts w:ascii="Arial" w:cs="Arial" w:eastAsia="Arial" w:hAnsi="Arial"/>
          <w:sz w:val="19"/>
          <w:szCs w:val="19"/>
          <w:color w:val="auto"/>
        </w:rPr>
        <w:t>. The Group Annuity Contract when executed will be duly executed and delivered by the Insurer and will be a valid and binding obligation of the Insurer and enforceable against the Insurer by the Plan Trustee and each Covered Life, Contingent Life and Beneficiary, in accordance with its terms, except to the extent that its enforceability may be subject to the Enforceability Exceptions. After the Contract-Holder (as defined in the Group Annuity Contract) ceases to exist, the Group Annuity Contract when executed will be duly executed and delivered by the Insurer and will be a valid and binding obligation of the Insurer and enforceable against the Insurer by each Covered Life, Contingent Life and Beneficiary, in accordance with its terms, except to the extent that its enforceability may be subject to the Enforceability Exceptions.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80" w:type="dxa"/>
            <w:vAlign w:val="bottom"/>
            <w:gridSpan w:val="4"/>
          </w:tcPr>
          <w:p>
            <w:pPr>
              <w:ind w:left="600"/>
              <w:spacing w:after="0"/>
              <w:rPr>
                <w:sz w:val="20"/>
                <w:szCs w:val="20"/>
                <w:color w:val="auto"/>
              </w:rPr>
            </w:pPr>
            <w:r>
              <w:rPr>
                <w:rFonts w:ascii="Arial" w:cs="Arial" w:eastAsia="Arial" w:hAnsi="Arial"/>
                <w:sz w:val="20"/>
                <w:szCs w:val="20"/>
                <w:color w:val="auto"/>
                <w:w w:val="99"/>
              </w:rPr>
              <w:t>Section 5.5   RBC Ratio. The RBC Ratio at December 31, 2011 was 491% [</w:t>
            </w:r>
          </w:p>
        </w:tc>
        <w:tc>
          <w:tcPr>
            <w:tcW w:w="760" w:type="dxa"/>
            <w:vAlign w:val="bottom"/>
          </w:tcPr>
          <w:p>
            <w:pPr>
              <w:jc w:val="right"/>
              <w:ind w:right="160"/>
              <w:spacing w:after="0"/>
              <w:rPr>
                <w:sz w:val="20"/>
                <w:szCs w:val="20"/>
                <w:color w:val="auto"/>
              </w:rPr>
            </w:pPr>
            <w:r>
              <w:rPr>
                <w:rFonts w:ascii="Arial" w:cs="Arial" w:eastAsia="Arial" w:hAnsi="Arial"/>
                <w:sz w:val="20"/>
                <w:szCs w:val="20"/>
                <w:color w:val="auto"/>
              </w:rPr>
              <w:t>***</w:t>
            </w:r>
          </w:p>
        </w:tc>
        <w:tc>
          <w:tcPr>
            <w:tcW w:w="3380" w:type="dxa"/>
            <w:vAlign w:val="bottom"/>
          </w:tcPr>
          <w:p>
            <w:pPr>
              <w:jc w:val="right"/>
              <w:spacing w:after="0"/>
              <w:rPr>
                <w:sz w:val="20"/>
                <w:szCs w:val="20"/>
                <w:color w:val="auto"/>
              </w:rPr>
            </w:pPr>
            <w:r>
              <w:rPr>
                <w:rFonts w:ascii="Arial" w:cs="Arial" w:eastAsia="Arial" w:hAnsi="Arial"/>
                <w:sz w:val="20"/>
                <w:szCs w:val="20"/>
                <w:color w:val="auto"/>
              </w:rPr>
              <w:t>], and such Projected RBC Ratio was</w:t>
            </w:r>
          </w:p>
        </w:tc>
      </w:tr>
      <w:tr>
        <w:trPr>
          <w:trHeight w:val="20"/>
        </w:trPr>
        <w:tc>
          <w:tcPr>
            <w:tcW w:w="18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80" w:type="dxa"/>
            <w:vAlign w:val="bottom"/>
            <w:gridSpan w:val="3"/>
          </w:tcPr>
          <w:p>
            <w:pPr>
              <w:spacing w:after="0" w:line="20" w:lineRule="exact"/>
              <w:rPr>
                <w:sz w:val="1"/>
                <w:szCs w:val="1"/>
                <w:color w:val="auto"/>
              </w:rPr>
            </w:pPr>
          </w:p>
        </w:tc>
      </w:tr>
      <w:tr>
        <w:trPr>
          <w:trHeight w:val="265"/>
        </w:trPr>
        <w:tc>
          <w:tcPr>
            <w:tcW w:w="3340" w:type="dxa"/>
            <w:vAlign w:val="bottom"/>
            <w:gridSpan w:val="3"/>
          </w:tcPr>
          <w:p>
            <w:pPr>
              <w:spacing w:after="0"/>
              <w:rPr>
                <w:sz w:val="20"/>
                <w:szCs w:val="20"/>
                <w:color w:val="auto"/>
              </w:rPr>
            </w:pPr>
            <w:r>
              <w:rPr>
                <w:rFonts w:ascii="Arial" w:cs="Arial" w:eastAsia="Arial" w:hAnsi="Arial"/>
                <w:sz w:val="20"/>
                <w:szCs w:val="20"/>
                <w:color w:val="auto"/>
              </w:rPr>
              <w:t>determined in accordance with [   ***</w:t>
            </w:r>
          </w:p>
        </w:tc>
        <w:tc>
          <w:tcPr>
            <w:tcW w:w="8080" w:type="dxa"/>
            <w:vAlign w:val="bottom"/>
            <w:gridSpan w:val="3"/>
          </w:tcPr>
          <w:p>
            <w:pPr>
              <w:jc w:val="right"/>
              <w:spacing w:after="0"/>
              <w:rPr>
                <w:sz w:val="20"/>
                <w:szCs w:val="20"/>
                <w:color w:val="auto"/>
              </w:rPr>
            </w:pPr>
            <w:r>
              <w:rPr>
                <w:rFonts w:ascii="Arial" w:cs="Arial" w:eastAsia="Arial" w:hAnsi="Arial"/>
                <w:sz w:val="20"/>
                <w:szCs w:val="20"/>
                <w:color w:val="auto"/>
                <w:w w:val="93"/>
              </w:rPr>
              <w:t>]. As of the DTFA Execution Date, to the Insurer's Knowledge there are no circumstances existing</w:t>
            </w:r>
          </w:p>
        </w:tc>
      </w:tr>
    </w:tbl>
    <w:p>
      <w:pPr>
        <w:spacing w:after="0"/>
        <w:rPr>
          <w:sz w:val="20"/>
          <w:szCs w:val="20"/>
          <w:color w:val="auto"/>
        </w:rPr>
      </w:pPr>
      <w:r>
        <w:rPr>
          <w:rFonts w:ascii="Arial" w:cs="Arial" w:eastAsia="Arial" w:hAnsi="Arial"/>
          <w:sz w:val="20"/>
          <w:szCs w:val="20"/>
          <w:color w:val="auto"/>
        </w:rPr>
        <w:t>or that would reasonably be expected to occur that would reasonably be expected to cause an Insurer MAC.</w:t>
      </w:r>
    </w:p>
    <w:p>
      <w:pPr>
        <w:spacing w:after="0" w:line="190" w:lineRule="exact"/>
        <w:rPr>
          <w:sz w:val="20"/>
          <w:szCs w:val="20"/>
          <w:color w:val="auto"/>
        </w:rPr>
      </w:pPr>
    </w:p>
    <w:p>
      <w:pPr>
        <w:jc w:val="both"/>
        <w:ind w:firstLine="601"/>
        <w:spacing w:after="0" w:line="252" w:lineRule="auto"/>
        <w:rPr>
          <w:sz w:val="20"/>
          <w:szCs w:val="20"/>
          <w:color w:val="auto"/>
        </w:rPr>
      </w:pPr>
      <w:r>
        <w:rPr>
          <w:rFonts w:ascii="Arial" w:cs="Arial" w:eastAsia="Arial" w:hAnsi="Arial"/>
          <w:sz w:val="20"/>
          <w:szCs w:val="20"/>
          <w:color w:val="auto"/>
        </w:rPr>
        <w:t xml:space="preserve">Section 5.6 </w:t>
      </w:r>
      <w:r>
        <w:rPr>
          <w:rFonts w:ascii="Arial" w:cs="Arial" w:eastAsia="Arial" w:hAnsi="Arial"/>
          <w:sz w:val="20"/>
          <w:szCs w:val="20"/>
          <w:u w:val="single" w:color="auto"/>
          <w:color w:val="auto"/>
        </w:rPr>
        <w:t>Compliance with Laws</w:t>
      </w:r>
      <w:r>
        <w:rPr>
          <w:rFonts w:ascii="Arial" w:cs="Arial" w:eastAsia="Arial" w:hAnsi="Arial"/>
          <w:sz w:val="20"/>
          <w:szCs w:val="20"/>
          <w:color w:val="auto"/>
        </w:rPr>
        <w:t>. The business of the Insurer Parent and the Insurer has been and is being conducted in material compliance with applicable Laws, and none of the licenses, permits or Governmental Approvals required for the continued conduct of the business of the Insurer Parent and the Insurer as such business is currently being conducted will lapse, terminate, expire or otherwise be impaired as a result of the consummation of the transactions contemplated to be undertaken by the Insurer Parent, the Insurer or their Affiliates hereunder or pursuant to the Ancillary Agreements, except as, in either case, would not reasonably be expected to be, individually or in the aggregate, materially adverse to the ability of the Insurer Parent and the Insurer to perform their obligations under this Agreement or the Ancillary Agreements.</w:t>
      </w:r>
    </w:p>
    <w:p>
      <w:pPr>
        <w:spacing w:after="0" w:line="175" w:lineRule="exact"/>
        <w:rPr>
          <w:sz w:val="20"/>
          <w:szCs w:val="20"/>
          <w:color w:val="auto"/>
        </w:rPr>
      </w:pPr>
    </w:p>
    <w:p>
      <w:pPr>
        <w:jc w:val="both"/>
        <w:ind w:firstLine="601"/>
        <w:spacing w:after="0" w:line="261" w:lineRule="auto"/>
        <w:rPr>
          <w:sz w:val="20"/>
          <w:szCs w:val="20"/>
          <w:color w:val="auto"/>
        </w:rPr>
      </w:pPr>
      <w:r>
        <w:rPr>
          <w:rFonts w:ascii="Arial" w:cs="Arial" w:eastAsia="Arial" w:hAnsi="Arial"/>
          <w:sz w:val="20"/>
          <w:szCs w:val="20"/>
          <w:color w:val="auto"/>
        </w:rPr>
        <w:t xml:space="preserve">Section 5.7 </w:t>
      </w:r>
      <w:r>
        <w:rPr>
          <w:rFonts w:ascii="Arial" w:cs="Arial" w:eastAsia="Arial" w:hAnsi="Arial"/>
          <w:sz w:val="20"/>
          <w:szCs w:val="20"/>
          <w:u w:val="single" w:color="auto"/>
          <w:color w:val="auto"/>
        </w:rPr>
        <w:t>No Brokers' Fee</w:t>
      </w:r>
      <w:r>
        <w:rPr>
          <w:rFonts w:ascii="Arial" w:cs="Arial" w:eastAsia="Arial" w:hAnsi="Arial"/>
          <w:sz w:val="20"/>
          <w:szCs w:val="20"/>
          <w:color w:val="auto"/>
        </w:rPr>
        <w:t>. Neither Insurer Parent nor the Insurer has any Liability for any fee, commission or payment to any broker, finder or agent with respect to the Transaction for which any other Party, or their respective Affiliates or Representatives, could be liable.</w:t>
      </w:r>
    </w:p>
    <w:p>
      <w:pPr>
        <w:spacing w:after="0" w:line="163" w:lineRule="exact"/>
        <w:rPr>
          <w:sz w:val="20"/>
          <w:szCs w:val="20"/>
          <w:color w:val="auto"/>
        </w:rPr>
      </w:pPr>
    </w:p>
    <w:p>
      <w:pPr>
        <w:ind w:left="600"/>
        <w:spacing w:after="0"/>
        <w:tabs>
          <w:tab w:leader="none" w:pos="1680" w:val="left"/>
        </w:tabs>
        <w:rPr>
          <w:sz w:val="20"/>
          <w:szCs w:val="20"/>
          <w:color w:val="auto"/>
        </w:rPr>
      </w:pPr>
      <w:r>
        <w:rPr>
          <w:rFonts w:ascii="Arial" w:cs="Arial" w:eastAsia="Arial" w:hAnsi="Arial"/>
          <w:sz w:val="20"/>
          <w:szCs w:val="20"/>
          <w:color w:val="auto"/>
        </w:rPr>
        <w:t>Section 5.8</w:t>
      </w:r>
      <w:r>
        <w:rPr>
          <w:sz w:val="20"/>
          <w:szCs w:val="20"/>
          <w:color w:val="auto"/>
        </w:rPr>
        <w:tab/>
      </w:r>
      <w:r>
        <w:rPr>
          <w:rFonts w:ascii="Arial" w:cs="Arial" w:eastAsia="Arial" w:hAnsi="Arial"/>
          <w:sz w:val="18"/>
          <w:szCs w:val="18"/>
          <w:u w:val="single" w:color="auto"/>
          <w:color w:val="auto"/>
        </w:rPr>
        <w:t>Disclosed Information</w:t>
      </w:r>
      <w:r>
        <w:rPr>
          <w:rFonts w:ascii="Arial" w:cs="Arial" w:eastAsia="Arial" w:hAnsi="Arial"/>
          <w:sz w:val="18"/>
          <w:szCs w:val="18"/>
          <w:color w:val="auto"/>
        </w:rPr>
        <w: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ectPr>
          <w:pgSz w:w="11900" w:h="16838" w:orient="portrait"/>
          <w:cols w:equalWidth="0" w:num="1">
            <w:col w:w="11420"/>
          </w:cols>
          <w:pgMar w:left="240" w:top="556" w:right="239" w:bottom="1440" w:gutter="0" w:footer="0" w:header="0"/>
        </w:sectPr>
      </w:pPr>
    </w:p>
    <w:bookmarkStart w:id="56" w:name="page57"/>
    <w:bookmarkEnd w:id="56"/>
    <w:p>
      <w:pPr>
        <w:jc w:val="both"/>
        <w:ind w:firstLine="601"/>
        <w:spacing w:after="0" w:line="253" w:lineRule="auto"/>
        <w:tabs>
          <w:tab w:leader="none" w:pos="1424" w:val="left"/>
        </w:tabs>
        <w:numPr>
          <w:ilvl w:val="0"/>
          <w:numId w:val="73"/>
        </w:numPr>
        <w:rPr>
          <w:rFonts w:ascii="Arial" w:cs="Arial" w:eastAsia="Arial" w:hAnsi="Arial"/>
          <w:sz w:val="20"/>
          <w:szCs w:val="20"/>
          <w:color w:val="auto"/>
        </w:rPr>
      </w:pPr>
      <w:r>
        <w:rPr>
          <w:rFonts w:ascii="Arial" w:cs="Arial" w:eastAsia="Arial" w:hAnsi="Arial"/>
          <w:sz w:val="20"/>
          <w:szCs w:val="20"/>
          <w:color w:val="auto"/>
        </w:rPr>
        <w:t>Insurer Parent and the Insurer represent and warrant to the Company and the Independent Fiduciary in connection with the Independent Fiduciary's due diligence that, to Prudential's Knowledge, (</w:t>
      </w:r>
      <w:r>
        <w:rPr>
          <w:rFonts w:ascii="Arial" w:cs="Arial" w:eastAsia="Arial" w:hAnsi="Arial"/>
          <w:sz w:val="20"/>
          <w:szCs w:val="20"/>
          <w:u w:val="single" w:color="auto"/>
          <w:color w:val="auto"/>
        </w:rPr>
        <w:t>i</w:t>
      </w:r>
      <w:r>
        <w:rPr>
          <w:rFonts w:ascii="Arial" w:cs="Arial" w:eastAsia="Arial" w:hAnsi="Arial"/>
          <w:sz w:val="20"/>
          <w:szCs w:val="20"/>
          <w:color w:val="auto"/>
        </w:rPr>
        <w:t>) all material information provided to the Independent Fiduciary in connection with the transactions contemplated by this Agreement, was, as of the date indicated on such information, true and correct in all material respects and (</w:t>
      </w:r>
      <w:r>
        <w:rPr>
          <w:rFonts w:ascii="Arial" w:cs="Arial" w:eastAsia="Arial" w:hAnsi="Arial"/>
          <w:sz w:val="20"/>
          <w:szCs w:val="20"/>
          <w:u w:val="single" w:color="auto"/>
          <w:color w:val="auto"/>
        </w:rPr>
        <w:t>ii</w:t>
      </w:r>
      <w:r>
        <w:rPr>
          <w:rFonts w:ascii="Arial" w:cs="Arial" w:eastAsia="Arial" w:hAnsi="Arial"/>
          <w:sz w:val="20"/>
          <w:szCs w:val="20"/>
          <w:color w:val="auto"/>
        </w:rPr>
        <w:t>) no change has occurred since the date indicated on such information that the Insurer or Insurer Parent has not publicly disclosed or disclosed to the Independent Fiduciary that would cause such information, taken as a whole, to be materially false or misleading.</w:t>
      </w:r>
    </w:p>
    <w:p>
      <w:pPr>
        <w:spacing w:after="0" w:line="210" w:lineRule="exact"/>
        <w:rPr>
          <w:rFonts w:ascii="Arial" w:cs="Arial" w:eastAsia="Arial" w:hAnsi="Arial"/>
          <w:sz w:val="20"/>
          <w:szCs w:val="20"/>
          <w:color w:val="auto"/>
        </w:rPr>
      </w:pPr>
    </w:p>
    <w:p>
      <w:pPr>
        <w:jc w:val="both"/>
        <w:ind w:firstLine="601"/>
        <w:spacing w:after="0" w:line="269" w:lineRule="auto"/>
        <w:tabs>
          <w:tab w:leader="none" w:pos="1435" w:val="left"/>
        </w:tabs>
        <w:numPr>
          <w:ilvl w:val="0"/>
          <w:numId w:val="73"/>
        </w:numPr>
        <w:rPr>
          <w:rFonts w:ascii="Arial" w:cs="Arial" w:eastAsia="Arial" w:hAnsi="Arial"/>
          <w:sz w:val="19"/>
          <w:szCs w:val="19"/>
          <w:color w:val="auto"/>
        </w:rPr>
      </w:pPr>
      <w:r>
        <w:rPr>
          <w:rFonts w:ascii="Arial" w:cs="Arial" w:eastAsia="Arial" w:hAnsi="Arial"/>
          <w:sz w:val="19"/>
          <w:szCs w:val="19"/>
          <w:color w:val="auto"/>
        </w:rPr>
        <w:t>Insurer Parent and the Insurer represent and warrant to the Company that, to Prudential's Knowledge, (</w:t>
      </w:r>
      <w:r>
        <w:rPr>
          <w:rFonts w:ascii="Arial" w:cs="Arial" w:eastAsia="Arial" w:hAnsi="Arial"/>
          <w:sz w:val="19"/>
          <w:szCs w:val="19"/>
          <w:u w:val="single" w:color="auto"/>
          <w:color w:val="auto"/>
        </w:rPr>
        <w:t>i</w:t>
      </w:r>
      <w:r>
        <w:rPr>
          <w:rFonts w:ascii="Arial" w:cs="Arial" w:eastAsia="Arial" w:hAnsi="Arial"/>
          <w:sz w:val="19"/>
          <w:szCs w:val="19"/>
          <w:color w:val="auto"/>
        </w:rPr>
        <w:t>) the information on the Identified CD-ROM, (</w:t>
      </w:r>
      <w:r>
        <w:rPr>
          <w:rFonts w:ascii="Arial" w:cs="Arial" w:eastAsia="Arial" w:hAnsi="Arial"/>
          <w:sz w:val="19"/>
          <w:szCs w:val="19"/>
          <w:u w:val="single" w:color="auto"/>
          <w:color w:val="auto"/>
        </w:rPr>
        <w:t>ii</w:t>
      </w:r>
      <w:r>
        <w:rPr>
          <w:rFonts w:ascii="Arial" w:cs="Arial" w:eastAsia="Arial" w:hAnsi="Arial"/>
          <w:sz w:val="19"/>
          <w:szCs w:val="19"/>
          <w:color w:val="auto"/>
        </w:rPr>
        <w:t>) the Insurer Provided Life-by-Life Information provided to the Independent Third Party, and (</w:t>
      </w:r>
      <w:r>
        <w:rPr>
          <w:rFonts w:ascii="Arial" w:cs="Arial" w:eastAsia="Arial" w:hAnsi="Arial"/>
          <w:sz w:val="19"/>
          <w:szCs w:val="19"/>
          <w:u w:val="single" w:color="auto"/>
          <w:color w:val="auto"/>
        </w:rPr>
        <w:t>iii</w:t>
      </w:r>
      <w:r>
        <w:rPr>
          <w:rFonts w:ascii="Arial" w:cs="Arial" w:eastAsia="Arial" w:hAnsi="Arial"/>
          <w:sz w:val="19"/>
          <w:szCs w:val="19"/>
          <w:color w:val="auto"/>
        </w:rPr>
        <w:t>) all other information and data supplied to the Independent Third Party (other than, in each case, any such information that was supplied by the Company, the Plan Trustee, the Plan, the Independent Fiduciary, the Plan Investment Fiduciary or any of their respective Affiliates or Representatives, and has been exactly reproduced by the Insurer, with no modifications, errors or other changes) does not contain any material errors or omissions, other than any errors or omissions that are addressed by the Agreed Updates.</w:t>
      </w:r>
    </w:p>
    <w:p>
      <w:pPr>
        <w:spacing w:after="0" w:line="158" w:lineRule="exact"/>
        <w:rPr>
          <w:sz w:val="20"/>
          <w:szCs w:val="20"/>
          <w:color w:val="auto"/>
        </w:rPr>
      </w:pPr>
    </w:p>
    <w:p>
      <w:pPr>
        <w:jc w:val="both"/>
        <w:ind w:firstLine="601"/>
        <w:spacing w:after="0" w:line="269" w:lineRule="auto"/>
        <w:rPr>
          <w:sz w:val="20"/>
          <w:szCs w:val="20"/>
          <w:color w:val="auto"/>
        </w:rPr>
      </w:pPr>
      <w:r>
        <w:rPr>
          <w:rFonts w:ascii="Arial" w:cs="Arial" w:eastAsia="Arial" w:hAnsi="Arial"/>
          <w:sz w:val="19"/>
          <w:szCs w:val="19"/>
          <w:color w:val="auto"/>
        </w:rPr>
        <w:t xml:space="preserve">Section 5.9 </w:t>
      </w:r>
      <w:r>
        <w:rPr>
          <w:rFonts w:ascii="Arial" w:cs="Arial" w:eastAsia="Arial" w:hAnsi="Arial"/>
          <w:sz w:val="19"/>
          <w:szCs w:val="19"/>
          <w:u w:val="single" w:color="auto"/>
          <w:color w:val="auto"/>
        </w:rPr>
        <w:t>No Other Representations or Warranties; Reliance</w:t>
      </w:r>
      <w:r>
        <w:rPr>
          <w:rFonts w:ascii="Arial" w:cs="Arial" w:eastAsia="Arial" w:hAnsi="Arial"/>
          <w:sz w:val="19"/>
          <w:szCs w:val="19"/>
          <w:color w:val="auto"/>
        </w:rPr>
        <w:t xml:space="preserve">. Except for the representations and warranties of Insurer and the Insurer Parent expressly set forth in this </w:t>
      </w:r>
      <w:r>
        <w:rPr>
          <w:rFonts w:ascii="Arial" w:cs="Arial" w:eastAsia="Arial" w:hAnsi="Arial"/>
          <w:sz w:val="19"/>
          <w:szCs w:val="19"/>
          <w:u w:val="single" w:color="auto"/>
          <w:color w:val="auto"/>
        </w:rPr>
        <w:t>Article</w:t>
      </w:r>
      <w:r>
        <w:rPr>
          <w:rFonts w:ascii="Arial" w:cs="Arial" w:eastAsia="Arial" w:hAnsi="Arial"/>
          <w:sz w:val="19"/>
          <w:szCs w:val="19"/>
          <w:color w:val="auto"/>
        </w:rPr>
        <w:t xml:space="preserve"> V, none of the Insurer Parent, the Insurer, any of their respective Affiliates or any other Person makes any express or implied representation or warranty on behalf of Insurer Parent or the Insurer or any of their respective Affiliates with respect to Insurer Parent, the Insurer, their respective Affiliates, or the transactions contemplated by this Agreement and the Ancillary Agreements (to the extent a party thereto). Insurer Parent and the Insurer acknowledge and agree that the Company and the Independent Fiduciary have relied on the representations set forth in this </w:t>
      </w:r>
      <w:r>
        <w:rPr>
          <w:rFonts w:ascii="Arial" w:cs="Arial" w:eastAsia="Arial" w:hAnsi="Arial"/>
          <w:sz w:val="19"/>
          <w:szCs w:val="19"/>
          <w:u w:val="single" w:color="auto"/>
          <w:color w:val="auto"/>
        </w:rPr>
        <w:t>Article</w:t>
      </w:r>
      <w:r>
        <w:rPr>
          <w:rFonts w:ascii="Arial" w:cs="Arial" w:eastAsia="Arial" w:hAnsi="Arial"/>
          <w:sz w:val="19"/>
          <w:szCs w:val="19"/>
          <w:color w:val="auto"/>
        </w:rPr>
        <w:t xml:space="preserve"> V.</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VI</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PRE CLOSING COVENANTS</w:t>
      </w:r>
    </w:p>
    <w:p>
      <w:pPr>
        <w:spacing w:after="0" w:line="190" w:lineRule="exact"/>
        <w:rPr>
          <w:sz w:val="20"/>
          <w:szCs w:val="20"/>
          <w:color w:val="auto"/>
        </w:rPr>
      </w:pPr>
    </w:p>
    <w:p>
      <w:pPr>
        <w:jc w:val="both"/>
        <w:ind w:firstLine="601"/>
        <w:spacing w:after="0" w:line="275" w:lineRule="auto"/>
        <w:rPr>
          <w:sz w:val="20"/>
          <w:szCs w:val="20"/>
          <w:color w:val="auto"/>
        </w:rPr>
      </w:pPr>
      <w:r>
        <w:rPr>
          <w:rFonts w:ascii="Arial" w:cs="Arial" w:eastAsia="Arial" w:hAnsi="Arial"/>
          <w:sz w:val="20"/>
          <w:szCs w:val="20"/>
          <w:color w:val="auto"/>
        </w:rPr>
        <w:t>The Parties agree as follows with respect to the period between the execution of this Agreement and the Closing (except as otherwise expressly stated to apply to a different period):</w:t>
      </w:r>
    </w:p>
    <w:p>
      <w:pPr>
        <w:spacing w:after="0" w:line="349" w:lineRule="exact"/>
        <w:rPr>
          <w:sz w:val="20"/>
          <w:szCs w:val="20"/>
          <w:color w:val="auto"/>
        </w:rPr>
      </w:pPr>
    </w:p>
    <w:p>
      <w:pPr>
        <w:jc w:val="both"/>
        <w:ind w:firstLine="601"/>
        <w:spacing w:after="0" w:line="304" w:lineRule="auto"/>
        <w:rPr>
          <w:sz w:val="20"/>
          <w:szCs w:val="20"/>
          <w:color w:val="auto"/>
        </w:rPr>
      </w:pPr>
      <w:r>
        <w:rPr>
          <w:rFonts w:ascii="Arial" w:cs="Arial" w:eastAsia="Arial" w:hAnsi="Arial"/>
          <w:sz w:val="18"/>
          <w:szCs w:val="18"/>
          <w:color w:val="auto"/>
        </w:rPr>
        <w:t>Section 6.1 Plan Amendments; Company Certification. The Company shall amend the Plan in a timely manner after the DTFA Execution Date to the extent necessary to effectuate the Plan Spin-Off and Plan Termination as contemplated in this Agreement. In addition, the Company will deliver at or prior to the Closing a true and correct certificate confirming whether or not the following items have occurred:</w:t>
      </w:r>
    </w:p>
    <w:p>
      <w:pPr>
        <w:spacing w:after="0" w:line="127" w:lineRule="exact"/>
        <w:rPr>
          <w:sz w:val="20"/>
          <w:szCs w:val="20"/>
          <w:color w:val="auto"/>
        </w:rPr>
      </w:pPr>
    </w:p>
    <w:p>
      <w:pPr>
        <w:ind w:left="1420" w:hanging="819"/>
        <w:spacing w:after="0"/>
        <w:tabs>
          <w:tab w:leader="none" w:pos="1420" w:val="left"/>
        </w:tabs>
        <w:numPr>
          <w:ilvl w:val="0"/>
          <w:numId w:val="74"/>
        </w:numPr>
        <w:rPr>
          <w:rFonts w:ascii="Arial" w:cs="Arial" w:eastAsia="Arial" w:hAnsi="Arial"/>
          <w:sz w:val="20"/>
          <w:szCs w:val="20"/>
          <w:color w:val="auto"/>
        </w:rPr>
      </w:pPr>
      <w:r>
        <w:rPr>
          <w:rFonts w:ascii="Arial" w:cs="Arial" w:eastAsia="Arial" w:hAnsi="Arial"/>
          <w:sz w:val="20"/>
          <w:szCs w:val="20"/>
          <w:color w:val="auto"/>
        </w:rPr>
        <w:t>the Plan Spin-Off was effected;</w:t>
      </w:r>
    </w:p>
    <w:p>
      <w:pPr>
        <w:spacing w:after="0" w:line="245" w:lineRule="exact"/>
        <w:rPr>
          <w:rFonts w:ascii="Arial" w:cs="Arial" w:eastAsia="Arial" w:hAnsi="Arial"/>
          <w:sz w:val="20"/>
          <w:szCs w:val="20"/>
          <w:color w:val="auto"/>
        </w:rPr>
      </w:pPr>
    </w:p>
    <w:p>
      <w:pPr>
        <w:ind w:left="1440" w:hanging="839"/>
        <w:spacing w:after="0"/>
        <w:tabs>
          <w:tab w:leader="none" w:pos="1440" w:val="left"/>
        </w:tabs>
        <w:numPr>
          <w:ilvl w:val="0"/>
          <w:numId w:val="74"/>
        </w:numPr>
        <w:rPr>
          <w:rFonts w:ascii="Arial" w:cs="Arial" w:eastAsia="Arial" w:hAnsi="Arial"/>
          <w:sz w:val="20"/>
          <w:szCs w:val="20"/>
          <w:color w:val="auto"/>
        </w:rPr>
      </w:pPr>
      <w:r>
        <w:rPr>
          <w:rFonts w:ascii="Arial" w:cs="Arial" w:eastAsia="Arial" w:hAnsi="Arial"/>
          <w:sz w:val="20"/>
          <w:szCs w:val="20"/>
          <w:color w:val="auto"/>
        </w:rPr>
        <w:t>a Notice of Intent to Terminate has been distributed;</w:t>
      </w:r>
    </w:p>
    <w:p>
      <w:pPr>
        <w:spacing w:after="0" w:line="245" w:lineRule="exact"/>
        <w:rPr>
          <w:rFonts w:ascii="Arial" w:cs="Arial" w:eastAsia="Arial" w:hAnsi="Arial"/>
          <w:sz w:val="20"/>
          <w:szCs w:val="20"/>
          <w:color w:val="auto"/>
        </w:rPr>
      </w:pPr>
    </w:p>
    <w:p>
      <w:pPr>
        <w:ind w:left="1420" w:hanging="819"/>
        <w:spacing w:after="0"/>
        <w:tabs>
          <w:tab w:leader="none" w:pos="1420" w:val="left"/>
        </w:tabs>
        <w:numPr>
          <w:ilvl w:val="0"/>
          <w:numId w:val="74"/>
        </w:numPr>
        <w:rPr>
          <w:rFonts w:ascii="Arial" w:cs="Arial" w:eastAsia="Arial" w:hAnsi="Arial"/>
          <w:sz w:val="20"/>
          <w:szCs w:val="20"/>
          <w:color w:val="auto"/>
        </w:rPr>
      </w:pPr>
      <w:r>
        <w:rPr>
          <w:rFonts w:ascii="Arial" w:cs="Arial" w:eastAsia="Arial" w:hAnsi="Arial"/>
          <w:sz w:val="20"/>
          <w:szCs w:val="20"/>
          <w:color w:val="auto"/>
        </w:rPr>
        <w:t>a Notice of Plan Benefits has been distributed;</w:t>
      </w:r>
    </w:p>
    <w:p>
      <w:pPr>
        <w:spacing w:after="0" w:line="245" w:lineRule="exact"/>
        <w:rPr>
          <w:rFonts w:ascii="Arial" w:cs="Arial" w:eastAsia="Arial" w:hAnsi="Arial"/>
          <w:sz w:val="20"/>
          <w:szCs w:val="20"/>
          <w:color w:val="auto"/>
        </w:rPr>
      </w:pPr>
    </w:p>
    <w:p>
      <w:pPr>
        <w:ind w:left="1440" w:hanging="839"/>
        <w:spacing w:after="0"/>
        <w:tabs>
          <w:tab w:leader="none" w:pos="1440" w:val="left"/>
        </w:tabs>
        <w:numPr>
          <w:ilvl w:val="0"/>
          <w:numId w:val="74"/>
        </w:numPr>
        <w:rPr>
          <w:rFonts w:ascii="Arial" w:cs="Arial" w:eastAsia="Arial" w:hAnsi="Arial"/>
          <w:sz w:val="20"/>
          <w:szCs w:val="20"/>
          <w:color w:val="auto"/>
        </w:rPr>
      </w:pPr>
      <w:r>
        <w:rPr>
          <w:rFonts w:ascii="Arial" w:cs="Arial" w:eastAsia="Arial" w:hAnsi="Arial"/>
          <w:sz w:val="20"/>
          <w:szCs w:val="20"/>
          <w:color w:val="auto"/>
        </w:rPr>
        <w:t>the Form 500 has been filed; and</w:t>
      </w:r>
    </w:p>
    <w:p>
      <w:pPr>
        <w:spacing w:after="0" w:line="245" w:lineRule="exact"/>
        <w:rPr>
          <w:rFonts w:ascii="Arial" w:cs="Arial" w:eastAsia="Arial" w:hAnsi="Arial"/>
          <w:sz w:val="20"/>
          <w:szCs w:val="20"/>
          <w:color w:val="auto"/>
        </w:rPr>
      </w:pPr>
    </w:p>
    <w:p>
      <w:pPr>
        <w:ind w:firstLine="601"/>
        <w:spacing w:after="0" w:line="275" w:lineRule="auto"/>
        <w:tabs>
          <w:tab w:leader="none" w:pos="1424" w:val="left"/>
        </w:tabs>
        <w:numPr>
          <w:ilvl w:val="0"/>
          <w:numId w:val="74"/>
        </w:numPr>
        <w:rPr>
          <w:rFonts w:ascii="Arial" w:cs="Arial" w:eastAsia="Arial" w:hAnsi="Arial"/>
          <w:sz w:val="20"/>
          <w:szCs w:val="20"/>
          <w:color w:val="auto"/>
        </w:rPr>
      </w:pPr>
      <w:r>
        <w:rPr>
          <w:rFonts w:ascii="Arial" w:cs="Arial" w:eastAsia="Arial" w:hAnsi="Arial"/>
          <w:sz w:val="20"/>
          <w:szCs w:val="20"/>
          <w:color w:val="auto"/>
        </w:rPr>
        <w:t>all Lump-Sum Payments have been made prior to the end of the Lump-Sum Payment Period from Plan Assets in accordance with the Lump-Sum Elections.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ectPr>
          <w:pgSz w:w="11900" w:h="16838" w:orient="portrait"/>
          <w:cols w:equalWidth="0" w:num="1">
            <w:col w:w="11420"/>
          </w:cols>
          <w:pgMar w:left="240" w:top="794" w:right="239" w:bottom="1440" w:gutter="0" w:footer="0" w:header="0"/>
        </w:sectPr>
      </w:pPr>
    </w:p>
    <w:bookmarkStart w:id="57" w:name="page58"/>
    <w:bookmarkEnd w:id="57"/>
    <w:p>
      <w:pPr>
        <w:jc w:val="both"/>
        <w:ind w:firstLine="601"/>
        <w:spacing w:after="0" w:line="275" w:lineRule="auto"/>
        <w:rPr>
          <w:sz w:val="20"/>
          <w:szCs w:val="20"/>
          <w:color w:val="auto"/>
        </w:rPr>
      </w:pPr>
      <w:r>
        <w:rPr>
          <w:rFonts w:ascii="Arial" w:cs="Arial" w:eastAsia="Arial" w:hAnsi="Arial"/>
          <w:sz w:val="19"/>
          <w:szCs w:val="19"/>
          <w:color w:val="auto"/>
        </w:rPr>
        <w:t xml:space="preserve">Section 6.2 </w:t>
      </w:r>
      <w:r>
        <w:rPr>
          <w:rFonts w:ascii="Arial" w:cs="Arial" w:eastAsia="Arial" w:hAnsi="Arial"/>
          <w:sz w:val="19"/>
          <w:szCs w:val="19"/>
          <w:u w:val="single" w:color="auto"/>
          <w:color w:val="auto"/>
        </w:rPr>
        <w:t>Notice of Material Litigation</w:t>
      </w:r>
      <w:r>
        <w:rPr>
          <w:rFonts w:ascii="Arial" w:cs="Arial" w:eastAsia="Arial" w:hAnsi="Arial"/>
          <w:sz w:val="19"/>
          <w:szCs w:val="19"/>
          <w:color w:val="auto"/>
        </w:rPr>
        <w:t>. Between the DTFA Execution Date and the Closing Date, if (</w:t>
      </w:r>
      <w:r>
        <w:rPr>
          <w:rFonts w:ascii="Arial" w:cs="Arial" w:eastAsia="Arial" w:hAnsi="Arial"/>
          <w:sz w:val="19"/>
          <w:szCs w:val="19"/>
          <w:u w:val="single" w:color="auto"/>
          <w:color w:val="auto"/>
        </w:rPr>
        <w:t>i</w:t>
      </w:r>
      <w:r>
        <w:rPr>
          <w:rFonts w:ascii="Arial" w:cs="Arial" w:eastAsia="Arial" w:hAnsi="Arial"/>
          <w:sz w:val="19"/>
          <w:szCs w:val="19"/>
          <w:color w:val="auto"/>
        </w:rPr>
        <w:t>) the Company, the Plan or any fiduciary of the Plan, or (</w:t>
      </w:r>
      <w:r>
        <w:rPr>
          <w:rFonts w:ascii="Arial" w:cs="Arial" w:eastAsia="Arial" w:hAnsi="Arial"/>
          <w:sz w:val="19"/>
          <w:szCs w:val="19"/>
          <w:u w:val="single" w:color="auto"/>
          <w:color w:val="auto"/>
        </w:rPr>
        <w:t>ii</w:t>
      </w:r>
      <w:r>
        <w:rPr>
          <w:rFonts w:ascii="Arial" w:cs="Arial" w:eastAsia="Arial" w:hAnsi="Arial"/>
          <w:sz w:val="19"/>
          <w:szCs w:val="19"/>
          <w:color w:val="auto"/>
        </w:rPr>
        <w:t>) the Insurer or the Insurer Parent, becomes involved in any Material Litigation (except for PBGC review of the Plan's Standard Termination) then the Company (in the case of clause (i)) or the Insurer (in the case of clause (ii)) shall notify such other Party of such Material Litigation within ten (10) Business Days of the date on which it learns of such Material Litigation.</w:t>
      </w:r>
    </w:p>
    <w:p>
      <w:pPr>
        <w:spacing w:after="0" w:line="150" w:lineRule="exact"/>
        <w:rPr>
          <w:sz w:val="20"/>
          <w:szCs w:val="20"/>
          <w:color w:val="auto"/>
        </w:rPr>
      </w:pPr>
    </w:p>
    <w:p>
      <w:pPr>
        <w:ind w:left="600"/>
        <w:spacing w:after="0"/>
        <w:tabs>
          <w:tab w:leader="none" w:pos="1680" w:val="left"/>
        </w:tabs>
        <w:rPr>
          <w:sz w:val="20"/>
          <w:szCs w:val="20"/>
          <w:color w:val="auto"/>
        </w:rPr>
      </w:pPr>
      <w:r>
        <w:rPr>
          <w:rFonts w:ascii="Arial" w:cs="Arial" w:eastAsia="Arial" w:hAnsi="Arial"/>
          <w:sz w:val="20"/>
          <w:szCs w:val="20"/>
          <w:color w:val="auto"/>
        </w:rPr>
        <w:t>Section 6.3</w:t>
      </w:r>
      <w:r>
        <w:rPr>
          <w:sz w:val="20"/>
          <w:szCs w:val="20"/>
          <w:color w:val="auto"/>
        </w:rPr>
        <w:tab/>
      </w:r>
      <w:r>
        <w:rPr>
          <w:rFonts w:ascii="Arial" w:cs="Arial" w:eastAsia="Arial" w:hAnsi="Arial"/>
          <w:sz w:val="18"/>
          <w:szCs w:val="18"/>
          <w:u w:val="single" w:color="auto"/>
          <w:color w:val="auto"/>
        </w:rPr>
        <w:t>Efforts to Close; Regulatory Clearances; Third-Party Consents</w:t>
      </w:r>
      <w:r>
        <w:rPr>
          <w:rFonts w:ascii="Arial" w:cs="Arial" w:eastAsia="Arial" w:hAnsi="Arial"/>
          <w:sz w:val="18"/>
          <w:szCs w:val="18"/>
          <w:color w:val="auto"/>
        </w:rPr>
        <w:t>.</w:t>
      </w:r>
    </w:p>
    <w:p>
      <w:pPr>
        <w:spacing w:after="0" w:line="246" w:lineRule="exact"/>
        <w:rPr>
          <w:sz w:val="20"/>
          <w:szCs w:val="20"/>
          <w:color w:val="auto"/>
        </w:rPr>
      </w:pPr>
    </w:p>
    <w:p>
      <w:pPr>
        <w:jc w:val="both"/>
        <w:ind w:firstLine="601"/>
        <w:spacing w:after="0" w:line="279" w:lineRule="auto"/>
        <w:tabs>
          <w:tab w:leader="none" w:pos="1121" w:val="left"/>
        </w:tabs>
        <w:numPr>
          <w:ilvl w:val="0"/>
          <w:numId w:val="75"/>
        </w:numPr>
        <w:rPr>
          <w:rFonts w:ascii="Arial" w:cs="Arial" w:eastAsia="Arial" w:hAnsi="Arial"/>
          <w:sz w:val="18"/>
          <w:szCs w:val="18"/>
          <w:color w:val="auto"/>
        </w:rPr>
      </w:pPr>
      <w:r>
        <w:rPr>
          <w:rFonts w:ascii="Arial" w:cs="Arial" w:eastAsia="Arial" w:hAnsi="Arial"/>
          <w:sz w:val="18"/>
          <w:szCs w:val="18"/>
          <w:color w:val="auto"/>
        </w:rPr>
        <w:t>In addition to the actions specifically provided for elsewhere in this Agreement or in any Ancillary Agreement, each of the Parties will cooperate with each other and use (and, except with respect to the Independent Fiduciary, will cause their respective Affiliates to use) their respective commercially reasonable efforts to take, or to cause to be taken, all actions, and to do, or to cause to be done, all things reasonably necessary on its part to consummate the Closing. Without limiting the generality of the foregoing, (</w:t>
      </w:r>
      <w:r>
        <w:rPr>
          <w:rFonts w:ascii="Arial" w:cs="Arial" w:eastAsia="Arial" w:hAnsi="Arial"/>
          <w:sz w:val="18"/>
          <w:szCs w:val="18"/>
          <w:u w:val="single" w:color="auto"/>
          <w:color w:val="auto"/>
        </w:rPr>
        <w:t>i</w:t>
      </w:r>
      <w:r>
        <w:rPr>
          <w:rFonts w:ascii="Arial" w:cs="Arial" w:eastAsia="Arial" w:hAnsi="Arial"/>
          <w:sz w:val="18"/>
          <w:szCs w:val="18"/>
          <w:color w:val="auto"/>
        </w:rPr>
        <w:t>) the Company shall use its commercially reasonable efforts to obtain and to cause others to obtain, as soon as practicable, the Governmental Approvals (including the</w:t>
      </w:r>
    </w:p>
    <w:p>
      <w:pPr>
        <w:spacing w:after="0" w:line="4"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 xml:space="preserve">Governmental Approvals set forth on </w:t>
      </w:r>
      <w:r>
        <w:rPr>
          <w:rFonts w:ascii="Arial" w:cs="Arial" w:eastAsia="Arial" w:hAnsi="Arial"/>
          <w:sz w:val="18"/>
          <w:szCs w:val="18"/>
          <w:u w:val="single" w:color="auto"/>
          <w:color w:val="auto"/>
        </w:rPr>
        <w:t>Appendix 8.2(e</w:t>
      </w:r>
      <w:r>
        <w:rPr>
          <w:rFonts w:ascii="Arial" w:cs="Arial" w:eastAsia="Arial" w:hAnsi="Arial"/>
          <w:sz w:val="18"/>
          <w:szCs w:val="18"/>
          <w:color w:val="auto"/>
        </w:rPr>
        <w:t>)) and any consents required in connection with [ *** ] at the Closing, that may be or become necessary for the performance of its obligations under this Agreement and the Ancillary Agreements and the consummation of the transactions contemplated herein and therein, including cooperating with the Plan in carrying out the Standard Termination and the Lump-Sum Solicitation, and will cooperate fully with each other in promptly seeking to obtain such Governmental Approvals and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the Insurer Parent and the Insurer shall use their commercially reasonable efforts to obtain and to cause others to obtain, as soon as practicable, the Governmental Approvals (including the Governmental Approvals set forth on </w:t>
      </w:r>
      <w:r>
        <w:rPr>
          <w:rFonts w:ascii="Arial" w:cs="Arial" w:eastAsia="Arial" w:hAnsi="Arial"/>
          <w:sz w:val="18"/>
          <w:szCs w:val="18"/>
          <w:u w:val="single" w:color="auto"/>
          <w:color w:val="auto"/>
        </w:rPr>
        <w:t>Appendix 8.2(d)</w:t>
      </w:r>
      <w:r>
        <w:rPr>
          <w:rFonts w:ascii="Arial" w:cs="Arial" w:eastAsia="Arial" w:hAnsi="Arial"/>
          <w:sz w:val="18"/>
          <w:szCs w:val="18"/>
          <w:color w:val="auto"/>
        </w:rPr>
        <w:t>) that may be or become necessary for the performance of its obligations under this Agreement and the Ancillary Agreements and the consummation of the transactions contemplated herein and therein. Without limiting the foregoing and subject to applicable legal limitations and the instructions of any Governmental Authority, each of the Parties agrees to (</w:t>
      </w:r>
      <w:r>
        <w:rPr>
          <w:rFonts w:ascii="Arial" w:cs="Arial" w:eastAsia="Arial" w:hAnsi="Arial"/>
          <w:sz w:val="18"/>
          <w:szCs w:val="18"/>
          <w:u w:val="single" w:color="auto"/>
          <w:color w:val="auto"/>
        </w:rPr>
        <w:t>A</w:t>
      </w:r>
      <w:r>
        <w:rPr>
          <w:rFonts w:ascii="Arial" w:cs="Arial" w:eastAsia="Arial" w:hAnsi="Arial"/>
          <w:sz w:val="18"/>
          <w:szCs w:val="18"/>
          <w:color w:val="auto"/>
        </w:rPr>
        <w:t>) reasonably cooperate and consult with one another, (</w:t>
      </w:r>
      <w:r>
        <w:rPr>
          <w:rFonts w:ascii="Arial" w:cs="Arial" w:eastAsia="Arial" w:hAnsi="Arial"/>
          <w:sz w:val="18"/>
          <w:szCs w:val="18"/>
          <w:u w:val="single" w:color="auto"/>
          <w:color w:val="auto"/>
        </w:rPr>
        <w:t>B</w:t>
      </w:r>
      <w:r>
        <w:rPr>
          <w:rFonts w:ascii="Arial" w:cs="Arial" w:eastAsia="Arial" w:hAnsi="Arial"/>
          <w:sz w:val="18"/>
          <w:szCs w:val="18"/>
          <w:color w:val="auto"/>
        </w:rPr>
        <w:t>) furnish to the other Parties such necessary information and assistance as such other Party may reasonably request in connection with its preparation of any notifications or filings, (</w:t>
      </w:r>
      <w:r>
        <w:rPr>
          <w:rFonts w:ascii="Arial" w:cs="Arial" w:eastAsia="Arial" w:hAnsi="Arial"/>
          <w:sz w:val="18"/>
          <w:szCs w:val="18"/>
          <w:u w:val="single" w:color="auto"/>
          <w:color w:val="auto"/>
        </w:rPr>
        <w:t>C</w:t>
      </w:r>
      <w:r>
        <w:rPr>
          <w:rFonts w:ascii="Arial" w:cs="Arial" w:eastAsia="Arial" w:hAnsi="Arial"/>
          <w:sz w:val="18"/>
          <w:szCs w:val="18"/>
          <w:color w:val="auto"/>
        </w:rPr>
        <w:t>) keep each other apprised of the status of matters relating to the completion of the transactions contemplated thereby, including furnishing the other with copies of material notices or communications received by such Party from any third party or any Governmental Authority with respect to such transactions, within five (5) Business Days of receipt thereof, and (</w:t>
      </w:r>
      <w:r>
        <w:rPr>
          <w:rFonts w:ascii="Arial" w:cs="Arial" w:eastAsia="Arial" w:hAnsi="Arial"/>
          <w:sz w:val="18"/>
          <w:szCs w:val="18"/>
          <w:u w:val="single" w:color="auto"/>
          <w:color w:val="auto"/>
        </w:rPr>
        <w:t>D</w:t>
      </w:r>
      <w:r>
        <w:rPr>
          <w:rFonts w:ascii="Arial" w:cs="Arial" w:eastAsia="Arial" w:hAnsi="Arial"/>
          <w:sz w:val="18"/>
          <w:szCs w:val="18"/>
          <w:color w:val="auto"/>
        </w:rPr>
        <w:t>) to the extent reasonably practicable, permit the other Parties to review and incorporate the other Party's reasonable comments in any material communication to be given by it to any Governmental Authority with respect to obtaining the necessary approvals for the transactions contemplated by this Agreement.</w:t>
      </w:r>
    </w:p>
    <w:p>
      <w:pPr>
        <w:spacing w:after="0" w:line="191" w:lineRule="exact"/>
        <w:rPr>
          <w:sz w:val="20"/>
          <w:szCs w:val="20"/>
          <w:color w:val="auto"/>
        </w:rPr>
      </w:pPr>
    </w:p>
    <w:p>
      <w:pPr>
        <w:jc w:val="both"/>
        <w:ind w:firstLine="601"/>
        <w:spacing w:after="0" w:line="255" w:lineRule="auto"/>
        <w:tabs>
          <w:tab w:leader="none" w:pos="1092" w:val="left"/>
        </w:tabs>
        <w:numPr>
          <w:ilvl w:val="0"/>
          <w:numId w:val="76"/>
        </w:numPr>
        <w:rPr>
          <w:rFonts w:ascii="Arial" w:cs="Arial" w:eastAsia="Arial" w:hAnsi="Arial"/>
          <w:sz w:val="20"/>
          <w:szCs w:val="20"/>
          <w:color w:val="auto"/>
        </w:rPr>
      </w:pPr>
      <w:r>
        <w:rPr>
          <w:rFonts w:ascii="Arial" w:cs="Arial" w:eastAsia="Arial" w:hAnsi="Arial"/>
          <w:sz w:val="20"/>
          <w:szCs w:val="20"/>
          <w:color w:val="auto"/>
        </w:rPr>
        <w:t xml:space="preserve">Without limiting the generality of </w:t>
      </w:r>
      <w:r>
        <w:rPr>
          <w:rFonts w:ascii="Arial" w:cs="Arial" w:eastAsia="Arial" w:hAnsi="Arial"/>
          <w:sz w:val="20"/>
          <w:szCs w:val="20"/>
          <w:u w:val="single" w:color="auto"/>
          <w:color w:val="auto"/>
        </w:rPr>
        <w:t>Section 6.3(a)</w:t>
      </w:r>
      <w:r>
        <w:rPr>
          <w:rFonts w:ascii="Arial" w:cs="Arial" w:eastAsia="Arial" w:hAnsi="Arial"/>
          <w:sz w:val="20"/>
          <w:szCs w:val="20"/>
          <w:color w:val="auto"/>
        </w:rPr>
        <w:t xml:space="preserve"> where the cooperation of third parties that are not Governmental Authorities, such as a trustee or record keeper, would be necessary in order for a Party to completely fulfill its obligations under this Agreement or any Ancillary Agreement, such Party will use its commercially reasonable efforts to cause such third parties to provide such cooperation. Without limiting the generality of the foregoing, the Parties shall use commercially reasonable efforts to work with the Plan Trustee to sign the Plan Trustee Agreement or to seek mutually agreeable alternative arrangements.</w:t>
      </w:r>
    </w:p>
    <w:p>
      <w:pPr>
        <w:spacing w:after="0" w:line="205" w:lineRule="exact"/>
        <w:rPr>
          <w:rFonts w:ascii="Arial" w:cs="Arial" w:eastAsia="Arial" w:hAnsi="Arial"/>
          <w:sz w:val="20"/>
          <w:szCs w:val="20"/>
          <w:color w:val="auto"/>
        </w:rPr>
      </w:pPr>
    </w:p>
    <w:p>
      <w:pPr>
        <w:jc w:val="both"/>
        <w:ind w:firstLine="601"/>
        <w:spacing w:after="0" w:line="257" w:lineRule="auto"/>
        <w:tabs>
          <w:tab w:leader="none" w:pos="1075" w:val="left"/>
        </w:tabs>
        <w:numPr>
          <w:ilvl w:val="0"/>
          <w:numId w:val="76"/>
        </w:numPr>
        <w:rPr>
          <w:rFonts w:ascii="Arial" w:cs="Arial" w:eastAsia="Arial" w:hAnsi="Arial"/>
          <w:sz w:val="20"/>
          <w:szCs w:val="20"/>
          <w:color w:val="auto"/>
        </w:rPr>
      </w:pPr>
      <w:r>
        <w:rPr>
          <w:rFonts w:ascii="Arial" w:cs="Arial" w:eastAsia="Arial" w:hAnsi="Arial"/>
          <w:sz w:val="20"/>
          <w:szCs w:val="20"/>
          <w:color w:val="auto"/>
        </w:rPr>
        <w:t xml:space="preserve">Without limiting the generality of </w:t>
      </w:r>
      <w:r>
        <w:rPr>
          <w:rFonts w:ascii="Arial" w:cs="Arial" w:eastAsia="Arial" w:hAnsi="Arial"/>
          <w:sz w:val="20"/>
          <w:szCs w:val="20"/>
          <w:u w:val="single" w:color="auto"/>
          <w:color w:val="auto"/>
        </w:rPr>
        <w:t>Section 6.3(a)</w:t>
      </w:r>
      <w:r>
        <w:rPr>
          <w:rFonts w:ascii="Arial" w:cs="Arial" w:eastAsia="Arial" w:hAnsi="Arial"/>
          <w:sz w:val="20"/>
          <w:szCs w:val="20"/>
          <w:color w:val="auto"/>
        </w:rPr>
        <w:t>, the Company shall periodically update the Insurer, upon Insurer's reasonable request, from and after the DTFA Execution Date through the Closing Date with respect to progress regarding (</w:t>
      </w:r>
      <w:r>
        <w:rPr>
          <w:rFonts w:ascii="Arial" w:cs="Arial" w:eastAsia="Arial" w:hAnsi="Arial"/>
          <w:sz w:val="20"/>
          <w:szCs w:val="20"/>
          <w:u w:val="single" w:color="auto"/>
          <w:color w:val="auto"/>
        </w:rPr>
        <w:t>i</w:t>
      </w:r>
      <w:r>
        <w:rPr>
          <w:rFonts w:ascii="Arial" w:cs="Arial" w:eastAsia="Arial" w:hAnsi="Arial"/>
          <w:sz w:val="20"/>
          <w:szCs w:val="20"/>
          <w:color w:val="auto"/>
        </w:rPr>
        <w:t>) the filing of the Form 500, (</w:t>
      </w:r>
      <w:r>
        <w:rPr>
          <w:rFonts w:ascii="Arial" w:cs="Arial" w:eastAsia="Arial" w:hAnsi="Arial"/>
          <w:sz w:val="20"/>
          <w:szCs w:val="20"/>
          <w:u w:val="single" w:color="auto"/>
          <w:color w:val="auto"/>
        </w:rPr>
        <w:t>ii</w:t>
      </w:r>
      <w:r>
        <w:rPr>
          <w:rFonts w:ascii="Arial" w:cs="Arial" w:eastAsia="Arial" w:hAnsi="Arial"/>
          <w:sz w:val="20"/>
          <w:szCs w:val="20"/>
          <w:color w:val="auto"/>
        </w:rPr>
        <w:t>) the completion of the Lump-Sum Solicitation, (</w:t>
      </w:r>
      <w:r>
        <w:rPr>
          <w:rFonts w:ascii="Arial" w:cs="Arial" w:eastAsia="Arial" w:hAnsi="Arial"/>
          <w:sz w:val="20"/>
          <w:szCs w:val="20"/>
          <w:u w:val="single" w:color="auto"/>
          <w:color w:val="auto"/>
        </w:rPr>
        <w:t>iii</w:t>
      </w:r>
      <w:r>
        <w:rPr>
          <w:rFonts w:ascii="Arial" w:cs="Arial" w:eastAsia="Arial" w:hAnsi="Arial"/>
          <w:sz w:val="20"/>
          <w:szCs w:val="20"/>
          <w:color w:val="auto"/>
        </w:rPr>
        <w:t>) the completion of the Plan Spin-Off, and (</w:t>
      </w:r>
      <w:r>
        <w:rPr>
          <w:rFonts w:ascii="Arial" w:cs="Arial" w:eastAsia="Arial" w:hAnsi="Arial"/>
          <w:sz w:val="20"/>
          <w:szCs w:val="20"/>
          <w:u w:val="single" w:color="auto"/>
          <w:color w:val="auto"/>
        </w:rPr>
        <w:t>iv</w:t>
      </w:r>
      <w:r>
        <w:rPr>
          <w:rFonts w:ascii="Arial" w:cs="Arial" w:eastAsia="Arial" w:hAnsi="Arial"/>
          <w:sz w:val="20"/>
          <w:szCs w:val="20"/>
          <w:color w:val="auto"/>
        </w:rPr>
        <w:t>) other discussions with Governmental Authorities regarding the Plan Termination.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ectPr>
          <w:pgSz w:w="11900" w:h="16838" w:orient="portrait"/>
          <w:cols w:equalWidth="0" w:num="1">
            <w:col w:w="11420"/>
          </w:cols>
          <w:pgMar w:left="240" w:top="994" w:right="239" w:bottom="1440" w:gutter="0" w:footer="0" w:header="0"/>
        </w:sectPr>
      </w:pPr>
    </w:p>
    <w:bookmarkStart w:id="58" w:name="page59"/>
    <w:bookmarkEnd w:id="58"/>
    <w:p>
      <w:pPr>
        <w:ind w:left="600"/>
        <w:spacing w:after="0"/>
        <w:tabs>
          <w:tab w:leader="none" w:pos="1680" w:val="left"/>
        </w:tabs>
        <w:rPr>
          <w:sz w:val="20"/>
          <w:szCs w:val="20"/>
          <w:color w:val="auto"/>
        </w:rPr>
      </w:pPr>
      <w:r>
        <w:rPr>
          <w:rFonts w:ascii="Arial" w:cs="Arial" w:eastAsia="Arial" w:hAnsi="Arial"/>
          <w:sz w:val="20"/>
          <w:szCs w:val="20"/>
          <w:color w:val="auto"/>
        </w:rPr>
        <w:t>Section 6.4</w:t>
      </w:r>
      <w:r>
        <w:rPr>
          <w:sz w:val="20"/>
          <w:szCs w:val="20"/>
          <w:color w:val="auto"/>
        </w:rPr>
        <w:tab/>
      </w:r>
      <w:r>
        <w:rPr>
          <w:rFonts w:ascii="Arial" w:cs="Arial" w:eastAsia="Arial" w:hAnsi="Arial"/>
          <w:sz w:val="18"/>
          <w:szCs w:val="18"/>
          <w:u w:val="single" w:color="auto"/>
          <w:color w:val="auto"/>
        </w:rPr>
        <w:t>Public Announcements; SEC Filings</w:t>
      </w:r>
      <w:r>
        <w:rPr>
          <w:rFonts w:ascii="Arial" w:cs="Arial" w:eastAsia="Arial" w:hAnsi="Arial"/>
          <w:sz w:val="18"/>
          <w:szCs w:val="18"/>
          <w:color w:val="auto"/>
        </w:rPr>
        <w:t>.</w:t>
      </w:r>
    </w:p>
    <w:p>
      <w:pPr>
        <w:spacing w:after="0" w:line="246" w:lineRule="exact"/>
        <w:rPr>
          <w:sz w:val="20"/>
          <w:szCs w:val="20"/>
          <w:color w:val="auto"/>
        </w:rPr>
      </w:pPr>
    </w:p>
    <w:p>
      <w:pPr>
        <w:jc w:val="both"/>
        <w:ind w:firstLine="601"/>
        <w:spacing w:after="0" w:line="253" w:lineRule="auto"/>
        <w:tabs>
          <w:tab w:leader="none" w:pos="1029" w:val="left"/>
        </w:tabs>
        <w:numPr>
          <w:ilvl w:val="0"/>
          <w:numId w:val="77"/>
        </w:numPr>
        <w:rPr>
          <w:rFonts w:ascii="Arial" w:cs="Arial" w:eastAsia="Arial" w:hAnsi="Arial"/>
          <w:sz w:val="20"/>
          <w:szCs w:val="20"/>
          <w:color w:val="auto"/>
        </w:rPr>
      </w:pPr>
      <w:r>
        <w:rPr>
          <w:rFonts w:ascii="Arial" w:cs="Arial" w:eastAsia="Arial" w:hAnsi="Arial"/>
          <w:sz w:val="20"/>
          <w:szCs w:val="20"/>
          <w:color w:val="auto"/>
        </w:rPr>
        <w:t>Each of the Company and the Insurer shall issue a press release announcing the execution and delivery of this Agreement and the transactions contemplated hereby (collectively, the “</w:t>
      </w:r>
      <w:r>
        <w:rPr>
          <w:rFonts w:ascii="Arial" w:cs="Arial" w:eastAsia="Arial" w:hAnsi="Arial"/>
          <w:sz w:val="20"/>
          <w:szCs w:val="20"/>
          <w:u w:val="single" w:color="auto"/>
          <w:color w:val="auto"/>
        </w:rPr>
        <w:t>Transaction Announcements</w:t>
      </w:r>
      <w:r>
        <w:rPr>
          <w:rFonts w:ascii="Arial" w:cs="Arial" w:eastAsia="Arial" w:hAnsi="Arial"/>
          <w:sz w:val="20"/>
          <w:szCs w:val="20"/>
          <w:color w:val="auto"/>
        </w:rPr>
        <w:t>”). Each of the Company and the Insurer shall provide a draft of such Transaction Announcement, and any related Form 8-K filing, to the other Party (and to the Independent Fiduciary, to the extent such Transaction Announcement references State Street Bank and Trust Company, or the role, duties or conclusions of the Independent Fiduciary) for review prior to the issuance thereof and shall consider any comments made by such other Party (or the Independent Fiduciary, as applicable) in good faith.</w:t>
      </w:r>
    </w:p>
    <w:p>
      <w:pPr>
        <w:spacing w:after="0" w:line="210" w:lineRule="exact"/>
        <w:rPr>
          <w:rFonts w:ascii="Arial" w:cs="Arial" w:eastAsia="Arial" w:hAnsi="Arial"/>
          <w:sz w:val="20"/>
          <w:szCs w:val="20"/>
          <w:color w:val="auto"/>
        </w:rPr>
      </w:pPr>
    </w:p>
    <w:p>
      <w:pPr>
        <w:jc w:val="both"/>
        <w:ind w:firstLine="601"/>
        <w:spacing w:after="0" w:line="271" w:lineRule="auto"/>
        <w:tabs>
          <w:tab w:leader="none" w:pos="1037" w:val="left"/>
        </w:tabs>
        <w:numPr>
          <w:ilvl w:val="0"/>
          <w:numId w:val="77"/>
        </w:numPr>
        <w:rPr>
          <w:rFonts w:ascii="Arial" w:cs="Arial" w:eastAsia="Arial" w:hAnsi="Arial"/>
          <w:sz w:val="19"/>
          <w:szCs w:val="19"/>
          <w:color w:val="auto"/>
        </w:rPr>
      </w:pPr>
      <w:r>
        <w:rPr>
          <w:rFonts w:ascii="Arial" w:cs="Arial" w:eastAsia="Arial" w:hAnsi="Arial"/>
          <w:sz w:val="19"/>
          <w:szCs w:val="19"/>
          <w:color w:val="auto"/>
        </w:rPr>
        <w:t>From the DTFA Execution Date through the Closing, the Company, the Independent Fiduciary and the Insurer shall not, and each shall cause their respective Affiliates not to, publish any press releases, or publish any other public statements (including to securities analysts), that contradicts or is inconsistent with the Transaction Announcements, without the prior approval of the other Parties, such approval not to be unreasonably withheld, conditioned or delayed, except as such Party determines in good faith may be required by Law or in connection with obligations pursuant to any listing agreement with any national securities exchange.</w:t>
      </w:r>
    </w:p>
    <w:p>
      <w:pPr>
        <w:spacing w:after="0" w:line="193" w:lineRule="exact"/>
        <w:rPr>
          <w:rFonts w:ascii="Arial" w:cs="Arial" w:eastAsia="Arial" w:hAnsi="Arial"/>
          <w:sz w:val="19"/>
          <w:szCs w:val="19"/>
          <w:color w:val="auto"/>
        </w:rPr>
      </w:pPr>
    </w:p>
    <w:p>
      <w:pPr>
        <w:jc w:val="both"/>
        <w:ind w:firstLine="601"/>
        <w:spacing w:after="0" w:line="253" w:lineRule="auto"/>
        <w:tabs>
          <w:tab w:leader="none" w:pos="1049" w:val="left"/>
        </w:tabs>
        <w:numPr>
          <w:ilvl w:val="0"/>
          <w:numId w:val="77"/>
        </w:numPr>
        <w:rPr>
          <w:rFonts w:ascii="Arial" w:cs="Arial" w:eastAsia="Arial" w:hAnsi="Arial"/>
          <w:sz w:val="20"/>
          <w:szCs w:val="20"/>
          <w:color w:val="auto"/>
        </w:rPr>
      </w:pPr>
      <w:r>
        <w:rPr>
          <w:rFonts w:ascii="Arial" w:cs="Arial" w:eastAsia="Arial" w:hAnsi="Arial"/>
          <w:sz w:val="20"/>
          <w:szCs w:val="20"/>
          <w:color w:val="auto"/>
        </w:rPr>
        <w:t xml:space="preserve">Subject to paragraph (b) above, the Company and the Insurer each may make such public written or oral statements, as it deems necessary or appropriate, in its sole discretion,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each such Party shall seek to give the other Party a reasonable opportunity to comment upon such statements in advance to the extent practicable, it being understood that neither the Company nor the Insurer shall have any right of approval over public statements by the other Party, except to the extent contemplated by paragraph (b) above. Subject to paragraph (b) above, the Independent Fiduciary may make such written or oral statements as it deems necessary or appropriate to respond to press inquiries.</w:t>
      </w:r>
    </w:p>
    <w:p>
      <w:pPr>
        <w:spacing w:after="0" w:line="210" w:lineRule="exact"/>
        <w:rPr>
          <w:rFonts w:ascii="Arial" w:cs="Arial" w:eastAsia="Arial" w:hAnsi="Arial"/>
          <w:sz w:val="20"/>
          <w:szCs w:val="20"/>
          <w:color w:val="auto"/>
        </w:rPr>
      </w:pPr>
    </w:p>
    <w:p>
      <w:pPr>
        <w:jc w:val="both"/>
        <w:ind w:firstLine="601"/>
        <w:spacing w:after="0" w:line="264" w:lineRule="auto"/>
        <w:tabs>
          <w:tab w:leader="none" w:pos="1218" w:val="left"/>
        </w:tabs>
        <w:numPr>
          <w:ilvl w:val="0"/>
          <w:numId w:val="77"/>
        </w:numPr>
        <w:rPr>
          <w:rFonts w:ascii="Arial" w:cs="Arial" w:eastAsia="Arial" w:hAnsi="Arial"/>
          <w:sz w:val="19"/>
          <w:szCs w:val="19"/>
          <w:color w:val="auto"/>
        </w:rPr>
      </w:pPr>
      <w:r>
        <w:rPr>
          <w:rFonts w:ascii="Arial" w:cs="Arial" w:eastAsia="Arial" w:hAnsi="Arial"/>
          <w:sz w:val="19"/>
          <w:szCs w:val="19"/>
          <w:color w:val="auto"/>
        </w:rPr>
        <w:t>Regulatory filings and other public communications regarding Governmental Approvals made by the Company, and all statements to Plan Participants and Plan Beneficiaries related to the Transaction, may be made in the sole discretion of the Company following the DTFA Execution Date; provided that any such regulatory filings or public communications regarding Governmental Approvals or any statements to Plan Participants and Plan Beneficiaries that describe the Insurer or the Group Annuity Contract shall be consistent in all material respects with the description of the Insurer and the Group Annuity Contract contained in the Company's Lump-Sum Solicitation. The Company shall provide copies of all such regulatory filings and public communications to Plan Participants and Plan Beneficiaries, in each case, to the Insurer and the Independent Fiduciary within ten (10) Business Days prior to the publication thereof if the description of the Insurer or the Group Annuity Contract in such regulatory filing or public communication will not be consistent in a material respect with the description contained in the Company's Lump-Sum Solicitation (and, if such description is consistent in a material respect with the description contained in the Company's Lump-Sum Solicitation, then the Company shall provide the Insurer and the Independent Fiduciary a copy of such regulatory filing or public communication reasonably promptly after the date on which it is first used, it being understood that the Company will not be required to provide copies of materials that are substantially similar to materials that have previously been shared with Insurer and the Independent Fiduciary).</w:t>
      </w:r>
    </w:p>
    <w:p>
      <w:pPr>
        <w:spacing w:after="0" w:line="205" w:lineRule="exact"/>
        <w:rPr>
          <w:rFonts w:ascii="Arial" w:cs="Arial" w:eastAsia="Arial" w:hAnsi="Arial"/>
          <w:sz w:val="19"/>
          <w:szCs w:val="19"/>
          <w:color w:val="auto"/>
        </w:rPr>
      </w:pPr>
    </w:p>
    <w:p>
      <w:pPr>
        <w:jc w:val="both"/>
        <w:ind w:firstLine="601"/>
        <w:spacing w:after="0" w:line="304" w:lineRule="auto"/>
        <w:tabs>
          <w:tab w:leader="none" w:pos="1052" w:val="left"/>
        </w:tabs>
        <w:numPr>
          <w:ilvl w:val="0"/>
          <w:numId w:val="77"/>
        </w:numPr>
        <w:rPr>
          <w:rFonts w:ascii="Arial" w:cs="Arial" w:eastAsia="Arial" w:hAnsi="Arial"/>
          <w:sz w:val="18"/>
          <w:szCs w:val="18"/>
          <w:color w:val="auto"/>
        </w:rPr>
      </w:pPr>
      <w:r>
        <w:rPr>
          <w:rFonts w:ascii="Arial" w:cs="Arial" w:eastAsia="Arial" w:hAnsi="Arial"/>
          <w:sz w:val="18"/>
          <w:szCs w:val="18"/>
          <w:color w:val="auto"/>
        </w:rPr>
        <w:t xml:space="preserve">The Insurer shall provide copies of all regulatory filings and other public communications regarding Government Approvals set forth on </w:t>
      </w:r>
      <w:r>
        <w:rPr>
          <w:rFonts w:ascii="Arial" w:cs="Arial" w:eastAsia="Arial" w:hAnsi="Arial"/>
          <w:sz w:val="18"/>
          <w:szCs w:val="18"/>
          <w:u w:val="single" w:color="auto"/>
          <w:color w:val="auto"/>
        </w:rPr>
        <w:t>Appendix 8.2(d)</w:t>
      </w:r>
      <w:r>
        <w:rPr>
          <w:rFonts w:ascii="Arial" w:cs="Arial" w:eastAsia="Arial" w:hAnsi="Arial"/>
          <w:sz w:val="18"/>
          <w:szCs w:val="18"/>
          <w:color w:val="auto"/>
        </w:rPr>
        <w:t>, and statements to Annuitants related to the Transaction prior to the Annuity Commencement Date, to the Company and the Independent Fiduciary (i) within five Business Days prior to the filing or making thereof if the contents of such filing will not be</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ectPr>
          <w:pgSz w:w="11900" w:h="16838" w:orient="portrait"/>
          <w:cols w:equalWidth="0" w:num="1">
            <w:col w:w="11420"/>
          </w:cols>
          <w:pgMar w:left="240" w:top="757" w:right="239" w:bottom="1440" w:gutter="0" w:footer="0" w:header="0"/>
        </w:sectPr>
      </w:pPr>
    </w:p>
    <w:bookmarkStart w:id="59" w:name="page60"/>
    <w:bookmarkEnd w:id="59"/>
    <w:p>
      <w:pPr>
        <w:spacing w:after="0" w:line="275" w:lineRule="auto"/>
        <w:rPr>
          <w:sz w:val="20"/>
          <w:szCs w:val="20"/>
          <w:color w:val="auto"/>
        </w:rPr>
      </w:pPr>
      <w:r>
        <w:rPr>
          <w:rFonts w:ascii="Arial" w:cs="Arial" w:eastAsia="Arial" w:hAnsi="Arial"/>
          <w:sz w:val="20"/>
          <w:szCs w:val="20"/>
          <w:color w:val="auto"/>
        </w:rPr>
        <w:t>consistent in any material respect with the information contained in materials previously shared with the Company, and (</w:t>
      </w:r>
      <w:r>
        <w:rPr>
          <w:rFonts w:ascii="Arial" w:cs="Arial" w:eastAsia="Arial" w:hAnsi="Arial"/>
          <w:sz w:val="20"/>
          <w:szCs w:val="20"/>
          <w:u w:val="single" w:color="auto"/>
          <w:color w:val="auto"/>
        </w:rPr>
        <w:t>ii</w:t>
      </w:r>
      <w:r>
        <w:rPr>
          <w:rFonts w:ascii="Arial" w:cs="Arial" w:eastAsia="Arial" w:hAnsi="Arial"/>
          <w:sz w:val="20"/>
          <w:szCs w:val="20"/>
          <w:color w:val="auto"/>
        </w:rPr>
        <w:t>) in all instances as soon as practicable following such filing or making.</w:t>
      </w:r>
    </w:p>
    <w:p>
      <w:pPr>
        <w:spacing w:after="0" w:line="186" w:lineRule="exact"/>
        <w:rPr>
          <w:sz w:val="20"/>
          <w:szCs w:val="20"/>
          <w:color w:val="auto"/>
        </w:rPr>
      </w:pPr>
    </w:p>
    <w:p>
      <w:pPr>
        <w:jc w:val="both"/>
        <w:ind w:firstLine="601"/>
        <w:spacing w:after="0" w:line="265" w:lineRule="auto"/>
        <w:tabs>
          <w:tab w:leader="none" w:pos="1015" w:val="left"/>
        </w:tabs>
        <w:numPr>
          <w:ilvl w:val="0"/>
          <w:numId w:val="78"/>
        </w:numPr>
        <w:rPr>
          <w:rFonts w:ascii="Arial" w:cs="Arial" w:eastAsia="Arial" w:hAnsi="Arial"/>
          <w:sz w:val="19"/>
          <w:szCs w:val="19"/>
          <w:color w:val="auto"/>
        </w:rPr>
      </w:pPr>
      <w:r>
        <w:rPr>
          <w:rFonts w:ascii="Arial" w:cs="Arial" w:eastAsia="Arial" w:hAnsi="Arial"/>
          <w:sz w:val="19"/>
          <w:szCs w:val="19"/>
          <w:color w:val="auto"/>
        </w:rPr>
        <w:t>The Company acknowledges that its ultimate parent entity may file the press release referred to in clause (a) above with the SEC on Form 8-K within four (4) Business Days following execution of this Agreement, but that this Agreement will not be filed as an exhibit thereto. The Company's ultimate parent intends to file this Agreement with its Form 10-Q for the period ending June 30, 2012 (the “</w:t>
      </w:r>
      <w:r>
        <w:rPr>
          <w:rFonts w:ascii="Arial" w:cs="Arial" w:eastAsia="Arial" w:hAnsi="Arial"/>
          <w:sz w:val="19"/>
          <w:szCs w:val="19"/>
          <w:u w:val="single" w:color="auto"/>
          <w:color w:val="auto"/>
        </w:rPr>
        <w:t>10-Q</w:t>
      </w:r>
      <w:r>
        <w:rPr>
          <w:rFonts w:ascii="Arial" w:cs="Arial" w:eastAsia="Arial" w:hAnsi="Arial"/>
          <w:sz w:val="19"/>
          <w:szCs w:val="19"/>
          <w:color w:val="auto"/>
        </w:rPr>
        <w:t>”). Simultaneously with the filing of the 10-Q, the Company's ultimate parent will file a confidential treatment request with the SEC to seek confidential treatment for certain provisions of the Agreement, including information relating to the pricing of the Group Annuity Contract. The Company's ultimate parent will provide the Insurer Parent a copy of any written correspondence with the SEC regarding such application for confidential treatment. Notwithstanding the foregoing, each Party acknowledges that the other Parties will publicly disclose any information that they believe is required by the rules of the SEC to be so disclosed and the Parties will cooperate with each other in preparation of the confidential treatment request. The Parties also agree that the contents of the confidential treatment request will be determined in the sole discretion of the Company.</w:t>
      </w:r>
    </w:p>
    <w:p>
      <w:pPr>
        <w:spacing w:after="0" w:line="166" w:lineRule="exact"/>
        <w:rPr>
          <w:sz w:val="20"/>
          <w:szCs w:val="20"/>
          <w:color w:val="auto"/>
        </w:rPr>
      </w:pPr>
    </w:p>
    <w:p>
      <w:pPr>
        <w:ind w:left="600"/>
        <w:spacing w:after="0"/>
        <w:tabs>
          <w:tab w:leader="none" w:pos="1680" w:val="left"/>
        </w:tabs>
        <w:rPr>
          <w:sz w:val="20"/>
          <w:szCs w:val="20"/>
          <w:color w:val="auto"/>
        </w:rPr>
      </w:pPr>
      <w:r>
        <w:rPr>
          <w:rFonts w:ascii="Arial" w:cs="Arial" w:eastAsia="Arial" w:hAnsi="Arial"/>
          <w:sz w:val="20"/>
          <w:szCs w:val="20"/>
          <w:color w:val="auto"/>
        </w:rPr>
        <w:t>Section 6.5</w:t>
      </w:r>
      <w:r>
        <w:rPr>
          <w:sz w:val="20"/>
          <w:szCs w:val="20"/>
          <w:color w:val="auto"/>
        </w:rPr>
        <w:tab/>
      </w:r>
      <w:r>
        <w:rPr>
          <w:rFonts w:ascii="Arial" w:cs="Arial" w:eastAsia="Arial" w:hAnsi="Arial"/>
          <w:sz w:val="18"/>
          <w:szCs w:val="18"/>
          <w:u w:val="single" w:color="auto"/>
          <w:color w:val="auto"/>
        </w:rPr>
        <w:t>Notification of Certain Matters</w:t>
      </w:r>
      <w:r>
        <w:rPr>
          <w:rFonts w:ascii="Arial" w:cs="Arial" w:eastAsia="Arial" w:hAnsi="Arial"/>
          <w:sz w:val="18"/>
          <w:szCs w:val="18"/>
          <w:color w:val="auto"/>
        </w:rPr>
        <w:t>.</w:t>
      </w:r>
    </w:p>
    <w:p>
      <w:pPr>
        <w:spacing w:after="0" w:line="246" w:lineRule="exact"/>
        <w:rPr>
          <w:sz w:val="20"/>
          <w:szCs w:val="20"/>
          <w:color w:val="auto"/>
        </w:rPr>
      </w:pPr>
    </w:p>
    <w:p>
      <w:pPr>
        <w:jc w:val="both"/>
        <w:ind w:firstLine="601"/>
        <w:spacing w:after="0" w:line="271" w:lineRule="auto"/>
        <w:tabs>
          <w:tab w:leader="none" w:pos="1073" w:val="left"/>
        </w:tabs>
        <w:numPr>
          <w:ilvl w:val="0"/>
          <w:numId w:val="79"/>
        </w:numPr>
        <w:rPr>
          <w:rFonts w:ascii="Arial" w:cs="Arial" w:eastAsia="Arial" w:hAnsi="Arial"/>
          <w:sz w:val="19"/>
          <w:szCs w:val="19"/>
          <w:color w:val="auto"/>
        </w:rPr>
      </w:pPr>
      <w:r>
        <w:rPr>
          <w:rFonts w:ascii="Arial" w:cs="Arial" w:eastAsia="Arial" w:hAnsi="Arial"/>
          <w:sz w:val="19"/>
          <w:szCs w:val="19"/>
          <w:color w:val="auto"/>
        </w:rPr>
        <w:t>Each Party will give written notice to the other Parties within five (5) Business Days of (</w:t>
      </w:r>
      <w:r>
        <w:rPr>
          <w:rFonts w:ascii="Arial" w:cs="Arial" w:eastAsia="Arial" w:hAnsi="Arial"/>
          <w:sz w:val="19"/>
          <w:szCs w:val="19"/>
          <w:u w:val="single" w:color="auto"/>
          <w:color w:val="auto"/>
        </w:rPr>
        <w:t>i</w:t>
      </w:r>
      <w:r>
        <w:rPr>
          <w:rFonts w:ascii="Arial" w:cs="Arial" w:eastAsia="Arial" w:hAnsi="Arial"/>
          <w:sz w:val="19"/>
          <w:szCs w:val="19"/>
          <w:color w:val="auto"/>
        </w:rPr>
        <w:t>) any notice or other communication from any Person alleging that the Consent of such Person is or may be required in connection with the transactions contemplated hereby, (</w:t>
      </w:r>
      <w:r>
        <w:rPr>
          <w:rFonts w:ascii="Arial" w:cs="Arial" w:eastAsia="Arial" w:hAnsi="Arial"/>
          <w:sz w:val="19"/>
          <w:szCs w:val="19"/>
          <w:u w:val="single" w:color="auto"/>
          <w:color w:val="auto"/>
        </w:rPr>
        <w:t>ii</w:t>
      </w:r>
      <w:r>
        <w:rPr>
          <w:rFonts w:ascii="Arial" w:cs="Arial" w:eastAsia="Arial" w:hAnsi="Arial"/>
          <w:sz w:val="19"/>
          <w:szCs w:val="19"/>
          <w:color w:val="auto"/>
        </w:rPr>
        <w:t>) any Action commenced or threatened in writing against, relating to or involving or otherwise affecting it or any of its Affiliates that relate to the consummation of the transactions contemplated hereby, and (</w:t>
      </w:r>
      <w:r>
        <w:rPr>
          <w:rFonts w:ascii="Arial" w:cs="Arial" w:eastAsia="Arial" w:hAnsi="Arial"/>
          <w:sz w:val="19"/>
          <w:szCs w:val="19"/>
          <w:u w:val="single" w:color="auto"/>
          <w:color w:val="auto"/>
        </w:rPr>
        <w:t>iii</w:t>
      </w:r>
      <w:r>
        <w:rPr>
          <w:rFonts w:ascii="Arial" w:cs="Arial" w:eastAsia="Arial" w:hAnsi="Arial"/>
          <w:sz w:val="19"/>
          <w:szCs w:val="19"/>
          <w:color w:val="auto"/>
        </w:rPr>
        <w:t xml:space="preserve">) any change or event that would reasonably be expected to cause, individually or in the aggregate, any condition to Closing set forth in </w:t>
      </w:r>
      <w:r>
        <w:rPr>
          <w:rFonts w:ascii="Arial" w:cs="Arial" w:eastAsia="Arial" w:hAnsi="Arial"/>
          <w:sz w:val="19"/>
          <w:szCs w:val="19"/>
          <w:u w:val="single" w:color="auto"/>
          <w:color w:val="auto"/>
        </w:rPr>
        <w:t>Article VIII</w:t>
      </w:r>
      <w:r>
        <w:rPr>
          <w:rFonts w:ascii="Arial" w:cs="Arial" w:eastAsia="Arial" w:hAnsi="Arial"/>
          <w:sz w:val="19"/>
          <w:szCs w:val="19"/>
          <w:color w:val="auto"/>
        </w:rPr>
        <w:t xml:space="preserve"> not to be satisfied.</w:t>
      </w:r>
    </w:p>
    <w:p>
      <w:pPr>
        <w:spacing w:after="0" w:line="193" w:lineRule="exact"/>
        <w:rPr>
          <w:rFonts w:ascii="Arial" w:cs="Arial" w:eastAsia="Arial" w:hAnsi="Arial"/>
          <w:sz w:val="19"/>
          <w:szCs w:val="19"/>
          <w:color w:val="auto"/>
        </w:rPr>
      </w:pPr>
    </w:p>
    <w:p>
      <w:pPr>
        <w:jc w:val="both"/>
        <w:ind w:firstLine="601"/>
        <w:spacing w:after="0" w:line="269" w:lineRule="auto"/>
        <w:tabs>
          <w:tab w:leader="none" w:pos="1067" w:val="left"/>
        </w:tabs>
        <w:numPr>
          <w:ilvl w:val="0"/>
          <w:numId w:val="79"/>
        </w:numPr>
        <w:rPr>
          <w:rFonts w:ascii="Arial" w:cs="Arial" w:eastAsia="Arial" w:hAnsi="Arial"/>
          <w:sz w:val="19"/>
          <w:szCs w:val="19"/>
          <w:color w:val="auto"/>
        </w:rPr>
      </w:pPr>
      <w:r>
        <w:rPr>
          <w:rFonts w:ascii="Arial" w:cs="Arial" w:eastAsia="Arial" w:hAnsi="Arial"/>
          <w:sz w:val="19"/>
          <w:szCs w:val="19"/>
          <w:color w:val="auto"/>
        </w:rPr>
        <w:t xml:space="preserve">Prior to the Closing, any Party may deliver to both other Parties supplements or updates to the sections of the delivering Party's Disclosure Letter which this Agreement or the delivering Party's Disclosure Letter, as applicable, explicitly provides may be supplemented or updated; provided, however, that no such supplement or update will be considered or taken into account for purposes of determining whether the conditions to closing set forth in </w:t>
      </w:r>
      <w:r>
        <w:rPr>
          <w:rFonts w:ascii="Arial" w:cs="Arial" w:eastAsia="Arial" w:hAnsi="Arial"/>
          <w:sz w:val="19"/>
          <w:szCs w:val="19"/>
          <w:u w:val="single" w:color="auto"/>
          <w:color w:val="auto"/>
        </w:rPr>
        <w:t>Sections 8.2(a)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8.3(a)</w:t>
      </w:r>
      <w:r>
        <w:rPr>
          <w:rFonts w:ascii="Arial" w:cs="Arial" w:eastAsia="Arial" w:hAnsi="Arial"/>
          <w:sz w:val="19"/>
          <w:szCs w:val="19"/>
          <w:color w:val="auto"/>
        </w:rPr>
        <w:t xml:space="preserve"> have been satisfied;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such supplement or update shall be deemed to have cured any breach of any representation or warranty made in this Agreement except for purposes of determining whether or not the conditions set forth in </w:t>
      </w:r>
      <w:r>
        <w:rPr>
          <w:rFonts w:ascii="Arial" w:cs="Arial" w:eastAsia="Arial" w:hAnsi="Arial"/>
          <w:sz w:val="19"/>
          <w:szCs w:val="19"/>
          <w:u w:val="single" w:color="auto"/>
          <w:color w:val="auto"/>
        </w:rPr>
        <w:t>Article VIII</w:t>
      </w:r>
      <w:r>
        <w:rPr>
          <w:rFonts w:ascii="Arial" w:cs="Arial" w:eastAsia="Arial" w:hAnsi="Arial"/>
          <w:sz w:val="19"/>
          <w:szCs w:val="19"/>
          <w:color w:val="auto"/>
        </w:rPr>
        <w:t xml:space="preserve"> have been satisfied.</w:t>
      </w:r>
    </w:p>
    <w:p>
      <w:pPr>
        <w:spacing w:after="0" w:line="195" w:lineRule="exact"/>
        <w:rPr>
          <w:rFonts w:ascii="Arial" w:cs="Arial" w:eastAsia="Arial" w:hAnsi="Arial"/>
          <w:sz w:val="19"/>
          <w:szCs w:val="19"/>
          <w:color w:val="auto"/>
        </w:rPr>
      </w:pPr>
    </w:p>
    <w:p>
      <w:pPr>
        <w:ind w:left="1020" w:hanging="419"/>
        <w:spacing w:after="0"/>
        <w:tabs>
          <w:tab w:leader="none" w:pos="1020" w:val="left"/>
        </w:tabs>
        <w:numPr>
          <w:ilvl w:val="0"/>
          <w:numId w:val="79"/>
        </w:numPr>
        <w:rPr>
          <w:rFonts w:ascii="Arial" w:cs="Arial" w:eastAsia="Arial" w:hAnsi="Arial"/>
          <w:sz w:val="20"/>
          <w:szCs w:val="20"/>
          <w:color w:val="auto"/>
        </w:rPr>
      </w:pPr>
      <w:r>
        <w:rPr>
          <w:rFonts w:ascii="Arial" w:cs="Arial" w:eastAsia="Arial" w:hAnsi="Arial"/>
          <w:sz w:val="20"/>
          <w:szCs w:val="20"/>
          <w:color w:val="auto"/>
        </w:rPr>
        <w:t>[   ***]</w:t>
      </w:r>
    </w:p>
    <w:p>
      <w:pPr>
        <w:spacing w:after="0" w:line="245" w:lineRule="exact"/>
        <w:rPr>
          <w:rFonts w:ascii="Arial" w:cs="Arial" w:eastAsia="Arial" w:hAnsi="Arial"/>
          <w:sz w:val="20"/>
          <w:szCs w:val="20"/>
          <w:color w:val="auto"/>
        </w:rPr>
      </w:pPr>
    </w:p>
    <w:p>
      <w:pPr>
        <w:ind w:left="1040" w:hanging="439"/>
        <w:spacing w:after="0"/>
        <w:tabs>
          <w:tab w:leader="none" w:pos="10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Insurer will notify the other Parties as promptly as reasonably practicable (and in any event within seventy-two (72) hours) if</w:t>
      </w:r>
    </w:p>
    <w:p>
      <w:pPr>
        <w:spacing w:after="0" w:line="49" w:lineRule="exact"/>
        <w:rPr>
          <w:sz w:val="20"/>
          <w:szCs w:val="20"/>
          <w:color w:val="auto"/>
        </w:rPr>
      </w:pPr>
    </w:p>
    <w:p>
      <w:pPr>
        <w:jc w:val="both"/>
        <w:spacing w:after="0" w:line="25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w:t>
      </w:r>
      <w:r>
        <w:rPr>
          <w:rFonts w:ascii="Arial" w:cs="Arial" w:eastAsia="Arial" w:hAnsi="Arial"/>
          <w:sz w:val="20"/>
          <w:szCs w:val="20"/>
          <w:color w:val="auto"/>
        </w:rPr>
        <w:t xml:space="preserve">) the Projected RBC Ratio has dropped below [ *** ], [ *** ]. [ *** ]. For the avoidance of doubt, no failure or delay by the Insurer to provide any notice required under this </w:t>
      </w:r>
      <w:r>
        <w:rPr>
          <w:rFonts w:ascii="Arial" w:cs="Arial" w:eastAsia="Arial" w:hAnsi="Arial"/>
          <w:sz w:val="20"/>
          <w:szCs w:val="20"/>
          <w:u w:val="single" w:color="auto"/>
          <w:color w:val="auto"/>
        </w:rPr>
        <w:t>Section 6.5(d)</w:t>
      </w:r>
      <w:r>
        <w:rPr>
          <w:rFonts w:ascii="Arial" w:cs="Arial" w:eastAsia="Arial" w:hAnsi="Arial"/>
          <w:sz w:val="20"/>
          <w:szCs w:val="20"/>
          <w:color w:val="auto"/>
        </w:rPr>
        <w:t xml:space="preserve"> shall be deemed to constitute a waiver of, or otherwise impair, the Insurer's termination right in </w:t>
      </w:r>
      <w:r>
        <w:rPr>
          <w:rFonts w:ascii="Arial" w:cs="Arial" w:eastAsia="Arial" w:hAnsi="Arial"/>
          <w:sz w:val="20"/>
          <w:szCs w:val="20"/>
          <w:u w:val="single" w:color="auto"/>
          <w:color w:val="auto"/>
        </w:rPr>
        <w:t>Section 10.1(b)(ii)</w:t>
      </w:r>
      <w:r>
        <w:rPr>
          <w:rFonts w:ascii="Arial" w:cs="Arial" w:eastAsia="Arial" w:hAnsi="Arial"/>
          <w:sz w:val="20"/>
          <w:szCs w:val="20"/>
          <w:color w:val="auto"/>
        </w:rPr>
        <w:t>.</w:t>
      </w:r>
    </w:p>
    <w:p>
      <w:pPr>
        <w:spacing w:after="0" w:line="209" w:lineRule="exact"/>
        <w:rPr>
          <w:sz w:val="20"/>
          <w:szCs w:val="20"/>
          <w:color w:val="auto"/>
        </w:rPr>
      </w:pPr>
    </w:p>
    <w:p>
      <w:pPr>
        <w:ind w:firstLine="601"/>
        <w:spacing w:after="0" w:line="271" w:lineRule="auto"/>
        <w:tabs>
          <w:tab w:leader="none" w:pos="1120" w:val="left"/>
        </w:tabs>
        <w:numPr>
          <w:ilvl w:val="1"/>
          <w:numId w:val="80"/>
        </w:numPr>
        <w:rPr>
          <w:rFonts w:ascii="Arial" w:cs="Arial" w:eastAsia="Arial" w:hAnsi="Arial"/>
          <w:sz w:val="19"/>
          <w:szCs w:val="19"/>
          <w:color w:val="auto"/>
        </w:rPr>
      </w:pPr>
      <w:r>
        <w:rPr>
          <w:rFonts w:ascii="Arial" w:cs="Arial" w:eastAsia="Arial" w:hAnsi="Arial"/>
          <w:sz w:val="19"/>
          <w:szCs w:val="19"/>
          <w:color w:val="auto"/>
        </w:rPr>
        <w:t>The Company will notify the other Parties as promptly as reasonably practicable (and in any event within seventy-two (72) hours) if either (</w:t>
      </w:r>
      <w:r>
        <w:rPr>
          <w:rFonts w:ascii="Arial" w:cs="Arial" w:eastAsia="Arial" w:hAnsi="Arial"/>
          <w:sz w:val="19"/>
          <w:szCs w:val="19"/>
          <w:u w:val="single" w:color="auto"/>
          <w:color w:val="auto"/>
        </w:rPr>
        <w:t>i</w:t>
      </w:r>
      <w:r>
        <w:rPr>
          <w:rFonts w:ascii="Arial" w:cs="Arial" w:eastAsia="Arial" w:hAnsi="Arial"/>
          <w:sz w:val="19"/>
          <w:szCs w:val="19"/>
          <w:color w:val="auto"/>
        </w:rPr>
        <w:t>) the Liquidity Requirement has exceeded the Liquidity Cap, or (</w:t>
      </w:r>
      <w:r>
        <w:rPr>
          <w:rFonts w:ascii="Arial" w:cs="Arial" w:eastAsia="Arial" w:hAnsi="Arial"/>
          <w:sz w:val="19"/>
          <w:szCs w:val="19"/>
          <w:u w:val="single" w:color="auto"/>
          <w:color w:val="auto"/>
        </w:rPr>
        <w:t>ii</w:t>
      </w:r>
      <w:r>
        <w:rPr>
          <w:rFonts w:ascii="Arial" w:cs="Arial" w:eastAsia="Arial" w:hAnsi="Arial"/>
          <w:sz w:val="19"/>
          <w:szCs w:val="19"/>
          <w:color w:val="auto"/>
        </w:rPr>
        <w:t>) the Projected Parent Liquidity Position is less than [</w:t>
      </w:r>
    </w:p>
    <w:p>
      <w:pPr>
        <w:spacing w:after="0" w:line="257" w:lineRule="auto"/>
        <w:tabs>
          <w:tab w:leader="none" w:pos="727" w:val="left"/>
        </w:tabs>
        <w:numPr>
          <w:ilvl w:val="0"/>
          <w:numId w:val="80"/>
        </w:numPr>
        <w:rPr>
          <w:rFonts w:ascii="Arial" w:cs="Arial" w:eastAsia="Arial" w:hAnsi="Arial"/>
          <w:sz w:val="20"/>
          <w:szCs w:val="20"/>
          <w:color w:val="auto"/>
        </w:rPr>
      </w:pPr>
      <w:r>
        <w:rPr>
          <w:rFonts w:ascii="Arial" w:cs="Arial" w:eastAsia="Arial" w:hAnsi="Arial"/>
          <w:sz w:val="20"/>
          <w:szCs w:val="20"/>
          <w:color w:val="auto"/>
        </w:rPr>
        <w:t xml:space="preserve">]. For the avoidance of doubt, no failure or delay by the Company to provide any notice required under this </w:t>
      </w:r>
      <w:r>
        <w:rPr>
          <w:rFonts w:ascii="Arial" w:cs="Arial" w:eastAsia="Arial" w:hAnsi="Arial"/>
          <w:sz w:val="20"/>
          <w:szCs w:val="20"/>
          <w:u w:val="single" w:color="auto"/>
          <w:color w:val="auto"/>
        </w:rPr>
        <w:t>Section 6.5(e)</w:t>
      </w:r>
      <w:r>
        <w:rPr>
          <w:rFonts w:ascii="Arial" w:cs="Arial" w:eastAsia="Arial" w:hAnsi="Arial"/>
          <w:sz w:val="20"/>
          <w:szCs w:val="20"/>
          <w:color w:val="auto"/>
        </w:rPr>
        <w:t xml:space="preserve"> shall be deemed to constitute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ectPr>
          <w:pgSz w:w="11900" w:h="16838" w:orient="portrait"/>
          <w:cols w:equalWidth="0" w:num="1">
            <w:col w:w="11420"/>
          </w:cols>
          <w:pgMar w:left="240" w:top="556" w:right="239" w:bottom="1440" w:gutter="0" w:footer="0" w:header="0"/>
        </w:sectPr>
      </w:pPr>
    </w:p>
    <w:bookmarkStart w:id="60" w:name="page61"/>
    <w:bookmarkEnd w:id="60"/>
    <w:p>
      <w:pPr>
        <w:spacing w:after="0"/>
        <w:rPr>
          <w:sz w:val="20"/>
          <w:szCs w:val="20"/>
          <w:color w:val="auto"/>
        </w:rPr>
      </w:pPr>
      <w:r>
        <w:rPr>
          <w:rFonts w:ascii="Arial" w:cs="Arial" w:eastAsia="Arial" w:hAnsi="Arial"/>
          <w:sz w:val="19"/>
          <w:szCs w:val="19"/>
          <w:color w:val="auto"/>
        </w:rPr>
        <w:t xml:space="preserve">a waiver of, or otherwise impair, the closing condition set forth in </w:t>
      </w:r>
      <w:r>
        <w:rPr>
          <w:rFonts w:ascii="Arial" w:cs="Arial" w:eastAsia="Arial" w:hAnsi="Arial"/>
          <w:sz w:val="19"/>
          <w:szCs w:val="19"/>
          <w:u w:val="single" w:color="auto"/>
          <w:color w:val="auto"/>
        </w:rPr>
        <w:t>Section 8.2(h)</w:t>
      </w:r>
      <w:r>
        <w:rPr>
          <w:rFonts w:ascii="Arial" w:cs="Arial" w:eastAsia="Arial" w:hAnsi="Arial"/>
          <w:sz w:val="19"/>
          <w:szCs w:val="19"/>
          <w:color w:val="auto"/>
        </w:rPr>
        <w:t xml:space="preserve"> or the Company's termination right in </w:t>
      </w:r>
      <w:r>
        <w:rPr>
          <w:rFonts w:ascii="Arial" w:cs="Arial" w:eastAsia="Arial" w:hAnsi="Arial"/>
          <w:sz w:val="19"/>
          <w:szCs w:val="19"/>
          <w:u w:val="single" w:color="auto"/>
          <w:color w:val="auto"/>
        </w:rPr>
        <w:t>Section 10.1(b)(i)</w:t>
      </w:r>
      <w:r>
        <w:rPr>
          <w:rFonts w:ascii="Arial" w:cs="Arial" w:eastAsia="Arial" w:hAnsi="Arial"/>
          <w:sz w:val="19"/>
          <w:szCs w:val="19"/>
          <w:color w:val="auto"/>
        </w:rPr>
        <w:t>.</w:t>
      </w:r>
    </w:p>
    <w:p>
      <w:pPr>
        <w:spacing w:after="0" w:line="220" w:lineRule="exact"/>
        <w:rPr>
          <w:sz w:val="20"/>
          <w:szCs w:val="20"/>
          <w:color w:val="auto"/>
        </w:rPr>
      </w:pPr>
    </w:p>
    <w:p>
      <w:pPr>
        <w:ind w:firstLine="601"/>
        <w:spacing w:after="0" w:line="275" w:lineRule="auto"/>
        <w:rPr>
          <w:sz w:val="20"/>
          <w:szCs w:val="20"/>
          <w:color w:val="auto"/>
        </w:rPr>
      </w:pPr>
      <w:r>
        <w:rPr>
          <w:rFonts w:ascii="Arial" w:cs="Arial" w:eastAsia="Arial" w:hAnsi="Arial"/>
          <w:sz w:val="20"/>
          <w:szCs w:val="20"/>
          <w:color w:val="auto"/>
        </w:rPr>
        <w:t xml:space="preserve">Section 6.6 </w:t>
      </w:r>
      <w:r>
        <w:rPr>
          <w:rFonts w:ascii="Arial" w:cs="Arial" w:eastAsia="Arial" w:hAnsi="Arial"/>
          <w:sz w:val="20"/>
          <w:szCs w:val="20"/>
          <w:u w:val="single" w:color="auto"/>
          <w:color w:val="auto"/>
        </w:rPr>
        <w:t>Calculation and Adjustment of Insurer RBC Ratio; Projected Parent Liquidity Position; Liquidity Requirement;</w:t>
      </w:r>
      <w:r>
        <w:rPr>
          <w:rFonts w:ascii="Arial" w:cs="Arial" w:eastAsia="Arial" w:hAnsi="Arial"/>
          <w:sz w:val="20"/>
          <w:szCs w:val="20"/>
          <w:color w:val="auto"/>
        </w:rPr>
        <w:t xml:space="preserve"> </w:t>
      </w:r>
      <w:r>
        <w:rPr>
          <w:rFonts w:ascii="Arial" w:cs="Arial" w:eastAsia="Arial" w:hAnsi="Arial"/>
          <w:sz w:val="20"/>
          <w:szCs w:val="20"/>
          <w:u w:val="single" w:color="auto"/>
          <w:color w:val="auto"/>
        </w:rPr>
        <w:t>Liquidity Cap</w:t>
      </w:r>
      <w:r>
        <w:rPr>
          <w:rFonts w:ascii="Arial" w:cs="Arial" w:eastAsia="Arial" w:hAnsi="Arial"/>
          <w:sz w:val="20"/>
          <w:szCs w:val="20"/>
          <w:color w:val="auto"/>
        </w:rPr>
        <w:t>.</w:t>
      </w:r>
    </w:p>
    <w:p>
      <w:pPr>
        <w:spacing w:after="0" w:line="186" w:lineRule="exact"/>
        <w:rPr>
          <w:sz w:val="20"/>
          <w:szCs w:val="20"/>
          <w:color w:val="auto"/>
        </w:rPr>
      </w:pPr>
    </w:p>
    <w:p>
      <w:pPr>
        <w:jc w:val="both"/>
        <w:ind w:firstLine="601"/>
        <w:spacing w:after="0" w:line="290" w:lineRule="auto"/>
        <w:tabs>
          <w:tab w:leader="none" w:pos="1126" w:val="left"/>
        </w:tabs>
        <w:numPr>
          <w:ilvl w:val="0"/>
          <w:numId w:val="81"/>
        </w:numPr>
        <w:rPr>
          <w:rFonts w:ascii="Arial" w:cs="Arial" w:eastAsia="Arial" w:hAnsi="Arial"/>
          <w:sz w:val="18"/>
          <w:szCs w:val="18"/>
          <w:color w:val="auto"/>
        </w:rPr>
      </w:pPr>
      <w:r>
        <w:rPr>
          <w:rFonts w:ascii="Arial" w:cs="Arial" w:eastAsia="Arial" w:hAnsi="Arial"/>
          <w:sz w:val="18"/>
          <w:szCs w:val="18"/>
          <w:color w:val="auto"/>
        </w:rPr>
        <w:t xml:space="preserve">If the Insurer either (1) provides notice to the Company and the Independent Fiduciary pursuant to </w:t>
      </w:r>
      <w:r>
        <w:rPr>
          <w:rFonts w:ascii="Arial" w:cs="Arial" w:eastAsia="Arial" w:hAnsi="Arial"/>
          <w:sz w:val="18"/>
          <w:szCs w:val="18"/>
          <w:u w:val="single" w:color="auto"/>
          <w:color w:val="auto"/>
        </w:rPr>
        <w:t>Section 6.5(d)(i)</w:t>
      </w:r>
      <w:r>
        <w:rPr>
          <w:rFonts w:ascii="Arial" w:cs="Arial" w:eastAsia="Arial" w:hAnsi="Arial"/>
          <w:sz w:val="18"/>
          <w:szCs w:val="18"/>
          <w:color w:val="auto"/>
        </w:rPr>
        <w:t xml:space="preserve">, or (2) provides a notice of termination to the Company and the Independent Fiduciary pursuant to </w:t>
      </w:r>
      <w:r>
        <w:rPr>
          <w:rFonts w:ascii="Arial" w:cs="Arial" w:eastAsia="Arial" w:hAnsi="Arial"/>
          <w:sz w:val="18"/>
          <w:szCs w:val="18"/>
          <w:u w:val="single" w:color="auto"/>
          <w:color w:val="auto"/>
        </w:rPr>
        <w:t>Section 10.1(b)(ii)</w:t>
      </w:r>
      <w:r>
        <w:rPr>
          <w:rFonts w:ascii="Arial" w:cs="Arial" w:eastAsia="Arial" w:hAnsi="Arial"/>
          <w:sz w:val="18"/>
          <w:szCs w:val="18"/>
          <w:color w:val="auto"/>
        </w:rPr>
        <w:t>, then, in either case, the Company may, not more than 10 Business Days after receipt of such notice (or as promptly as practicable thereafter), retain an Approved Firm-A to review the Insurer's Projected RBC Ratio calculation and ensure that such calculation was prepared in good faith, consistent in all material respects with past practices of the Insurer, and without giving effect to the RBC Ratio impact of any of the RBC Actions.</w:t>
      </w:r>
    </w:p>
    <w:p>
      <w:pPr>
        <w:spacing w:after="0" w:line="176" w:lineRule="exact"/>
        <w:rPr>
          <w:rFonts w:ascii="Arial" w:cs="Arial" w:eastAsia="Arial" w:hAnsi="Arial"/>
          <w:sz w:val="18"/>
          <w:szCs w:val="18"/>
          <w:color w:val="auto"/>
        </w:rPr>
      </w:pPr>
    </w:p>
    <w:p>
      <w:pPr>
        <w:jc w:val="both"/>
        <w:ind w:firstLine="601"/>
        <w:spacing w:after="0" w:line="252" w:lineRule="auto"/>
        <w:tabs>
          <w:tab w:leader="none" w:pos="1041" w:val="left"/>
        </w:tabs>
        <w:numPr>
          <w:ilvl w:val="0"/>
          <w:numId w:val="81"/>
        </w:numPr>
        <w:rPr>
          <w:rFonts w:ascii="Arial" w:cs="Arial" w:eastAsia="Arial" w:hAnsi="Arial"/>
          <w:sz w:val="20"/>
          <w:szCs w:val="20"/>
          <w:color w:val="auto"/>
        </w:rPr>
      </w:pPr>
      <w:r>
        <w:rPr>
          <w:rFonts w:ascii="Arial" w:cs="Arial" w:eastAsia="Arial" w:hAnsi="Arial"/>
          <w:sz w:val="20"/>
          <w:szCs w:val="20"/>
          <w:color w:val="auto"/>
        </w:rPr>
        <w:t>If the Company either (</w:t>
      </w:r>
      <w:r>
        <w:rPr>
          <w:rFonts w:ascii="Arial" w:cs="Arial" w:eastAsia="Arial" w:hAnsi="Arial"/>
          <w:sz w:val="20"/>
          <w:szCs w:val="20"/>
          <w:u w:val="single" w:color="auto"/>
          <w:color w:val="auto"/>
        </w:rPr>
        <w:t>1</w:t>
      </w:r>
      <w:r>
        <w:rPr>
          <w:rFonts w:ascii="Arial" w:cs="Arial" w:eastAsia="Arial" w:hAnsi="Arial"/>
          <w:sz w:val="20"/>
          <w:szCs w:val="20"/>
          <w:color w:val="auto"/>
        </w:rPr>
        <w:t xml:space="preserve">) provides notice to the Insurer and the Independent Fiduciary pursuant to </w:t>
      </w:r>
      <w:r>
        <w:rPr>
          <w:rFonts w:ascii="Arial" w:cs="Arial" w:eastAsia="Arial" w:hAnsi="Arial"/>
          <w:sz w:val="20"/>
          <w:szCs w:val="20"/>
          <w:u w:val="single" w:color="auto"/>
          <w:color w:val="auto"/>
        </w:rPr>
        <w:t>Section 6.5(e)</w:t>
      </w:r>
      <w:r>
        <w:rPr>
          <w:rFonts w:ascii="Arial" w:cs="Arial" w:eastAsia="Arial" w:hAnsi="Arial"/>
          <w:sz w:val="20"/>
          <w:szCs w:val="20"/>
          <w:color w:val="auto"/>
        </w:rPr>
        <w:t>, or (</w:t>
      </w:r>
      <w:r>
        <w:rPr>
          <w:rFonts w:ascii="Arial" w:cs="Arial" w:eastAsia="Arial" w:hAnsi="Arial"/>
          <w:sz w:val="20"/>
          <w:szCs w:val="20"/>
          <w:u w:val="single" w:color="auto"/>
          <w:color w:val="auto"/>
        </w:rPr>
        <w:t>2</w:t>
      </w:r>
      <w:r>
        <w:rPr>
          <w:rFonts w:ascii="Arial" w:cs="Arial" w:eastAsia="Arial" w:hAnsi="Arial"/>
          <w:sz w:val="20"/>
          <w:szCs w:val="20"/>
          <w:color w:val="auto"/>
        </w:rPr>
        <w:t xml:space="preserve">) provides a notice of termination to the Insurer and the Independent Fiduciary pursuant to </w:t>
      </w:r>
      <w:r>
        <w:rPr>
          <w:rFonts w:ascii="Arial" w:cs="Arial" w:eastAsia="Arial" w:hAnsi="Arial"/>
          <w:sz w:val="20"/>
          <w:szCs w:val="20"/>
          <w:u w:val="single" w:color="auto"/>
          <w:color w:val="auto"/>
        </w:rPr>
        <w:t>Section 10.1(b)(i)</w:t>
      </w:r>
      <w:r>
        <w:rPr>
          <w:rFonts w:ascii="Arial" w:cs="Arial" w:eastAsia="Arial" w:hAnsi="Arial"/>
          <w:sz w:val="20"/>
          <w:szCs w:val="20"/>
          <w:color w:val="auto"/>
        </w:rPr>
        <w:t xml:space="preserve"> or asserts that the closing condition set forth in </w:t>
      </w:r>
      <w:r>
        <w:rPr>
          <w:rFonts w:ascii="Arial" w:cs="Arial" w:eastAsia="Arial" w:hAnsi="Arial"/>
          <w:sz w:val="20"/>
          <w:szCs w:val="20"/>
          <w:u w:val="single" w:color="auto"/>
          <w:color w:val="auto"/>
        </w:rPr>
        <w:t>Section 8.2(h)</w:t>
      </w:r>
      <w:r>
        <w:rPr>
          <w:rFonts w:ascii="Arial" w:cs="Arial" w:eastAsia="Arial" w:hAnsi="Arial"/>
          <w:sz w:val="20"/>
          <w:szCs w:val="20"/>
          <w:color w:val="auto"/>
        </w:rPr>
        <w:t xml:space="preserve"> has not been satisfied, then, in either case, the Insurer may, not more than ten (10) Business Days after receiving such notice (or as promptly as practicable thereafter), retain an Approved Firm-B to review and verify the Company's calculation of the Liquidity Requirement or the Projected Parent Liquidity Position (or, if applicable, both calculations) and ensure that each such calculation was prepared in good faith, consistent in all material respects with past practices of the Company, and without giving effect to the liquidity impact of any of the Liquidity Actions.</w:t>
      </w:r>
    </w:p>
    <w:p>
      <w:pPr>
        <w:spacing w:after="0" w:line="212" w:lineRule="exact"/>
        <w:rPr>
          <w:rFonts w:ascii="Arial" w:cs="Arial" w:eastAsia="Arial" w:hAnsi="Arial"/>
          <w:sz w:val="20"/>
          <w:szCs w:val="20"/>
          <w:color w:val="auto"/>
        </w:rPr>
      </w:pPr>
    </w:p>
    <w:p>
      <w:pPr>
        <w:jc w:val="both"/>
        <w:ind w:firstLine="601"/>
        <w:spacing w:after="0" w:line="283" w:lineRule="auto"/>
        <w:tabs>
          <w:tab w:leader="none" w:pos="1024" w:val="left"/>
        </w:tabs>
        <w:numPr>
          <w:ilvl w:val="0"/>
          <w:numId w:val="81"/>
        </w:numPr>
        <w:rPr>
          <w:rFonts w:ascii="Arial" w:cs="Arial" w:eastAsia="Arial" w:hAnsi="Arial"/>
          <w:sz w:val="18"/>
          <w:szCs w:val="18"/>
          <w:color w:val="auto"/>
        </w:rPr>
      </w:pPr>
      <w:r>
        <w:rPr>
          <w:rFonts w:ascii="Arial" w:cs="Arial" w:eastAsia="Arial" w:hAnsi="Arial"/>
          <w:sz w:val="18"/>
          <w:szCs w:val="18"/>
          <w:color w:val="auto"/>
        </w:rPr>
        <w:t xml:space="preserve">The Party requesting a review of calculations under </w:t>
      </w:r>
      <w:r>
        <w:rPr>
          <w:rFonts w:ascii="Arial" w:cs="Arial" w:eastAsia="Arial" w:hAnsi="Arial"/>
          <w:sz w:val="18"/>
          <w:szCs w:val="18"/>
          <w:u w:val="single" w:color="auto"/>
          <w:color w:val="auto"/>
        </w:rPr>
        <w:t>Section 6.6(a)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6.6(b)</w:t>
      </w:r>
      <w:r>
        <w:rPr>
          <w:rFonts w:ascii="Arial" w:cs="Arial" w:eastAsia="Arial" w:hAnsi="Arial"/>
          <w:sz w:val="18"/>
          <w:szCs w:val="18"/>
          <w:color w:val="auto"/>
        </w:rPr>
        <w:t>, as the case may be, (the “</w:t>
      </w:r>
      <w:r>
        <w:rPr>
          <w:rFonts w:ascii="Arial" w:cs="Arial" w:eastAsia="Arial" w:hAnsi="Arial"/>
          <w:sz w:val="18"/>
          <w:szCs w:val="18"/>
          <w:u w:val="single" w:color="auto"/>
          <w:color w:val="auto"/>
        </w:rPr>
        <w:t>Requesting Party</w:t>
      </w:r>
      <w:r>
        <w:rPr>
          <w:rFonts w:ascii="Arial" w:cs="Arial" w:eastAsia="Arial" w:hAnsi="Arial"/>
          <w:sz w:val="18"/>
          <w:szCs w:val="18"/>
          <w:color w:val="auto"/>
        </w:rPr>
        <w:t xml:space="preserve">”) shall instruct the respective Approved Firm to deliver its report to all Parties within ten (10) Business Days after the date of its retention. The Party whose calculation is being reviewed pursuant to </w:t>
      </w:r>
      <w:r>
        <w:rPr>
          <w:rFonts w:ascii="Arial" w:cs="Arial" w:eastAsia="Arial" w:hAnsi="Arial"/>
          <w:sz w:val="18"/>
          <w:szCs w:val="18"/>
          <w:u w:val="single" w:color="auto"/>
          <w:color w:val="auto"/>
        </w:rPr>
        <w:t>Section 6.6(a)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6.6(b)</w:t>
      </w:r>
      <w:r>
        <w:rPr>
          <w:rFonts w:ascii="Arial" w:cs="Arial" w:eastAsia="Arial" w:hAnsi="Arial"/>
          <w:sz w:val="18"/>
          <w:szCs w:val="18"/>
          <w:color w:val="auto"/>
        </w:rPr>
        <w:t>, as applicable (the “</w:t>
      </w:r>
      <w:r>
        <w:rPr>
          <w:rFonts w:ascii="Arial" w:cs="Arial" w:eastAsia="Arial" w:hAnsi="Arial"/>
          <w:sz w:val="18"/>
          <w:szCs w:val="18"/>
          <w:u w:val="single" w:color="auto"/>
          <w:color w:val="auto"/>
        </w:rPr>
        <w:t>Calculating Party</w:t>
      </w:r>
      <w:r>
        <w:rPr>
          <w:rFonts w:ascii="Arial" w:cs="Arial" w:eastAsia="Arial" w:hAnsi="Arial"/>
          <w:sz w:val="18"/>
          <w:szCs w:val="18"/>
          <w:color w:val="auto"/>
        </w:rPr>
        <w:t>”), shall fully cooperate with the Approved Firm, including providing access to all information, data and personnel necessary for the Approved Firm to complete and deliver its analysis within the ten (10) Business Day period described in the preceding sentence. Any failure by the Calculating Party to provide such access or cooperation will extend the delivery period until such access or cooperation is provided. If the Parties do not agree, in writing, on the calculation of the (</w:t>
      </w:r>
      <w:r>
        <w:rPr>
          <w:rFonts w:ascii="Arial" w:cs="Arial" w:eastAsia="Arial" w:hAnsi="Arial"/>
          <w:sz w:val="18"/>
          <w:szCs w:val="18"/>
          <w:u w:val="single" w:color="auto"/>
          <w:color w:val="auto"/>
        </w:rPr>
        <w:t>i</w:t>
      </w:r>
      <w:r>
        <w:rPr>
          <w:rFonts w:ascii="Arial" w:cs="Arial" w:eastAsia="Arial" w:hAnsi="Arial"/>
          <w:sz w:val="18"/>
          <w:szCs w:val="18"/>
          <w:color w:val="auto"/>
        </w:rPr>
        <w:t xml:space="preserve">) Projected RBC Ratio pursuant to </w:t>
      </w:r>
      <w:r>
        <w:rPr>
          <w:rFonts w:ascii="Arial" w:cs="Arial" w:eastAsia="Arial" w:hAnsi="Arial"/>
          <w:sz w:val="18"/>
          <w:szCs w:val="18"/>
          <w:u w:val="single" w:color="auto"/>
          <w:color w:val="auto"/>
        </w:rPr>
        <w:t>Section 6.6(a)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Projected Parent Liquidity Position or Liquidity Requirement pursuant to </w:t>
      </w:r>
      <w:r>
        <w:rPr>
          <w:rFonts w:ascii="Arial" w:cs="Arial" w:eastAsia="Arial" w:hAnsi="Arial"/>
          <w:sz w:val="18"/>
          <w:szCs w:val="18"/>
          <w:u w:val="single" w:color="auto"/>
          <w:color w:val="auto"/>
        </w:rPr>
        <w:t>Section 6.6(b)</w:t>
      </w:r>
      <w:r>
        <w:rPr>
          <w:rFonts w:ascii="Arial" w:cs="Arial" w:eastAsia="Arial" w:hAnsi="Arial"/>
          <w:sz w:val="18"/>
          <w:szCs w:val="18"/>
          <w:color w:val="auto"/>
        </w:rPr>
        <w:t>, then the determination by the Approved Firm shall be final and binding on all Parties.</w:t>
      </w:r>
    </w:p>
    <w:p>
      <w:pPr>
        <w:spacing w:after="0" w:line="187" w:lineRule="exact"/>
        <w:rPr>
          <w:rFonts w:ascii="Arial" w:cs="Arial" w:eastAsia="Arial" w:hAnsi="Arial"/>
          <w:sz w:val="18"/>
          <w:szCs w:val="18"/>
          <w:color w:val="auto"/>
        </w:rPr>
      </w:pPr>
    </w:p>
    <w:p>
      <w:pPr>
        <w:ind w:left="1100" w:hanging="499"/>
        <w:spacing w:after="0"/>
        <w:tabs>
          <w:tab w:leader="none" w:pos="11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 xml:space="preserve">If, pursuant to a review arising under </w:t>
      </w:r>
      <w:r>
        <w:rPr>
          <w:rFonts w:ascii="Arial" w:cs="Arial" w:eastAsia="Arial" w:hAnsi="Arial"/>
          <w:sz w:val="18"/>
          <w:szCs w:val="18"/>
          <w:u w:val="single" w:color="auto"/>
          <w:color w:val="auto"/>
        </w:rPr>
        <w:t>Section 6.6(a)</w:t>
      </w:r>
      <w:r>
        <w:rPr>
          <w:rFonts w:ascii="Arial" w:cs="Arial" w:eastAsia="Arial" w:hAnsi="Arial"/>
          <w:sz w:val="18"/>
          <w:szCs w:val="18"/>
          <w:color w:val="auto"/>
        </w:rPr>
        <w:t>, the Approved Firm-A determines that the Insurer's Projected RBC Ratio</w:t>
      </w:r>
    </w:p>
    <w:p>
      <w:pPr>
        <w:spacing w:after="0" w:line="49" w:lineRule="exact"/>
        <w:rPr>
          <w:sz w:val="20"/>
          <w:szCs w:val="20"/>
          <w:color w:val="auto"/>
        </w:rPr>
      </w:pPr>
    </w:p>
    <w:p>
      <w:pPr>
        <w:jc w:val="both"/>
        <w:spacing w:after="0" w:line="251" w:lineRule="auto"/>
        <w:rPr>
          <w:sz w:val="20"/>
          <w:szCs w:val="20"/>
          <w:color w:val="auto"/>
        </w:rPr>
      </w:pPr>
      <w:r>
        <w:rPr>
          <w:rFonts w:ascii="Arial" w:cs="Arial" w:eastAsia="Arial" w:hAnsi="Arial"/>
          <w:sz w:val="20"/>
          <w:szCs w:val="20"/>
          <w:color w:val="auto"/>
        </w:rPr>
        <w:t xml:space="preserve">calculation was not prepared in good faith, consistent in all material respects with past practices of the Insurer, [ *** ], and the Insurer or the Insurer Parent delivers the notice of termination described in </w:t>
      </w:r>
      <w:r>
        <w:rPr>
          <w:rFonts w:ascii="Arial" w:cs="Arial" w:eastAsia="Arial" w:hAnsi="Arial"/>
          <w:sz w:val="20"/>
          <w:szCs w:val="20"/>
          <w:u w:val="single" w:color="auto"/>
          <w:color w:val="auto"/>
        </w:rPr>
        <w:t>Section 10.1(b)(ii)</w:t>
      </w:r>
      <w:r>
        <w:rPr>
          <w:rFonts w:ascii="Arial" w:cs="Arial" w:eastAsia="Arial" w:hAnsi="Arial"/>
          <w:sz w:val="20"/>
          <w:szCs w:val="20"/>
          <w:color w:val="auto"/>
        </w:rPr>
        <w:t xml:space="preserve"> based upon such Projected RBC Ratio, then upon termination of this Agreement and in addition to the payment to the Company from the Escrow Account contemplated by </w:t>
      </w:r>
      <w:r>
        <w:rPr>
          <w:rFonts w:ascii="Arial" w:cs="Arial" w:eastAsia="Arial" w:hAnsi="Arial"/>
          <w:sz w:val="20"/>
          <w:szCs w:val="20"/>
          <w:u w:val="single" w:color="auto"/>
          <w:color w:val="auto"/>
        </w:rPr>
        <w:t>Section 10.2(b)(i)</w:t>
      </w:r>
      <w:r>
        <w:rPr>
          <w:rFonts w:ascii="Arial" w:cs="Arial" w:eastAsia="Arial" w:hAnsi="Arial"/>
          <w:sz w:val="20"/>
          <w:szCs w:val="20"/>
          <w:color w:val="auto"/>
        </w:rPr>
        <w:t xml:space="preserve"> and the payment to the Company from the Insurer contemplated by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 *** ].</w:t>
      </w:r>
    </w:p>
    <w:p>
      <w:pPr>
        <w:spacing w:after="0" w:line="209" w:lineRule="exact"/>
        <w:rPr>
          <w:sz w:val="20"/>
          <w:szCs w:val="20"/>
          <w:color w:val="auto"/>
        </w:rPr>
      </w:pPr>
    </w:p>
    <w:p>
      <w:pPr>
        <w:jc w:val="both"/>
        <w:ind w:firstLine="601"/>
        <w:spacing w:after="0" w:line="255" w:lineRule="auto"/>
        <w:tabs>
          <w:tab w:leader="none" w:pos="1105" w:val="left"/>
        </w:tabs>
        <w:numPr>
          <w:ilvl w:val="0"/>
          <w:numId w:val="82"/>
        </w:numPr>
        <w:rPr>
          <w:rFonts w:ascii="Arial" w:cs="Arial" w:eastAsia="Arial" w:hAnsi="Arial"/>
          <w:sz w:val="20"/>
          <w:szCs w:val="20"/>
          <w:color w:val="auto"/>
        </w:rPr>
      </w:pPr>
      <w:r>
        <w:rPr>
          <w:rFonts w:ascii="Arial" w:cs="Arial" w:eastAsia="Arial" w:hAnsi="Arial"/>
          <w:sz w:val="20"/>
          <w:szCs w:val="20"/>
          <w:color w:val="auto"/>
        </w:rPr>
        <w:t xml:space="preserve">If, pursuant to a review arising under </w:t>
      </w:r>
      <w:r>
        <w:rPr>
          <w:rFonts w:ascii="Arial" w:cs="Arial" w:eastAsia="Arial" w:hAnsi="Arial"/>
          <w:sz w:val="20"/>
          <w:szCs w:val="20"/>
          <w:u w:val="single" w:color="auto"/>
          <w:color w:val="auto"/>
        </w:rPr>
        <w:t>Section 6.6(b)</w:t>
      </w:r>
      <w:r>
        <w:rPr>
          <w:rFonts w:ascii="Arial" w:cs="Arial" w:eastAsia="Arial" w:hAnsi="Arial"/>
          <w:sz w:val="20"/>
          <w:szCs w:val="20"/>
          <w:color w:val="auto"/>
        </w:rPr>
        <w:t xml:space="preserve">, the Approved Firm-B determines that the Company's calculation of the Liquidity Requirement or the Projected Parent Liquidity Position (or, if applicable, both calculations) was not prepared in good faith, consistent in all material respects with past practices of the Company, and without giving effect to the liquidity impact of any of the Liquidity Actions, and the Company delivers the notice of termination described in </w:t>
      </w:r>
      <w:r>
        <w:rPr>
          <w:rFonts w:ascii="Arial" w:cs="Arial" w:eastAsia="Arial" w:hAnsi="Arial"/>
          <w:sz w:val="20"/>
          <w:szCs w:val="20"/>
          <w:u w:val="single" w:color="auto"/>
          <w:color w:val="auto"/>
        </w:rPr>
        <w:t>Section 10.1(b)(i)</w:t>
      </w:r>
      <w:r>
        <w:rPr>
          <w:rFonts w:ascii="Arial" w:cs="Arial" w:eastAsia="Arial" w:hAnsi="Arial"/>
          <w:sz w:val="20"/>
          <w:szCs w:val="20"/>
          <w:color w:val="auto"/>
        </w:rPr>
        <w:t xml:space="preserve"> or asserts that the closing condition set forth in </w:t>
      </w:r>
      <w:r>
        <w:rPr>
          <w:rFonts w:ascii="Arial" w:cs="Arial" w:eastAsia="Arial" w:hAnsi="Arial"/>
          <w:sz w:val="20"/>
          <w:szCs w:val="20"/>
          <w:u w:val="single" w:color="auto"/>
          <w:color w:val="auto"/>
        </w:rPr>
        <w:t>Section 8.2(h)</w:t>
      </w:r>
      <w:r>
        <w:rPr>
          <w:rFonts w:ascii="Arial" w:cs="Arial" w:eastAsia="Arial" w:hAnsi="Arial"/>
          <w:sz w:val="20"/>
          <w:szCs w:val="20"/>
          <w:color w:val="auto"/>
        </w:rPr>
        <w:t xml:space="preserve"> has not been satisfied based upon such Liquidity Requirement or Projected</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ectPr>
          <w:pgSz w:w="11900" w:h="16838" w:orient="portrait"/>
          <w:cols w:equalWidth="0" w:num="1">
            <w:col w:w="11420"/>
          </w:cols>
          <w:pgMar w:left="240" w:top="556" w:right="239" w:bottom="1440" w:gutter="0" w:footer="0" w:header="0"/>
        </w:sectPr>
      </w:pPr>
    </w:p>
    <w:bookmarkStart w:id="61" w:name="page62"/>
    <w:bookmarkEnd w:id="61"/>
    <w:p>
      <w:pPr>
        <w:spacing w:after="0"/>
        <w:rPr>
          <w:sz w:val="20"/>
          <w:szCs w:val="20"/>
          <w:color w:val="auto"/>
        </w:rPr>
      </w:pPr>
      <w:r>
        <w:rPr>
          <w:rFonts w:ascii="Arial" w:cs="Arial" w:eastAsia="Arial" w:hAnsi="Arial"/>
          <w:sz w:val="19"/>
          <w:szCs w:val="19"/>
          <w:color w:val="auto"/>
        </w:rPr>
        <w:t>Parent Liquidity Position, then upon termination of this Agreement and in addition to the payment to the Insurer Parent from the Escrow</w:t>
      </w:r>
    </w:p>
    <w:tbl>
      <w:tblPr>
        <w:tblLayout w:type="fixed"/>
        <w:tblInd w:w="0" w:type="dxa"/>
        <w:tblCellMar>
          <w:top w:w="0" w:type="dxa"/>
          <w:left w:w="0" w:type="dxa"/>
          <w:bottom w:w="0" w:type="dxa"/>
          <w:right w:w="0" w:type="dxa"/>
        </w:tblCellMar>
      </w:tblPr>
      <w:tr>
        <w:trPr>
          <w:trHeight w:val="228"/>
        </w:trPr>
        <w:tc>
          <w:tcPr>
            <w:tcW w:w="7880" w:type="dxa"/>
            <w:vAlign w:val="bottom"/>
            <w:gridSpan w:val="4"/>
          </w:tcPr>
          <w:p>
            <w:pPr>
              <w:spacing w:after="0" w:line="229" w:lineRule="exact"/>
              <w:rPr>
                <w:sz w:val="20"/>
                <w:szCs w:val="20"/>
                <w:color w:val="auto"/>
              </w:rPr>
            </w:pPr>
            <w:r>
              <w:rPr>
                <w:rFonts w:ascii="Arial" w:cs="Arial" w:eastAsia="Arial" w:hAnsi="Arial"/>
                <w:sz w:val="20"/>
                <w:szCs w:val="20"/>
                <w:color w:val="auto"/>
                <w:w w:val="96"/>
              </w:rPr>
              <w:t>Account contemplated by Section 10.2(b), an additional payment from the Company of [   ***</w:t>
            </w:r>
          </w:p>
        </w:tc>
        <w:tc>
          <w:tcPr>
            <w:tcW w:w="3540" w:type="dxa"/>
            <w:vAlign w:val="bottom"/>
          </w:tcPr>
          <w:p>
            <w:pPr>
              <w:ind w:left="180"/>
              <w:spacing w:after="0" w:line="229" w:lineRule="exact"/>
              <w:rPr>
                <w:sz w:val="20"/>
                <w:szCs w:val="20"/>
                <w:color w:val="auto"/>
              </w:rPr>
            </w:pPr>
            <w:r>
              <w:rPr>
                <w:rFonts w:ascii="Arial" w:cs="Arial" w:eastAsia="Arial" w:hAnsi="Arial"/>
                <w:sz w:val="20"/>
                <w:szCs w:val="20"/>
                <w:color w:val="auto"/>
                <w:w w:val="90"/>
              </w:rPr>
              <w:t>] shall be immediately due and payable to</w:t>
            </w:r>
          </w:p>
        </w:tc>
      </w:tr>
      <w:tr>
        <w:trPr>
          <w:trHeight w:val="20"/>
        </w:trPr>
        <w:tc>
          <w:tcPr>
            <w:tcW w:w="2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r>
      <w:tr>
        <w:trPr>
          <w:trHeight w:val="265"/>
        </w:trPr>
        <w:tc>
          <w:tcPr>
            <w:tcW w:w="2320" w:type="dxa"/>
            <w:vAlign w:val="bottom"/>
            <w:gridSpan w:val="2"/>
          </w:tcPr>
          <w:p>
            <w:pPr>
              <w:spacing w:after="0"/>
              <w:rPr>
                <w:sz w:val="20"/>
                <w:szCs w:val="20"/>
                <w:color w:val="auto"/>
              </w:rPr>
            </w:pPr>
            <w:r>
              <w:rPr>
                <w:rFonts w:ascii="Arial" w:cs="Arial" w:eastAsia="Arial" w:hAnsi="Arial"/>
                <w:sz w:val="20"/>
                <w:szCs w:val="20"/>
                <w:color w:val="auto"/>
              </w:rPr>
              <w:t>the Insurer Parent, [   ***</w:t>
            </w:r>
          </w:p>
        </w:tc>
        <w:tc>
          <w:tcPr>
            <w:tcW w:w="1020" w:type="dxa"/>
            <w:vAlign w:val="bottom"/>
          </w:tcPr>
          <w:p>
            <w:pPr>
              <w:jc w:val="right"/>
              <w:ind w:right="640"/>
              <w:spacing w:after="0"/>
              <w:rPr>
                <w:sz w:val="20"/>
                <w:szCs w:val="20"/>
                <w:color w:val="auto"/>
              </w:rPr>
            </w:pPr>
            <w:r>
              <w:rPr>
                <w:rFonts w:ascii="Arial" w:cs="Arial" w:eastAsia="Arial" w:hAnsi="Arial"/>
                <w:sz w:val="20"/>
                <w:szCs w:val="20"/>
                <w:color w:val="auto"/>
              </w:rPr>
              <w:t>].</w:t>
            </w:r>
          </w:p>
        </w:tc>
        <w:tc>
          <w:tcPr>
            <w:tcW w:w="4540" w:type="dxa"/>
            <w:vAlign w:val="bottom"/>
          </w:tcPr>
          <w:p>
            <w:pPr>
              <w:spacing w:after="0"/>
              <w:rPr>
                <w:sz w:val="23"/>
                <w:szCs w:val="23"/>
                <w:color w:val="auto"/>
              </w:rPr>
            </w:pPr>
          </w:p>
        </w:tc>
        <w:tc>
          <w:tcPr>
            <w:tcW w:w="3540" w:type="dxa"/>
            <w:vAlign w:val="bottom"/>
          </w:tcPr>
          <w:p>
            <w:pPr>
              <w:spacing w:after="0"/>
              <w:rPr>
                <w:sz w:val="23"/>
                <w:szCs w:val="23"/>
                <w:color w:val="auto"/>
              </w:rPr>
            </w:pPr>
          </w:p>
        </w:tc>
      </w:tr>
    </w:tbl>
    <w:p>
      <w:pPr>
        <w:spacing w:after="0" w:line="382" w:lineRule="exact"/>
        <w:rPr>
          <w:sz w:val="20"/>
          <w:szCs w:val="20"/>
          <w:color w:val="auto"/>
        </w:rPr>
      </w:pPr>
    </w:p>
    <w:p>
      <w:pPr>
        <w:jc w:val="both"/>
        <w:ind w:firstLine="601"/>
        <w:spacing w:after="0" w:line="264" w:lineRule="auto"/>
        <w:rPr>
          <w:sz w:val="20"/>
          <w:szCs w:val="20"/>
          <w:color w:val="auto"/>
        </w:rPr>
      </w:pPr>
      <w:r>
        <w:rPr>
          <w:rFonts w:ascii="Arial" w:cs="Arial" w:eastAsia="Arial" w:hAnsi="Arial"/>
          <w:sz w:val="19"/>
          <w:szCs w:val="19"/>
          <w:color w:val="auto"/>
        </w:rPr>
        <w:t xml:space="preserve">Section 6.7 </w:t>
      </w:r>
      <w:r>
        <w:rPr>
          <w:rFonts w:ascii="Arial" w:cs="Arial" w:eastAsia="Arial" w:hAnsi="Arial"/>
          <w:sz w:val="19"/>
          <w:szCs w:val="19"/>
          <w:u w:val="single" w:color="auto"/>
          <w:color w:val="auto"/>
        </w:rPr>
        <w:t>Administrative Transition Process</w:t>
      </w:r>
      <w:r>
        <w:rPr>
          <w:rFonts w:ascii="Arial" w:cs="Arial" w:eastAsia="Arial" w:hAnsi="Arial"/>
          <w:sz w:val="19"/>
          <w:szCs w:val="19"/>
          <w:color w:val="auto"/>
        </w:rPr>
        <w:t>. From the DTFA Execution Date until the Closing Date, each of the Company and the Insurer shall use their respective commercially reasonable efforts to take, or cause to be taken, all actions and to do, or cause to be done, all things necessary to coordinate the transfer to the Insurer of the recordkeeping and administration responsibilities necessary to effectively provide the administration services regarding the Annuity Payments under the Group Annuity Contract. Without limiting the generality of the foregoing, the Company shall use its commercially reasonable efforts to (</w:t>
      </w:r>
      <w:r>
        <w:rPr>
          <w:rFonts w:ascii="Arial" w:cs="Arial" w:eastAsia="Arial" w:hAnsi="Arial"/>
          <w:sz w:val="19"/>
          <w:szCs w:val="19"/>
          <w:u w:val="single" w:color="auto"/>
          <w:color w:val="auto"/>
        </w:rPr>
        <w:t>a</w:t>
      </w:r>
      <w:r>
        <w:rPr>
          <w:rFonts w:ascii="Arial" w:cs="Arial" w:eastAsia="Arial" w:hAnsi="Arial"/>
          <w:sz w:val="19"/>
          <w:szCs w:val="19"/>
          <w:color w:val="auto"/>
        </w:rPr>
        <w:t>) provide the Insurer with information as reasonably requested by the Insurer to facilitate the transition process and (</w:t>
      </w:r>
      <w:r>
        <w:rPr>
          <w:rFonts w:ascii="Arial" w:cs="Arial" w:eastAsia="Arial" w:hAnsi="Arial"/>
          <w:sz w:val="19"/>
          <w:szCs w:val="19"/>
          <w:u w:val="single" w:color="auto"/>
          <w:color w:val="auto"/>
        </w:rPr>
        <w:t>b</w:t>
      </w:r>
      <w:r>
        <w:rPr>
          <w:rFonts w:ascii="Arial" w:cs="Arial" w:eastAsia="Arial" w:hAnsi="Arial"/>
          <w:sz w:val="19"/>
          <w:szCs w:val="19"/>
          <w:color w:val="auto"/>
        </w:rPr>
        <w:t xml:space="preserve">) assist the Insurer in reaching any necessary agreement or arrangement with Fidelity, including in connection with (i) the provision of services and information set forth in </w:t>
      </w:r>
      <w:r>
        <w:rPr>
          <w:rFonts w:ascii="Arial" w:cs="Arial" w:eastAsia="Arial" w:hAnsi="Arial"/>
          <w:sz w:val="19"/>
          <w:szCs w:val="19"/>
          <w:u w:val="single" w:color="auto"/>
          <w:color w:val="auto"/>
        </w:rPr>
        <w:t>Appendix 6.7</w:t>
      </w:r>
      <w:r>
        <w:rPr>
          <w:rFonts w:ascii="Arial" w:cs="Arial" w:eastAsia="Arial" w:hAnsi="Arial"/>
          <w:sz w:val="19"/>
          <w:szCs w:val="19"/>
          <w:color w:val="auto"/>
        </w:rPr>
        <w:t xml:space="preserve"> and (ii) the negotiation of a definitive ATSA. The Insurer shall use its commercially reasonable efforts to enter into such a definitive ATSA with Fidelity in a manner consistent with the letter of understanding with Fidelity entered into prior to the execution of this Agreement. If either (x) the requirements of </w:t>
      </w:r>
      <w:r>
        <w:rPr>
          <w:rFonts w:ascii="Arial" w:cs="Arial" w:eastAsia="Arial" w:hAnsi="Arial"/>
          <w:sz w:val="19"/>
          <w:szCs w:val="19"/>
          <w:u w:val="single" w:color="auto"/>
          <w:color w:val="auto"/>
        </w:rPr>
        <w:t>Appendix 6.7</w:t>
      </w:r>
      <w:r>
        <w:rPr>
          <w:rFonts w:ascii="Arial" w:cs="Arial" w:eastAsia="Arial" w:hAnsi="Arial"/>
          <w:sz w:val="19"/>
          <w:szCs w:val="19"/>
          <w:color w:val="auto"/>
        </w:rPr>
        <w:t xml:space="preserve"> have not been fulfilled or (y) the Closing has not taken place on or before December 3, 2012, and the Insurer is unable to enter into a definitive ATSA with Fidelity, then the Insurer and the Company will cooperate in good faith to find an alternative method to facilitate the first Annuity Payment to Annuitants through existing commercial arrangements with Fidelity or through any other commercially reasonable method (an “</w:t>
      </w:r>
      <w:r>
        <w:rPr>
          <w:rFonts w:ascii="Arial" w:cs="Arial" w:eastAsia="Arial" w:hAnsi="Arial"/>
          <w:sz w:val="19"/>
          <w:szCs w:val="19"/>
          <w:u w:val="single" w:color="auto"/>
          <w:color w:val="auto"/>
        </w:rPr>
        <w:t>Alternative Arrangement</w:t>
      </w:r>
      <w:r>
        <w:rPr>
          <w:rFonts w:ascii="Arial" w:cs="Arial" w:eastAsia="Arial" w:hAnsi="Arial"/>
          <w:sz w:val="19"/>
          <w:szCs w:val="19"/>
          <w:color w:val="auto"/>
        </w:rPr>
        <w:t>”). In the event an Alternative Arrangement is implemented, prior to the relevant payment date, the Insurer will be responsible to deposit cash in an amount sufficient to cover all such Annuity Payments and any related administrative costs into an account designated by the Company for such purpose.</w:t>
      </w:r>
    </w:p>
    <w:p>
      <w:pPr>
        <w:spacing w:after="0" w:line="162" w:lineRule="exact"/>
        <w:rPr>
          <w:sz w:val="20"/>
          <w:szCs w:val="20"/>
          <w:color w:val="auto"/>
        </w:rPr>
      </w:pPr>
    </w:p>
    <w:p>
      <w:pPr>
        <w:jc w:val="both"/>
        <w:ind w:firstLine="601"/>
        <w:spacing w:after="0" w:line="283" w:lineRule="auto"/>
        <w:rPr>
          <w:sz w:val="20"/>
          <w:szCs w:val="20"/>
          <w:color w:val="auto"/>
        </w:rPr>
      </w:pPr>
      <w:r>
        <w:rPr>
          <w:rFonts w:ascii="Arial" w:cs="Arial" w:eastAsia="Arial" w:hAnsi="Arial"/>
          <w:sz w:val="18"/>
          <w:szCs w:val="18"/>
          <w:color w:val="auto"/>
        </w:rPr>
        <w:t xml:space="preserve">Section 6.8 </w:t>
      </w:r>
      <w:r>
        <w:rPr>
          <w:rFonts w:ascii="Arial" w:cs="Arial" w:eastAsia="Arial" w:hAnsi="Arial"/>
          <w:sz w:val="18"/>
          <w:szCs w:val="18"/>
          <w:u w:val="single" w:color="auto"/>
          <w:color w:val="auto"/>
        </w:rPr>
        <w:t>Compliance with Prohibited Transaction Class Exemption 84-24</w:t>
      </w:r>
      <w:r>
        <w:rPr>
          <w:rFonts w:ascii="Arial" w:cs="Arial" w:eastAsia="Arial" w:hAnsi="Arial"/>
          <w:sz w:val="18"/>
          <w:szCs w:val="18"/>
          <w:color w:val="auto"/>
        </w:rPr>
        <w:t xml:space="preserve">. From the DTFA Execution Date until the Closing Date, the Insurer and its Affiliates will not enter into any agreements whereby it would be a fiduciary expressly authorized in writing to manage, acquire or dispose of the Plan Assets on a discretionary basis that are involved in the Transaction. As of the date hereof, Insurer and/or the applicable Affiliate(s) of the Insurer have ceased providing any discretionary asset management services with respect to any Plan Assets that are involved in the Transaction. If the Insurer discovers the existence of any such agreement, the Insurer will, and will cause its Affiliates to, cease providing any discretionary asset management services with respect to any Plan Asset before such Plan Asset becomes involved in the Transaction. The preceding sentence shall not prohibit an Affiliate of the Insurer from acting as a non-discretionary trustee. If the Closing Date does not occur or this Agreement otherwise terminates, the Insurer will no longer be restricted as provided above in this </w:t>
      </w:r>
      <w:r>
        <w:rPr>
          <w:rFonts w:ascii="Arial" w:cs="Arial" w:eastAsia="Arial" w:hAnsi="Arial"/>
          <w:sz w:val="18"/>
          <w:szCs w:val="18"/>
          <w:u w:val="single" w:color="auto"/>
          <w:color w:val="auto"/>
        </w:rPr>
        <w:t>Section 6.8</w:t>
      </w:r>
      <w:r>
        <w:rPr>
          <w:rFonts w:ascii="Arial" w:cs="Arial" w:eastAsia="Arial" w:hAnsi="Arial"/>
          <w:sz w:val="18"/>
          <w:szCs w:val="18"/>
          <w:color w:val="auto"/>
        </w:rPr>
        <w:t>.</w:t>
      </w:r>
    </w:p>
    <w:p>
      <w:pPr>
        <w:spacing w:after="0" w:line="150" w:lineRule="exact"/>
        <w:rPr>
          <w:sz w:val="20"/>
          <w:szCs w:val="20"/>
          <w:color w:val="auto"/>
        </w:rPr>
      </w:pPr>
    </w:p>
    <w:p>
      <w:pPr>
        <w:ind w:left="600"/>
        <w:spacing w:after="0"/>
        <w:tabs>
          <w:tab w:leader="none" w:pos="1700" w:val="left"/>
        </w:tabs>
        <w:rPr>
          <w:sz w:val="20"/>
          <w:szCs w:val="20"/>
          <w:color w:val="auto"/>
        </w:rPr>
      </w:pPr>
      <w:r>
        <w:rPr>
          <w:rFonts w:ascii="Arial" w:cs="Arial" w:eastAsia="Arial" w:hAnsi="Arial"/>
          <w:sz w:val="20"/>
          <w:szCs w:val="20"/>
          <w:color w:val="auto"/>
        </w:rPr>
        <w:t>Section 6.9</w:t>
      </w:r>
      <w:r>
        <w:rPr>
          <w:sz w:val="20"/>
          <w:szCs w:val="20"/>
          <w:color w:val="auto"/>
        </w:rPr>
        <w:tab/>
      </w:r>
      <w:r>
        <w:rPr>
          <w:rFonts w:ascii="Arial" w:cs="Arial" w:eastAsia="Arial" w:hAnsi="Arial"/>
          <w:sz w:val="18"/>
          <w:szCs w:val="18"/>
          <w:u w:val="single" w:color="auto"/>
          <w:color w:val="auto"/>
        </w:rPr>
        <w:t>Pre-Closing Meeting</w:t>
      </w:r>
      <w:r>
        <w:rPr>
          <w:rFonts w:ascii="Arial" w:cs="Arial" w:eastAsia="Arial" w:hAnsi="Arial"/>
          <w:sz w:val="18"/>
          <w:szCs w:val="18"/>
          <w:color w:val="auto"/>
        </w:rPr>
        <w:t>. No earlier than fifteen (15) Business Days prior to the Target Closing Date, and no later than five</w:t>
      </w:r>
    </w:p>
    <w:p>
      <w:pPr>
        <w:spacing w:after="0" w:line="26" w:lineRule="exact"/>
        <w:rPr>
          <w:sz w:val="20"/>
          <w:szCs w:val="20"/>
          <w:color w:val="auto"/>
        </w:rPr>
      </w:pPr>
    </w:p>
    <w:p>
      <w:pPr>
        <w:spacing w:after="0" w:line="257" w:lineRule="auto"/>
        <w:tabs>
          <w:tab w:leader="none" w:pos="287" w:val="left"/>
        </w:tabs>
        <w:numPr>
          <w:ilvl w:val="0"/>
          <w:numId w:val="83"/>
        </w:numPr>
        <w:rPr>
          <w:rFonts w:ascii="Arial" w:cs="Arial" w:eastAsia="Arial" w:hAnsi="Arial"/>
          <w:sz w:val="20"/>
          <w:szCs w:val="20"/>
          <w:color w:val="auto"/>
        </w:rPr>
      </w:pPr>
      <w:r>
        <w:rPr>
          <w:rFonts w:ascii="Arial" w:cs="Arial" w:eastAsia="Arial" w:hAnsi="Arial"/>
          <w:sz w:val="20"/>
          <w:szCs w:val="20"/>
          <w:color w:val="auto"/>
        </w:rPr>
        <w:t>Business Days prior to the Target Closing Date, the Independent Fiduciary, the Company and the Insurer shall meet to discuss any matters relating to the Closing or as otherwise may be reasonably requested by any Party.</w:t>
      </w:r>
    </w:p>
    <w:p>
      <w:pPr>
        <w:spacing w:after="0" w:line="165" w:lineRule="exact"/>
        <w:rPr>
          <w:sz w:val="20"/>
          <w:szCs w:val="20"/>
          <w:color w:val="auto"/>
        </w:rPr>
      </w:pPr>
    </w:p>
    <w:p>
      <w:pPr>
        <w:jc w:val="both"/>
        <w:ind w:firstLine="601"/>
        <w:spacing w:after="0" w:line="252" w:lineRule="auto"/>
        <w:rPr>
          <w:sz w:val="20"/>
          <w:szCs w:val="20"/>
          <w:color w:val="auto"/>
        </w:rPr>
      </w:pPr>
      <w:r>
        <w:rPr>
          <w:rFonts w:ascii="Arial" w:cs="Arial" w:eastAsia="Arial" w:hAnsi="Arial"/>
          <w:sz w:val="20"/>
          <w:szCs w:val="20"/>
          <w:color w:val="auto"/>
        </w:rPr>
        <w:t xml:space="preserve">Section 6.10 </w:t>
      </w:r>
      <w:r>
        <w:rPr>
          <w:rFonts w:ascii="Arial" w:cs="Arial" w:eastAsia="Arial" w:hAnsi="Arial"/>
          <w:sz w:val="20"/>
          <w:szCs w:val="20"/>
          <w:u w:val="single" w:color="auto"/>
          <w:color w:val="auto"/>
        </w:rPr>
        <w:t>Non-Solicitation</w:t>
      </w:r>
      <w:r>
        <w:rPr>
          <w:rFonts w:ascii="Arial" w:cs="Arial" w:eastAsia="Arial" w:hAnsi="Arial"/>
          <w:sz w:val="20"/>
          <w:szCs w:val="20"/>
          <w:color w:val="auto"/>
        </w:rPr>
        <w:t>. From and after the DTFA Execution Date and through the earlier to occur of the Closing Date or the termination of this Agreement, the Company shall not and shall cause any Representatives of the Company not to (</w:t>
      </w:r>
      <w:r>
        <w:rPr>
          <w:rFonts w:ascii="Arial" w:cs="Arial" w:eastAsia="Arial" w:hAnsi="Arial"/>
          <w:sz w:val="20"/>
          <w:szCs w:val="20"/>
          <w:u w:val="single" w:color="auto"/>
          <w:color w:val="auto"/>
        </w:rPr>
        <w:t>i</w:t>
      </w:r>
      <w:r>
        <w:rPr>
          <w:rFonts w:ascii="Arial" w:cs="Arial" w:eastAsia="Arial" w:hAnsi="Arial"/>
          <w:sz w:val="20"/>
          <w:szCs w:val="20"/>
          <w:color w:val="auto"/>
        </w:rPr>
        <w:t>) solicit, initiate or knowingly facilitate any Alternative Transaction Proposal or the making or consummation thereof, (</w:t>
      </w:r>
      <w:r>
        <w:rPr>
          <w:rFonts w:ascii="Arial" w:cs="Arial" w:eastAsia="Arial" w:hAnsi="Arial"/>
          <w:sz w:val="20"/>
          <w:szCs w:val="20"/>
          <w:u w:val="single" w:color="auto"/>
          <w:color w:val="auto"/>
        </w:rPr>
        <w:t>ii</w:t>
      </w:r>
      <w:r>
        <w:rPr>
          <w:rFonts w:ascii="Arial" w:cs="Arial" w:eastAsia="Arial" w:hAnsi="Arial"/>
          <w:sz w:val="20"/>
          <w:szCs w:val="20"/>
          <w:color w:val="auto"/>
        </w:rPr>
        <w:t>) enter into any agreement, letter of intent, agreement in principle or other similar instrument with respect to any Alternative Transaction Proposal, (</w:t>
      </w:r>
      <w:r>
        <w:rPr>
          <w:rFonts w:ascii="Arial" w:cs="Arial" w:eastAsia="Arial" w:hAnsi="Arial"/>
          <w:sz w:val="20"/>
          <w:szCs w:val="20"/>
          <w:u w:val="single" w:color="auto"/>
          <w:color w:val="auto"/>
        </w:rPr>
        <w:t>iii</w:t>
      </w:r>
      <w:r>
        <w:rPr>
          <w:rFonts w:ascii="Arial" w:cs="Arial" w:eastAsia="Arial" w:hAnsi="Arial"/>
          <w:sz w:val="20"/>
          <w:szCs w:val="20"/>
          <w:color w:val="auto"/>
        </w:rPr>
        <w:t xml:space="preserve">) continue or otherwise participate in any discussions (except, in response to an inquiry by any Person, to notify such Person of the existence of the provisions of this </w:t>
      </w:r>
      <w:r>
        <w:rPr>
          <w:rFonts w:ascii="Arial" w:cs="Arial" w:eastAsia="Arial" w:hAnsi="Arial"/>
          <w:sz w:val="20"/>
          <w:szCs w:val="20"/>
          <w:u w:val="single" w:color="auto"/>
          <w:color w:val="auto"/>
        </w:rPr>
        <w:t>Section 6.10</w:t>
      </w:r>
      <w:r>
        <w:rPr>
          <w:rFonts w:ascii="Arial" w:cs="Arial" w:eastAsia="Arial" w:hAnsi="Arial"/>
          <w:sz w:val="20"/>
          <w:szCs w:val="20"/>
          <w:color w:val="auto"/>
        </w:rPr>
        <w:t>) or negotiations regarding, or furnish to any Person any information in connection with, any Alternative Transaction Proposal, or (</w:t>
      </w:r>
      <w:r>
        <w:rPr>
          <w:rFonts w:ascii="Arial" w:cs="Arial" w:eastAsia="Arial" w:hAnsi="Arial"/>
          <w:sz w:val="20"/>
          <w:szCs w:val="20"/>
          <w:u w:val="single" w:color="auto"/>
          <w:color w:val="auto"/>
        </w:rPr>
        <w:t>iv</w:t>
      </w:r>
      <w:r>
        <w:rPr>
          <w:rFonts w:ascii="Arial" w:cs="Arial" w:eastAsia="Arial" w:hAnsi="Arial"/>
          <w:sz w:val="20"/>
          <w:szCs w:val="20"/>
          <w:color w:val="auto"/>
        </w:rPr>
        <w:t>) enter into</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ectPr>
          <w:pgSz w:w="11900" w:h="16838" w:orient="portrait"/>
          <w:cols w:equalWidth="0" w:num="1">
            <w:col w:w="11420"/>
          </w:cols>
          <w:pgMar w:left="240" w:top="556" w:right="239" w:bottom="1440" w:gutter="0" w:footer="0" w:header="0"/>
        </w:sectPr>
      </w:pPr>
    </w:p>
    <w:bookmarkStart w:id="62" w:name="page63"/>
    <w:bookmarkEnd w:id="62"/>
    <w:p>
      <w:pPr>
        <w:jc w:val="both"/>
        <w:spacing w:after="0" w:line="251" w:lineRule="auto"/>
        <w:rPr>
          <w:sz w:val="20"/>
          <w:szCs w:val="20"/>
          <w:color w:val="auto"/>
        </w:rPr>
      </w:pPr>
      <w:r>
        <w:rPr>
          <w:rFonts w:ascii="Arial" w:cs="Arial" w:eastAsia="Arial" w:hAnsi="Arial"/>
          <w:sz w:val="20"/>
          <w:szCs w:val="20"/>
          <w:color w:val="auto"/>
        </w:rPr>
        <w:t>or amend any agreement or other arrangement to engage any Person (including the Independent Fiduciary) to solicit any Alternative Transaction Proposal. For purposes of this Agreement, an “</w:t>
      </w:r>
      <w:r>
        <w:rPr>
          <w:rFonts w:ascii="Arial" w:cs="Arial" w:eastAsia="Arial" w:hAnsi="Arial"/>
          <w:sz w:val="20"/>
          <w:szCs w:val="20"/>
          <w:u w:val="single" w:color="auto"/>
          <w:color w:val="auto"/>
        </w:rPr>
        <w:t>Alternative Transaction Proposal</w:t>
      </w:r>
      <w:r>
        <w:rPr>
          <w:rFonts w:ascii="Arial" w:cs="Arial" w:eastAsia="Arial" w:hAnsi="Arial"/>
          <w:sz w:val="20"/>
          <w:szCs w:val="20"/>
          <w:color w:val="auto"/>
        </w:rPr>
        <w:t xml:space="preserve">” means any proposal or offer relating to the entry into an insurance, reinsurance or other similar transaction that would be reasonably likely to replace, frustrate or cause not to occur the transactions contemplated by this Agreement and the Group Annuity Contract, such as any transaction in which the responsibility to make all or any substantial portion of the payments in respect of the Covered Lives, Contingent Lives or Beneficiaries would be transferred, assigned or novated from the Plan to a non-Affiliated Person or in which a non-Affiliated Person would assume an obligation to indemnify or reimburse the Plan, the Company or any of their respective Affiliates for any such payment. Nothing in this </w:t>
      </w:r>
      <w:r>
        <w:rPr>
          <w:rFonts w:ascii="Arial" w:cs="Arial" w:eastAsia="Arial" w:hAnsi="Arial"/>
          <w:sz w:val="20"/>
          <w:szCs w:val="20"/>
          <w:u w:val="single" w:color="auto"/>
          <w:color w:val="auto"/>
        </w:rPr>
        <w:t>Section 6.10</w:t>
      </w:r>
      <w:r>
        <w:rPr>
          <w:rFonts w:ascii="Arial" w:cs="Arial" w:eastAsia="Arial" w:hAnsi="Arial"/>
          <w:sz w:val="20"/>
          <w:szCs w:val="20"/>
          <w:color w:val="auto"/>
        </w:rPr>
        <w:t xml:space="preserve"> shall restrict (</w:t>
      </w:r>
      <w:r>
        <w:rPr>
          <w:rFonts w:ascii="Arial" w:cs="Arial" w:eastAsia="Arial" w:hAnsi="Arial"/>
          <w:sz w:val="20"/>
          <w:szCs w:val="20"/>
          <w:u w:val="single" w:color="auto"/>
          <w:color w:val="auto"/>
        </w:rPr>
        <w:t>i</w:t>
      </w:r>
      <w:r>
        <w:rPr>
          <w:rFonts w:ascii="Arial" w:cs="Arial" w:eastAsia="Arial" w:hAnsi="Arial"/>
          <w:sz w:val="20"/>
          <w:szCs w:val="20"/>
          <w:color w:val="auto"/>
        </w:rPr>
        <w:t>) any alternative arrangements with respect to the treatment of Contract 300 Article A and Contract 300 Article M, or (</w:t>
      </w:r>
      <w:r>
        <w:rPr>
          <w:rFonts w:ascii="Arial" w:cs="Arial" w:eastAsia="Arial" w:hAnsi="Arial"/>
          <w:sz w:val="20"/>
          <w:szCs w:val="20"/>
          <w:u w:val="single" w:color="auto"/>
          <w:color w:val="auto"/>
        </w:rPr>
        <w:t>ii</w:t>
      </w:r>
      <w:r>
        <w:rPr>
          <w:rFonts w:ascii="Arial" w:cs="Arial" w:eastAsia="Arial" w:hAnsi="Arial"/>
          <w:sz w:val="20"/>
          <w:szCs w:val="20"/>
          <w:color w:val="auto"/>
        </w:rPr>
        <w:t>) the Lump-Sum Solicitation process.</w:t>
      </w:r>
    </w:p>
    <w:p>
      <w:pPr>
        <w:spacing w:after="0" w:line="176" w:lineRule="exact"/>
        <w:rPr>
          <w:sz w:val="20"/>
          <w:szCs w:val="20"/>
          <w:color w:val="auto"/>
        </w:rPr>
      </w:pPr>
    </w:p>
    <w:p>
      <w:pPr>
        <w:jc w:val="both"/>
        <w:ind w:firstLine="601"/>
        <w:spacing w:after="0" w:line="290" w:lineRule="auto"/>
        <w:rPr>
          <w:sz w:val="20"/>
          <w:szCs w:val="20"/>
          <w:color w:val="auto"/>
        </w:rPr>
      </w:pPr>
      <w:r>
        <w:rPr>
          <w:rFonts w:ascii="Arial" w:cs="Arial" w:eastAsia="Arial" w:hAnsi="Arial"/>
          <w:sz w:val="18"/>
          <w:szCs w:val="18"/>
          <w:color w:val="auto"/>
        </w:rPr>
        <w:t xml:space="preserve">Section 6.11 </w:t>
      </w:r>
      <w:r>
        <w:rPr>
          <w:rFonts w:ascii="Arial" w:cs="Arial" w:eastAsia="Arial" w:hAnsi="Arial"/>
          <w:sz w:val="18"/>
          <w:szCs w:val="18"/>
          <w:u w:val="single" w:color="auto"/>
          <w:color w:val="auto"/>
        </w:rPr>
        <w:t>Information Provided To The Independent Fiduciary</w:t>
      </w:r>
      <w:r>
        <w:rPr>
          <w:rFonts w:ascii="Arial" w:cs="Arial" w:eastAsia="Arial" w:hAnsi="Arial"/>
          <w:sz w:val="18"/>
          <w:szCs w:val="18"/>
          <w:color w:val="auto"/>
        </w:rPr>
        <w:t>. Between the DTFA Execution Date and the execution of the Group Annuity Contract, Insurer and the Insurer Parent shall provide to the Independent Fiduciary any information that (</w:t>
      </w:r>
      <w:r>
        <w:rPr>
          <w:rFonts w:ascii="Arial" w:cs="Arial" w:eastAsia="Arial" w:hAnsi="Arial"/>
          <w:sz w:val="18"/>
          <w:szCs w:val="18"/>
          <w:u w:val="single" w:color="auto"/>
          <w:color w:val="auto"/>
        </w:rPr>
        <w:t>i</w:t>
      </w:r>
      <w:r>
        <w:rPr>
          <w:rFonts w:ascii="Arial" w:cs="Arial" w:eastAsia="Arial" w:hAnsi="Arial"/>
          <w:sz w:val="18"/>
          <w:szCs w:val="18"/>
          <w:color w:val="auto"/>
        </w:rPr>
        <w:t>) is consistent with the type and amount of information provided during the Independent Fiduciary's pre-signing due diligence process, (</w:t>
      </w:r>
      <w:r>
        <w:rPr>
          <w:rFonts w:ascii="Arial" w:cs="Arial" w:eastAsia="Arial" w:hAnsi="Arial"/>
          <w:sz w:val="18"/>
          <w:szCs w:val="18"/>
          <w:u w:val="single" w:color="auto"/>
          <w:color w:val="auto"/>
        </w:rPr>
        <w:t>ii</w:t>
      </w:r>
      <w:r>
        <w:rPr>
          <w:rFonts w:ascii="Arial" w:cs="Arial" w:eastAsia="Arial" w:hAnsi="Arial"/>
          <w:sz w:val="18"/>
          <w:szCs w:val="18"/>
          <w:color w:val="auto"/>
        </w:rPr>
        <w:t>) is otherwise prepared in the ordinary course of business of the Insurer (including any information that is prepared for the purpose of providing information to credit rating agencies) and (</w:t>
      </w:r>
      <w:r>
        <w:rPr>
          <w:rFonts w:ascii="Arial" w:cs="Arial" w:eastAsia="Arial" w:hAnsi="Arial"/>
          <w:sz w:val="18"/>
          <w:szCs w:val="18"/>
          <w:u w:val="single" w:color="auto"/>
          <w:color w:val="auto"/>
        </w:rPr>
        <w:t>iii</w:t>
      </w:r>
      <w:r>
        <w:rPr>
          <w:rFonts w:ascii="Arial" w:cs="Arial" w:eastAsia="Arial" w:hAnsi="Arial"/>
          <w:sz w:val="18"/>
          <w:szCs w:val="18"/>
          <w:color w:val="auto"/>
        </w:rPr>
        <w:t>) relates to the Insurer or Insurer Parent, in each case as may be reasonably requested by the Independent Fiduciary.</w:t>
      </w:r>
    </w:p>
    <w:p>
      <w:pPr>
        <w:spacing w:after="0" w:line="139" w:lineRule="exact"/>
        <w:rPr>
          <w:sz w:val="20"/>
          <w:szCs w:val="20"/>
          <w:color w:val="auto"/>
        </w:rPr>
      </w:pPr>
    </w:p>
    <w:tbl>
      <w:tblPr>
        <w:tblLayout w:type="fixed"/>
        <w:tblInd w:w="600" w:type="dxa"/>
        <w:tblCellMar>
          <w:top w:w="0" w:type="dxa"/>
          <w:left w:w="0" w:type="dxa"/>
          <w:bottom w:w="0" w:type="dxa"/>
          <w:right w:w="0" w:type="dxa"/>
        </w:tblCellMar>
      </w:tblPr>
      <w:tr>
        <w:trPr>
          <w:trHeight w:val="256"/>
        </w:trPr>
        <w:tc>
          <w:tcPr>
            <w:tcW w:w="2000" w:type="dxa"/>
            <w:vAlign w:val="bottom"/>
          </w:tcPr>
          <w:p>
            <w:pPr>
              <w:spacing w:after="0"/>
              <w:rPr>
                <w:sz w:val="20"/>
                <w:szCs w:val="20"/>
                <w:color w:val="auto"/>
              </w:rPr>
            </w:pPr>
            <w:r>
              <w:rPr>
                <w:rFonts w:ascii="Arial" w:cs="Arial" w:eastAsia="Arial" w:hAnsi="Arial"/>
                <w:sz w:val="20"/>
                <w:szCs w:val="20"/>
                <w:color w:val="auto"/>
              </w:rPr>
              <w:t>Section 6.12  [   ***</w:t>
            </w:r>
          </w:p>
        </w:tc>
        <w:tc>
          <w:tcPr>
            <w:tcW w:w="3220" w:type="dxa"/>
            <w:vAlign w:val="bottom"/>
          </w:tcPr>
          <w:p>
            <w:pPr>
              <w:jc w:val="right"/>
              <w:ind w:right="2840"/>
              <w:spacing w:after="0"/>
              <w:rPr>
                <w:sz w:val="20"/>
                <w:szCs w:val="20"/>
                <w:color w:val="auto"/>
              </w:rPr>
            </w:pPr>
            <w:r>
              <w:rPr>
                <w:rFonts w:ascii="Arial" w:cs="Arial" w:eastAsia="Arial" w:hAnsi="Arial"/>
                <w:sz w:val="20"/>
                <w:szCs w:val="20"/>
                <w:color w:val="auto"/>
              </w:rPr>
              <w:t>].</w:t>
            </w:r>
          </w:p>
        </w:tc>
        <w:tc>
          <w:tcPr>
            <w:tcW w:w="132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740" w:type="dxa"/>
            <w:vAlign w:val="bottom"/>
          </w:tcPr>
          <w:p>
            <w:pPr>
              <w:spacing w:after="0"/>
              <w:rPr>
                <w:sz w:val="22"/>
                <w:szCs w:val="22"/>
                <w:color w:val="auto"/>
              </w:rPr>
            </w:pPr>
          </w:p>
        </w:tc>
      </w:tr>
      <w:tr>
        <w:trPr>
          <w:trHeight w:val="428"/>
        </w:trPr>
        <w:tc>
          <w:tcPr>
            <w:tcW w:w="5220" w:type="dxa"/>
            <w:vAlign w:val="bottom"/>
            <w:gridSpan w:val="2"/>
          </w:tcPr>
          <w:p>
            <w:pPr>
              <w:spacing w:after="0"/>
              <w:rPr>
                <w:sz w:val="20"/>
                <w:szCs w:val="20"/>
                <w:color w:val="auto"/>
              </w:rPr>
            </w:pPr>
            <w:r>
              <w:rPr>
                <w:rFonts w:ascii="Arial" w:cs="Arial" w:eastAsia="Arial" w:hAnsi="Arial"/>
                <w:sz w:val="20"/>
                <w:szCs w:val="20"/>
                <w:color w:val="auto"/>
              </w:rPr>
              <w:t>(a)   Promptly following the DTFA Execution Date, [   ***</w:t>
            </w:r>
          </w:p>
        </w:tc>
        <w:tc>
          <w:tcPr>
            <w:tcW w:w="5600" w:type="dxa"/>
            <w:vAlign w:val="bottom"/>
            <w:gridSpan w:val="5"/>
          </w:tcPr>
          <w:p>
            <w:pPr>
              <w:ind w:left="200"/>
              <w:spacing w:after="0"/>
              <w:rPr>
                <w:sz w:val="20"/>
                <w:szCs w:val="20"/>
                <w:color w:val="auto"/>
              </w:rPr>
            </w:pPr>
            <w:r>
              <w:rPr>
                <w:rFonts w:ascii="Arial" w:cs="Arial" w:eastAsia="Arial" w:hAnsi="Arial"/>
                <w:sz w:val="20"/>
                <w:szCs w:val="20"/>
                <w:color w:val="auto"/>
                <w:w w:val="95"/>
              </w:rPr>
              <w:t>] set forth on Appendix 2.6(d)(I) and Appendix 2.6(d)(II) (it being</w:t>
            </w:r>
          </w:p>
        </w:tc>
      </w:tr>
      <w:tr>
        <w:trPr>
          <w:trHeight w:val="20"/>
        </w:trPr>
        <w:tc>
          <w:tcPr>
            <w:tcW w:w="20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bl>
    <w:p>
      <w:pPr>
        <w:spacing w:after="0" w:line="16" w:lineRule="exact"/>
        <w:rPr>
          <w:sz w:val="20"/>
          <w:szCs w:val="20"/>
          <w:color w:val="auto"/>
        </w:rPr>
      </w:pPr>
    </w:p>
    <w:p>
      <w:pPr>
        <w:spacing w:after="0"/>
        <w:rPr>
          <w:sz w:val="20"/>
          <w:szCs w:val="20"/>
          <w:color w:val="auto"/>
        </w:rPr>
      </w:pPr>
      <w:r>
        <w:rPr>
          <w:rFonts w:ascii="Arial" w:cs="Arial" w:eastAsia="Arial" w:hAnsi="Arial"/>
          <w:sz w:val="19"/>
          <w:szCs w:val="19"/>
          <w:color w:val="auto"/>
        </w:rPr>
        <w:t>understood that each item of such information shall only be provided if and after any consent that is needed to share such information is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600" w:type="dxa"/>
            <w:vAlign w:val="bottom"/>
          </w:tcPr>
          <w:p>
            <w:pPr>
              <w:spacing w:after="0"/>
              <w:rPr>
                <w:sz w:val="20"/>
                <w:szCs w:val="20"/>
                <w:color w:val="auto"/>
              </w:rPr>
            </w:pPr>
            <w:r>
              <w:rPr>
                <w:rFonts w:ascii="Arial" w:cs="Arial" w:eastAsia="Arial" w:hAnsi="Arial"/>
                <w:sz w:val="20"/>
                <w:szCs w:val="20"/>
                <w:color w:val="auto"/>
              </w:rPr>
              <w:t>obtained [   ***</w:t>
            </w:r>
          </w:p>
        </w:tc>
        <w:tc>
          <w:tcPr>
            <w:tcW w:w="780" w:type="dxa"/>
            <w:vAlign w:val="bottom"/>
          </w:tcPr>
          <w:p>
            <w:pPr>
              <w:ind w:left="100"/>
              <w:spacing w:after="0"/>
              <w:rPr>
                <w:sz w:val="20"/>
                <w:szCs w:val="20"/>
                <w:color w:val="auto"/>
              </w:rPr>
            </w:pPr>
            <w:r>
              <w:rPr>
                <w:rFonts w:ascii="Arial" w:cs="Arial" w:eastAsia="Arial" w:hAnsi="Arial"/>
                <w:sz w:val="20"/>
                <w:szCs w:val="20"/>
                <w:color w:val="auto"/>
              </w:rPr>
              <w:t>]):</w:t>
            </w:r>
          </w:p>
        </w:tc>
        <w:tc>
          <w:tcPr>
            <w:tcW w:w="6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080" w:type="dxa"/>
            <w:vAlign w:val="bottom"/>
          </w:tcPr>
          <w:p>
            <w:pPr>
              <w:spacing w:after="0"/>
              <w:rPr>
                <w:sz w:val="22"/>
                <w:szCs w:val="22"/>
                <w:color w:val="auto"/>
              </w:rPr>
            </w:pPr>
          </w:p>
        </w:tc>
      </w:tr>
      <w:tr>
        <w:trPr>
          <w:trHeight w:val="458"/>
        </w:trPr>
        <w:tc>
          <w:tcPr>
            <w:tcW w:w="1600" w:type="dxa"/>
            <w:vAlign w:val="bottom"/>
          </w:tcPr>
          <w:p>
            <w:pPr>
              <w:ind w:left="1200"/>
              <w:spacing w:after="0"/>
              <w:rPr>
                <w:sz w:val="20"/>
                <w:szCs w:val="20"/>
                <w:color w:val="auto"/>
              </w:rPr>
            </w:pPr>
            <w:r>
              <w:rPr>
                <w:rFonts w:ascii="Arial" w:cs="Arial" w:eastAsia="Arial" w:hAnsi="Arial"/>
                <w:sz w:val="20"/>
                <w:szCs w:val="20"/>
                <w:color w:val="auto"/>
              </w:rPr>
              <w:t>(i)</w:t>
            </w:r>
          </w:p>
        </w:tc>
        <w:tc>
          <w:tcPr>
            <w:tcW w:w="1380" w:type="dxa"/>
            <w:vAlign w:val="bottom"/>
            <w:gridSpan w:val="2"/>
          </w:tcPr>
          <w:p>
            <w:pPr>
              <w:ind w:left="400"/>
              <w:spacing w:after="0"/>
              <w:rPr>
                <w:sz w:val="20"/>
                <w:szCs w:val="20"/>
                <w:color w:val="auto"/>
              </w:rPr>
            </w:pPr>
            <w:r>
              <w:rPr>
                <w:rFonts w:ascii="Arial" w:cs="Arial" w:eastAsia="Arial" w:hAnsi="Arial"/>
                <w:sz w:val="20"/>
                <w:szCs w:val="20"/>
                <w:color w:val="auto"/>
              </w:rPr>
              <w:t>the latest [</w:t>
            </w:r>
          </w:p>
        </w:tc>
        <w:tc>
          <w:tcPr>
            <w:tcW w:w="600" w:type="dxa"/>
            <w:vAlign w:val="bottom"/>
          </w:tcPr>
          <w:p>
            <w:pPr>
              <w:ind w:left="100"/>
              <w:spacing w:after="0"/>
              <w:rPr>
                <w:sz w:val="20"/>
                <w:szCs w:val="20"/>
                <w:color w:val="auto"/>
              </w:rPr>
            </w:pPr>
            <w:r>
              <w:rPr>
                <w:rFonts w:ascii="Arial" w:cs="Arial" w:eastAsia="Arial" w:hAnsi="Arial"/>
                <w:sz w:val="20"/>
                <w:szCs w:val="20"/>
                <w:color w:val="auto"/>
              </w:rPr>
              <w:t>***</w:t>
            </w:r>
          </w:p>
        </w:tc>
        <w:tc>
          <w:tcPr>
            <w:tcW w:w="1800" w:type="dxa"/>
            <w:vAlign w:val="bottom"/>
          </w:tcPr>
          <w:p>
            <w:pPr>
              <w:jc w:val="right"/>
              <w:ind w:right="1440"/>
              <w:spacing w:after="0"/>
              <w:rPr>
                <w:sz w:val="20"/>
                <w:szCs w:val="20"/>
                <w:color w:val="auto"/>
              </w:rPr>
            </w:pPr>
            <w:r>
              <w:rPr>
                <w:rFonts w:ascii="Arial" w:cs="Arial" w:eastAsia="Arial" w:hAnsi="Arial"/>
                <w:sz w:val="20"/>
                <w:szCs w:val="20"/>
                <w:color w:val="auto"/>
              </w:rPr>
              <w:t>];</w:t>
            </w:r>
          </w:p>
        </w:tc>
        <w:tc>
          <w:tcPr>
            <w:tcW w:w="6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80" w:type="dxa"/>
            <w:vAlign w:val="bottom"/>
          </w:tcPr>
          <w:p>
            <w:pPr>
              <w:spacing w:after="0"/>
              <w:rPr>
                <w:sz w:val="24"/>
                <w:szCs w:val="24"/>
                <w:color w:val="auto"/>
              </w:rPr>
            </w:pPr>
          </w:p>
        </w:tc>
      </w:tr>
      <w:tr>
        <w:trPr>
          <w:trHeight w:val="476"/>
        </w:trPr>
        <w:tc>
          <w:tcPr>
            <w:tcW w:w="1600" w:type="dxa"/>
            <w:vAlign w:val="bottom"/>
          </w:tcPr>
          <w:p>
            <w:pPr>
              <w:ind w:left="1200"/>
              <w:spacing w:after="0"/>
              <w:rPr>
                <w:sz w:val="20"/>
                <w:szCs w:val="20"/>
                <w:color w:val="auto"/>
              </w:rPr>
            </w:pPr>
            <w:r>
              <w:rPr>
                <w:rFonts w:ascii="Arial" w:cs="Arial" w:eastAsia="Arial" w:hAnsi="Arial"/>
                <w:sz w:val="20"/>
                <w:szCs w:val="20"/>
                <w:color w:val="auto"/>
              </w:rPr>
              <w:t>(ii)</w:t>
            </w:r>
          </w:p>
        </w:tc>
        <w:tc>
          <w:tcPr>
            <w:tcW w:w="1380" w:type="dxa"/>
            <w:vAlign w:val="bottom"/>
            <w:gridSpan w:val="2"/>
          </w:tcPr>
          <w:p>
            <w:pPr>
              <w:ind w:left="440"/>
              <w:spacing w:after="0"/>
              <w:rPr>
                <w:sz w:val="20"/>
                <w:szCs w:val="20"/>
                <w:color w:val="auto"/>
              </w:rPr>
            </w:pPr>
            <w:r>
              <w:rPr>
                <w:rFonts w:ascii="Arial" w:cs="Arial" w:eastAsia="Arial" w:hAnsi="Arial"/>
                <w:sz w:val="20"/>
                <w:szCs w:val="20"/>
                <w:color w:val="auto"/>
                <w:w w:val="99"/>
              </w:rPr>
              <w:t>the latest [</w:t>
            </w:r>
          </w:p>
        </w:tc>
        <w:tc>
          <w:tcPr>
            <w:tcW w:w="600" w:type="dxa"/>
            <w:vAlign w:val="bottom"/>
          </w:tcPr>
          <w:p>
            <w:pPr>
              <w:jc w:val="right"/>
              <w:ind w:right="40"/>
              <w:spacing w:after="0"/>
              <w:rPr>
                <w:sz w:val="20"/>
                <w:szCs w:val="20"/>
                <w:color w:val="auto"/>
              </w:rPr>
            </w:pPr>
            <w:r>
              <w:rPr>
                <w:rFonts w:ascii="Arial" w:cs="Arial" w:eastAsia="Arial" w:hAnsi="Arial"/>
                <w:sz w:val="20"/>
                <w:szCs w:val="20"/>
                <w:color w:val="auto"/>
              </w:rPr>
              <w:t>***</w:t>
            </w:r>
          </w:p>
        </w:tc>
        <w:tc>
          <w:tcPr>
            <w:tcW w:w="1800" w:type="dxa"/>
            <w:vAlign w:val="bottom"/>
          </w:tcPr>
          <w:p>
            <w:pPr>
              <w:jc w:val="right"/>
              <w:ind w:right="1380"/>
              <w:spacing w:after="0"/>
              <w:rPr>
                <w:sz w:val="20"/>
                <w:szCs w:val="20"/>
                <w:color w:val="auto"/>
              </w:rPr>
            </w:pPr>
            <w:r>
              <w:rPr>
                <w:rFonts w:ascii="Arial" w:cs="Arial" w:eastAsia="Arial" w:hAnsi="Arial"/>
                <w:sz w:val="20"/>
                <w:szCs w:val="20"/>
                <w:color w:val="auto"/>
              </w:rPr>
              <w:t>];</w:t>
            </w:r>
          </w:p>
        </w:tc>
        <w:tc>
          <w:tcPr>
            <w:tcW w:w="6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80" w:type="dxa"/>
            <w:vAlign w:val="bottom"/>
          </w:tcPr>
          <w:p>
            <w:pPr>
              <w:spacing w:after="0"/>
              <w:rPr>
                <w:sz w:val="24"/>
                <w:szCs w:val="24"/>
                <w:color w:val="auto"/>
              </w:rPr>
            </w:pPr>
          </w:p>
        </w:tc>
      </w:tr>
      <w:tr>
        <w:trPr>
          <w:trHeight w:val="457"/>
        </w:trPr>
        <w:tc>
          <w:tcPr>
            <w:tcW w:w="1600" w:type="dxa"/>
            <w:vAlign w:val="bottom"/>
          </w:tcPr>
          <w:p>
            <w:pPr>
              <w:ind w:left="1200"/>
              <w:spacing w:after="0"/>
              <w:rPr>
                <w:sz w:val="20"/>
                <w:szCs w:val="20"/>
                <w:color w:val="auto"/>
              </w:rPr>
            </w:pPr>
            <w:r>
              <w:rPr>
                <w:rFonts w:ascii="Arial" w:cs="Arial" w:eastAsia="Arial" w:hAnsi="Arial"/>
                <w:sz w:val="20"/>
                <w:szCs w:val="20"/>
                <w:color w:val="auto"/>
              </w:rPr>
              <w:t>(iii)</w:t>
            </w:r>
          </w:p>
        </w:tc>
        <w:tc>
          <w:tcPr>
            <w:tcW w:w="3780" w:type="dxa"/>
            <w:vAlign w:val="bottom"/>
            <w:gridSpan w:val="4"/>
          </w:tcPr>
          <w:p>
            <w:pPr>
              <w:ind w:left="500"/>
              <w:spacing w:after="0"/>
              <w:rPr>
                <w:sz w:val="20"/>
                <w:szCs w:val="20"/>
                <w:color w:val="auto"/>
              </w:rPr>
            </w:pPr>
            <w:r>
              <w:rPr>
                <w:rFonts w:ascii="Arial" w:cs="Arial" w:eastAsia="Arial" w:hAnsi="Arial"/>
                <w:sz w:val="20"/>
                <w:szCs w:val="20"/>
                <w:color w:val="auto"/>
                <w:w w:val="96"/>
              </w:rPr>
              <w:t>information most recently provided to [</w:t>
            </w:r>
          </w:p>
        </w:tc>
        <w:tc>
          <w:tcPr>
            <w:tcW w:w="680" w:type="dxa"/>
            <w:vAlign w:val="bottom"/>
          </w:tcPr>
          <w:p>
            <w:pPr>
              <w:jc w:val="right"/>
              <w:ind w:right="140"/>
              <w:spacing w:after="0"/>
              <w:rPr>
                <w:sz w:val="20"/>
                <w:szCs w:val="20"/>
                <w:color w:val="auto"/>
              </w:rPr>
            </w:pPr>
            <w:r>
              <w:rPr>
                <w:rFonts w:ascii="Arial" w:cs="Arial" w:eastAsia="Arial" w:hAnsi="Arial"/>
                <w:sz w:val="20"/>
                <w:szCs w:val="20"/>
                <w:color w:val="auto"/>
              </w:rPr>
              <w:t>***</w:t>
            </w:r>
          </w:p>
        </w:tc>
        <w:tc>
          <w:tcPr>
            <w:tcW w:w="1620" w:type="dxa"/>
            <w:vAlign w:val="bottom"/>
          </w:tcPr>
          <w:p>
            <w:pPr>
              <w:ind w:left="120"/>
              <w:spacing w:after="0"/>
              <w:rPr>
                <w:sz w:val="20"/>
                <w:szCs w:val="20"/>
                <w:color w:val="auto"/>
              </w:rPr>
            </w:pPr>
            <w:r>
              <w:rPr>
                <w:rFonts w:ascii="Arial" w:cs="Arial" w:eastAsia="Arial" w:hAnsi="Arial"/>
                <w:sz w:val="20"/>
                <w:szCs w:val="20"/>
                <w:color w:val="auto"/>
              </w:rPr>
              <w:t>] regarding the [</w:t>
            </w:r>
          </w:p>
        </w:tc>
        <w:tc>
          <w:tcPr>
            <w:tcW w:w="560" w:type="dxa"/>
            <w:vAlign w:val="bottom"/>
          </w:tcPr>
          <w:p>
            <w:pPr>
              <w:jc w:val="right"/>
              <w:ind w:right="120"/>
              <w:spacing w:after="0"/>
              <w:rPr>
                <w:sz w:val="20"/>
                <w:szCs w:val="20"/>
                <w:color w:val="auto"/>
              </w:rPr>
            </w:pPr>
            <w:r>
              <w:rPr>
                <w:rFonts w:ascii="Arial" w:cs="Arial" w:eastAsia="Arial" w:hAnsi="Arial"/>
                <w:sz w:val="20"/>
                <w:szCs w:val="20"/>
                <w:color w:val="auto"/>
              </w:rPr>
              <w:t>***</w:t>
            </w:r>
          </w:p>
        </w:tc>
        <w:tc>
          <w:tcPr>
            <w:tcW w:w="3080" w:type="dxa"/>
            <w:vAlign w:val="bottom"/>
          </w:tcPr>
          <w:p>
            <w:pPr>
              <w:ind w:left="140"/>
              <w:spacing w:after="0"/>
              <w:rPr>
                <w:sz w:val="20"/>
                <w:szCs w:val="20"/>
                <w:color w:val="auto"/>
              </w:rPr>
            </w:pPr>
            <w:r>
              <w:rPr>
                <w:rFonts w:ascii="Arial" w:cs="Arial" w:eastAsia="Arial" w:hAnsi="Arial"/>
                <w:sz w:val="20"/>
                <w:szCs w:val="20"/>
                <w:color w:val="auto"/>
                <w:w w:val="97"/>
              </w:rPr>
              <w:t>], including descriptions and [   ***</w:t>
            </w:r>
          </w:p>
        </w:tc>
      </w:tr>
      <w:tr>
        <w:trPr>
          <w:trHeight w:val="256"/>
        </w:trPr>
        <w:tc>
          <w:tcPr>
            <w:tcW w:w="5380" w:type="dxa"/>
            <w:vAlign w:val="bottom"/>
            <w:gridSpan w:val="5"/>
          </w:tcPr>
          <w:p>
            <w:pPr>
              <w:ind w:left="800"/>
              <w:spacing w:after="0"/>
              <w:rPr>
                <w:sz w:val="20"/>
                <w:szCs w:val="20"/>
                <w:color w:val="auto"/>
              </w:rPr>
            </w:pPr>
            <w:r>
              <w:rPr>
                <w:rFonts w:ascii="Arial" w:cs="Arial" w:eastAsia="Arial" w:hAnsi="Arial"/>
                <w:sz w:val="20"/>
                <w:szCs w:val="20"/>
                <w:color w:val="auto"/>
              </w:rPr>
              <w:t>] that may be reasonably requested by the Insurer;</w:t>
            </w:r>
          </w:p>
        </w:tc>
        <w:tc>
          <w:tcPr>
            <w:tcW w:w="68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080" w:type="dxa"/>
            <w:vAlign w:val="bottom"/>
          </w:tcPr>
          <w:p>
            <w:pPr>
              <w:spacing w:after="0"/>
              <w:rPr>
                <w:sz w:val="22"/>
                <w:szCs w:val="22"/>
                <w:color w:val="auto"/>
              </w:rPr>
            </w:pPr>
          </w:p>
        </w:tc>
      </w:tr>
      <w:tr>
        <w:trPr>
          <w:trHeight w:val="476"/>
        </w:trPr>
        <w:tc>
          <w:tcPr>
            <w:tcW w:w="1600" w:type="dxa"/>
            <w:vAlign w:val="bottom"/>
          </w:tcPr>
          <w:p>
            <w:pPr>
              <w:ind w:left="1200"/>
              <w:spacing w:after="0"/>
              <w:rPr>
                <w:sz w:val="20"/>
                <w:szCs w:val="20"/>
                <w:color w:val="auto"/>
              </w:rPr>
            </w:pPr>
            <w:r>
              <w:rPr>
                <w:rFonts w:ascii="Arial" w:cs="Arial" w:eastAsia="Arial" w:hAnsi="Arial"/>
                <w:sz w:val="20"/>
                <w:szCs w:val="20"/>
                <w:color w:val="auto"/>
              </w:rPr>
              <w:t>(iv)</w:t>
            </w:r>
          </w:p>
        </w:tc>
        <w:tc>
          <w:tcPr>
            <w:tcW w:w="780" w:type="dxa"/>
            <w:vAlign w:val="bottom"/>
          </w:tcPr>
          <w:p>
            <w:pPr>
              <w:ind w:left="500"/>
              <w:spacing w:after="0"/>
              <w:rPr>
                <w:sz w:val="20"/>
                <w:szCs w:val="20"/>
                <w:color w:val="auto"/>
              </w:rPr>
            </w:pPr>
            <w:r>
              <w:rPr>
                <w:rFonts w:ascii="Arial" w:cs="Arial" w:eastAsia="Arial" w:hAnsi="Arial"/>
                <w:sz w:val="20"/>
                <w:szCs w:val="20"/>
                <w:color w:val="auto"/>
              </w:rPr>
              <w:t>[</w:t>
            </w:r>
          </w:p>
        </w:tc>
        <w:tc>
          <w:tcPr>
            <w:tcW w:w="600" w:type="dxa"/>
            <w:vAlign w:val="bottom"/>
          </w:tcPr>
          <w:p>
            <w:pPr>
              <w:jc w:val="right"/>
              <w:ind w:right="180"/>
              <w:spacing w:after="0"/>
              <w:rPr>
                <w:sz w:val="20"/>
                <w:szCs w:val="20"/>
                <w:color w:val="auto"/>
              </w:rPr>
            </w:pPr>
            <w:r>
              <w:rPr>
                <w:rFonts w:ascii="Arial" w:cs="Arial" w:eastAsia="Arial" w:hAnsi="Arial"/>
                <w:sz w:val="20"/>
                <w:szCs w:val="20"/>
                <w:color w:val="auto"/>
              </w:rPr>
              <w:t>***</w:t>
            </w:r>
          </w:p>
        </w:tc>
        <w:tc>
          <w:tcPr>
            <w:tcW w:w="2400" w:type="dxa"/>
            <w:vAlign w:val="bottom"/>
            <w:gridSpan w:val="2"/>
          </w:tcPr>
          <w:p>
            <w:pPr>
              <w:ind w:left="80"/>
              <w:spacing w:after="0"/>
              <w:rPr>
                <w:sz w:val="20"/>
                <w:szCs w:val="20"/>
                <w:color w:val="auto"/>
              </w:rPr>
            </w:pPr>
            <w:r>
              <w:rPr>
                <w:rFonts w:ascii="Arial" w:cs="Arial" w:eastAsia="Arial" w:hAnsi="Arial"/>
                <w:sz w:val="20"/>
                <w:szCs w:val="20"/>
                <w:color w:val="auto"/>
              </w:rPr>
              <w:t>] that relate to the [   ***</w:t>
            </w:r>
          </w:p>
        </w:tc>
        <w:tc>
          <w:tcPr>
            <w:tcW w:w="680" w:type="dxa"/>
            <w:vAlign w:val="bottom"/>
          </w:tcPr>
          <w:p>
            <w:pPr>
              <w:jc w:val="right"/>
              <w:spacing w:after="0"/>
              <w:rPr>
                <w:sz w:val="20"/>
                <w:szCs w:val="20"/>
                <w:color w:val="auto"/>
              </w:rPr>
            </w:pPr>
            <w:r>
              <w:rPr>
                <w:rFonts w:ascii="Arial" w:cs="Arial" w:eastAsia="Arial" w:hAnsi="Arial"/>
                <w:sz w:val="20"/>
                <w:szCs w:val="20"/>
                <w:color w:val="auto"/>
              </w:rPr>
              <w:t>]; and</w:t>
            </w:r>
          </w:p>
        </w:tc>
        <w:tc>
          <w:tcPr>
            <w:tcW w:w="1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80" w:type="dxa"/>
            <w:vAlign w:val="bottom"/>
          </w:tcPr>
          <w:p>
            <w:pPr>
              <w:spacing w:after="0"/>
              <w:rPr>
                <w:sz w:val="24"/>
                <w:szCs w:val="24"/>
                <w:color w:val="auto"/>
              </w:rPr>
            </w:pPr>
          </w:p>
        </w:tc>
      </w:tr>
      <w:tr>
        <w:trPr>
          <w:trHeight w:val="476"/>
        </w:trPr>
        <w:tc>
          <w:tcPr>
            <w:tcW w:w="1600" w:type="dxa"/>
            <w:vAlign w:val="bottom"/>
          </w:tcPr>
          <w:p>
            <w:pPr>
              <w:ind w:left="1200"/>
              <w:spacing w:after="0"/>
              <w:rPr>
                <w:sz w:val="20"/>
                <w:szCs w:val="20"/>
                <w:color w:val="auto"/>
              </w:rPr>
            </w:pPr>
            <w:r>
              <w:rPr>
                <w:rFonts w:ascii="Arial" w:cs="Arial" w:eastAsia="Arial" w:hAnsi="Arial"/>
                <w:sz w:val="20"/>
                <w:szCs w:val="20"/>
                <w:color w:val="auto"/>
              </w:rPr>
              <w:t>(v)</w:t>
            </w:r>
          </w:p>
        </w:tc>
        <w:tc>
          <w:tcPr>
            <w:tcW w:w="780" w:type="dxa"/>
            <w:vAlign w:val="bottom"/>
          </w:tcPr>
          <w:p>
            <w:pPr>
              <w:ind w:left="440"/>
              <w:spacing w:after="0"/>
              <w:rPr>
                <w:sz w:val="20"/>
                <w:szCs w:val="20"/>
                <w:color w:val="auto"/>
              </w:rPr>
            </w:pPr>
            <w:r>
              <w:rPr>
                <w:rFonts w:ascii="Arial" w:cs="Arial" w:eastAsia="Arial" w:hAnsi="Arial"/>
                <w:sz w:val="20"/>
                <w:szCs w:val="20"/>
                <w:color w:val="auto"/>
              </w:rPr>
              <w:t>all [</w:t>
            </w:r>
          </w:p>
        </w:tc>
        <w:tc>
          <w:tcPr>
            <w:tcW w:w="600" w:type="dxa"/>
            <w:vAlign w:val="bottom"/>
          </w:tcPr>
          <w:p>
            <w:pPr>
              <w:jc w:val="right"/>
              <w:spacing w:after="0"/>
              <w:rPr>
                <w:sz w:val="20"/>
                <w:szCs w:val="20"/>
                <w:color w:val="auto"/>
              </w:rPr>
            </w:pPr>
            <w:r>
              <w:rPr>
                <w:rFonts w:ascii="Arial" w:cs="Arial" w:eastAsia="Arial" w:hAnsi="Arial"/>
                <w:sz w:val="20"/>
                <w:szCs w:val="20"/>
                <w:color w:val="auto"/>
              </w:rPr>
              <w:t>***</w:t>
            </w:r>
          </w:p>
        </w:tc>
        <w:tc>
          <w:tcPr>
            <w:tcW w:w="4700" w:type="dxa"/>
            <w:vAlign w:val="bottom"/>
            <w:gridSpan w:val="4"/>
          </w:tcPr>
          <w:p>
            <w:pPr>
              <w:ind w:left="280"/>
              <w:spacing w:after="0"/>
              <w:rPr>
                <w:sz w:val="20"/>
                <w:szCs w:val="20"/>
                <w:color w:val="auto"/>
              </w:rPr>
            </w:pPr>
            <w:r>
              <w:rPr>
                <w:rFonts w:ascii="Arial" w:cs="Arial" w:eastAsia="Arial" w:hAnsi="Arial"/>
                <w:sz w:val="20"/>
                <w:szCs w:val="20"/>
                <w:color w:val="auto"/>
                <w:w w:val="96"/>
              </w:rPr>
              <w:t>] and similar governing documentation related [   ***</w:t>
            </w:r>
          </w:p>
        </w:tc>
        <w:tc>
          <w:tcPr>
            <w:tcW w:w="560" w:type="dxa"/>
            <w:vAlign w:val="bottom"/>
          </w:tcPr>
          <w:p>
            <w:pPr>
              <w:jc w:val="right"/>
              <w:ind w:right="40"/>
              <w:spacing w:after="0"/>
              <w:rPr>
                <w:sz w:val="20"/>
                <w:szCs w:val="20"/>
                <w:color w:val="auto"/>
              </w:rPr>
            </w:pPr>
            <w:r>
              <w:rPr>
                <w:rFonts w:ascii="Arial" w:cs="Arial" w:eastAsia="Arial" w:hAnsi="Arial"/>
                <w:sz w:val="20"/>
                <w:szCs w:val="20"/>
                <w:color w:val="auto"/>
              </w:rPr>
              <w:t>].</w:t>
            </w:r>
          </w:p>
        </w:tc>
        <w:tc>
          <w:tcPr>
            <w:tcW w:w="3080" w:type="dxa"/>
            <w:vAlign w:val="bottom"/>
          </w:tcPr>
          <w:p>
            <w:pPr>
              <w:spacing w:after="0"/>
              <w:rPr>
                <w:sz w:val="24"/>
                <w:szCs w:val="24"/>
                <w:color w:val="auto"/>
              </w:rPr>
            </w:pPr>
          </w:p>
        </w:tc>
      </w:tr>
    </w:tbl>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0" w:type="dxa"/>
            <w:vAlign w:val="bottom"/>
          </w:tcPr>
          <w:p>
            <w:pPr>
              <w:spacing w:after="0"/>
              <w:rPr>
                <w:sz w:val="20"/>
                <w:szCs w:val="20"/>
                <w:color w:val="auto"/>
              </w:rPr>
            </w:pPr>
          </w:p>
        </w:tc>
        <w:tc>
          <w:tcPr>
            <w:tcW w:w="400" w:type="dxa"/>
            <w:vAlign w:val="bottom"/>
          </w:tcPr>
          <w:p>
            <w:pPr>
              <w:ind w:left="140"/>
              <w:spacing w:after="0"/>
              <w:rPr>
                <w:sz w:val="20"/>
                <w:szCs w:val="20"/>
                <w:color w:val="auto"/>
              </w:rPr>
            </w:pPr>
            <w:r>
              <w:rPr>
                <w:rFonts w:ascii="Arial" w:cs="Arial" w:eastAsia="Arial" w:hAnsi="Arial"/>
                <w:sz w:val="20"/>
                <w:szCs w:val="20"/>
                <w:color w:val="auto"/>
                <w:w w:val="97"/>
              </w:rPr>
              <w:t>(b)</w:t>
            </w:r>
          </w:p>
        </w:tc>
        <w:tc>
          <w:tcPr>
            <w:tcW w:w="3000" w:type="dxa"/>
            <w:vAlign w:val="bottom"/>
            <w:gridSpan w:val="7"/>
          </w:tcPr>
          <w:p>
            <w:pPr>
              <w:ind w:left="200"/>
              <w:spacing w:after="0"/>
              <w:rPr>
                <w:sz w:val="20"/>
                <w:szCs w:val="20"/>
                <w:color w:val="auto"/>
              </w:rPr>
            </w:pPr>
            <w:r>
              <w:rPr>
                <w:rFonts w:ascii="Arial" w:cs="Arial" w:eastAsia="Arial" w:hAnsi="Arial"/>
                <w:sz w:val="20"/>
                <w:szCs w:val="20"/>
                <w:color w:val="auto"/>
                <w:w w:val="94"/>
              </w:rPr>
              <w:t>The Insurer shall furnish a list of [</w:t>
            </w:r>
          </w:p>
        </w:tc>
        <w:tc>
          <w:tcPr>
            <w:tcW w:w="740" w:type="dxa"/>
            <w:vAlign w:val="bottom"/>
            <w:gridSpan w:val="3"/>
          </w:tcPr>
          <w:p>
            <w:pPr>
              <w:jc w:val="right"/>
              <w:ind w:right="160"/>
              <w:spacing w:after="0"/>
              <w:rPr>
                <w:sz w:val="20"/>
                <w:szCs w:val="20"/>
                <w:color w:val="auto"/>
              </w:rPr>
            </w:pPr>
            <w:r>
              <w:rPr>
                <w:rFonts w:ascii="Arial" w:cs="Arial" w:eastAsia="Arial" w:hAnsi="Arial"/>
                <w:sz w:val="20"/>
                <w:szCs w:val="20"/>
                <w:color w:val="auto"/>
              </w:rPr>
              <w:t>***</w:t>
            </w:r>
          </w:p>
        </w:tc>
        <w:tc>
          <w:tcPr>
            <w:tcW w:w="3260" w:type="dxa"/>
            <w:vAlign w:val="bottom"/>
            <w:gridSpan w:val="4"/>
          </w:tcPr>
          <w:p>
            <w:pPr>
              <w:ind w:left="240"/>
              <w:spacing w:after="0"/>
              <w:rPr>
                <w:sz w:val="20"/>
                <w:szCs w:val="20"/>
                <w:color w:val="auto"/>
              </w:rPr>
            </w:pPr>
            <w:r>
              <w:rPr>
                <w:rFonts w:ascii="Arial" w:cs="Arial" w:eastAsia="Arial" w:hAnsi="Arial"/>
                <w:sz w:val="20"/>
                <w:szCs w:val="20"/>
                <w:color w:val="auto"/>
              </w:rPr>
              <w:t>] in connection with the [   ***</w:t>
            </w:r>
          </w:p>
        </w:tc>
        <w:tc>
          <w:tcPr>
            <w:tcW w:w="3560" w:type="dxa"/>
            <w:vAlign w:val="bottom"/>
            <w:gridSpan w:val="6"/>
          </w:tcPr>
          <w:p>
            <w:pPr>
              <w:jc w:val="right"/>
              <w:spacing w:after="0"/>
              <w:rPr>
                <w:sz w:val="20"/>
                <w:szCs w:val="20"/>
                <w:color w:val="auto"/>
              </w:rPr>
            </w:pPr>
            <w:r>
              <w:rPr>
                <w:rFonts w:ascii="Arial" w:cs="Arial" w:eastAsia="Arial" w:hAnsi="Arial"/>
                <w:sz w:val="20"/>
                <w:szCs w:val="20"/>
                <w:color w:val="auto"/>
                <w:w w:val="92"/>
              </w:rPr>
              <w:t>], and the Company shall use commercially</w:t>
            </w:r>
          </w:p>
        </w:tc>
      </w:tr>
      <w:tr>
        <w:trPr>
          <w:trHeight w:val="256"/>
        </w:trPr>
        <w:tc>
          <w:tcPr>
            <w:tcW w:w="1540" w:type="dxa"/>
            <w:vAlign w:val="bottom"/>
            <w:gridSpan w:val="3"/>
          </w:tcPr>
          <w:p>
            <w:pPr>
              <w:spacing w:after="0"/>
              <w:rPr>
                <w:sz w:val="20"/>
                <w:szCs w:val="20"/>
                <w:color w:val="auto"/>
              </w:rPr>
            </w:pPr>
            <w:r>
              <w:rPr>
                <w:rFonts w:ascii="Arial" w:cs="Arial" w:eastAsia="Arial" w:hAnsi="Arial"/>
                <w:sz w:val="20"/>
                <w:szCs w:val="20"/>
                <w:color w:val="auto"/>
                <w:w w:val="88"/>
              </w:rPr>
              <w:t>reasonable efforts [</w:t>
            </w:r>
          </w:p>
        </w:tc>
        <w:tc>
          <w:tcPr>
            <w:tcW w:w="220" w:type="dxa"/>
            <w:vAlign w:val="bottom"/>
          </w:tcPr>
          <w:p>
            <w:pPr>
              <w:spacing w:after="0"/>
              <w:rPr>
                <w:sz w:val="22"/>
                <w:szCs w:val="22"/>
                <w:color w:val="auto"/>
              </w:rPr>
            </w:pPr>
          </w:p>
        </w:tc>
        <w:tc>
          <w:tcPr>
            <w:tcW w:w="600" w:type="dxa"/>
            <w:vAlign w:val="bottom"/>
            <w:gridSpan w:val="2"/>
          </w:tcPr>
          <w:p>
            <w:pPr>
              <w:ind w:left="40"/>
              <w:spacing w:after="0"/>
              <w:rPr>
                <w:sz w:val="20"/>
                <w:szCs w:val="20"/>
                <w:color w:val="auto"/>
              </w:rPr>
            </w:pPr>
            <w:r>
              <w:rPr>
                <w:rFonts w:ascii="Arial" w:cs="Arial" w:eastAsia="Arial" w:hAnsi="Arial"/>
                <w:sz w:val="20"/>
                <w:szCs w:val="20"/>
                <w:color w:val="auto"/>
              </w:rPr>
              <w:t>***</w:t>
            </w:r>
          </w:p>
        </w:tc>
        <w:tc>
          <w:tcPr>
            <w:tcW w:w="800" w:type="dxa"/>
            <w:vAlign w:val="bottom"/>
          </w:tcPr>
          <w:p>
            <w:pPr>
              <w:jc w:val="right"/>
              <w:ind w:right="500"/>
              <w:spacing w:after="0"/>
              <w:rPr>
                <w:sz w:val="20"/>
                <w:szCs w:val="20"/>
                <w:color w:val="auto"/>
              </w:rPr>
            </w:pPr>
            <w:r>
              <w:rPr>
                <w:rFonts w:ascii="Arial" w:cs="Arial" w:eastAsia="Arial" w:hAnsi="Arial"/>
                <w:sz w:val="20"/>
                <w:szCs w:val="20"/>
                <w:color w:val="auto"/>
              </w:rPr>
              <w:t>].</w:t>
            </w:r>
          </w:p>
        </w:tc>
        <w:tc>
          <w:tcPr>
            <w:tcW w:w="4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60" w:type="dxa"/>
            <w:vAlign w:val="bottom"/>
          </w:tcPr>
          <w:p>
            <w:pPr>
              <w:spacing w:after="0"/>
              <w:rPr>
                <w:sz w:val="22"/>
                <w:szCs w:val="22"/>
                <w:color w:val="auto"/>
              </w:rPr>
            </w:pPr>
          </w:p>
        </w:tc>
      </w:tr>
      <w:tr>
        <w:trPr>
          <w:trHeight w:val="457"/>
        </w:trPr>
        <w:tc>
          <w:tcPr>
            <w:tcW w:w="460" w:type="dxa"/>
            <w:vAlign w:val="bottom"/>
          </w:tcPr>
          <w:p>
            <w:pPr>
              <w:spacing w:after="0"/>
              <w:rPr>
                <w:sz w:val="24"/>
                <w:szCs w:val="24"/>
                <w:color w:val="auto"/>
              </w:rPr>
            </w:pPr>
          </w:p>
        </w:tc>
        <w:tc>
          <w:tcPr>
            <w:tcW w:w="400" w:type="dxa"/>
            <w:vAlign w:val="bottom"/>
          </w:tcPr>
          <w:p>
            <w:pPr>
              <w:ind w:left="140"/>
              <w:spacing w:after="0"/>
              <w:rPr>
                <w:sz w:val="20"/>
                <w:szCs w:val="20"/>
                <w:color w:val="auto"/>
              </w:rPr>
            </w:pPr>
            <w:r>
              <w:rPr>
                <w:rFonts w:ascii="Arial" w:cs="Arial" w:eastAsia="Arial" w:hAnsi="Arial"/>
                <w:sz w:val="20"/>
                <w:szCs w:val="20"/>
                <w:color w:val="auto"/>
              </w:rPr>
              <w:t>(c)</w:t>
            </w:r>
          </w:p>
        </w:tc>
        <w:tc>
          <w:tcPr>
            <w:tcW w:w="9360" w:type="dxa"/>
            <w:vAlign w:val="bottom"/>
            <w:gridSpan w:val="17"/>
          </w:tcPr>
          <w:p>
            <w:pPr>
              <w:ind w:left="220"/>
              <w:spacing w:after="0"/>
              <w:rPr>
                <w:sz w:val="20"/>
                <w:szCs w:val="20"/>
                <w:color w:val="auto"/>
              </w:rPr>
            </w:pPr>
            <w:r>
              <w:rPr>
                <w:rFonts w:ascii="Arial" w:cs="Arial" w:eastAsia="Arial" w:hAnsi="Arial"/>
                <w:sz w:val="20"/>
                <w:szCs w:val="20"/>
                <w:color w:val="auto"/>
                <w:w w:val="94"/>
              </w:rPr>
              <w:t>Subject to any applicable contractual confidentiality restrictions and related requirements to obtain consents, [</w:t>
            </w:r>
          </w:p>
        </w:tc>
        <w:tc>
          <w:tcPr>
            <w:tcW w:w="640" w:type="dxa"/>
            <w:vAlign w:val="bottom"/>
            <w:gridSpan w:val="2"/>
          </w:tcPr>
          <w:p>
            <w:pPr>
              <w:jc w:val="right"/>
              <w:ind w:right="220"/>
              <w:spacing w:after="0"/>
              <w:rPr>
                <w:sz w:val="20"/>
                <w:szCs w:val="20"/>
                <w:color w:val="auto"/>
              </w:rPr>
            </w:pPr>
            <w:r>
              <w:rPr>
                <w:rFonts w:ascii="Arial" w:cs="Arial" w:eastAsia="Arial" w:hAnsi="Arial"/>
                <w:sz w:val="20"/>
                <w:szCs w:val="20"/>
                <w:color w:val="auto"/>
              </w:rPr>
              <w:t>***</w:t>
            </w:r>
          </w:p>
        </w:tc>
        <w:tc>
          <w:tcPr>
            <w:tcW w:w="560" w:type="dxa"/>
            <w:vAlign w:val="bottom"/>
          </w:tcPr>
          <w:p>
            <w:pPr>
              <w:jc w:val="right"/>
              <w:spacing w:after="0"/>
              <w:rPr>
                <w:sz w:val="20"/>
                <w:szCs w:val="20"/>
                <w:color w:val="auto"/>
              </w:rPr>
            </w:pPr>
            <w:r>
              <w:rPr>
                <w:rFonts w:ascii="Arial" w:cs="Arial" w:eastAsia="Arial" w:hAnsi="Arial"/>
                <w:sz w:val="20"/>
                <w:szCs w:val="20"/>
                <w:color w:val="auto"/>
              </w:rPr>
              <w:t>], as</w:t>
            </w:r>
          </w:p>
        </w:tc>
      </w:tr>
      <w:tr>
        <w:trPr>
          <w:trHeight w:val="209"/>
        </w:trPr>
        <w:tc>
          <w:tcPr>
            <w:tcW w:w="6020" w:type="dxa"/>
            <w:vAlign w:val="bottom"/>
            <w:gridSpan w:val="14"/>
          </w:tcPr>
          <w:p>
            <w:pPr>
              <w:spacing w:after="0" w:line="209" w:lineRule="exact"/>
              <w:rPr>
                <w:sz w:val="20"/>
                <w:szCs w:val="20"/>
                <w:color w:val="auto"/>
              </w:rPr>
            </w:pPr>
            <w:r>
              <w:rPr>
                <w:rFonts w:ascii="Arial" w:cs="Arial" w:eastAsia="Arial" w:hAnsi="Arial"/>
                <w:sz w:val="20"/>
                <w:szCs w:val="20"/>
                <w:color w:val="auto"/>
                <w:w w:val="91"/>
              </w:rPr>
              <w:t>may be reasonably requested by the Insurer, provided, however, that the [</w:t>
            </w:r>
          </w:p>
        </w:tc>
        <w:tc>
          <w:tcPr>
            <w:tcW w:w="600" w:type="dxa"/>
            <w:vAlign w:val="bottom"/>
          </w:tcPr>
          <w:p>
            <w:pPr>
              <w:jc w:val="right"/>
              <w:ind w:right="80"/>
              <w:spacing w:after="0" w:line="209" w:lineRule="exact"/>
              <w:rPr>
                <w:sz w:val="20"/>
                <w:szCs w:val="20"/>
                <w:color w:val="auto"/>
              </w:rPr>
            </w:pPr>
            <w:r>
              <w:rPr>
                <w:rFonts w:ascii="Arial" w:cs="Arial" w:eastAsia="Arial" w:hAnsi="Arial"/>
                <w:sz w:val="20"/>
                <w:szCs w:val="20"/>
                <w:color w:val="auto"/>
              </w:rPr>
              <w:t>***</w:t>
            </w:r>
          </w:p>
        </w:tc>
        <w:tc>
          <w:tcPr>
            <w:tcW w:w="3040" w:type="dxa"/>
            <w:vAlign w:val="bottom"/>
            <w:gridSpan w:val="3"/>
          </w:tcPr>
          <w:p>
            <w:pPr>
              <w:jc w:val="right"/>
              <w:ind w:right="20"/>
              <w:spacing w:after="0" w:line="209" w:lineRule="exact"/>
              <w:rPr>
                <w:sz w:val="20"/>
                <w:szCs w:val="20"/>
                <w:color w:val="auto"/>
              </w:rPr>
            </w:pPr>
            <w:r>
              <w:rPr>
                <w:rFonts w:ascii="Arial" w:cs="Arial" w:eastAsia="Arial" w:hAnsi="Arial"/>
                <w:sz w:val="20"/>
                <w:szCs w:val="20"/>
                <w:color w:val="auto"/>
                <w:w w:val="97"/>
              </w:rPr>
              <w:t>] shall not be required to provide [</w:t>
            </w:r>
          </w:p>
        </w:tc>
        <w:tc>
          <w:tcPr>
            <w:tcW w:w="560" w:type="dxa"/>
            <w:vAlign w:val="bottom"/>
          </w:tcPr>
          <w:p>
            <w:pPr>
              <w:jc w:val="right"/>
              <w:ind w:right="40"/>
              <w:spacing w:after="0" w:line="209" w:lineRule="exact"/>
              <w:rPr>
                <w:sz w:val="20"/>
                <w:szCs w:val="20"/>
                <w:color w:val="auto"/>
              </w:rPr>
            </w:pPr>
            <w:r>
              <w:rPr>
                <w:rFonts w:ascii="Arial" w:cs="Arial" w:eastAsia="Arial" w:hAnsi="Arial"/>
                <w:sz w:val="20"/>
                <w:szCs w:val="20"/>
                <w:color w:val="auto"/>
              </w:rPr>
              <w:t>***</w:t>
            </w:r>
          </w:p>
        </w:tc>
        <w:tc>
          <w:tcPr>
            <w:tcW w:w="420" w:type="dxa"/>
            <w:vAlign w:val="bottom"/>
          </w:tcPr>
          <w:p>
            <w:pPr>
              <w:jc w:val="right"/>
              <w:spacing w:after="0" w:line="209" w:lineRule="exact"/>
              <w:rPr>
                <w:sz w:val="20"/>
                <w:szCs w:val="20"/>
                <w:color w:val="auto"/>
              </w:rPr>
            </w:pPr>
            <w:r>
              <w:rPr>
                <w:rFonts w:ascii="Arial" w:cs="Arial" w:eastAsia="Arial" w:hAnsi="Arial"/>
                <w:sz w:val="20"/>
                <w:szCs w:val="20"/>
                <w:color w:val="auto"/>
              </w:rPr>
              <w:t>].</w:t>
            </w: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0"/>
        </w:trPr>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580" w:type="dxa"/>
            <w:vAlign w:val="bottom"/>
            <w:gridSpan w:val="5"/>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r>
      <w:tr>
        <w:trPr>
          <w:trHeight w:val="484"/>
        </w:trPr>
        <w:tc>
          <w:tcPr>
            <w:tcW w:w="460" w:type="dxa"/>
            <w:vAlign w:val="bottom"/>
          </w:tcPr>
          <w:p>
            <w:pPr>
              <w:spacing w:after="0"/>
              <w:rPr>
                <w:sz w:val="24"/>
                <w:szCs w:val="24"/>
                <w:color w:val="auto"/>
              </w:rPr>
            </w:pPr>
          </w:p>
        </w:tc>
        <w:tc>
          <w:tcPr>
            <w:tcW w:w="400" w:type="dxa"/>
            <w:vAlign w:val="bottom"/>
          </w:tcPr>
          <w:p>
            <w:pPr>
              <w:ind w:left="140"/>
              <w:spacing w:after="0"/>
              <w:rPr>
                <w:sz w:val="20"/>
                <w:szCs w:val="20"/>
                <w:color w:val="auto"/>
              </w:rPr>
            </w:pPr>
            <w:r>
              <w:rPr>
                <w:rFonts w:ascii="Arial" w:cs="Arial" w:eastAsia="Arial" w:hAnsi="Arial"/>
                <w:sz w:val="20"/>
                <w:szCs w:val="20"/>
                <w:color w:val="auto"/>
                <w:w w:val="97"/>
              </w:rPr>
              <w:t>(d)</w:t>
            </w:r>
          </w:p>
        </w:tc>
        <w:tc>
          <w:tcPr>
            <w:tcW w:w="3740" w:type="dxa"/>
            <w:vAlign w:val="bottom"/>
            <w:gridSpan w:val="10"/>
          </w:tcPr>
          <w:p>
            <w:pPr>
              <w:ind w:left="200"/>
              <w:spacing w:after="0"/>
              <w:rPr>
                <w:sz w:val="20"/>
                <w:szCs w:val="20"/>
                <w:color w:val="auto"/>
              </w:rPr>
            </w:pPr>
            <w:r>
              <w:rPr>
                <w:rFonts w:ascii="Arial" w:cs="Arial" w:eastAsia="Arial" w:hAnsi="Arial"/>
                <w:sz w:val="20"/>
                <w:szCs w:val="20"/>
                <w:color w:val="auto"/>
                <w:w w:val="95"/>
              </w:rPr>
              <w:t>If requested by the Insurer in connection [</w:t>
            </w:r>
          </w:p>
        </w:tc>
        <w:tc>
          <w:tcPr>
            <w:tcW w:w="480" w:type="dxa"/>
            <w:vAlign w:val="bottom"/>
          </w:tcPr>
          <w:p>
            <w:pPr>
              <w:jc w:val="right"/>
              <w:spacing w:after="0"/>
              <w:rPr>
                <w:sz w:val="20"/>
                <w:szCs w:val="20"/>
                <w:color w:val="auto"/>
              </w:rPr>
            </w:pPr>
            <w:r>
              <w:rPr>
                <w:rFonts w:ascii="Arial" w:cs="Arial" w:eastAsia="Arial" w:hAnsi="Arial"/>
                <w:sz w:val="20"/>
                <w:szCs w:val="20"/>
                <w:color w:val="auto"/>
              </w:rPr>
              <w:t>***</w:t>
            </w:r>
          </w:p>
        </w:tc>
        <w:tc>
          <w:tcPr>
            <w:tcW w:w="4580" w:type="dxa"/>
            <w:vAlign w:val="bottom"/>
            <w:gridSpan w:val="5"/>
          </w:tcPr>
          <w:p>
            <w:pPr>
              <w:jc w:val="right"/>
              <w:ind w:right="20"/>
              <w:spacing w:after="0"/>
              <w:rPr>
                <w:sz w:val="20"/>
                <w:szCs w:val="20"/>
                <w:color w:val="auto"/>
              </w:rPr>
            </w:pPr>
            <w:r>
              <w:rPr>
                <w:rFonts w:ascii="Arial" w:cs="Arial" w:eastAsia="Arial" w:hAnsi="Arial"/>
                <w:sz w:val="20"/>
                <w:szCs w:val="20"/>
                <w:color w:val="auto"/>
              </w:rPr>
              <w:t>] or any time after Closing, with respect to [   ***</w:t>
            </w:r>
          </w:p>
        </w:tc>
        <w:tc>
          <w:tcPr>
            <w:tcW w:w="1760" w:type="dxa"/>
            <w:vAlign w:val="bottom"/>
            <w:gridSpan w:val="4"/>
          </w:tcPr>
          <w:p>
            <w:pPr>
              <w:jc w:val="right"/>
              <w:spacing w:after="0"/>
              <w:rPr>
                <w:sz w:val="20"/>
                <w:szCs w:val="20"/>
                <w:color w:val="auto"/>
              </w:rPr>
            </w:pPr>
            <w:r>
              <w:rPr>
                <w:rFonts w:ascii="Arial" w:cs="Arial" w:eastAsia="Arial" w:hAnsi="Arial"/>
                <w:sz w:val="20"/>
                <w:szCs w:val="20"/>
                <w:color w:val="auto"/>
              </w:rPr>
              <w:t>] to furnish a copy</w:t>
            </w:r>
          </w:p>
        </w:tc>
      </w:tr>
      <w:tr>
        <w:trPr>
          <w:trHeight w:val="256"/>
        </w:trPr>
        <w:tc>
          <w:tcPr>
            <w:tcW w:w="3160" w:type="dxa"/>
            <w:vAlign w:val="bottom"/>
            <w:gridSpan w:val="7"/>
          </w:tcPr>
          <w:p>
            <w:pPr>
              <w:spacing w:after="0"/>
              <w:rPr>
                <w:sz w:val="20"/>
                <w:szCs w:val="20"/>
                <w:color w:val="auto"/>
              </w:rPr>
            </w:pPr>
            <w:r>
              <w:rPr>
                <w:rFonts w:ascii="Arial" w:cs="Arial" w:eastAsia="Arial" w:hAnsi="Arial"/>
                <w:sz w:val="20"/>
                <w:szCs w:val="20"/>
                <w:color w:val="auto"/>
                <w:w w:val="97"/>
              </w:rPr>
              <w:t>of, or assist the Insurer in obtaining [</w:t>
            </w:r>
          </w:p>
        </w:tc>
        <w:tc>
          <w:tcPr>
            <w:tcW w:w="420" w:type="dxa"/>
            <w:vAlign w:val="bottom"/>
          </w:tcPr>
          <w:p>
            <w:pPr>
              <w:jc w:val="right"/>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22"/>
                <w:szCs w:val="22"/>
                <w:color w:val="auto"/>
              </w:rPr>
            </w:pPr>
          </w:p>
        </w:tc>
        <w:tc>
          <w:tcPr>
            <w:tcW w:w="4000" w:type="dxa"/>
            <w:vAlign w:val="bottom"/>
            <w:gridSpan w:val="7"/>
          </w:tcPr>
          <w:p>
            <w:pPr>
              <w:spacing w:after="0"/>
              <w:rPr>
                <w:sz w:val="20"/>
                <w:szCs w:val="20"/>
                <w:color w:val="auto"/>
              </w:rPr>
            </w:pPr>
            <w:r>
              <w:rPr>
                <w:rFonts w:ascii="Arial" w:cs="Arial" w:eastAsia="Arial" w:hAnsi="Arial"/>
                <w:sz w:val="20"/>
                <w:szCs w:val="20"/>
                <w:color w:val="auto"/>
                <w:w w:val="93"/>
              </w:rPr>
              <w:t>], the information that would be included on the [</w:t>
            </w:r>
          </w:p>
        </w:tc>
        <w:tc>
          <w:tcPr>
            <w:tcW w:w="680" w:type="dxa"/>
            <w:vAlign w:val="bottom"/>
          </w:tcPr>
          <w:p>
            <w:pPr>
              <w:jc w:val="right"/>
              <w:ind w:right="80"/>
              <w:spacing w:after="0"/>
              <w:rPr>
                <w:sz w:val="20"/>
                <w:szCs w:val="20"/>
                <w:color w:val="auto"/>
              </w:rPr>
            </w:pPr>
            <w:r>
              <w:rPr>
                <w:rFonts w:ascii="Arial" w:cs="Arial" w:eastAsia="Arial" w:hAnsi="Arial"/>
                <w:sz w:val="20"/>
                <w:szCs w:val="20"/>
                <w:color w:val="auto"/>
              </w:rPr>
              <w:t>***</w:t>
            </w:r>
          </w:p>
        </w:tc>
        <w:tc>
          <w:tcPr>
            <w:tcW w:w="1120" w:type="dxa"/>
            <w:vAlign w:val="bottom"/>
          </w:tcPr>
          <w:p>
            <w:pPr>
              <w:jc w:val="right"/>
              <w:ind w:right="740"/>
              <w:spacing w:after="0"/>
              <w:rPr>
                <w:sz w:val="20"/>
                <w:szCs w:val="20"/>
                <w:color w:val="auto"/>
              </w:rPr>
            </w:pPr>
            <w:r>
              <w:rPr>
                <w:rFonts w:ascii="Arial" w:cs="Arial" w:eastAsia="Arial" w:hAnsi="Arial"/>
                <w:sz w:val="20"/>
                <w:szCs w:val="20"/>
                <w:color w:val="auto"/>
              </w:rPr>
              <w:t>].</w:t>
            </w:r>
          </w:p>
        </w:tc>
        <w:tc>
          <w:tcPr>
            <w:tcW w:w="5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60" w:type="dxa"/>
            <w:vAlign w:val="bottom"/>
          </w:tcPr>
          <w:p>
            <w:pPr>
              <w:spacing w:after="0"/>
              <w:rPr>
                <w:sz w:val="22"/>
                <w:szCs w:val="22"/>
                <w:color w:val="auto"/>
              </w:rPr>
            </w:pPr>
          </w:p>
        </w:tc>
      </w:tr>
      <w:tr>
        <w:trPr>
          <w:trHeight w:val="391"/>
        </w:trPr>
        <w:tc>
          <w:tcPr>
            <w:tcW w:w="460" w:type="dxa"/>
            <w:vAlign w:val="bottom"/>
          </w:tcPr>
          <w:p>
            <w:pPr>
              <w:spacing w:after="0"/>
              <w:rPr>
                <w:sz w:val="24"/>
                <w:szCs w:val="24"/>
                <w:color w:val="auto"/>
              </w:rPr>
            </w:pPr>
          </w:p>
        </w:tc>
        <w:tc>
          <w:tcPr>
            <w:tcW w:w="1300" w:type="dxa"/>
            <w:vAlign w:val="bottom"/>
            <w:gridSpan w:val="3"/>
          </w:tcPr>
          <w:p>
            <w:pPr>
              <w:ind w:left="140"/>
              <w:spacing w:after="0"/>
              <w:rPr>
                <w:sz w:val="20"/>
                <w:szCs w:val="20"/>
                <w:color w:val="auto"/>
              </w:rPr>
            </w:pPr>
            <w:r>
              <w:rPr>
                <w:rFonts w:ascii="Arial" w:cs="Arial" w:eastAsia="Arial" w:hAnsi="Arial"/>
                <w:sz w:val="20"/>
                <w:szCs w:val="20"/>
                <w:color w:val="auto"/>
              </w:rPr>
              <w:t>Section 6.13</w:t>
            </w:r>
          </w:p>
        </w:tc>
        <w:tc>
          <w:tcPr>
            <w:tcW w:w="40" w:type="dxa"/>
            <w:vAlign w:val="bottom"/>
          </w:tcPr>
          <w:p>
            <w:pPr>
              <w:spacing w:after="0"/>
              <w:rPr>
                <w:sz w:val="24"/>
                <w:szCs w:val="24"/>
                <w:color w:val="auto"/>
              </w:rPr>
            </w:pPr>
          </w:p>
        </w:tc>
        <w:tc>
          <w:tcPr>
            <w:tcW w:w="1360" w:type="dxa"/>
            <w:vAlign w:val="bottom"/>
            <w:gridSpan w:val="2"/>
          </w:tcPr>
          <w:p>
            <w:pPr>
              <w:spacing w:after="0"/>
              <w:rPr>
                <w:sz w:val="20"/>
                <w:szCs w:val="20"/>
                <w:color w:val="auto"/>
              </w:rPr>
            </w:pPr>
            <w:r>
              <w:rPr>
                <w:rFonts w:ascii="Arial" w:cs="Arial" w:eastAsia="Arial" w:hAnsi="Arial"/>
                <w:sz w:val="20"/>
                <w:szCs w:val="20"/>
                <w:color w:val="auto"/>
              </w:rPr>
              <w:t>Newco. [   ***</w:t>
            </w:r>
          </w:p>
        </w:tc>
        <w:tc>
          <w:tcPr>
            <w:tcW w:w="2860" w:type="dxa"/>
            <w:vAlign w:val="bottom"/>
            <w:gridSpan w:val="7"/>
          </w:tcPr>
          <w:p>
            <w:pPr>
              <w:jc w:val="right"/>
              <w:ind w:right="48"/>
              <w:spacing w:after="0"/>
              <w:rPr>
                <w:sz w:val="20"/>
                <w:szCs w:val="20"/>
                <w:color w:val="auto"/>
              </w:rPr>
            </w:pPr>
            <w:r>
              <w:rPr>
                <w:rFonts w:ascii="Arial" w:cs="Arial" w:eastAsia="Arial" w:hAnsi="Arial"/>
                <w:sz w:val="20"/>
                <w:szCs w:val="20"/>
                <w:color w:val="auto"/>
              </w:rPr>
              <w:t>] may cause the formation of [</w:t>
            </w:r>
          </w:p>
        </w:tc>
        <w:tc>
          <w:tcPr>
            <w:tcW w:w="600" w:type="dxa"/>
            <w:vAlign w:val="bottom"/>
          </w:tcPr>
          <w:p>
            <w:pPr>
              <w:jc w:val="right"/>
              <w:ind w:right="80"/>
              <w:spacing w:after="0"/>
              <w:rPr>
                <w:sz w:val="20"/>
                <w:szCs w:val="20"/>
                <w:color w:val="auto"/>
              </w:rPr>
            </w:pPr>
            <w:r>
              <w:rPr>
                <w:rFonts w:ascii="Arial" w:cs="Arial" w:eastAsia="Arial" w:hAnsi="Arial"/>
                <w:sz w:val="20"/>
                <w:szCs w:val="20"/>
                <w:color w:val="auto"/>
              </w:rPr>
              <w:t>***</w:t>
            </w:r>
          </w:p>
        </w:tc>
        <w:tc>
          <w:tcPr>
            <w:tcW w:w="4800" w:type="dxa"/>
            <w:vAlign w:val="bottom"/>
            <w:gridSpan w:val="7"/>
          </w:tcPr>
          <w:p>
            <w:pPr>
              <w:jc w:val="right"/>
              <w:spacing w:after="0"/>
              <w:rPr>
                <w:sz w:val="20"/>
                <w:szCs w:val="20"/>
                <w:color w:val="auto"/>
              </w:rPr>
            </w:pPr>
            <w:r>
              <w:rPr>
                <w:rFonts w:ascii="Arial" w:cs="Arial" w:eastAsia="Arial" w:hAnsi="Arial"/>
                <w:sz w:val="20"/>
                <w:szCs w:val="20"/>
                <w:color w:val="auto"/>
                <w:w w:val="94"/>
              </w:rPr>
              <w:t>] in accordance with the procedures set forth in Appendix</w:t>
            </w:r>
          </w:p>
        </w:tc>
      </w:tr>
      <w:tr>
        <w:trPr>
          <w:trHeight w:val="20"/>
        </w:trPr>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60" w:type="dxa"/>
            <w:vAlign w:val="bottom"/>
            <w:tcBorders>
              <w:right w:val="single" w:sz="8" w:color="auto"/>
            </w:tcBorders>
            <w:shd w:val="clear" w:color="auto" w:fill="000000"/>
          </w:tcPr>
          <w:p>
            <w:pPr>
              <w:spacing w:after="0" w:line="20" w:lineRule="exact"/>
              <w:rPr>
                <w:sz w:val="1"/>
                <w:szCs w:val="1"/>
                <w:color w:val="auto"/>
              </w:rPr>
            </w:pPr>
          </w:p>
        </w:tc>
        <w:tc>
          <w:tcPr>
            <w:tcW w:w="3660" w:type="dxa"/>
            <w:vAlign w:val="bottom"/>
            <w:gridSpan w:val="8"/>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r>
      <w:tr>
        <w:trPr>
          <w:trHeight w:val="218"/>
        </w:trPr>
        <w:tc>
          <w:tcPr>
            <w:tcW w:w="860" w:type="dxa"/>
            <w:vAlign w:val="bottom"/>
            <w:gridSpan w:val="2"/>
          </w:tcPr>
          <w:p>
            <w:pPr>
              <w:spacing w:after="0" w:line="218" w:lineRule="exact"/>
              <w:rPr>
                <w:sz w:val="20"/>
                <w:szCs w:val="20"/>
                <w:color w:val="auto"/>
              </w:rPr>
            </w:pPr>
            <w:r>
              <w:rPr>
                <w:rFonts w:ascii="Arial" w:cs="Arial" w:eastAsia="Arial" w:hAnsi="Arial"/>
                <w:sz w:val="20"/>
                <w:szCs w:val="20"/>
                <w:color w:val="auto"/>
              </w:rPr>
              <w:t>2.</w:t>
            </w:r>
            <w:r>
              <w:rPr>
                <w:rFonts w:ascii="Arial" w:cs="Arial" w:eastAsia="Arial" w:hAnsi="Arial"/>
                <w:sz w:val="20"/>
                <w:szCs w:val="20"/>
                <w:u w:val="single" w:color="auto"/>
                <w:color w:val="auto"/>
              </w:rPr>
              <w:t>1</w:t>
            </w:r>
            <w:r>
              <w:rPr>
                <w:rFonts w:ascii="Arial" w:cs="Arial" w:eastAsia="Arial" w:hAnsi="Arial"/>
                <w:sz w:val="20"/>
                <w:szCs w:val="20"/>
                <w:color w:val="auto"/>
              </w:rPr>
              <w:t>-A ([</w:t>
            </w:r>
          </w:p>
        </w:tc>
        <w:tc>
          <w:tcPr>
            <w:tcW w:w="680" w:type="dxa"/>
            <w:vAlign w:val="bottom"/>
          </w:tcPr>
          <w:p>
            <w:pPr>
              <w:jc w:val="right"/>
              <w:ind w:right="240"/>
              <w:spacing w:after="0" w:line="218" w:lineRule="exact"/>
              <w:rPr>
                <w:sz w:val="20"/>
                <w:szCs w:val="20"/>
                <w:color w:val="auto"/>
              </w:rPr>
            </w:pPr>
            <w:r>
              <w:rPr>
                <w:rFonts w:ascii="Arial" w:cs="Arial" w:eastAsia="Arial" w:hAnsi="Arial"/>
                <w:sz w:val="20"/>
                <w:szCs w:val="20"/>
                <w:color w:val="auto"/>
              </w:rPr>
              <w:t>***</w:t>
            </w:r>
          </w:p>
        </w:tc>
        <w:tc>
          <w:tcPr>
            <w:tcW w:w="4480" w:type="dxa"/>
            <w:vAlign w:val="bottom"/>
            <w:gridSpan w:val="11"/>
          </w:tcPr>
          <w:p>
            <w:pPr>
              <w:jc w:val="right"/>
              <w:ind w:right="168"/>
              <w:spacing w:after="0" w:line="218" w:lineRule="exact"/>
              <w:rPr>
                <w:sz w:val="20"/>
                <w:szCs w:val="20"/>
                <w:color w:val="auto"/>
              </w:rPr>
            </w:pPr>
            <w:r>
              <w:rPr>
                <w:rFonts w:ascii="Arial" w:cs="Arial" w:eastAsia="Arial" w:hAnsi="Arial"/>
                <w:sz w:val="20"/>
                <w:szCs w:val="20"/>
                <w:color w:val="auto"/>
                <w:w w:val="92"/>
              </w:rPr>
              <w:t>] “Newco”), provided that (</w:t>
            </w:r>
            <w:r>
              <w:rPr>
                <w:rFonts w:ascii="Arial" w:cs="Arial" w:eastAsia="Arial" w:hAnsi="Arial"/>
                <w:sz w:val="20"/>
                <w:szCs w:val="20"/>
                <w:u w:val="single" w:color="auto"/>
                <w:color w:val="auto"/>
                <w:w w:val="92"/>
              </w:rPr>
              <w:t>i</w:t>
            </w:r>
            <w:r>
              <w:rPr>
                <w:rFonts w:ascii="Arial" w:cs="Arial" w:eastAsia="Arial" w:hAnsi="Arial"/>
                <w:sz w:val="20"/>
                <w:szCs w:val="20"/>
                <w:color w:val="auto"/>
                <w:w w:val="92"/>
              </w:rPr>
              <w:t>) each such Newco shall</w:t>
            </w:r>
          </w:p>
        </w:tc>
        <w:tc>
          <w:tcPr>
            <w:tcW w:w="6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443"/>
        </w:trPr>
        <w:tc>
          <w:tcPr>
            <w:tcW w:w="46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jc w:val="right"/>
              <w:ind w:right="128"/>
              <w:spacing w:after="0"/>
              <w:rPr>
                <w:sz w:val="20"/>
                <w:szCs w:val="20"/>
                <w:color w:val="auto"/>
              </w:rPr>
            </w:pPr>
            <w:r>
              <w:rPr>
                <w:rFonts w:ascii="Arial" w:cs="Arial" w:eastAsia="Arial" w:hAnsi="Arial"/>
                <w:sz w:val="17"/>
                <w:szCs w:val="17"/>
                <w:color w:val="auto"/>
              </w:rPr>
              <w:t>52</w:t>
            </w:r>
          </w:p>
        </w:tc>
        <w:tc>
          <w:tcPr>
            <w:tcW w:w="6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r>
    </w:tbl>
    <w:p>
      <w:pPr>
        <w:sectPr>
          <w:pgSz w:w="11900" w:h="16838" w:orient="portrait"/>
          <w:cols w:equalWidth="0" w:num="1">
            <w:col w:w="11420"/>
          </w:cols>
          <w:pgMar w:left="240" w:top="556" w:right="239" w:bottom="1440" w:gutter="0" w:footer="0" w:header="0"/>
        </w:sectPr>
      </w:pPr>
    </w:p>
    <w:bookmarkStart w:id="63" w:name="page64"/>
    <w:bookmarkEnd w:id="6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40" w:type="dxa"/>
            <w:vAlign w:val="bottom"/>
          </w:tcPr>
          <w:p>
            <w:pPr>
              <w:spacing w:after="0"/>
              <w:rPr>
                <w:sz w:val="20"/>
                <w:szCs w:val="20"/>
                <w:color w:val="auto"/>
              </w:rPr>
            </w:pPr>
            <w:r>
              <w:rPr>
                <w:rFonts w:ascii="Arial" w:cs="Arial" w:eastAsia="Arial" w:hAnsi="Arial"/>
                <w:sz w:val="20"/>
                <w:szCs w:val="20"/>
                <w:color w:val="auto"/>
              </w:rPr>
              <w:t>be, as of the Closing Date, [   ***</w:t>
            </w:r>
          </w:p>
        </w:tc>
        <w:tc>
          <w:tcPr>
            <w:tcW w:w="1520" w:type="dxa"/>
            <w:vAlign w:val="bottom"/>
            <w:gridSpan w:val="3"/>
          </w:tcPr>
          <w:p>
            <w:pPr>
              <w:ind w:left="200"/>
              <w:spacing w:after="0"/>
              <w:rPr>
                <w:sz w:val="20"/>
                <w:szCs w:val="20"/>
                <w:color w:val="auto"/>
              </w:rPr>
            </w:pPr>
            <w:r>
              <w:rPr>
                <w:rFonts w:ascii="Arial" w:cs="Arial" w:eastAsia="Arial" w:hAnsi="Arial"/>
                <w:sz w:val="20"/>
                <w:szCs w:val="20"/>
                <w:color w:val="auto"/>
              </w:rPr>
              <w:t>], (ii) [   ***</w:t>
            </w:r>
          </w:p>
        </w:tc>
        <w:tc>
          <w:tcPr>
            <w:tcW w:w="3140" w:type="dxa"/>
            <w:vAlign w:val="bottom"/>
            <w:gridSpan w:val="5"/>
          </w:tcPr>
          <w:p>
            <w:pPr>
              <w:ind w:left="200"/>
              <w:spacing w:after="0"/>
              <w:rPr>
                <w:sz w:val="20"/>
                <w:szCs w:val="20"/>
                <w:color w:val="auto"/>
              </w:rPr>
            </w:pPr>
            <w:r>
              <w:rPr>
                <w:rFonts w:ascii="Arial" w:cs="Arial" w:eastAsia="Arial" w:hAnsi="Arial"/>
                <w:sz w:val="20"/>
                <w:szCs w:val="20"/>
                <w:color w:val="auto"/>
                <w:w w:val="98"/>
              </w:rPr>
              <w:t>] Newco, (iii) all of such Newco's [</w:t>
            </w:r>
          </w:p>
        </w:tc>
        <w:tc>
          <w:tcPr>
            <w:tcW w:w="820" w:type="dxa"/>
            <w:vAlign w:val="bottom"/>
            <w:gridSpan w:val="3"/>
          </w:tcPr>
          <w:p>
            <w:pPr>
              <w:jc w:val="right"/>
              <w:ind w:right="340"/>
              <w:spacing w:after="0"/>
              <w:rPr>
                <w:sz w:val="20"/>
                <w:szCs w:val="20"/>
                <w:color w:val="auto"/>
              </w:rPr>
            </w:pPr>
            <w:r>
              <w:rPr>
                <w:rFonts w:ascii="Arial" w:cs="Arial" w:eastAsia="Arial" w:hAnsi="Arial"/>
                <w:sz w:val="20"/>
                <w:szCs w:val="20"/>
                <w:color w:val="auto"/>
              </w:rPr>
              <w:t>***</w:t>
            </w:r>
          </w:p>
        </w:tc>
        <w:tc>
          <w:tcPr>
            <w:tcW w:w="1720" w:type="dxa"/>
            <w:vAlign w:val="bottom"/>
            <w:gridSpan w:val="4"/>
          </w:tcPr>
          <w:p>
            <w:pPr>
              <w:ind w:left="60"/>
              <w:spacing w:after="0"/>
              <w:rPr>
                <w:sz w:val="20"/>
                <w:szCs w:val="20"/>
                <w:color w:val="auto"/>
              </w:rPr>
            </w:pPr>
            <w:r>
              <w:rPr>
                <w:rFonts w:ascii="Arial" w:cs="Arial" w:eastAsia="Arial" w:hAnsi="Arial"/>
                <w:sz w:val="20"/>
                <w:szCs w:val="20"/>
                <w:color w:val="auto"/>
                <w:w w:val="96"/>
              </w:rPr>
              <w:t>], (iv) such Newco [</w:t>
            </w:r>
          </w:p>
        </w:tc>
        <w:tc>
          <w:tcPr>
            <w:tcW w:w="700" w:type="dxa"/>
            <w:vAlign w:val="bottom"/>
          </w:tcPr>
          <w:p>
            <w:pPr>
              <w:jc w:val="right"/>
              <w:ind w:right="40"/>
              <w:spacing w:after="0"/>
              <w:rPr>
                <w:sz w:val="20"/>
                <w:szCs w:val="20"/>
                <w:color w:val="auto"/>
              </w:rPr>
            </w:pPr>
            <w:r>
              <w:rPr>
                <w:rFonts w:ascii="Arial" w:cs="Arial" w:eastAsia="Arial" w:hAnsi="Arial"/>
                <w:sz w:val="20"/>
                <w:szCs w:val="20"/>
                <w:color w:val="auto"/>
              </w:rPr>
              <w:t>***</w:t>
            </w:r>
          </w:p>
        </w:tc>
        <w:tc>
          <w:tcPr>
            <w:tcW w:w="480" w:type="dxa"/>
            <w:vAlign w:val="bottom"/>
          </w:tcPr>
          <w:p>
            <w:pPr>
              <w:jc w:val="right"/>
              <w:spacing w:after="0"/>
              <w:rPr>
                <w:sz w:val="20"/>
                <w:szCs w:val="20"/>
                <w:color w:val="auto"/>
              </w:rPr>
            </w:pPr>
            <w:r>
              <w:rPr>
                <w:rFonts w:ascii="Arial" w:cs="Arial" w:eastAsia="Arial" w:hAnsi="Arial"/>
                <w:sz w:val="20"/>
                <w:szCs w:val="20"/>
                <w:color w:val="auto"/>
              </w:rPr>
              <w:t>] it</w:t>
            </w:r>
          </w:p>
        </w:tc>
      </w:tr>
      <w:tr>
        <w:trPr>
          <w:trHeight w:val="20"/>
        </w:trPr>
        <w:tc>
          <w:tcPr>
            <w:tcW w:w="3480" w:type="dxa"/>
            <w:vAlign w:val="bottom"/>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r>
      <w:tr>
        <w:trPr>
          <w:trHeight w:val="218"/>
        </w:trPr>
        <w:tc>
          <w:tcPr>
            <w:tcW w:w="7700" w:type="dxa"/>
            <w:vAlign w:val="bottom"/>
            <w:gridSpan w:val="9"/>
          </w:tcPr>
          <w:p>
            <w:pPr>
              <w:spacing w:after="0" w:line="218" w:lineRule="exact"/>
              <w:rPr>
                <w:sz w:val="20"/>
                <w:szCs w:val="20"/>
                <w:color w:val="auto"/>
              </w:rPr>
            </w:pPr>
            <w:r>
              <w:rPr>
                <w:rFonts w:ascii="Arial" w:cs="Arial" w:eastAsia="Arial" w:hAnsi="Arial"/>
                <w:sz w:val="20"/>
                <w:szCs w:val="20"/>
                <w:color w:val="auto"/>
                <w:w w:val="97"/>
              </w:rPr>
              <w:t>holds free and clear of any Lien, other than a Permitted Lien, and will have obtained [   ***</w:t>
            </w:r>
          </w:p>
        </w:tc>
        <w:tc>
          <w:tcPr>
            <w:tcW w:w="1660" w:type="dxa"/>
            <w:vAlign w:val="bottom"/>
            <w:gridSpan w:val="6"/>
          </w:tcPr>
          <w:p>
            <w:pPr>
              <w:jc w:val="right"/>
              <w:spacing w:after="0" w:line="218" w:lineRule="exact"/>
              <w:rPr>
                <w:sz w:val="20"/>
                <w:szCs w:val="20"/>
                <w:color w:val="auto"/>
              </w:rPr>
            </w:pPr>
            <w:r>
              <w:rPr>
                <w:rFonts w:ascii="Arial" w:cs="Arial" w:eastAsia="Arial" w:hAnsi="Arial"/>
                <w:sz w:val="20"/>
                <w:szCs w:val="20"/>
                <w:color w:val="auto"/>
                <w:w w:val="99"/>
              </w:rPr>
              <w:t>], (v) such Newco [</w:t>
            </w:r>
          </w:p>
        </w:tc>
        <w:tc>
          <w:tcPr>
            <w:tcW w:w="880" w:type="dxa"/>
            <w:vAlign w:val="bottom"/>
          </w:tcPr>
          <w:p>
            <w:pPr>
              <w:jc w:val="right"/>
              <w:ind w:right="220"/>
              <w:spacing w:after="0" w:line="218" w:lineRule="exact"/>
              <w:rPr>
                <w:sz w:val="20"/>
                <w:szCs w:val="20"/>
                <w:color w:val="auto"/>
              </w:rPr>
            </w:pPr>
            <w:r>
              <w:rPr>
                <w:rFonts w:ascii="Arial" w:cs="Arial" w:eastAsia="Arial" w:hAnsi="Arial"/>
                <w:sz w:val="20"/>
                <w:szCs w:val="20"/>
                <w:color w:val="auto"/>
              </w:rPr>
              <w:t>***</w:t>
            </w:r>
          </w:p>
        </w:tc>
        <w:tc>
          <w:tcPr>
            <w:tcW w:w="1180" w:type="dxa"/>
            <w:vAlign w:val="bottom"/>
            <w:gridSpan w:val="2"/>
          </w:tcPr>
          <w:p>
            <w:pPr>
              <w:jc w:val="right"/>
              <w:spacing w:after="0" w:line="218" w:lineRule="exact"/>
              <w:rPr>
                <w:sz w:val="20"/>
                <w:szCs w:val="20"/>
                <w:color w:val="auto"/>
              </w:rPr>
            </w:pPr>
            <w:r>
              <w:rPr>
                <w:rFonts w:ascii="Arial" w:cs="Arial" w:eastAsia="Arial" w:hAnsi="Arial"/>
                <w:sz w:val="20"/>
                <w:szCs w:val="20"/>
                <w:color w:val="auto"/>
                <w:w w:val="96"/>
              </w:rPr>
              <w:t>] in good faith</w:t>
            </w:r>
          </w:p>
        </w:tc>
      </w:tr>
      <w:tr>
        <w:trPr>
          <w:trHeight w:val="20"/>
        </w:trPr>
        <w:tc>
          <w:tcPr>
            <w:tcW w:w="6000" w:type="dxa"/>
            <w:vAlign w:val="bottom"/>
            <w:gridSpan w:val="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18"/>
        </w:trPr>
        <w:tc>
          <w:tcPr>
            <w:tcW w:w="8520" w:type="dxa"/>
            <w:vAlign w:val="bottom"/>
            <w:gridSpan w:val="12"/>
          </w:tcPr>
          <w:p>
            <w:pPr>
              <w:spacing w:after="0" w:line="218" w:lineRule="exact"/>
              <w:rPr>
                <w:sz w:val="20"/>
                <w:szCs w:val="20"/>
                <w:color w:val="auto"/>
              </w:rPr>
            </w:pPr>
            <w:r>
              <w:rPr>
                <w:rFonts w:ascii="Arial" w:cs="Arial" w:eastAsia="Arial" w:hAnsi="Arial"/>
                <w:sz w:val="20"/>
                <w:szCs w:val="20"/>
                <w:color w:val="auto"/>
                <w:w w:val="90"/>
              </w:rPr>
              <w:t>deems necessary, advisable, convenient or incidental to the foregoing and (vi) no asset held or owned by [</w:t>
            </w:r>
          </w:p>
        </w:tc>
        <w:tc>
          <w:tcPr>
            <w:tcW w:w="840" w:type="dxa"/>
            <w:vAlign w:val="bottom"/>
            <w:gridSpan w:val="3"/>
          </w:tcPr>
          <w:p>
            <w:pPr>
              <w:jc w:val="right"/>
              <w:ind w:right="340"/>
              <w:spacing w:after="0" w:line="218" w:lineRule="exact"/>
              <w:rPr>
                <w:sz w:val="20"/>
                <w:szCs w:val="20"/>
                <w:color w:val="auto"/>
              </w:rPr>
            </w:pPr>
            <w:r>
              <w:rPr>
                <w:rFonts w:ascii="Arial" w:cs="Arial" w:eastAsia="Arial" w:hAnsi="Arial"/>
                <w:sz w:val="20"/>
                <w:szCs w:val="20"/>
                <w:color w:val="auto"/>
              </w:rPr>
              <w:t>***</w:t>
            </w:r>
          </w:p>
        </w:tc>
        <w:tc>
          <w:tcPr>
            <w:tcW w:w="880" w:type="dxa"/>
            <w:vAlign w:val="bottom"/>
          </w:tcPr>
          <w:p>
            <w:pPr>
              <w:jc w:val="center"/>
              <w:spacing w:after="0" w:line="218" w:lineRule="exact"/>
              <w:rPr>
                <w:sz w:val="20"/>
                <w:szCs w:val="20"/>
                <w:color w:val="auto"/>
              </w:rPr>
            </w:pPr>
            <w:r>
              <w:rPr>
                <w:rFonts w:ascii="Arial" w:cs="Arial" w:eastAsia="Arial" w:hAnsi="Arial"/>
                <w:sz w:val="20"/>
                <w:szCs w:val="20"/>
                <w:color w:val="auto"/>
                <w:w w:val="95"/>
              </w:rPr>
              <w:t>] Newco [</w:t>
            </w:r>
          </w:p>
        </w:tc>
        <w:tc>
          <w:tcPr>
            <w:tcW w:w="700" w:type="dxa"/>
            <w:vAlign w:val="bottom"/>
          </w:tcPr>
          <w:p>
            <w:pPr>
              <w:jc w:val="right"/>
              <w:ind w:right="100"/>
              <w:spacing w:after="0" w:line="218" w:lineRule="exact"/>
              <w:rPr>
                <w:sz w:val="20"/>
                <w:szCs w:val="20"/>
                <w:color w:val="auto"/>
              </w:rPr>
            </w:pPr>
            <w:r>
              <w:rPr>
                <w:rFonts w:ascii="Arial" w:cs="Arial" w:eastAsia="Arial" w:hAnsi="Arial"/>
                <w:sz w:val="20"/>
                <w:szCs w:val="20"/>
                <w:color w:val="auto"/>
              </w:rPr>
              <w:t>***</w:t>
            </w:r>
          </w:p>
        </w:tc>
        <w:tc>
          <w:tcPr>
            <w:tcW w:w="480" w:type="dxa"/>
            <w:vAlign w:val="bottom"/>
          </w:tcPr>
          <w:p>
            <w:pPr>
              <w:jc w:val="right"/>
              <w:ind w:right="120"/>
              <w:spacing w:after="0" w:line="218" w:lineRule="exact"/>
              <w:rPr>
                <w:sz w:val="20"/>
                <w:szCs w:val="20"/>
                <w:color w:val="auto"/>
              </w:rPr>
            </w:pPr>
            <w:r>
              <w:rPr>
                <w:rFonts w:ascii="Arial" w:cs="Arial" w:eastAsia="Arial" w:hAnsi="Arial"/>
                <w:sz w:val="20"/>
                <w:szCs w:val="20"/>
                <w:color w:val="auto"/>
              </w:rPr>
              <w:t>].</w:t>
            </w:r>
          </w:p>
        </w:tc>
      </w:tr>
      <w:tr>
        <w:trPr>
          <w:trHeight w:val="20"/>
        </w:trPr>
        <w:tc>
          <w:tcPr>
            <w:tcW w:w="30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bl>
    <w:p>
      <w:pPr>
        <w:spacing w:after="0" w:line="217" w:lineRule="exact"/>
        <w:rPr>
          <w:sz w:val="20"/>
          <w:szCs w:val="20"/>
          <w:color w:val="auto"/>
        </w:rPr>
      </w:pPr>
    </w:p>
    <w:p>
      <w:pPr>
        <w:jc w:val="both"/>
        <w:ind w:firstLine="601"/>
        <w:spacing w:after="0" w:line="287" w:lineRule="auto"/>
        <w:rPr>
          <w:sz w:val="20"/>
          <w:szCs w:val="20"/>
          <w:color w:val="auto"/>
        </w:rPr>
      </w:pPr>
      <w:r>
        <w:rPr>
          <w:rFonts w:ascii="Arial" w:cs="Arial" w:eastAsia="Arial" w:hAnsi="Arial"/>
          <w:sz w:val="18"/>
          <w:szCs w:val="18"/>
          <w:color w:val="auto"/>
        </w:rPr>
        <w:t xml:space="preserve">Section 6.14 </w:t>
      </w:r>
      <w:r>
        <w:rPr>
          <w:rFonts w:ascii="Arial" w:cs="Arial" w:eastAsia="Arial" w:hAnsi="Arial"/>
          <w:sz w:val="18"/>
          <w:szCs w:val="18"/>
          <w:u w:val="single" w:color="auto"/>
          <w:color w:val="auto"/>
        </w:rPr>
        <w:t>Recoupment</w:t>
      </w:r>
      <w:r>
        <w:rPr>
          <w:rFonts w:ascii="Arial" w:cs="Arial" w:eastAsia="Arial" w:hAnsi="Arial"/>
          <w:sz w:val="18"/>
          <w:szCs w:val="18"/>
          <w:color w:val="auto"/>
        </w:rPr>
        <w:t>. On or prior to the twentieth (20th) Business Day prior to the Closing, the Company shall deliver to the Insurer a statement setting forth (</w:t>
      </w:r>
      <w:r>
        <w:rPr>
          <w:rFonts w:ascii="Arial" w:cs="Arial" w:eastAsia="Arial" w:hAnsi="Arial"/>
          <w:sz w:val="18"/>
          <w:szCs w:val="18"/>
          <w:u w:val="single" w:color="auto"/>
          <w:color w:val="auto"/>
        </w:rPr>
        <w:t>i</w:t>
      </w:r>
      <w:r>
        <w:rPr>
          <w:rFonts w:ascii="Arial" w:cs="Arial" w:eastAsia="Arial" w:hAnsi="Arial"/>
          <w:sz w:val="18"/>
          <w:szCs w:val="18"/>
          <w:color w:val="auto"/>
        </w:rPr>
        <w:t>) each Covered Life, Contingent Life or Beneficiary who has been paid, prior to the Annuity Commencement Date, Plan benefits in excess of the amount owed under the Plan, (</w:t>
      </w:r>
      <w:r>
        <w:rPr>
          <w:rFonts w:ascii="Arial" w:cs="Arial" w:eastAsia="Arial" w:hAnsi="Arial"/>
          <w:sz w:val="18"/>
          <w:szCs w:val="18"/>
          <w:u w:val="single" w:color="auto"/>
          <w:color w:val="auto"/>
        </w:rPr>
        <w:t>ii</w:t>
      </w:r>
      <w:r>
        <w:rPr>
          <w:rFonts w:ascii="Arial" w:cs="Arial" w:eastAsia="Arial" w:hAnsi="Arial"/>
          <w:sz w:val="18"/>
          <w:szCs w:val="18"/>
          <w:color w:val="auto"/>
        </w:rPr>
        <w:t>) the amount of each such excess payment and the length of overpayment and (</w:t>
      </w:r>
      <w:r>
        <w:rPr>
          <w:rFonts w:ascii="Arial" w:cs="Arial" w:eastAsia="Arial" w:hAnsi="Arial"/>
          <w:sz w:val="18"/>
          <w:szCs w:val="18"/>
          <w:u w:val="single" w:color="auto"/>
          <w:color w:val="auto"/>
        </w:rPr>
        <w:t>iii</w:t>
      </w:r>
      <w:r>
        <w:rPr>
          <w:rFonts w:ascii="Arial" w:cs="Arial" w:eastAsia="Arial" w:hAnsi="Arial"/>
          <w:sz w:val="18"/>
          <w:szCs w:val="18"/>
          <w:color w:val="auto"/>
        </w:rPr>
        <w:t>) for each such Covered Life, Contingent Life or Beneficiary, either (</w:t>
      </w:r>
      <w:r>
        <w:rPr>
          <w:rFonts w:ascii="Arial" w:cs="Arial" w:eastAsia="Arial" w:hAnsi="Arial"/>
          <w:sz w:val="18"/>
          <w:szCs w:val="18"/>
          <w:u w:val="single" w:color="auto"/>
          <w:color w:val="auto"/>
        </w:rPr>
        <w:t>A</w:t>
      </w:r>
      <w:r>
        <w:rPr>
          <w:rFonts w:ascii="Arial" w:cs="Arial" w:eastAsia="Arial" w:hAnsi="Arial"/>
          <w:sz w:val="18"/>
          <w:szCs w:val="18"/>
          <w:color w:val="auto"/>
        </w:rPr>
        <w:t>) a certification that the amount of each such excess payment made to such Covered Life, Contingent Life or Beneficiary is undisputed or (</w:t>
      </w:r>
      <w:r>
        <w:rPr>
          <w:rFonts w:ascii="Arial" w:cs="Arial" w:eastAsia="Arial" w:hAnsi="Arial"/>
          <w:sz w:val="18"/>
          <w:szCs w:val="18"/>
          <w:u w:val="single" w:color="auto"/>
          <w:color w:val="auto"/>
        </w:rPr>
        <w:t>B</w:t>
      </w:r>
      <w:r>
        <w:rPr>
          <w:rFonts w:ascii="Arial" w:cs="Arial" w:eastAsia="Arial" w:hAnsi="Arial"/>
          <w:sz w:val="18"/>
          <w:szCs w:val="18"/>
          <w:color w:val="auto"/>
        </w:rPr>
        <w:t>) a reasonably detailed description of the nature of each dispute in respect of any such excess payment made to such Covered Life, Contingent Life or Beneficiary.</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VII</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OTHER COVENANTS</w:t>
      </w:r>
    </w:p>
    <w:p>
      <w:pPr>
        <w:spacing w:after="0" w:line="228" w:lineRule="exact"/>
        <w:rPr>
          <w:sz w:val="20"/>
          <w:szCs w:val="20"/>
          <w:color w:val="auto"/>
        </w:rPr>
      </w:pPr>
    </w:p>
    <w:p>
      <w:pPr>
        <w:ind w:left="600"/>
        <w:spacing w:after="0"/>
        <w:tabs>
          <w:tab w:leader="none" w:pos="1680" w:val="left"/>
        </w:tabs>
        <w:rPr>
          <w:sz w:val="20"/>
          <w:szCs w:val="20"/>
          <w:color w:val="auto"/>
        </w:rPr>
      </w:pPr>
      <w:r>
        <w:rPr>
          <w:rFonts w:ascii="Arial" w:cs="Arial" w:eastAsia="Arial" w:hAnsi="Arial"/>
          <w:sz w:val="20"/>
          <w:szCs w:val="20"/>
          <w:color w:val="auto"/>
        </w:rPr>
        <w:t>Section 7.1</w:t>
      </w:r>
      <w:r>
        <w:rPr>
          <w:sz w:val="20"/>
          <w:szCs w:val="20"/>
          <w:color w:val="auto"/>
        </w:rPr>
        <w:tab/>
      </w:r>
      <w:r>
        <w:rPr>
          <w:rFonts w:ascii="Arial" w:cs="Arial" w:eastAsia="Arial" w:hAnsi="Arial"/>
          <w:sz w:val="18"/>
          <w:szCs w:val="18"/>
          <w:u w:val="single" w:color="auto"/>
          <w:color w:val="auto"/>
        </w:rPr>
        <w:t>Company Actions</w:t>
      </w:r>
      <w:r>
        <w:rPr>
          <w:rFonts w:ascii="Arial" w:cs="Arial" w:eastAsia="Arial" w:hAnsi="Arial"/>
          <w:sz w:val="18"/>
          <w:szCs w:val="18"/>
          <w:color w:val="auto"/>
        </w:rPr>
        <w:t>. Following the Closing Date, the Company shall use its commercially reasonable efforts to:</w:t>
      </w:r>
    </w:p>
    <w:p>
      <w:pPr>
        <w:spacing w:after="0" w:line="246" w:lineRule="exact"/>
        <w:rPr>
          <w:sz w:val="20"/>
          <w:szCs w:val="20"/>
          <w:color w:val="auto"/>
        </w:rPr>
      </w:pPr>
    </w:p>
    <w:p>
      <w:pPr>
        <w:ind w:left="1420" w:hanging="819"/>
        <w:spacing w:after="0"/>
        <w:tabs>
          <w:tab w:leader="none" w:pos="1420" w:val="left"/>
        </w:tabs>
        <w:numPr>
          <w:ilvl w:val="0"/>
          <w:numId w:val="84"/>
        </w:numPr>
        <w:rPr>
          <w:rFonts w:ascii="Arial" w:cs="Arial" w:eastAsia="Arial" w:hAnsi="Arial"/>
          <w:sz w:val="20"/>
          <w:szCs w:val="20"/>
          <w:color w:val="auto"/>
        </w:rPr>
      </w:pPr>
      <w:r>
        <w:rPr>
          <w:rFonts w:ascii="Arial" w:cs="Arial" w:eastAsia="Arial" w:hAnsi="Arial"/>
          <w:sz w:val="20"/>
          <w:szCs w:val="20"/>
          <w:color w:val="auto"/>
        </w:rPr>
        <w:t>cooperate in the proper preparation and filing of the Form 501;</w:t>
      </w:r>
    </w:p>
    <w:p>
      <w:pPr>
        <w:spacing w:after="0" w:line="245" w:lineRule="exact"/>
        <w:rPr>
          <w:rFonts w:ascii="Arial" w:cs="Arial" w:eastAsia="Arial" w:hAnsi="Arial"/>
          <w:sz w:val="20"/>
          <w:szCs w:val="20"/>
          <w:color w:val="auto"/>
        </w:rPr>
      </w:pPr>
    </w:p>
    <w:p>
      <w:pPr>
        <w:ind w:left="1440" w:hanging="839"/>
        <w:spacing w:after="0"/>
        <w:tabs>
          <w:tab w:leader="none" w:pos="1440" w:val="left"/>
        </w:tabs>
        <w:numPr>
          <w:ilvl w:val="0"/>
          <w:numId w:val="84"/>
        </w:numPr>
        <w:rPr>
          <w:rFonts w:ascii="Arial" w:cs="Arial" w:eastAsia="Arial" w:hAnsi="Arial"/>
          <w:sz w:val="20"/>
          <w:szCs w:val="20"/>
          <w:color w:val="auto"/>
        </w:rPr>
      </w:pPr>
      <w:r>
        <w:rPr>
          <w:rFonts w:ascii="Arial" w:cs="Arial" w:eastAsia="Arial" w:hAnsi="Arial"/>
          <w:sz w:val="20"/>
          <w:szCs w:val="20"/>
          <w:color w:val="auto"/>
        </w:rPr>
        <w:t>cooperate in the closing out of the Plan in a Standard Termination; and</w:t>
      </w:r>
    </w:p>
    <w:p>
      <w:pPr>
        <w:spacing w:after="0" w:line="245" w:lineRule="exact"/>
        <w:rPr>
          <w:rFonts w:ascii="Arial" w:cs="Arial" w:eastAsia="Arial" w:hAnsi="Arial"/>
          <w:sz w:val="20"/>
          <w:szCs w:val="20"/>
          <w:color w:val="auto"/>
        </w:rPr>
      </w:pPr>
    </w:p>
    <w:p>
      <w:pPr>
        <w:ind w:firstLine="601"/>
        <w:spacing w:after="0" w:line="275" w:lineRule="auto"/>
        <w:tabs>
          <w:tab w:leader="none" w:pos="1424" w:val="left"/>
        </w:tabs>
        <w:numPr>
          <w:ilvl w:val="0"/>
          <w:numId w:val="84"/>
        </w:numPr>
        <w:rPr>
          <w:rFonts w:ascii="Arial" w:cs="Arial" w:eastAsia="Arial" w:hAnsi="Arial"/>
          <w:sz w:val="20"/>
          <w:szCs w:val="20"/>
          <w:color w:val="auto"/>
        </w:rPr>
      </w:pPr>
      <w:r>
        <w:rPr>
          <w:rFonts w:ascii="Arial" w:cs="Arial" w:eastAsia="Arial" w:hAnsi="Arial"/>
          <w:sz w:val="20"/>
          <w:szCs w:val="20"/>
          <w:color w:val="auto"/>
        </w:rPr>
        <w:t>take, or cause to be taken, all actions, and to do, or cause to be done, all things reasonably necessary on its part to effectuate the transactions contemplated by this Agreement.</w:t>
      </w:r>
    </w:p>
    <w:p>
      <w:pPr>
        <w:spacing w:after="0" w:line="149" w:lineRule="exact"/>
        <w:rPr>
          <w:sz w:val="20"/>
          <w:szCs w:val="20"/>
          <w:color w:val="auto"/>
        </w:rPr>
      </w:pPr>
    </w:p>
    <w:p>
      <w:pPr>
        <w:ind w:left="600"/>
        <w:spacing w:after="0"/>
        <w:tabs>
          <w:tab w:leader="none" w:pos="1680" w:val="left"/>
        </w:tabs>
        <w:rPr>
          <w:sz w:val="20"/>
          <w:szCs w:val="20"/>
          <w:color w:val="auto"/>
        </w:rPr>
      </w:pPr>
      <w:r>
        <w:rPr>
          <w:rFonts w:ascii="Arial" w:cs="Arial" w:eastAsia="Arial" w:hAnsi="Arial"/>
          <w:sz w:val="20"/>
          <w:szCs w:val="20"/>
          <w:color w:val="auto"/>
        </w:rPr>
        <w:t>Section 7.2</w:t>
      </w:r>
      <w:r>
        <w:rPr>
          <w:sz w:val="20"/>
          <w:szCs w:val="20"/>
          <w:color w:val="auto"/>
        </w:rPr>
        <w:tab/>
      </w:r>
      <w:r>
        <w:rPr>
          <w:rFonts w:ascii="Arial" w:cs="Arial" w:eastAsia="Arial" w:hAnsi="Arial"/>
          <w:sz w:val="18"/>
          <w:szCs w:val="18"/>
          <w:u w:val="single" w:color="auto"/>
          <w:color w:val="auto"/>
        </w:rPr>
        <w:t>Insurer Actions</w:t>
      </w:r>
      <w:r>
        <w:rPr>
          <w:rFonts w:ascii="Arial" w:cs="Arial" w:eastAsia="Arial" w:hAnsi="Arial"/>
          <w:sz w:val="18"/>
          <w:szCs w:val="18"/>
          <w:color w:val="auto"/>
        </w:rPr>
        <w:t>. Following the Closing Date, the Insurer shall:</w:t>
      </w:r>
    </w:p>
    <w:p>
      <w:pPr>
        <w:spacing w:after="0" w:line="246" w:lineRule="exact"/>
        <w:rPr>
          <w:sz w:val="20"/>
          <w:szCs w:val="20"/>
          <w:color w:val="auto"/>
        </w:rPr>
      </w:pPr>
    </w:p>
    <w:p>
      <w:pPr>
        <w:jc w:val="both"/>
        <w:ind w:firstLine="601"/>
        <w:spacing w:after="0" w:line="261" w:lineRule="auto"/>
        <w:tabs>
          <w:tab w:leader="none" w:pos="1066" w:val="left"/>
        </w:tabs>
        <w:numPr>
          <w:ilvl w:val="1"/>
          <w:numId w:val="85"/>
        </w:numPr>
        <w:rPr>
          <w:rFonts w:ascii="Arial" w:cs="Arial" w:eastAsia="Arial" w:hAnsi="Arial"/>
          <w:sz w:val="20"/>
          <w:szCs w:val="20"/>
          <w:color w:val="auto"/>
        </w:rPr>
      </w:pPr>
      <w:r>
        <w:rPr>
          <w:rFonts w:ascii="Arial" w:cs="Arial" w:eastAsia="Arial" w:hAnsi="Arial"/>
          <w:sz w:val="20"/>
          <w:szCs w:val="20"/>
          <w:color w:val="auto"/>
        </w:rPr>
        <w:t xml:space="preserve">use its best efforts to obtain approval from all necessary state insurance Governmental Authorities for the Annuity Certificates;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the Insurer shall not be required to amend or modify the form of any Annuity Certificate in a manner that would result in the assumption by the Insurer of any additional Liability not provided for under the Group Annuity Contract;</w:t>
      </w:r>
    </w:p>
    <w:p>
      <w:pPr>
        <w:spacing w:after="0" w:line="200" w:lineRule="exact"/>
        <w:rPr>
          <w:rFonts w:ascii="Arial" w:cs="Arial" w:eastAsia="Arial" w:hAnsi="Arial"/>
          <w:sz w:val="20"/>
          <w:szCs w:val="20"/>
          <w:color w:val="auto"/>
        </w:rPr>
      </w:pPr>
    </w:p>
    <w:p>
      <w:pPr>
        <w:jc w:val="both"/>
        <w:ind w:firstLine="601"/>
        <w:spacing w:after="0" w:line="271" w:lineRule="auto"/>
        <w:tabs>
          <w:tab w:leader="none" w:pos="1090" w:val="left"/>
        </w:tabs>
        <w:numPr>
          <w:ilvl w:val="1"/>
          <w:numId w:val="85"/>
        </w:numPr>
        <w:rPr>
          <w:rFonts w:ascii="Arial" w:cs="Arial" w:eastAsia="Arial" w:hAnsi="Arial"/>
          <w:sz w:val="19"/>
          <w:szCs w:val="19"/>
          <w:color w:val="auto"/>
        </w:rPr>
      </w:pPr>
      <w:r>
        <w:rPr>
          <w:rFonts w:ascii="Arial" w:cs="Arial" w:eastAsia="Arial" w:hAnsi="Arial"/>
          <w:sz w:val="19"/>
          <w:szCs w:val="19"/>
          <w:color w:val="auto"/>
        </w:rPr>
        <w:t xml:space="preserve">provide each Annuitant with an Annuity Certificate within 30 days after the Closing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w:t>
      </w:r>
      <w:r>
        <w:rPr>
          <w:rFonts w:ascii="Arial" w:cs="Arial" w:eastAsia="Arial" w:hAnsi="Arial"/>
          <w:sz w:val="19"/>
          <w:szCs w:val="19"/>
          <w:u w:val="single" w:color="auto"/>
          <w:color w:val="auto"/>
        </w:rPr>
        <w:t>i</w:t>
      </w:r>
      <w:r>
        <w:rPr>
          <w:rFonts w:ascii="Arial" w:cs="Arial" w:eastAsia="Arial" w:hAnsi="Arial"/>
          <w:sz w:val="19"/>
          <w:szCs w:val="19"/>
          <w:color w:val="auto"/>
        </w:rPr>
        <w:t>) if the form of any Annuity Certificate issuable to such Annuitant has not become “available” (in a manner consistent with the use of such term in 29 C.F.R.</w:t>
      </w:r>
    </w:p>
    <w:p>
      <w:pPr>
        <w:jc w:val="both"/>
        <w:spacing w:after="0" w:line="251" w:lineRule="auto"/>
        <w:tabs>
          <w:tab w:leader="none" w:pos="178" w:val="left"/>
        </w:tabs>
        <w:numPr>
          <w:ilvl w:val="0"/>
          <w:numId w:val="85"/>
        </w:numPr>
        <w:rPr>
          <w:rFonts w:ascii="Arial" w:cs="Arial" w:eastAsia="Arial" w:hAnsi="Arial"/>
          <w:sz w:val="20"/>
          <w:szCs w:val="20"/>
          <w:color w:val="auto"/>
        </w:rPr>
      </w:pPr>
      <w:r>
        <w:rPr>
          <w:rFonts w:ascii="Arial" w:cs="Arial" w:eastAsia="Arial" w:hAnsi="Arial"/>
          <w:sz w:val="20"/>
          <w:szCs w:val="20"/>
          <w:color w:val="auto"/>
        </w:rPr>
        <w:t>4041.28(d)(1)) as of the Closing Date, then the Insurer will provide such Annuity Certificate to the relevant Annuitant as promptly as reasonably practicable and in any case within 30 days following the date on which such Annuity Certificate so becomes “available,” and (</w:t>
      </w:r>
      <w:r>
        <w:rPr>
          <w:rFonts w:ascii="Arial" w:cs="Arial" w:eastAsia="Arial" w:hAnsi="Arial"/>
          <w:sz w:val="20"/>
          <w:szCs w:val="20"/>
          <w:u w:val="single" w:color="auto"/>
          <w:color w:val="auto"/>
        </w:rPr>
        <w:t>ii</w:t>
      </w:r>
      <w:r>
        <w:rPr>
          <w:rFonts w:ascii="Arial" w:cs="Arial" w:eastAsia="Arial" w:hAnsi="Arial"/>
          <w:sz w:val="20"/>
          <w:szCs w:val="20"/>
          <w:color w:val="auto"/>
        </w:rPr>
        <w:t>) if such Annuity Certificate has not become “available” within 20 days following the Closing Date, the Insurer shall provide notice to the Company of such fact;</w:t>
      </w:r>
    </w:p>
    <w:p>
      <w:pPr>
        <w:spacing w:after="0" w:line="209" w:lineRule="exact"/>
        <w:rPr>
          <w:rFonts w:ascii="Arial" w:cs="Arial" w:eastAsia="Arial" w:hAnsi="Arial"/>
          <w:sz w:val="20"/>
          <w:szCs w:val="20"/>
          <w:color w:val="auto"/>
        </w:rPr>
      </w:pPr>
    </w:p>
    <w:p>
      <w:pPr>
        <w:ind w:left="1020" w:hanging="419"/>
        <w:spacing w:after="0"/>
        <w:tabs>
          <w:tab w:leader="none" w:pos="1020" w:val="left"/>
        </w:tabs>
        <w:numPr>
          <w:ilvl w:val="1"/>
          <w:numId w:val="86"/>
        </w:numPr>
        <w:rPr>
          <w:rFonts w:ascii="Arial" w:cs="Arial" w:eastAsia="Arial" w:hAnsi="Arial"/>
          <w:sz w:val="20"/>
          <w:szCs w:val="20"/>
          <w:color w:val="auto"/>
        </w:rPr>
      </w:pPr>
      <w:r>
        <w:rPr>
          <w:rFonts w:ascii="Arial" w:cs="Arial" w:eastAsia="Arial" w:hAnsi="Arial"/>
          <w:sz w:val="20"/>
          <w:szCs w:val="20"/>
          <w:color w:val="auto"/>
        </w:rPr>
        <w:t>cause the first Annuity Payment to be made to all Annuitants by the Annuity Commencement Date;</w:t>
      </w:r>
    </w:p>
    <w:p>
      <w:pPr>
        <w:spacing w:after="0" w:line="245" w:lineRule="exact"/>
        <w:rPr>
          <w:rFonts w:ascii="Arial" w:cs="Arial" w:eastAsia="Arial" w:hAnsi="Arial"/>
          <w:sz w:val="20"/>
          <w:szCs w:val="20"/>
          <w:color w:val="auto"/>
        </w:rPr>
      </w:pPr>
    </w:p>
    <w:p>
      <w:pPr>
        <w:ind w:firstLine="601"/>
        <w:spacing w:after="0" w:line="275" w:lineRule="auto"/>
        <w:tabs>
          <w:tab w:leader="none" w:pos="1082" w:val="left"/>
        </w:tabs>
        <w:numPr>
          <w:ilvl w:val="1"/>
          <w:numId w:val="86"/>
        </w:numPr>
        <w:rPr>
          <w:rFonts w:ascii="Arial" w:cs="Arial" w:eastAsia="Arial" w:hAnsi="Arial"/>
          <w:sz w:val="20"/>
          <w:szCs w:val="20"/>
          <w:color w:val="auto"/>
        </w:rPr>
      </w:pPr>
      <w:r>
        <w:rPr>
          <w:rFonts w:ascii="Arial" w:cs="Arial" w:eastAsia="Arial" w:hAnsi="Arial"/>
          <w:sz w:val="20"/>
          <w:szCs w:val="20"/>
          <w:color w:val="auto"/>
        </w:rPr>
        <w:t>for each Annuitant entitled to payments under Contract 300 Article P, cause such payments to be combined with each Annuity Payment that is made to each such Annuitant;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53</w:t>
      </w:r>
    </w:p>
    <w:p>
      <w:pPr>
        <w:sectPr>
          <w:pgSz w:w="11900" w:h="16838" w:orient="portrait"/>
          <w:cols w:equalWidth="0" w:num="1">
            <w:col w:w="11420"/>
          </w:cols>
          <w:pgMar w:left="240" w:top="535" w:right="239" w:bottom="1440" w:gutter="0" w:footer="0" w:header="0"/>
        </w:sectPr>
      </w:pPr>
    </w:p>
    <w:bookmarkStart w:id="64" w:name="page65"/>
    <w:bookmarkEnd w:id="64"/>
    <w:p>
      <w:pPr>
        <w:ind w:firstLine="601"/>
        <w:spacing w:after="0" w:line="333" w:lineRule="auto"/>
        <w:tabs>
          <w:tab w:leader="none" w:pos="103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at the request of the Company, include a notice, provided by the Plan and reasonably acceptable to the Insurer, regarding Annuity Certificates in the Insurer's “welcome” mailing to the Annuitants or other subsequent mailings made by the Insurer to the Annuitants; and</w:t>
      </w:r>
    </w:p>
    <w:p>
      <w:pPr>
        <w:spacing w:after="0" w:line="139" w:lineRule="exact"/>
        <w:rPr>
          <w:rFonts w:ascii="Arial" w:cs="Arial" w:eastAsia="Arial" w:hAnsi="Arial"/>
          <w:sz w:val="18"/>
          <w:szCs w:val="18"/>
          <w:color w:val="auto"/>
        </w:rPr>
      </w:pPr>
    </w:p>
    <w:p>
      <w:pPr>
        <w:ind w:firstLine="601"/>
        <w:spacing w:after="0" w:line="275" w:lineRule="auto"/>
        <w:tabs>
          <w:tab w:leader="none" w:pos="1114" w:val="left"/>
        </w:tabs>
        <w:numPr>
          <w:ilvl w:val="0"/>
          <w:numId w:val="87"/>
        </w:numPr>
        <w:rPr>
          <w:rFonts w:ascii="Arial" w:cs="Arial" w:eastAsia="Arial" w:hAnsi="Arial"/>
          <w:sz w:val="20"/>
          <w:szCs w:val="20"/>
          <w:color w:val="auto"/>
        </w:rPr>
      </w:pPr>
      <w:r>
        <w:rPr>
          <w:rFonts w:ascii="Arial" w:cs="Arial" w:eastAsia="Arial" w:hAnsi="Arial"/>
          <w:sz w:val="20"/>
          <w:szCs w:val="20"/>
          <w:color w:val="auto"/>
        </w:rPr>
        <w:t>use its commercially reasonable efforts to take, or cause to be taken, all actions, and to do, or cause to be done, all things reasonably necessary on its part to effectuate the transactions contemplated by this Agreement.</w:t>
      </w:r>
    </w:p>
    <w:p>
      <w:pPr>
        <w:spacing w:after="0" w:line="149" w:lineRule="exact"/>
        <w:rPr>
          <w:sz w:val="20"/>
          <w:szCs w:val="20"/>
          <w:color w:val="auto"/>
        </w:rPr>
      </w:pPr>
    </w:p>
    <w:p>
      <w:pPr>
        <w:jc w:val="both"/>
        <w:ind w:firstLine="601"/>
        <w:spacing w:after="0" w:line="261" w:lineRule="auto"/>
        <w:rPr>
          <w:sz w:val="20"/>
          <w:szCs w:val="20"/>
          <w:color w:val="auto"/>
        </w:rPr>
      </w:pPr>
      <w:r>
        <w:rPr>
          <w:rFonts w:ascii="Arial" w:cs="Arial" w:eastAsia="Arial" w:hAnsi="Arial"/>
          <w:sz w:val="20"/>
          <w:szCs w:val="20"/>
          <w:color w:val="auto"/>
        </w:rPr>
        <w:t xml:space="preserve">Section 7.3 </w:t>
      </w:r>
      <w:r>
        <w:rPr>
          <w:rFonts w:ascii="Arial" w:cs="Arial" w:eastAsia="Arial" w:hAnsi="Arial"/>
          <w:sz w:val="20"/>
          <w:szCs w:val="20"/>
          <w:u w:val="single" w:color="auto"/>
          <w:color w:val="auto"/>
        </w:rPr>
        <w:t>Cooperation with Independent Third Party</w:t>
      </w:r>
      <w:r>
        <w:rPr>
          <w:rFonts w:ascii="Arial" w:cs="Arial" w:eastAsia="Arial" w:hAnsi="Arial"/>
          <w:sz w:val="20"/>
          <w:szCs w:val="20"/>
          <w:color w:val="auto"/>
        </w:rPr>
        <w:t>. Each Party will cooperate in good faith with the Independent Third Party and will promptly provide the Independent Third Party access to and copies of all data, records, facilities and personnel of such Party and its Affiliates and Representatives as is reasonably necessary to perform its functions under this Agreement.</w:t>
      </w:r>
    </w:p>
    <w:p>
      <w:pPr>
        <w:spacing w:after="0" w:line="163" w:lineRule="exact"/>
        <w:rPr>
          <w:sz w:val="20"/>
          <w:szCs w:val="20"/>
          <w:color w:val="auto"/>
        </w:rPr>
      </w:pPr>
    </w:p>
    <w:p>
      <w:pPr>
        <w:jc w:val="both"/>
        <w:ind w:firstLine="601"/>
        <w:spacing w:after="0" w:line="261" w:lineRule="auto"/>
        <w:rPr>
          <w:sz w:val="20"/>
          <w:szCs w:val="20"/>
          <w:color w:val="auto"/>
        </w:rPr>
      </w:pPr>
      <w:r>
        <w:rPr>
          <w:rFonts w:ascii="Arial" w:cs="Arial" w:eastAsia="Arial" w:hAnsi="Arial"/>
          <w:sz w:val="20"/>
          <w:szCs w:val="20"/>
          <w:color w:val="auto"/>
        </w:rPr>
        <w:t xml:space="preserve">Section 7.4 </w:t>
      </w:r>
      <w:r>
        <w:rPr>
          <w:rFonts w:ascii="Arial" w:cs="Arial" w:eastAsia="Arial" w:hAnsi="Arial"/>
          <w:sz w:val="20"/>
          <w:szCs w:val="20"/>
          <w:u w:val="single" w:color="auto"/>
          <w:color w:val="auto"/>
        </w:rPr>
        <w:t>Administrative Services</w:t>
      </w:r>
      <w:r>
        <w:rPr>
          <w:rFonts w:ascii="Arial" w:cs="Arial" w:eastAsia="Arial" w:hAnsi="Arial"/>
          <w:sz w:val="20"/>
          <w:szCs w:val="20"/>
          <w:color w:val="auto"/>
        </w:rPr>
        <w:t>. The Plan Administrator shall continue to administer the Plan from the Closing through the Annuity Commencement Date. Following the Closing, the Insurer shall provide, or shall cause to be provided, all administrative services in connection with the payment of benefits under the Group Annuity Contract.</w:t>
      </w:r>
    </w:p>
    <w:p>
      <w:pPr>
        <w:spacing w:after="0" w:line="163" w:lineRule="exact"/>
        <w:rPr>
          <w:sz w:val="20"/>
          <w:szCs w:val="20"/>
          <w:color w:val="auto"/>
        </w:rPr>
      </w:pPr>
    </w:p>
    <w:p>
      <w:pPr>
        <w:jc w:val="both"/>
        <w:ind w:firstLine="601"/>
        <w:spacing w:after="0" w:line="255" w:lineRule="auto"/>
        <w:rPr>
          <w:sz w:val="20"/>
          <w:szCs w:val="20"/>
          <w:color w:val="auto"/>
        </w:rPr>
      </w:pPr>
      <w:r>
        <w:rPr>
          <w:rFonts w:ascii="Arial" w:cs="Arial" w:eastAsia="Arial" w:hAnsi="Arial"/>
          <w:sz w:val="20"/>
          <w:szCs w:val="20"/>
          <w:color w:val="auto"/>
        </w:rPr>
        <w:t xml:space="preserve">Section 7.5 </w:t>
      </w:r>
      <w:r>
        <w:rPr>
          <w:rFonts w:ascii="Arial" w:cs="Arial" w:eastAsia="Arial" w:hAnsi="Arial"/>
          <w:sz w:val="20"/>
          <w:szCs w:val="20"/>
          <w:u w:val="single" w:color="auto"/>
          <w:color w:val="auto"/>
        </w:rPr>
        <w:t>Transferred Asset True-Ups</w:t>
      </w:r>
      <w:r>
        <w:rPr>
          <w:rFonts w:ascii="Arial" w:cs="Arial" w:eastAsia="Arial" w:hAnsi="Arial"/>
          <w:sz w:val="20"/>
          <w:szCs w:val="20"/>
          <w:color w:val="auto"/>
        </w:rPr>
        <w:t xml:space="preserve">. The Independent Fiduciary shall include in its direction in </w:t>
      </w:r>
      <w:r>
        <w:rPr>
          <w:rFonts w:ascii="Arial" w:cs="Arial" w:eastAsia="Arial" w:hAnsi="Arial"/>
          <w:sz w:val="20"/>
          <w:szCs w:val="20"/>
          <w:u w:val="single" w:color="auto"/>
          <w:color w:val="auto"/>
        </w:rPr>
        <w:t>Section 2.1(a)</w:t>
      </w:r>
      <w:r>
        <w:rPr>
          <w:rFonts w:ascii="Arial" w:cs="Arial" w:eastAsia="Arial" w:hAnsi="Arial"/>
          <w:sz w:val="20"/>
          <w:szCs w:val="20"/>
          <w:color w:val="auto"/>
        </w:rPr>
        <w:t>, and if necessary the Independent Fiduciary shall direct the Plan Trustee, that any payment or distribution related to the Insurer's ownership of a Transferred Asset, but received by the Plan or the Plan Trustee after Closing, shall be transferred to the Insurer within two (2) Business Days of receiving such payment or distribution. If necessary, the Company shall make available to the Plan an amount, in Cash, equal to the amount of such payment or distribution.</w:t>
      </w:r>
    </w:p>
    <w:p>
      <w:pPr>
        <w:spacing w:after="0" w:line="168" w:lineRule="exact"/>
        <w:rPr>
          <w:sz w:val="20"/>
          <w:szCs w:val="20"/>
          <w:color w:val="auto"/>
        </w:rPr>
      </w:pPr>
    </w:p>
    <w:p>
      <w:pPr>
        <w:jc w:val="both"/>
        <w:ind w:firstLine="601"/>
        <w:spacing w:after="0" w:line="253" w:lineRule="auto"/>
        <w:rPr>
          <w:sz w:val="20"/>
          <w:szCs w:val="20"/>
          <w:color w:val="auto"/>
        </w:rPr>
      </w:pPr>
      <w:r>
        <w:rPr>
          <w:rFonts w:ascii="Arial" w:cs="Arial" w:eastAsia="Arial" w:hAnsi="Arial"/>
          <w:sz w:val="20"/>
          <w:szCs w:val="20"/>
          <w:color w:val="auto"/>
        </w:rPr>
        <w:t xml:space="preserve">Section 7.6 </w:t>
      </w:r>
      <w:r>
        <w:rPr>
          <w:rFonts w:ascii="Arial" w:cs="Arial" w:eastAsia="Arial" w:hAnsi="Arial"/>
          <w:sz w:val="20"/>
          <w:szCs w:val="20"/>
          <w:u w:val="single" w:color="auto"/>
          <w:color w:val="auto"/>
        </w:rPr>
        <w:t>Correspondence Center</w:t>
      </w:r>
      <w:r>
        <w:rPr>
          <w:rFonts w:ascii="Arial" w:cs="Arial" w:eastAsia="Arial" w:hAnsi="Arial"/>
          <w:sz w:val="20"/>
          <w:szCs w:val="20"/>
          <w:color w:val="auto"/>
        </w:rPr>
        <w:t xml:space="preserve">. Beginning as of the Closing Date and continuing through the fifth anniversary thereof, the Company will fund a reasonable means for current or former Plan Participants and Plan Beneficiaries to correspond with the Company with respect to their Plan benefits, the Lump-Sum Election or the Plan Termination; </w:t>
      </w:r>
      <w:r>
        <w:rPr>
          <w:rFonts w:ascii="Arial" w:cs="Arial" w:eastAsia="Arial" w:hAnsi="Arial"/>
          <w:sz w:val="20"/>
          <w:szCs w:val="20"/>
          <w:u w:val="single" w:color="auto"/>
          <w:color w:val="auto"/>
        </w:rPr>
        <w:t>provided however</w:t>
      </w:r>
      <w:r>
        <w:rPr>
          <w:rFonts w:ascii="Arial" w:cs="Arial" w:eastAsia="Arial" w:hAnsi="Arial"/>
          <w:sz w:val="20"/>
          <w:szCs w:val="20"/>
          <w:color w:val="auto"/>
        </w:rPr>
        <w:t>, that the Company will have no responsibility for (including providing any funding relating to) administering the Group Annuity Contract or for responding to inquiries regarding the Group Annuity Contract. One month prior to Closing, the Company will advise the Insurer of its proposed standard operating procedures for directing individuals to such correspondence center.</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VIII</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CONDITIONS TO OBLIGATION TO CLOSE</w:t>
      </w:r>
    </w:p>
    <w:p>
      <w:pPr>
        <w:spacing w:after="0" w:line="228" w:lineRule="exact"/>
        <w:rPr>
          <w:sz w:val="20"/>
          <w:szCs w:val="20"/>
          <w:color w:val="auto"/>
        </w:rPr>
      </w:pPr>
    </w:p>
    <w:p>
      <w:pPr>
        <w:jc w:val="both"/>
        <w:ind w:firstLine="601"/>
        <w:spacing w:after="0" w:line="261" w:lineRule="auto"/>
        <w:rPr>
          <w:sz w:val="20"/>
          <w:szCs w:val="20"/>
          <w:color w:val="auto"/>
        </w:rPr>
      </w:pPr>
      <w:r>
        <w:rPr>
          <w:rFonts w:ascii="Arial" w:cs="Arial" w:eastAsia="Arial" w:hAnsi="Arial"/>
          <w:sz w:val="20"/>
          <w:szCs w:val="20"/>
          <w:color w:val="auto"/>
        </w:rPr>
        <w:t xml:space="preserve">Section 8.1 </w:t>
      </w:r>
      <w:r>
        <w:rPr>
          <w:rFonts w:ascii="Arial" w:cs="Arial" w:eastAsia="Arial" w:hAnsi="Arial"/>
          <w:sz w:val="20"/>
          <w:szCs w:val="20"/>
          <w:u w:val="single" w:color="auto"/>
          <w:color w:val="auto"/>
        </w:rPr>
        <w:t>Conditions to the Independent Fiduciary's Obligations</w:t>
      </w:r>
      <w:r>
        <w:rPr>
          <w:rFonts w:ascii="Arial" w:cs="Arial" w:eastAsia="Arial" w:hAnsi="Arial"/>
          <w:sz w:val="20"/>
          <w:szCs w:val="20"/>
          <w:color w:val="auto"/>
        </w:rPr>
        <w:t xml:space="preserve">. The Independent Fiduciary's obligation to, or to direct the Plan Trustee to, consummate the transactions contemplated hereby in connection with the Closing is subject to satisfaction or waiver (provided that the condition in </w:t>
      </w:r>
      <w:r>
        <w:rPr>
          <w:rFonts w:ascii="Arial" w:cs="Arial" w:eastAsia="Arial" w:hAnsi="Arial"/>
          <w:sz w:val="20"/>
          <w:szCs w:val="20"/>
          <w:u w:val="single" w:color="auto"/>
          <w:color w:val="auto"/>
        </w:rPr>
        <w:t>Section 8.1(a)</w:t>
      </w:r>
      <w:r>
        <w:rPr>
          <w:rFonts w:ascii="Arial" w:cs="Arial" w:eastAsia="Arial" w:hAnsi="Arial"/>
          <w:sz w:val="20"/>
          <w:szCs w:val="20"/>
          <w:color w:val="auto"/>
        </w:rPr>
        <w:t xml:space="preserve"> may not be waived) of the following conditions:</w:t>
      </w:r>
    </w:p>
    <w:p>
      <w:pPr>
        <w:spacing w:after="0" w:line="201" w:lineRule="exact"/>
        <w:rPr>
          <w:sz w:val="20"/>
          <w:szCs w:val="20"/>
          <w:color w:val="auto"/>
        </w:rPr>
      </w:pPr>
    </w:p>
    <w:p>
      <w:pPr>
        <w:jc w:val="both"/>
        <w:ind w:firstLine="601"/>
        <w:spacing w:after="0" w:line="261" w:lineRule="auto"/>
        <w:tabs>
          <w:tab w:leader="none" w:pos="1424" w:val="left"/>
        </w:tabs>
        <w:numPr>
          <w:ilvl w:val="0"/>
          <w:numId w:val="88"/>
        </w:numPr>
        <w:rPr>
          <w:rFonts w:ascii="Arial" w:cs="Arial" w:eastAsia="Arial" w:hAnsi="Arial"/>
          <w:sz w:val="20"/>
          <w:szCs w:val="20"/>
          <w:color w:val="auto"/>
        </w:rPr>
      </w:pPr>
      <w:r>
        <w:rPr>
          <w:rFonts w:ascii="Arial" w:cs="Arial" w:eastAsia="Arial" w:hAnsi="Arial"/>
          <w:sz w:val="20"/>
          <w:szCs w:val="20"/>
          <w:color w:val="auto"/>
        </w:rPr>
        <w:t>the Independent Fiduciary shall have confirmed that the Transaction satisfies ERISA and applicable guidance, including Interpretive Bulletin 95-1, because, since the DTFA Execution Date, there has not occurred an Independent Fiduciary MAC that continues as of the Closing Date,</w:t>
      </w:r>
    </w:p>
    <w:p>
      <w:pPr>
        <w:spacing w:after="0" w:line="200" w:lineRule="exact"/>
        <w:rPr>
          <w:rFonts w:ascii="Arial" w:cs="Arial" w:eastAsia="Arial" w:hAnsi="Arial"/>
          <w:sz w:val="20"/>
          <w:szCs w:val="20"/>
          <w:color w:val="auto"/>
        </w:rPr>
      </w:pPr>
    </w:p>
    <w:p>
      <w:pPr>
        <w:ind w:left="1440" w:hanging="839"/>
        <w:spacing w:after="0"/>
        <w:tabs>
          <w:tab w:leader="none" w:pos="14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no Order shall be in effect which prohibits the consummation of any of the transactions contemplated by this Agreement,</w:t>
      </w:r>
    </w:p>
    <w:p>
      <w:pPr>
        <w:spacing w:after="0" w:line="4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and</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54</w:t>
      </w:r>
    </w:p>
    <w:p>
      <w:pPr>
        <w:sectPr>
          <w:pgSz w:w="11900" w:h="16838" w:orient="portrait"/>
          <w:cols w:equalWidth="0" w:num="1">
            <w:col w:w="11420"/>
          </w:cols>
          <w:pgMar w:left="240" w:top="556" w:right="239" w:bottom="1440" w:gutter="0" w:footer="0" w:header="0"/>
        </w:sectPr>
      </w:pPr>
    </w:p>
    <w:bookmarkStart w:id="65" w:name="page66"/>
    <w:bookmarkEnd w:id="65"/>
    <w:p>
      <w:pPr>
        <w:jc w:val="both"/>
        <w:ind w:firstLine="601"/>
        <w:spacing w:after="0" w:line="252" w:lineRule="auto"/>
        <w:tabs>
          <w:tab w:leader="none" w:pos="1424" w:val="left"/>
        </w:tabs>
        <w:numPr>
          <w:ilvl w:val="0"/>
          <w:numId w:val="89"/>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w:t>
      </w:r>
      <w:r>
        <w:rPr>
          <w:rFonts w:ascii="Arial" w:cs="Arial" w:eastAsia="Arial" w:hAnsi="Arial"/>
          <w:sz w:val="20"/>
          <w:szCs w:val="20"/>
          <w:color w:val="auto"/>
        </w:rPr>
        <w:t xml:space="preserve">) the representations and warranties set forth in </w:t>
      </w:r>
      <w:r>
        <w:rPr>
          <w:rFonts w:ascii="Arial" w:cs="Arial" w:eastAsia="Arial" w:hAnsi="Arial"/>
          <w:sz w:val="20"/>
          <w:szCs w:val="20"/>
          <w:u w:val="single" w:color="auto"/>
          <w:color w:val="auto"/>
        </w:rPr>
        <w:t>Article III</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Article</w:t>
      </w:r>
      <w:r>
        <w:rPr>
          <w:rFonts w:ascii="Arial" w:cs="Arial" w:eastAsia="Arial" w:hAnsi="Arial"/>
          <w:sz w:val="20"/>
          <w:szCs w:val="20"/>
          <w:color w:val="auto"/>
        </w:rPr>
        <w:t xml:space="preserve"> V (</w:t>
      </w:r>
      <w:r>
        <w:rPr>
          <w:rFonts w:ascii="Arial" w:cs="Arial" w:eastAsia="Arial" w:hAnsi="Arial"/>
          <w:sz w:val="20"/>
          <w:szCs w:val="20"/>
          <w:u w:val="single" w:color="auto"/>
          <w:color w:val="auto"/>
        </w:rPr>
        <w:t>A</w:t>
      </w:r>
      <w:r>
        <w:rPr>
          <w:rFonts w:ascii="Arial" w:cs="Arial" w:eastAsia="Arial" w:hAnsi="Arial"/>
          <w:sz w:val="20"/>
          <w:szCs w:val="20"/>
          <w:color w:val="auto"/>
        </w:rPr>
        <w:t>) that are qualified by materiality shall be true and correct in all respects or (</w:t>
      </w:r>
      <w:r>
        <w:rPr>
          <w:rFonts w:ascii="Arial" w:cs="Arial" w:eastAsia="Arial" w:hAnsi="Arial"/>
          <w:sz w:val="20"/>
          <w:szCs w:val="20"/>
          <w:u w:val="single" w:color="auto"/>
          <w:color w:val="auto"/>
        </w:rPr>
        <w:t>B</w:t>
      </w:r>
      <w:r>
        <w:rPr>
          <w:rFonts w:ascii="Arial" w:cs="Arial" w:eastAsia="Arial" w:hAnsi="Arial"/>
          <w:sz w:val="20"/>
          <w:szCs w:val="20"/>
          <w:color w:val="auto"/>
        </w:rPr>
        <w:t>) that are not qualified by materiality shall be true and correct in all material respects, in each case, as of the Closing Date with the same force and effect as though made on the Closing Date, (</w:t>
      </w:r>
      <w:r>
        <w:rPr>
          <w:rFonts w:ascii="Arial" w:cs="Arial" w:eastAsia="Arial" w:hAnsi="Arial"/>
          <w:sz w:val="20"/>
          <w:szCs w:val="20"/>
          <w:u w:val="single" w:color="auto"/>
          <w:color w:val="auto"/>
        </w:rPr>
        <w:t>ii</w:t>
      </w:r>
      <w:r>
        <w:rPr>
          <w:rFonts w:ascii="Arial" w:cs="Arial" w:eastAsia="Arial" w:hAnsi="Arial"/>
          <w:sz w:val="20"/>
          <w:szCs w:val="20"/>
          <w:color w:val="auto"/>
        </w:rPr>
        <w:t>) each of the Company and the Insurer shall have performed and complied with its covenants and agreements hereunder through the Closing in all material respects, and (</w:t>
      </w:r>
      <w:r>
        <w:rPr>
          <w:rFonts w:ascii="Arial" w:cs="Arial" w:eastAsia="Arial" w:hAnsi="Arial"/>
          <w:sz w:val="20"/>
          <w:szCs w:val="20"/>
          <w:u w:val="single" w:color="auto"/>
          <w:color w:val="auto"/>
        </w:rPr>
        <w:t>iii</w:t>
      </w:r>
      <w:r>
        <w:rPr>
          <w:rFonts w:ascii="Arial" w:cs="Arial" w:eastAsia="Arial" w:hAnsi="Arial"/>
          <w:sz w:val="20"/>
          <w:szCs w:val="20"/>
          <w:color w:val="auto"/>
        </w:rPr>
        <w:t xml:space="preserve">) the Insurer shall have received all of the Governmental Approvals set forth in </w:t>
      </w:r>
      <w:r>
        <w:rPr>
          <w:rFonts w:ascii="Arial" w:cs="Arial" w:eastAsia="Arial" w:hAnsi="Arial"/>
          <w:sz w:val="20"/>
          <w:szCs w:val="20"/>
          <w:u w:val="single" w:color="auto"/>
          <w:color w:val="auto"/>
        </w:rPr>
        <w:t>Appendix 8.2(d)</w:t>
      </w:r>
      <w:r>
        <w:rPr>
          <w:rFonts w:ascii="Arial" w:cs="Arial" w:eastAsia="Arial" w:hAnsi="Arial"/>
          <w:sz w:val="20"/>
          <w:szCs w:val="20"/>
          <w:color w:val="auto"/>
        </w:rPr>
        <w:t xml:space="preserve"> and identified as “Required for Closing” and the Plan shall have received all of the Governmental Approvals set forth on </w:t>
      </w:r>
      <w:r>
        <w:rPr>
          <w:rFonts w:ascii="Arial" w:cs="Arial" w:eastAsia="Arial" w:hAnsi="Arial"/>
          <w:sz w:val="20"/>
          <w:szCs w:val="20"/>
          <w:u w:val="single" w:color="auto"/>
          <w:color w:val="auto"/>
        </w:rPr>
        <w:t>Appendix 8.2(e)</w:t>
      </w:r>
      <w:r>
        <w:rPr>
          <w:rFonts w:ascii="Arial" w:cs="Arial" w:eastAsia="Arial" w:hAnsi="Arial"/>
          <w:sz w:val="20"/>
          <w:szCs w:val="20"/>
          <w:color w:val="auto"/>
        </w:rPr>
        <w:t xml:space="preserve"> and identified as “Required for Closing”, except, in the case of each of clauses (i)-(iii), as would not reasonably be expected to have a material adverse effect on the Independent Fiduciary's ability to perform its obligations hereunder.</w:t>
      </w:r>
    </w:p>
    <w:p>
      <w:pPr>
        <w:spacing w:after="0" w:line="171" w:lineRule="exact"/>
        <w:rPr>
          <w:sz w:val="20"/>
          <w:szCs w:val="20"/>
          <w:color w:val="auto"/>
        </w:rPr>
      </w:pPr>
    </w:p>
    <w:p>
      <w:pPr>
        <w:ind w:firstLine="601"/>
        <w:spacing w:after="0" w:line="302" w:lineRule="auto"/>
        <w:rPr>
          <w:sz w:val="20"/>
          <w:szCs w:val="20"/>
          <w:color w:val="auto"/>
        </w:rPr>
      </w:pPr>
      <w:r>
        <w:rPr>
          <w:rFonts w:ascii="Arial" w:cs="Arial" w:eastAsia="Arial" w:hAnsi="Arial"/>
          <w:sz w:val="19"/>
          <w:szCs w:val="19"/>
          <w:color w:val="auto"/>
        </w:rPr>
        <w:t xml:space="preserve">Section 8.2 </w:t>
      </w:r>
      <w:r>
        <w:rPr>
          <w:rFonts w:ascii="Arial" w:cs="Arial" w:eastAsia="Arial" w:hAnsi="Arial"/>
          <w:sz w:val="19"/>
          <w:szCs w:val="19"/>
          <w:u w:val="single" w:color="auto"/>
          <w:color w:val="auto"/>
        </w:rPr>
        <w:t>Conditions to the Company's Obligations</w:t>
      </w:r>
      <w:r>
        <w:rPr>
          <w:rFonts w:ascii="Arial" w:cs="Arial" w:eastAsia="Arial" w:hAnsi="Arial"/>
          <w:sz w:val="19"/>
          <w:szCs w:val="19"/>
          <w:color w:val="auto"/>
        </w:rPr>
        <w:t>. The Company's obligation to consummate the transactions contemplated hereby in connection with the Closing is subject to satisfaction or waiver by the Company of the following conditions:</w:t>
      </w:r>
    </w:p>
    <w:p>
      <w:pPr>
        <w:spacing w:after="0" w:line="164" w:lineRule="exact"/>
        <w:rPr>
          <w:sz w:val="20"/>
          <w:szCs w:val="20"/>
          <w:color w:val="auto"/>
        </w:rPr>
      </w:pPr>
    </w:p>
    <w:p>
      <w:pPr>
        <w:jc w:val="both"/>
        <w:ind w:firstLine="601"/>
        <w:spacing w:after="0" w:line="261" w:lineRule="auto"/>
        <w:tabs>
          <w:tab w:leader="none" w:pos="1110" w:val="left"/>
        </w:tabs>
        <w:numPr>
          <w:ilvl w:val="0"/>
          <w:numId w:val="90"/>
        </w:numPr>
        <w:rPr>
          <w:rFonts w:ascii="Arial" w:cs="Arial" w:eastAsia="Arial" w:hAnsi="Arial"/>
          <w:sz w:val="20"/>
          <w:szCs w:val="20"/>
          <w:color w:val="auto"/>
        </w:rPr>
      </w:pPr>
      <w:r>
        <w:rPr>
          <w:rFonts w:ascii="Arial" w:cs="Arial" w:eastAsia="Arial" w:hAnsi="Arial"/>
          <w:sz w:val="20"/>
          <w:szCs w:val="20"/>
          <w:color w:val="auto"/>
        </w:rPr>
        <w:t xml:space="preserve">the representations and warranties set forth in </w:t>
      </w:r>
      <w:r>
        <w:rPr>
          <w:rFonts w:ascii="Arial" w:cs="Arial" w:eastAsia="Arial" w:hAnsi="Arial"/>
          <w:sz w:val="20"/>
          <w:szCs w:val="20"/>
          <w:u w:val="single" w:color="auto"/>
          <w:color w:val="auto"/>
        </w:rPr>
        <w:t>Article IV</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Article</w:t>
      </w:r>
      <w:r>
        <w:rPr>
          <w:rFonts w:ascii="Arial" w:cs="Arial" w:eastAsia="Arial" w:hAnsi="Arial"/>
          <w:sz w:val="20"/>
          <w:szCs w:val="20"/>
          <w:color w:val="auto"/>
        </w:rPr>
        <w:t xml:space="preserve"> V (</w:t>
      </w:r>
      <w:r>
        <w:rPr>
          <w:rFonts w:ascii="Arial" w:cs="Arial" w:eastAsia="Arial" w:hAnsi="Arial"/>
          <w:sz w:val="20"/>
          <w:szCs w:val="20"/>
          <w:u w:val="single" w:color="auto"/>
          <w:color w:val="auto"/>
        </w:rPr>
        <w:t>i</w:t>
      </w:r>
      <w:r>
        <w:rPr>
          <w:rFonts w:ascii="Arial" w:cs="Arial" w:eastAsia="Arial" w:hAnsi="Arial"/>
          <w:sz w:val="20"/>
          <w:szCs w:val="20"/>
          <w:color w:val="auto"/>
        </w:rPr>
        <w:t>) that are qualified by materiality shall be true and correct in all respects or (</w:t>
      </w:r>
      <w:r>
        <w:rPr>
          <w:rFonts w:ascii="Arial" w:cs="Arial" w:eastAsia="Arial" w:hAnsi="Arial"/>
          <w:sz w:val="20"/>
          <w:szCs w:val="20"/>
          <w:u w:val="single" w:color="auto"/>
          <w:color w:val="auto"/>
        </w:rPr>
        <w:t>ii</w:t>
      </w:r>
      <w:r>
        <w:rPr>
          <w:rFonts w:ascii="Arial" w:cs="Arial" w:eastAsia="Arial" w:hAnsi="Arial"/>
          <w:sz w:val="20"/>
          <w:szCs w:val="20"/>
          <w:color w:val="auto"/>
        </w:rPr>
        <w:t>) that are not qualified by materiality shall be true and correct in all material respects, in each case, as of the Closing Date with the same force and effect as though made on the Closing Date;</w:t>
      </w:r>
    </w:p>
    <w:p>
      <w:pPr>
        <w:spacing w:after="0" w:line="200" w:lineRule="exact"/>
        <w:rPr>
          <w:rFonts w:ascii="Arial" w:cs="Arial" w:eastAsia="Arial" w:hAnsi="Arial"/>
          <w:sz w:val="20"/>
          <w:szCs w:val="20"/>
          <w:color w:val="auto"/>
        </w:rPr>
      </w:pPr>
    </w:p>
    <w:p>
      <w:pPr>
        <w:ind w:left="1080" w:hanging="479"/>
        <w:spacing w:after="0"/>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Independent Fiduciary shall have performed and complied with its covenants hereunder through the Closing in all material</w:t>
      </w:r>
    </w:p>
    <w:p>
      <w:pPr>
        <w:spacing w:after="0" w:line="4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respects;</w:t>
      </w:r>
    </w:p>
    <w:p>
      <w:pPr>
        <w:spacing w:after="0" w:line="227" w:lineRule="exact"/>
        <w:rPr>
          <w:rFonts w:ascii="Arial" w:cs="Arial" w:eastAsia="Arial" w:hAnsi="Arial"/>
          <w:sz w:val="18"/>
          <w:szCs w:val="18"/>
          <w:color w:val="auto"/>
        </w:rPr>
      </w:pPr>
    </w:p>
    <w:p>
      <w:pPr>
        <w:ind w:left="1060" w:hanging="459"/>
        <w:spacing w:after="0"/>
        <w:tabs>
          <w:tab w:leader="none" w:pos="10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Insurer shall have performed and complied with its covenants and agreements hereunder through the Closing in all material</w:t>
      </w:r>
    </w:p>
    <w:p>
      <w:pPr>
        <w:spacing w:after="0" w:line="4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respects;</w:t>
      </w:r>
    </w:p>
    <w:p>
      <w:pPr>
        <w:spacing w:after="0" w:line="227" w:lineRule="exact"/>
        <w:rPr>
          <w:rFonts w:ascii="Arial" w:cs="Arial" w:eastAsia="Arial" w:hAnsi="Arial"/>
          <w:sz w:val="18"/>
          <w:szCs w:val="18"/>
          <w:color w:val="auto"/>
        </w:rPr>
      </w:pPr>
    </w:p>
    <w:p>
      <w:pPr>
        <w:ind w:left="1080" w:hanging="479"/>
        <w:spacing w:after="0"/>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 xml:space="preserve">the Insurer shall have received all of the Governmental Approvals set forth in </w:t>
      </w:r>
      <w:r>
        <w:rPr>
          <w:rFonts w:ascii="Arial" w:cs="Arial" w:eastAsia="Arial" w:hAnsi="Arial"/>
          <w:sz w:val="18"/>
          <w:szCs w:val="18"/>
          <w:u w:val="single" w:color="auto"/>
          <w:color w:val="auto"/>
        </w:rPr>
        <w:t>Appendix 8.2(d)</w:t>
      </w:r>
      <w:r>
        <w:rPr>
          <w:rFonts w:ascii="Arial" w:cs="Arial" w:eastAsia="Arial" w:hAnsi="Arial"/>
          <w:sz w:val="18"/>
          <w:szCs w:val="18"/>
          <w:color w:val="auto"/>
        </w:rPr>
        <w:t xml:space="preserve"> and identified as “Required For</w:t>
      </w:r>
    </w:p>
    <w:p>
      <w:pPr>
        <w:spacing w:after="0" w:line="4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Closing”;</w:t>
      </w:r>
    </w:p>
    <w:p>
      <w:pPr>
        <w:spacing w:after="0" w:line="227" w:lineRule="exact"/>
        <w:rPr>
          <w:rFonts w:ascii="Arial" w:cs="Arial" w:eastAsia="Arial" w:hAnsi="Arial"/>
          <w:sz w:val="18"/>
          <w:szCs w:val="18"/>
          <w:color w:val="auto"/>
        </w:rPr>
      </w:pPr>
    </w:p>
    <w:p>
      <w:pPr>
        <w:ind w:left="1020" w:hanging="419"/>
        <w:spacing w:after="0"/>
        <w:tabs>
          <w:tab w:leader="none" w:pos="1020" w:val="left"/>
        </w:tabs>
        <w:numPr>
          <w:ilvl w:val="0"/>
          <w:numId w:val="90"/>
        </w:numPr>
        <w:rPr>
          <w:rFonts w:ascii="Arial" w:cs="Arial" w:eastAsia="Arial" w:hAnsi="Arial"/>
          <w:sz w:val="20"/>
          <w:szCs w:val="20"/>
          <w:color w:val="auto"/>
        </w:rPr>
      </w:pPr>
      <w:r>
        <w:rPr>
          <w:rFonts w:ascii="Arial" w:cs="Arial" w:eastAsia="Arial" w:hAnsi="Arial"/>
          <w:sz w:val="20"/>
          <w:szCs w:val="20"/>
          <w:color w:val="auto"/>
        </w:rPr>
        <w:t xml:space="preserve">the Plan shall have received all material Governmental Approvals set forth in </w:t>
      </w:r>
      <w:r>
        <w:rPr>
          <w:rFonts w:ascii="Arial" w:cs="Arial" w:eastAsia="Arial" w:hAnsi="Arial"/>
          <w:sz w:val="20"/>
          <w:szCs w:val="20"/>
          <w:u w:val="single" w:color="auto"/>
          <w:color w:val="auto"/>
        </w:rPr>
        <w:t>Appendix 8.2(e)</w:t>
      </w:r>
      <w:r>
        <w:rPr>
          <w:rFonts w:ascii="Arial" w:cs="Arial" w:eastAsia="Arial" w:hAnsi="Arial"/>
          <w:sz w:val="20"/>
          <w:szCs w:val="20"/>
          <w:color w:val="auto"/>
        </w:rPr>
        <w:t>;</w:t>
      </w:r>
    </w:p>
    <w:p>
      <w:pPr>
        <w:spacing w:after="0" w:line="245" w:lineRule="exact"/>
        <w:rPr>
          <w:rFonts w:ascii="Arial" w:cs="Arial" w:eastAsia="Arial" w:hAnsi="Arial"/>
          <w:sz w:val="20"/>
          <w:szCs w:val="20"/>
          <w:color w:val="auto"/>
        </w:rPr>
      </w:pPr>
    </w:p>
    <w:p>
      <w:pPr>
        <w:jc w:val="both"/>
        <w:ind w:firstLine="601"/>
        <w:spacing w:after="0" w:line="261" w:lineRule="auto"/>
        <w:tabs>
          <w:tab w:leader="none" w:pos="1026" w:val="left"/>
        </w:tabs>
        <w:numPr>
          <w:ilvl w:val="0"/>
          <w:numId w:val="90"/>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w:t>
      </w:r>
      <w:r>
        <w:rPr>
          <w:rFonts w:ascii="Arial" w:cs="Arial" w:eastAsia="Arial" w:hAnsi="Arial"/>
          <w:sz w:val="20"/>
          <w:szCs w:val="20"/>
          <w:color w:val="auto"/>
        </w:rPr>
        <w:t>) no Order shall be in effect which prohibits consummation of any of the transactions contemplated by this Agreement and (</w:t>
      </w:r>
      <w:r>
        <w:rPr>
          <w:rFonts w:ascii="Arial" w:cs="Arial" w:eastAsia="Arial" w:hAnsi="Arial"/>
          <w:sz w:val="20"/>
          <w:szCs w:val="20"/>
          <w:u w:val="single" w:color="auto"/>
          <w:color w:val="auto"/>
        </w:rPr>
        <w:t>ii</w:t>
      </w:r>
      <w:r>
        <w:rPr>
          <w:rFonts w:ascii="Arial" w:cs="Arial" w:eastAsia="Arial" w:hAnsi="Arial"/>
          <w:sz w:val="20"/>
          <w:szCs w:val="20"/>
          <w:color w:val="auto"/>
        </w:rPr>
        <w:t>) no Material Litigation shall have been filed or commenced and then be pending (or shall continue to be threatened to be initiated by a Governmental Authority);</w:t>
      </w:r>
    </w:p>
    <w:p>
      <w:pPr>
        <w:spacing w:after="0" w:line="200" w:lineRule="exact"/>
        <w:rPr>
          <w:rFonts w:ascii="Arial" w:cs="Arial" w:eastAsia="Arial" w:hAnsi="Arial"/>
          <w:sz w:val="20"/>
          <w:szCs w:val="20"/>
          <w:color w:val="auto"/>
        </w:rPr>
      </w:pPr>
    </w:p>
    <w:p>
      <w:pPr>
        <w:ind w:firstLine="601"/>
        <w:spacing w:after="0" w:line="275" w:lineRule="auto"/>
        <w:tabs>
          <w:tab w:leader="none" w:pos="1094" w:val="left"/>
        </w:tabs>
        <w:numPr>
          <w:ilvl w:val="0"/>
          <w:numId w:val="90"/>
        </w:numPr>
        <w:rPr>
          <w:rFonts w:ascii="Arial" w:cs="Arial" w:eastAsia="Arial" w:hAnsi="Arial"/>
          <w:sz w:val="20"/>
          <w:szCs w:val="20"/>
          <w:color w:val="auto"/>
        </w:rPr>
      </w:pPr>
      <w:r>
        <w:rPr>
          <w:rFonts w:ascii="Arial" w:cs="Arial" w:eastAsia="Arial" w:hAnsi="Arial"/>
          <w:sz w:val="20"/>
          <w:szCs w:val="20"/>
          <w:color w:val="auto"/>
        </w:rPr>
        <w:t>the Company shall have confirmed that it may account for the transactions contemplated by this Agreement and the Ancillary Agreements as a settlement as contemplated under ASC 715;</w:t>
      </w:r>
    </w:p>
    <w:p>
      <w:pPr>
        <w:spacing w:after="0" w:line="186" w:lineRule="exact"/>
        <w:rPr>
          <w:rFonts w:ascii="Arial" w:cs="Arial" w:eastAsia="Arial" w:hAnsi="Arial"/>
          <w:sz w:val="20"/>
          <w:szCs w:val="20"/>
          <w:color w:val="auto"/>
        </w:rPr>
      </w:pPr>
    </w:p>
    <w:p>
      <w:pPr>
        <w:ind w:left="1040" w:hanging="439"/>
        <w:spacing w:after="0"/>
        <w:tabs>
          <w:tab w:leader="none" w:pos="1040" w:val="left"/>
        </w:tabs>
        <w:numPr>
          <w:ilvl w:val="0"/>
          <w:numId w:val="90"/>
        </w:numPr>
        <w:rPr>
          <w:rFonts w:ascii="Arial" w:cs="Arial" w:eastAsia="Arial" w:hAnsi="Arial"/>
          <w:sz w:val="20"/>
          <w:szCs w:val="20"/>
          <w:color w:val="auto"/>
        </w:rPr>
      </w:pPr>
      <w:r>
        <w:rPr>
          <w:rFonts w:ascii="Arial" w:cs="Arial" w:eastAsia="Arial" w:hAnsi="Arial"/>
          <w:sz w:val="20"/>
          <w:szCs w:val="20"/>
          <w:color w:val="auto"/>
        </w:rPr>
        <w:t>no Transaction MAC shall have occurred and be continuing as of the Closing Date;</w:t>
      </w:r>
    </w:p>
    <w:p>
      <w:pPr>
        <w:spacing w:after="0" w:line="245" w:lineRule="exact"/>
        <w:rPr>
          <w:rFonts w:ascii="Arial" w:cs="Arial" w:eastAsia="Arial" w:hAnsi="Arial"/>
          <w:sz w:val="20"/>
          <w:szCs w:val="20"/>
          <w:color w:val="auto"/>
        </w:rPr>
      </w:pPr>
    </w:p>
    <w:p>
      <w:pPr>
        <w:ind w:left="1020" w:hanging="419"/>
        <w:spacing w:after="0"/>
        <w:tabs>
          <w:tab w:leader="none" w:pos="10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 xml:space="preserve">the Closing Final Premium calculated by the Independent Third Party (or, if applicable pursuant to </w:t>
      </w:r>
      <w:r>
        <w:rPr>
          <w:rFonts w:ascii="Arial" w:cs="Arial" w:eastAsia="Arial" w:hAnsi="Arial"/>
          <w:sz w:val="18"/>
          <w:szCs w:val="18"/>
          <w:u w:val="single" w:color="auto"/>
          <w:color w:val="auto"/>
        </w:rPr>
        <w:t>Section 2.9</w:t>
      </w:r>
      <w:r>
        <w:rPr>
          <w:rFonts w:ascii="Arial" w:cs="Arial" w:eastAsia="Arial" w:hAnsi="Arial"/>
          <w:sz w:val="18"/>
          <w:szCs w:val="18"/>
          <w:color w:val="auto"/>
        </w:rPr>
        <w:t>, the Company) is</w:t>
      </w:r>
    </w:p>
    <w:p>
      <w:pPr>
        <w:spacing w:after="0" w:line="49" w:lineRule="exact"/>
        <w:rPr>
          <w:sz w:val="20"/>
          <w:szCs w:val="20"/>
          <w:color w:val="auto"/>
        </w:rPr>
      </w:pPr>
    </w:p>
    <w:p>
      <w:pPr>
        <w:spacing w:after="0" w:line="257" w:lineRule="auto"/>
        <w:rPr>
          <w:sz w:val="20"/>
          <w:szCs w:val="20"/>
          <w:color w:val="auto"/>
        </w:rPr>
      </w:pPr>
      <w:r>
        <w:rPr>
          <w:rFonts w:ascii="Arial" w:cs="Arial" w:eastAsia="Arial" w:hAnsi="Arial"/>
          <w:sz w:val="20"/>
          <w:szCs w:val="20"/>
          <w:color w:val="auto"/>
        </w:rPr>
        <w:t xml:space="preserve">less than the Closing Final Premium calculated by the Insurer [ *** ], in each case as the Closing Final Premium is calculated by such Person on the Closing Date in accordance with </w:t>
      </w:r>
      <w:r>
        <w:rPr>
          <w:rFonts w:ascii="Arial" w:cs="Arial" w:eastAsia="Arial" w:hAnsi="Arial"/>
          <w:sz w:val="20"/>
          <w:szCs w:val="20"/>
          <w:u w:val="single" w:color="auto"/>
          <w:color w:val="auto"/>
        </w:rPr>
        <w:t>Section 2.9</w:t>
      </w:r>
      <w:r>
        <w:rPr>
          <w:rFonts w:ascii="Arial" w:cs="Arial" w:eastAsia="Arial" w:hAnsi="Arial"/>
          <w:sz w:val="20"/>
          <w:szCs w:val="20"/>
          <w:color w:val="auto"/>
        </w:rPr>
        <w:t>;</w:t>
      </w:r>
    </w:p>
    <w:p>
      <w:pPr>
        <w:spacing w:after="0" w:line="203" w:lineRule="exact"/>
        <w:rPr>
          <w:sz w:val="20"/>
          <w:szCs w:val="20"/>
          <w:color w:val="auto"/>
        </w:rPr>
      </w:pPr>
    </w:p>
    <w:p>
      <w:pPr>
        <w:ind w:left="600"/>
        <w:spacing w:after="0"/>
        <w:tabs>
          <w:tab w:leader="none" w:pos="980" w:val="left"/>
        </w:tabs>
        <w:rPr>
          <w:sz w:val="20"/>
          <w:szCs w:val="20"/>
          <w:color w:val="auto"/>
        </w:rPr>
      </w:pPr>
      <w:r>
        <w:rPr>
          <w:rFonts w:ascii="Arial" w:cs="Arial" w:eastAsia="Arial" w:hAnsi="Arial"/>
          <w:sz w:val="20"/>
          <w:szCs w:val="20"/>
          <w:color w:val="auto"/>
        </w:rPr>
        <w:t>(j)</w:t>
        <w:tab/>
        <w:t xml:space="preserve">each delivery contemplated by </w:t>
      </w:r>
      <w:r>
        <w:rPr>
          <w:rFonts w:ascii="Arial" w:cs="Arial" w:eastAsia="Arial" w:hAnsi="Arial"/>
          <w:sz w:val="20"/>
          <w:szCs w:val="20"/>
          <w:u w:val="single" w:color="auto"/>
          <w:color w:val="auto"/>
        </w:rPr>
        <w:t>Section 2.2(b)</w:t>
      </w:r>
      <w:r>
        <w:rPr>
          <w:rFonts w:ascii="Arial" w:cs="Arial" w:eastAsia="Arial" w:hAnsi="Arial"/>
          <w:sz w:val="20"/>
          <w:szCs w:val="20"/>
          <w:color w:val="auto"/>
        </w:rPr>
        <w:t xml:space="preserve"> shall have been delivered; and</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55</w:t>
      </w:r>
    </w:p>
    <w:p>
      <w:pPr>
        <w:sectPr>
          <w:pgSz w:w="11900" w:h="16838" w:orient="portrait"/>
          <w:cols w:equalWidth="0" w:num="1">
            <w:col w:w="11420"/>
          </w:cols>
          <w:pgMar w:left="240" w:top="556" w:right="239" w:bottom="1440" w:gutter="0" w:footer="0" w:header="0"/>
        </w:sectPr>
      </w:pPr>
    </w:p>
    <w:bookmarkStart w:id="66" w:name="page67"/>
    <w:bookmarkEnd w:id="66"/>
    <w:p>
      <w:pPr>
        <w:jc w:val="both"/>
        <w:ind w:firstLine="601"/>
        <w:spacing w:after="0" w:line="261" w:lineRule="auto"/>
        <w:tabs>
          <w:tab w:leader="none" w:pos="1201" w:val="left"/>
        </w:tabs>
        <w:numPr>
          <w:ilvl w:val="0"/>
          <w:numId w:val="91"/>
        </w:numPr>
        <w:rPr>
          <w:rFonts w:ascii="Arial" w:cs="Arial" w:eastAsia="Arial" w:hAnsi="Arial"/>
          <w:sz w:val="20"/>
          <w:szCs w:val="20"/>
          <w:color w:val="auto"/>
        </w:rPr>
      </w:pPr>
      <w:r>
        <w:rPr>
          <w:rFonts w:ascii="Arial" w:cs="Arial" w:eastAsia="Arial" w:hAnsi="Arial"/>
          <w:sz w:val="20"/>
          <w:szCs w:val="20"/>
          <w:color w:val="auto"/>
        </w:rPr>
        <w:t>the Independent Fiduciary shall have confirmed that the Transaction satisfies ERISA and applicable guidance, including Interpretive Bulletin 95-1, because, since the DTFA Execution Date, there has not occurred an Independent Fiduciary MAC that continues as of the Closing Date.</w:t>
      </w:r>
    </w:p>
    <w:p>
      <w:pPr>
        <w:spacing w:after="0" w:line="163" w:lineRule="exact"/>
        <w:rPr>
          <w:sz w:val="20"/>
          <w:szCs w:val="20"/>
          <w:color w:val="auto"/>
        </w:rPr>
      </w:pPr>
    </w:p>
    <w:p>
      <w:pPr>
        <w:ind w:firstLine="601"/>
        <w:spacing w:after="0" w:line="275" w:lineRule="auto"/>
        <w:rPr>
          <w:sz w:val="20"/>
          <w:szCs w:val="20"/>
          <w:color w:val="auto"/>
        </w:rPr>
      </w:pPr>
      <w:r>
        <w:rPr>
          <w:rFonts w:ascii="Arial" w:cs="Arial" w:eastAsia="Arial" w:hAnsi="Arial"/>
          <w:sz w:val="20"/>
          <w:szCs w:val="20"/>
          <w:color w:val="auto"/>
        </w:rPr>
        <w:t xml:space="preserve">Section 8.3 </w:t>
      </w:r>
      <w:r>
        <w:rPr>
          <w:rFonts w:ascii="Arial" w:cs="Arial" w:eastAsia="Arial" w:hAnsi="Arial"/>
          <w:sz w:val="20"/>
          <w:szCs w:val="20"/>
          <w:u w:val="single" w:color="auto"/>
          <w:color w:val="auto"/>
        </w:rPr>
        <w:t>Conditions to the Insurer's Obligations</w:t>
      </w:r>
      <w:r>
        <w:rPr>
          <w:rFonts w:ascii="Arial" w:cs="Arial" w:eastAsia="Arial" w:hAnsi="Arial"/>
          <w:sz w:val="20"/>
          <w:szCs w:val="20"/>
          <w:color w:val="auto"/>
        </w:rPr>
        <w:t>. The Insurer's obligation to consummate the transactions contemplated hereby in connection with the Closing are subject to satisfaction or waiver by the Insurer of the following conditions:</w:t>
      </w:r>
    </w:p>
    <w:p>
      <w:pPr>
        <w:spacing w:after="0" w:line="186" w:lineRule="exact"/>
        <w:rPr>
          <w:sz w:val="20"/>
          <w:szCs w:val="20"/>
          <w:color w:val="auto"/>
        </w:rPr>
      </w:pPr>
    </w:p>
    <w:p>
      <w:pPr>
        <w:jc w:val="both"/>
        <w:ind w:firstLine="601"/>
        <w:spacing w:after="0" w:line="261" w:lineRule="auto"/>
        <w:tabs>
          <w:tab w:leader="none" w:pos="1034" w:val="left"/>
        </w:tabs>
        <w:numPr>
          <w:ilvl w:val="0"/>
          <w:numId w:val="92"/>
        </w:numPr>
        <w:rPr>
          <w:rFonts w:ascii="Arial" w:cs="Arial" w:eastAsia="Arial" w:hAnsi="Arial"/>
          <w:sz w:val="20"/>
          <w:szCs w:val="20"/>
          <w:color w:val="auto"/>
        </w:rPr>
      </w:pPr>
      <w:r>
        <w:rPr>
          <w:rFonts w:ascii="Arial" w:cs="Arial" w:eastAsia="Arial" w:hAnsi="Arial"/>
          <w:sz w:val="20"/>
          <w:szCs w:val="20"/>
          <w:color w:val="auto"/>
        </w:rPr>
        <w:t xml:space="preserve">the representations and warranties in </w:t>
      </w:r>
      <w:r>
        <w:rPr>
          <w:rFonts w:ascii="Arial" w:cs="Arial" w:eastAsia="Arial" w:hAnsi="Arial"/>
          <w:sz w:val="20"/>
          <w:szCs w:val="20"/>
          <w:u w:val="single" w:color="auto"/>
          <w:color w:val="auto"/>
        </w:rPr>
        <w:t>Article III</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Article IV</w:t>
      </w:r>
      <w:r>
        <w:rPr>
          <w:rFonts w:ascii="Arial" w:cs="Arial" w:eastAsia="Arial" w:hAnsi="Arial"/>
          <w:sz w:val="20"/>
          <w:szCs w:val="20"/>
          <w:color w:val="auto"/>
        </w:rPr>
        <w:t xml:space="preserve"> (</w:t>
      </w:r>
      <w:r>
        <w:rPr>
          <w:rFonts w:ascii="Arial" w:cs="Arial" w:eastAsia="Arial" w:hAnsi="Arial"/>
          <w:sz w:val="20"/>
          <w:szCs w:val="20"/>
          <w:u w:val="single" w:color="auto"/>
          <w:color w:val="auto"/>
        </w:rPr>
        <w:t>A</w:t>
      </w:r>
      <w:r>
        <w:rPr>
          <w:rFonts w:ascii="Arial" w:cs="Arial" w:eastAsia="Arial" w:hAnsi="Arial"/>
          <w:sz w:val="20"/>
          <w:szCs w:val="20"/>
          <w:color w:val="auto"/>
        </w:rPr>
        <w:t>) that are qualified by materiality shall be true and correct in all respects or (</w:t>
      </w:r>
      <w:r>
        <w:rPr>
          <w:rFonts w:ascii="Arial" w:cs="Arial" w:eastAsia="Arial" w:hAnsi="Arial"/>
          <w:sz w:val="20"/>
          <w:szCs w:val="20"/>
          <w:u w:val="single" w:color="auto"/>
          <w:color w:val="auto"/>
        </w:rPr>
        <w:t>B</w:t>
      </w:r>
      <w:r>
        <w:rPr>
          <w:rFonts w:ascii="Arial" w:cs="Arial" w:eastAsia="Arial" w:hAnsi="Arial"/>
          <w:sz w:val="20"/>
          <w:szCs w:val="20"/>
          <w:color w:val="auto"/>
        </w:rPr>
        <w:t>) that are not qualified by materiality shall be true and correct in all material respects, in each case, as of the Closing Date with the same force and effect as though made on the Closing Date;</w:t>
      </w:r>
    </w:p>
    <w:p>
      <w:pPr>
        <w:spacing w:after="0" w:line="200" w:lineRule="exact"/>
        <w:rPr>
          <w:rFonts w:ascii="Arial" w:cs="Arial" w:eastAsia="Arial" w:hAnsi="Arial"/>
          <w:sz w:val="20"/>
          <w:szCs w:val="20"/>
          <w:color w:val="auto"/>
        </w:rPr>
      </w:pPr>
    </w:p>
    <w:p>
      <w:pPr>
        <w:jc w:val="both"/>
        <w:ind w:firstLine="601"/>
        <w:spacing w:after="0" w:line="304" w:lineRule="auto"/>
        <w:tabs>
          <w:tab w:leader="none" w:pos="1057"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Company and the Independent Fiduciary shall have performed and complied with their respective covenants and agreements hereunder through the Closing in all material respects and all material actions that are to have been taken by any of the Plan, the Plan Trustee and the Plan Investment Fiduciary on or prior to the Closing Date in accordance with this Agreement shall have been taken;</w:t>
      </w:r>
    </w:p>
    <w:p>
      <w:pPr>
        <w:spacing w:after="0" w:line="164" w:lineRule="exact"/>
        <w:rPr>
          <w:rFonts w:ascii="Arial" w:cs="Arial" w:eastAsia="Arial" w:hAnsi="Arial"/>
          <w:sz w:val="18"/>
          <w:szCs w:val="18"/>
          <w:color w:val="auto"/>
        </w:rPr>
      </w:pPr>
    </w:p>
    <w:p>
      <w:pPr>
        <w:ind w:left="1020" w:hanging="419"/>
        <w:spacing w:after="0"/>
        <w:tabs>
          <w:tab w:leader="none" w:pos="1020" w:val="left"/>
        </w:tabs>
        <w:numPr>
          <w:ilvl w:val="0"/>
          <w:numId w:val="92"/>
        </w:numPr>
        <w:rPr>
          <w:rFonts w:ascii="Arial" w:cs="Arial" w:eastAsia="Arial" w:hAnsi="Arial"/>
          <w:sz w:val="20"/>
          <w:szCs w:val="20"/>
          <w:color w:val="auto"/>
        </w:rPr>
      </w:pPr>
      <w:r>
        <w:rPr>
          <w:rFonts w:ascii="Arial" w:cs="Arial" w:eastAsia="Arial" w:hAnsi="Arial"/>
          <w:sz w:val="20"/>
          <w:szCs w:val="20"/>
          <w:color w:val="auto"/>
        </w:rPr>
        <w:t xml:space="preserve">the Plan shall have received all Governmental Approvals set forth in </w:t>
      </w:r>
      <w:r>
        <w:rPr>
          <w:rFonts w:ascii="Arial" w:cs="Arial" w:eastAsia="Arial" w:hAnsi="Arial"/>
          <w:sz w:val="20"/>
          <w:szCs w:val="20"/>
          <w:u w:val="single" w:color="auto"/>
          <w:color w:val="auto"/>
        </w:rPr>
        <w:t>Appendix 8.2(e)</w:t>
      </w:r>
      <w:r>
        <w:rPr>
          <w:rFonts w:ascii="Arial" w:cs="Arial" w:eastAsia="Arial" w:hAnsi="Arial"/>
          <w:sz w:val="20"/>
          <w:szCs w:val="20"/>
          <w:color w:val="auto"/>
        </w:rPr>
        <w:t>;</w:t>
      </w:r>
    </w:p>
    <w:p>
      <w:pPr>
        <w:spacing w:after="0" w:line="245" w:lineRule="exact"/>
        <w:rPr>
          <w:rFonts w:ascii="Arial" w:cs="Arial" w:eastAsia="Arial" w:hAnsi="Arial"/>
          <w:sz w:val="20"/>
          <w:szCs w:val="20"/>
          <w:color w:val="auto"/>
        </w:rPr>
      </w:pPr>
    </w:p>
    <w:p>
      <w:pPr>
        <w:jc w:val="both"/>
        <w:ind w:firstLine="601"/>
        <w:spacing w:after="0" w:line="261" w:lineRule="auto"/>
        <w:tabs>
          <w:tab w:leader="none" w:pos="1060" w:val="left"/>
        </w:tabs>
        <w:numPr>
          <w:ilvl w:val="0"/>
          <w:numId w:val="92"/>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w:t>
      </w:r>
      <w:r>
        <w:rPr>
          <w:rFonts w:ascii="Arial" w:cs="Arial" w:eastAsia="Arial" w:hAnsi="Arial"/>
          <w:sz w:val="20"/>
          <w:szCs w:val="20"/>
          <w:color w:val="auto"/>
        </w:rPr>
        <w:t>) no Order shall be in effect which prohibits consummation of any of the transactions contemplated by this Agreement and (</w:t>
      </w:r>
      <w:r>
        <w:rPr>
          <w:rFonts w:ascii="Arial" w:cs="Arial" w:eastAsia="Arial" w:hAnsi="Arial"/>
          <w:sz w:val="20"/>
          <w:szCs w:val="20"/>
          <w:u w:val="single" w:color="auto"/>
          <w:color w:val="auto"/>
        </w:rPr>
        <w:t>ii</w:t>
      </w:r>
      <w:r>
        <w:rPr>
          <w:rFonts w:ascii="Arial" w:cs="Arial" w:eastAsia="Arial" w:hAnsi="Arial"/>
          <w:sz w:val="20"/>
          <w:szCs w:val="20"/>
          <w:color w:val="auto"/>
        </w:rPr>
        <w:t>) no Material Litigation shall have been filed or commenced and be currently pending (or shall continue to be threatened to be initiated by a Governmental Authority);</w:t>
      </w:r>
    </w:p>
    <w:p>
      <w:pPr>
        <w:spacing w:after="0" w:line="200" w:lineRule="exact"/>
        <w:rPr>
          <w:rFonts w:ascii="Arial" w:cs="Arial" w:eastAsia="Arial" w:hAnsi="Arial"/>
          <w:sz w:val="20"/>
          <w:szCs w:val="20"/>
          <w:color w:val="auto"/>
        </w:rPr>
      </w:pPr>
    </w:p>
    <w:p>
      <w:pPr>
        <w:jc w:val="both"/>
        <w:ind w:firstLine="601"/>
        <w:spacing w:after="0" w:line="257" w:lineRule="auto"/>
        <w:tabs>
          <w:tab w:leader="none" w:pos="1026" w:val="left"/>
        </w:tabs>
        <w:numPr>
          <w:ilvl w:val="0"/>
          <w:numId w:val="92"/>
        </w:numPr>
        <w:rPr>
          <w:rFonts w:ascii="Arial" w:cs="Arial" w:eastAsia="Arial" w:hAnsi="Arial"/>
          <w:sz w:val="20"/>
          <w:szCs w:val="20"/>
          <w:color w:val="auto"/>
        </w:rPr>
      </w:pPr>
      <w:r>
        <w:rPr>
          <w:rFonts w:ascii="Arial" w:cs="Arial" w:eastAsia="Arial" w:hAnsi="Arial"/>
          <w:sz w:val="20"/>
          <w:szCs w:val="20"/>
          <w:color w:val="auto"/>
        </w:rPr>
        <w:t>if the Closing has not occurred on or prior to December 3, 2012, either (</w:t>
      </w:r>
      <w:r>
        <w:rPr>
          <w:rFonts w:ascii="Arial" w:cs="Arial" w:eastAsia="Arial" w:hAnsi="Arial"/>
          <w:sz w:val="20"/>
          <w:szCs w:val="20"/>
          <w:u w:val="single" w:color="auto"/>
          <w:color w:val="auto"/>
        </w:rPr>
        <w:t>i</w:t>
      </w:r>
      <w:r>
        <w:rPr>
          <w:rFonts w:ascii="Arial" w:cs="Arial" w:eastAsia="Arial" w:hAnsi="Arial"/>
          <w:sz w:val="20"/>
          <w:szCs w:val="20"/>
          <w:color w:val="auto"/>
        </w:rPr>
        <w:t>) Fidelity shall have executed and delivered the ATSA in a form that is reasonably acceptable to the Insurer, or (</w:t>
      </w:r>
      <w:r>
        <w:rPr>
          <w:rFonts w:ascii="Arial" w:cs="Arial" w:eastAsia="Arial" w:hAnsi="Arial"/>
          <w:sz w:val="20"/>
          <w:szCs w:val="20"/>
          <w:u w:val="single" w:color="auto"/>
          <w:color w:val="auto"/>
        </w:rPr>
        <w:t>ii</w:t>
      </w:r>
      <w:r>
        <w:rPr>
          <w:rFonts w:ascii="Arial" w:cs="Arial" w:eastAsia="Arial" w:hAnsi="Arial"/>
          <w:sz w:val="20"/>
          <w:szCs w:val="20"/>
          <w:color w:val="auto"/>
        </w:rPr>
        <w:t xml:space="preserve">) an Alternative Arrangement shall have been effected;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the Insurer may not rely on the failure of this condition to its obligation to consummate the transactions contemplated hereby to be satisfied if such failure was caused by the Insurer's breach of </w:t>
      </w:r>
      <w:r>
        <w:rPr>
          <w:rFonts w:ascii="Arial" w:cs="Arial" w:eastAsia="Arial" w:hAnsi="Arial"/>
          <w:sz w:val="20"/>
          <w:szCs w:val="20"/>
          <w:u w:val="single" w:color="auto"/>
          <w:color w:val="auto"/>
        </w:rPr>
        <w:t>Section 6.7</w:t>
      </w:r>
      <w:r>
        <w:rPr>
          <w:rFonts w:ascii="Arial" w:cs="Arial" w:eastAsia="Arial" w:hAnsi="Arial"/>
          <w:sz w:val="20"/>
          <w:szCs w:val="20"/>
          <w:color w:val="auto"/>
        </w:rPr>
        <w:t>; and</w:t>
      </w:r>
    </w:p>
    <w:p>
      <w:pPr>
        <w:spacing w:after="0" w:line="204" w:lineRule="exact"/>
        <w:rPr>
          <w:rFonts w:ascii="Arial" w:cs="Arial" w:eastAsia="Arial" w:hAnsi="Arial"/>
          <w:sz w:val="20"/>
          <w:szCs w:val="20"/>
          <w:color w:val="auto"/>
        </w:rPr>
      </w:pPr>
    </w:p>
    <w:p>
      <w:pPr>
        <w:ind w:left="1000" w:hanging="399"/>
        <w:spacing w:after="0"/>
        <w:tabs>
          <w:tab w:leader="none" w:pos="1000" w:val="left"/>
        </w:tabs>
        <w:numPr>
          <w:ilvl w:val="0"/>
          <w:numId w:val="92"/>
        </w:numPr>
        <w:rPr>
          <w:rFonts w:ascii="Arial" w:cs="Arial" w:eastAsia="Arial" w:hAnsi="Arial"/>
          <w:sz w:val="20"/>
          <w:szCs w:val="20"/>
          <w:color w:val="auto"/>
        </w:rPr>
      </w:pPr>
      <w:r>
        <w:rPr>
          <w:rFonts w:ascii="Arial" w:cs="Arial" w:eastAsia="Arial" w:hAnsi="Arial"/>
          <w:sz w:val="20"/>
          <w:szCs w:val="20"/>
          <w:color w:val="auto"/>
        </w:rPr>
        <w:t xml:space="preserve">each delivery contemplated by </w:t>
      </w:r>
      <w:r>
        <w:rPr>
          <w:rFonts w:ascii="Arial" w:cs="Arial" w:eastAsia="Arial" w:hAnsi="Arial"/>
          <w:sz w:val="20"/>
          <w:szCs w:val="20"/>
          <w:u w:val="single" w:color="auto"/>
          <w:color w:val="auto"/>
        </w:rPr>
        <w:t>Section 2.2(a)</w:t>
      </w:r>
      <w:r>
        <w:rPr>
          <w:rFonts w:ascii="Arial" w:cs="Arial" w:eastAsia="Arial" w:hAnsi="Arial"/>
          <w:sz w:val="20"/>
          <w:szCs w:val="20"/>
          <w:color w:val="auto"/>
        </w:rPr>
        <w:t xml:space="preserve"> shall have been delivered.</w:t>
      </w:r>
    </w:p>
    <w:p>
      <w:pPr>
        <w:spacing w:after="0" w:line="208" w:lineRule="exact"/>
        <w:rPr>
          <w:sz w:val="20"/>
          <w:szCs w:val="20"/>
          <w:color w:val="auto"/>
        </w:rPr>
      </w:pPr>
    </w:p>
    <w:p>
      <w:pPr>
        <w:jc w:val="both"/>
        <w:ind w:firstLine="601"/>
        <w:spacing w:after="0" w:line="257" w:lineRule="auto"/>
        <w:rPr>
          <w:sz w:val="20"/>
          <w:szCs w:val="20"/>
          <w:color w:val="auto"/>
        </w:rPr>
      </w:pPr>
      <w:r>
        <w:rPr>
          <w:rFonts w:ascii="Arial" w:cs="Arial" w:eastAsia="Arial" w:hAnsi="Arial"/>
          <w:sz w:val="20"/>
          <w:szCs w:val="20"/>
          <w:color w:val="auto"/>
        </w:rPr>
        <w:t xml:space="preserve">Section 8.4 </w:t>
      </w:r>
      <w:r>
        <w:rPr>
          <w:rFonts w:ascii="Arial" w:cs="Arial" w:eastAsia="Arial" w:hAnsi="Arial"/>
          <w:sz w:val="20"/>
          <w:szCs w:val="20"/>
          <w:u w:val="single" w:color="auto"/>
          <w:color w:val="auto"/>
        </w:rPr>
        <w:t>No Frustration of Closing Conditions</w:t>
      </w:r>
      <w:r>
        <w:rPr>
          <w:rFonts w:ascii="Arial" w:cs="Arial" w:eastAsia="Arial" w:hAnsi="Arial"/>
          <w:sz w:val="20"/>
          <w:szCs w:val="20"/>
          <w:color w:val="auto"/>
        </w:rPr>
        <w:t xml:space="preserve">. Neither the Independent Fiduciary, nor the Company, nor the Insurer may rely on the failure of any condition to its obligation to consummate the transactions contemplated hereby set forth in </w:t>
      </w:r>
      <w:r>
        <w:rPr>
          <w:rFonts w:ascii="Arial" w:cs="Arial" w:eastAsia="Arial" w:hAnsi="Arial"/>
          <w:sz w:val="20"/>
          <w:szCs w:val="20"/>
          <w:u w:val="single" w:color="auto"/>
          <w:color w:val="auto"/>
        </w:rPr>
        <w:t>Section 8.1</w:t>
      </w:r>
      <w:r>
        <w:rPr>
          <w:rFonts w:ascii="Arial" w:cs="Arial" w:eastAsia="Arial" w:hAnsi="Arial"/>
          <w:sz w:val="20"/>
          <w:szCs w:val="20"/>
          <w:color w:val="auto"/>
        </w:rPr>
        <w:t xml:space="preserve">, </w:t>
      </w:r>
      <w:r>
        <w:rPr>
          <w:rFonts w:ascii="Arial" w:cs="Arial" w:eastAsia="Arial" w:hAnsi="Arial"/>
          <w:sz w:val="20"/>
          <w:szCs w:val="20"/>
          <w:u w:val="single" w:color="auto"/>
          <w:color w:val="auto"/>
        </w:rPr>
        <w:t>8.2</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8.3</w:t>
      </w:r>
      <w:r>
        <w:rPr>
          <w:rFonts w:ascii="Arial" w:cs="Arial" w:eastAsia="Arial" w:hAnsi="Arial"/>
          <w:sz w:val="20"/>
          <w:szCs w:val="20"/>
          <w:color w:val="auto"/>
        </w:rPr>
        <w:t>, as the case may be, to be satisfied if such failure was caused by such Party's or its Affiliates' breach of its representations, warranties or covenants hereunder.</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IX</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INDEMNIFICATION FOR THIRD PARTY CLAIMS</w:t>
      </w:r>
    </w:p>
    <w:p>
      <w:pPr>
        <w:spacing w:after="0" w:line="228" w:lineRule="exact"/>
        <w:rPr>
          <w:sz w:val="20"/>
          <w:szCs w:val="20"/>
          <w:color w:val="auto"/>
        </w:rPr>
      </w:pPr>
    </w:p>
    <w:p>
      <w:pPr>
        <w:jc w:val="both"/>
        <w:ind w:firstLine="601"/>
        <w:spacing w:after="0" w:line="252" w:lineRule="auto"/>
        <w:rPr>
          <w:sz w:val="20"/>
          <w:szCs w:val="20"/>
          <w:color w:val="auto"/>
        </w:rPr>
      </w:pPr>
      <w:r>
        <w:rPr>
          <w:rFonts w:ascii="Arial" w:cs="Arial" w:eastAsia="Arial" w:hAnsi="Arial"/>
          <w:sz w:val="20"/>
          <w:szCs w:val="20"/>
          <w:color w:val="auto"/>
        </w:rPr>
        <w:t xml:space="preserve">Section 9.1 </w:t>
      </w:r>
      <w:r>
        <w:rPr>
          <w:rFonts w:ascii="Arial" w:cs="Arial" w:eastAsia="Arial" w:hAnsi="Arial"/>
          <w:sz w:val="20"/>
          <w:szCs w:val="20"/>
          <w:u w:val="single" w:color="auto"/>
          <w:color w:val="auto"/>
        </w:rPr>
        <w:t>Indemnification by the Insurer</w:t>
      </w:r>
      <w:r>
        <w:rPr>
          <w:rFonts w:ascii="Arial" w:cs="Arial" w:eastAsia="Arial" w:hAnsi="Arial"/>
          <w:sz w:val="20"/>
          <w:szCs w:val="20"/>
          <w:color w:val="auto"/>
        </w:rPr>
        <w:t>. From and after the Closing, the Insurer will indemnify, defend and hold the Company, the Plan and their respective Affiliates, officers, directors, stockholders, employees, agents and other Representatives (each, an “</w:t>
      </w:r>
      <w:r>
        <w:rPr>
          <w:rFonts w:ascii="Arial" w:cs="Arial" w:eastAsia="Arial" w:hAnsi="Arial"/>
          <w:sz w:val="20"/>
          <w:szCs w:val="20"/>
          <w:u w:val="single" w:color="auto"/>
          <w:color w:val="auto"/>
        </w:rPr>
        <w:t>Indemnified</w:t>
      </w:r>
      <w:r>
        <w:rPr>
          <w:rFonts w:ascii="Arial" w:cs="Arial" w:eastAsia="Arial" w:hAnsi="Arial"/>
          <w:sz w:val="20"/>
          <w:szCs w:val="20"/>
          <w:color w:val="auto"/>
        </w:rPr>
        <w:t xml:space="preserve"> </w:t>
      </w:r>
      <w:r>
        <w:rPr>
          <w:rFonts w:ascii="Arial" w:cs="Arial" w:eastAsia="Arial" w:hAnsi="Arial"/>
          <w:sz w:val="20"/>
          <w:szCs w:val="20"/>
          <w:u w:val="single" w:color="auto"/>
          <w:color w:val="auto"/>
        </w:rPr>
        <w:t>Party</w:t>
      </w:r>
      <w:r>
        <w:rPr>
          <w:rFonts w:ascii="Arial" w:cs="Arial" w:eastAsia="Arial" w:hAnsi="Arial"/>
          <w:sz w:val="20"/>
          <w:szCs w:val="20"/>
          <w:color w:val="auto"/>
        </w:rPr>
        <w:t>”) harmless from and against any and all Liabilities (in each case, including reasonable out-of-pocket expenses and reasonable fees and expenses of counsel) to the extent arising out of or relating to the portion of any action, lawsuit, proceeding, investigation, demand or other claim against the Indemnified Party by a third party (such portion being a “</w:t>
      </w:r>
      <w:r>
        <w:rPr>
          <w:rFonts w:ascii="Arial" w:cs="Arial" w:eastAsia="Arial" w:hAnsi="Arial"/>
          <w:sz w:val="20"/>
          <w:szCs w:val="20"/>
          <w:u w:val="single" w:color="auto"/>
          <w:color w:val="auto"/>
        </w:rPr>
        <w:t>Third Party Claim</w:t>
      </w:r>
      <w:r>
        <w:rPr>
          <w:rFonts w:ascii="Arial" w:cs="Arial" w:eastAsia="Arial" w:hAnsi="Arial"/>
          <w:sz w:val="20"/>
          <w:szCs w:val="20"/>
          <w:color w:val="auto"/>
        </w:rPr>
        <w:t>”) that is threatened or brought against or that involves an Indemnified Party and that arises out of or relates to any failure by the Insurer to perform or comply with the terms of the Group Annuity</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56</w:t>
      </w:r>
    </w:p>
    <w:p>
      <w:pPr>
        <w:sectPr>
          <w:pgSz w:w="11900" w:h="16838" w:orient="portrait"/>
          <w:cols w:equalWidth="0" w:num="1">
            <w:col w:w="11420"/>
          </w:cols>
          <w:pgMar w:left="240" w:top="556" w:right="239" w:bottom="1440" w:gutter="0" w:footer="0" w:header="0"/>
        </w:sectPr>
      </w:pPr>
    </w:p>
    <w:bookmarkStart w:id="67" w:name="page68"/>
    <w:bookmarkEnd w:id="67"/>
    <w:p>
      <w:pPr>
        <w:spacing w:after="0" w:line="275" w:lineRule="auto"/>
        <w:rPr>
          <w:sz w:val="20"/>
          <w:szCs w:val="20"/>
          <w:color w:val="auto"/>
        </w:rPr>
      </w:pPr>
      <w:r>
        <w:rPr>
          <w:rFonts w:ascii="Arial" w:cs="Arial" w:eastAsia="Arial" w:hAnsi="Arial"/>
          <w:sz w:val="20"/>
          <w:szCs w:val="20"/>
          <w:color w:val="auto"/>
        </w:rPr>
        <w:t>Contract (including the restatement of Contract 300 Article P), including making the payments in respect of the Covered Lives, Contingent Lives or Beneficiaries to be made pursuant to the Group Annuity Contract.</w:t>
      </w:r>
    </w:p>
    <w:p>
      <w:pPr>
        <w:spacing w:after="0" w:line="186" w:lineRule="exact"/>
        <w:rPr>
          <w:sz w:val="20"/>
          <w:szCs w:val="20"/>
          <w:color w:val="auto"/>
        </w:rPr>
      </w:pPr>
    </w:p>
    <w:p>
      <w:pPr>
        <w:ind w:left="600"/>
        <w:spacing w:after="0"/>
        <w:tabs>
          <w:tab w:leader="none" w:pos="1680" w:val="left"/>
        </w:tabs>
        <w:rPr>
          <w:sz w:val="20"/>
          <w:szCs w:val="20"/>
          <w:color w:val="auto"/>
        </w:rPr>
      </w:pPr>
      <w:r>
        <w:rPr>
          <w:rFonts w:ascii="Arial" w:cs="Arial" w:eastAsia="Arial" w:hAnsi="Arial"/>
          <w:sz w:val="20"/>
          <w:szCs w:val="20"/>
          <w:color w:val="auto"/>
        </w:rPr>
        <w:t>Section 9.2</w:t>
      </w:r>
      <w:r>
        <w:rPr>
          <w:sz w:val="20"/>
          <w:szCs w:val="20"/>
          <w:color w:val="auto"/>
        </w:rPr>
        <w:tab/>
      </w:r>
      <w:r>
        <w:rPr>
          <w:rFonts w:ascii="Arial" w:cs="Arial" w:eastAsia="Arial" w:hAnsi="Arial"/>
          <w:sz w:val="18"/>
          <w:szCs w:val="18"/>
          <w:u w:val="single" w:color="auto"/>
          <w:color w:val="auto"/>
        </w:rPr>
        <w:t>Procedures For Indemnification Claims</w:t>
      </w:r>
      <w:r>
        <w:rPr>
          <w:rFonts w:ascii="Arial" w:cs="Arial" w:eastAsia="Arial" w:hAnsi="Arial"/>
          <w:sz w:val="18"/>
          <w:szCs w:val="18"/>
          <w:color w:val="auto"/>
        </w:rPr>
        <w:t>.</w:t>
      </w:r>
    </w:p>
    <w:p>
      <w:pPr>
        <w:spacing w:after="0" w:line="246" w:lineRule="exact"/>
        <w:rPr>
          <w:sz w:val="20"/>
          <w:szCs w:val="20"/>
          <w:color w:val="auto"/>
        </w:rPr>
      </w:pPr>
    </w:p>
    <w:p>
      <w:pPr>
        <w:jc w:val="both"/>
        <w:ind w:firstLine="601"/>
        <w:spacing w:after="0" w:line="290" w:lineRule="auto"/>
        <w:tabs>
          <w:tab w:leader="none" w:pos="1424" w:val="left"/>
        </w:tabs>
        <w:numPr>
          <w:ilvl w:val="0"/>
          <w:numId w:val="93"/>
        </w:numPr>
        <w:rPr>
          <w:rFonts w:ascii="Arial" w:cs="Arial" w:eastAsia="Arial" w:hAnsi="Arial"/>
          <w:sz w:val="18"/>
          <w:szCs w:val="18"/>
          <w:color w:val="auto"/>
        </w:rPr>
      </w:pPr>
      <w:r>
        <w:rPr>
          <w:rFonts w:ascii="Arial" w:cs="Arial" w:eastAsia="Arial" w:hAnsi="Arial"/>
          <w:sz w:val="18"/>
          <w:szCs w:val="18"/>
          <w:color w:val="auto"/>
        </w:rPr>
        <w:t xml:space="preserve">Any Indemnified Party making a claim for indemnification for Third Party Claims under </w:t>
      </w:r>
      <w:r>
        <w:rPr>
          <w:rFonts w:ascii="Arial" w:cs="Arial" w:eastAsia="Arial" w:hAnsi="Arial"/>
          <w:sz w:val="18"/>
          <w:szCs w:val="18"/>
          <w:u w:val="single" w:color="auto"/>
          <w:color w:val="auto"/>
        </w:rPr>
        <w:t>Section 9.1</w:t>
      </w:r>
      <w:r>
        <w:rPr>
          <w:rFonts w:ascii="Arial" w:cs="Arial" w:eastAsia="Arial" w:hAnsi="Arial"/>
          <w:sz w:val="18"/>
          <w:szCs w:val="18"/>
          <w:color w:val="auto"/>
        </w:rPr>
        <w:t xml:space="preserve"> shall notify the Insurer of each Third Party Claim in writing promptly after receiving notice of such, describing the Third Party Claim, the amount thereof (if known and quantifiable) and the basis thereof in reasonable detail;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failure to so notify the Insurer shall not relieve the Insurer of its obligations hereunder except to the extent that (and only to the extent that) such failure shall have caused the indemnifiable Losses to be greater than such Losses would have been had the Indemnified Party given the Insurer prompt notice hereunder.</w:t>
      </w:r>
    </w:p>
    <w:p>
      <w:pPr>
        <w:spacing w:after="0" w:line="138" w:lineRule="exact"/>
        <w:rPr>
          <w:rFonts w:ascii="Arial" w:cs="Arial" w:eastAsia="Arial" w:hAnsi="Arial"/>
          <w:sz w:val="18"/>
          <w:szCs w:val="18"/>
          <w:color w:val="auto"/>
        </w:rPr>
      </w:pPr>
    </w:p>
    <w:p>
      <w:pPr>
        <w:jc w:val="both"/>
        <w:ind w:firstLine="601"/>
        <w:spacing w:after="0" w:line="257" w:lineRule="auto"/>
        <w:tabs>
          <w:tab w:leader="none" w:pos="1119" w:val="left"/>
        </w:tabs>
        <w:numPr>
          <w:ilvl w:val="0"/>
          <w:numId w:val="93"/>
        </w:numPr>
        <w:rPr>
          <w:rFonts w:ascii="Arial" w:cs="Arial" w:eastAsia="Arial" w:hAnsi="Arial"/>
          <w:sz w:val="20"/>
          <w:szCs w:val="20"/>
          <w:color w:val="auto"/>
        </w:rPr>
      </w:pPr>
      <w:r>
        <w:rPr>
          <w:rFonts w:ascii="Arial" w:cs="Arial" w:eastAsia="Arial" w:hAnsi="Arial"/>
          <w:sz w:val="20"/>
          <w:szCs w:val="20"/>
          <w:color w:val="auto"/>
        </w:rPr>
        <w:t>The Insurer shall have the right at any time to assume the defense against any Third Party Claim with counsel of its choice reasonably satisfactory to the Indemnified Party and control the defense of such Third Party Claim, so long as the Insurer accepts without reservation (but without waiver of any rights under Section 9.2(c)) responsibility to indemnify the Indemnified Party for such Third Party Claim.</w:t>
      </w:r>
    </w:p>
    <w:p>
      <w:pPr>
        <w:spacing w:after="0" w:line="204" w:lineRule="exact"/>
        <w:rPr>
          <w:rFonts w:ascii="Arial" w:cs="Arial" w:eastAsia="Arial" w:hAnsi="Arial"/>
          <w:sz w:val="20"/>
          <w:szCs w:val="20"/>
          <w:color w:val="auto"/>
        </w:rPr>
      </w:pPr>
    </w:p>
    <w:p>
      <w:pPr>
        <w:jc w:val="both"/>
        <w:ind w:firstLine="601"/>
        <w:spacing w:after="0" w:line="279" w:lineRule="auto"/>
        <w:tabs>
          <w:tab w:leader="none" w:pos="1079" w:val="left"/>
        </w:tabs>
        <w:numPr>
          <w:ilvl w:val="0"/>
          <w:numId w:val="93"/>
        </w:numPr>
        <w:rPr>
          <w:rFonts w:ascii="Arial" w:cs="Arial" w:eastAsia="Arial" w:hAnsi="Arial"/>
          <w:sz w:val="18"/>
          <w:szCs w:val="18"/>
          <w:color w:val="auto"/>
        </w:rPr>
      </w:pPr>
      <w:r>
        <w:rPr>
          <w:rFonts w:ascii="Arial" w:cs="Arial" w:eastAsia="Arial" w:hAnsi="Arial"/>
          <w:sz w:val="18"/>
          <w:szCs w:val="18"/>
          <w:color w:val="auto"/>
        </w:rPr>
        <w:t xml:space="preserve">From and after the date that the Insurer has assumed and is conducting the defense of a Third Party Claim in accordance with </w:t>
      </w:r>
      <w:r>
        <w:rPr>
          <w:rFonts w:ascii="Arial" w:cs="Arial" w:eastAsia="Arial" w:hAnsi="Arial"/>
          <w:sz w:val="18"/>
          <w:szCs w:val="18"/>
          <w:u w:val="single" w:color="auto"/>
          <w:color w:val="auto"/>
        </w:rPr>
        <w:t>Section 9.2(b)</w:t>
      </w:r>
      <w:r>
        <w:rPr>
          <w:rFonts w:ascii="Arial" w:cs="Arial" w:eastAsia="Arial" w:hAnsi="Arial"/>
          <w:sz w:val="18"/>
          <w:szCs w:val="18"/>
          <w:color w:val="auto"/>
        </w:rPr>
        <w:t>, (</w:t>
      </w:r>
      <w:r>
        <w:rPr>
          <w:rFonts w:ascii="Arial" w:cs="Arial" w:eastAsia="Arial" w:hAnsi="Arial"/>
          <w:sz w:val="18"/>
          <w:szCs w:val="18"/>
          <w:u w:val="single" w:color="auto"/>
          <w:color w:val="auto"/>
        </w:rPr>
        <w:t>i</w:t>
      </w:r>
      <w:r>
        <w:rPr>
          <w:rFonts w:ascii="Arial" w:cs="Arial" w:eastAsia="Arial" w:hAnsi="Arial"/>
          <w:sz w:val="18"/>
          <w:szCs w:val="18"/>
          <w:color w:val="auto"/>
        </w:rPr>
        <w:t>) the Indemnified Party may retain separate co-counsel at its sole cost and expense and participate in, but not control, the defense of such Third Party Claim; (</w:t>
      </w:r>
      <w:r>
        <w:rPr>
          <w:rFonts w:ascii="Arial" w:cs="Arial" w:eastAsia="Arial" w:hAnsi="Arial"/>
          <w:sz w:val="18"/>
          <w:szCs w:val="18"/>
          <w:u w:val="single" w:color="auto"/>
          <w:color w:val="auto"/>
        </w:rPr>
        <w:t>ii</w:t>
      </w:r>
      <w:r>
        <w:rPr>
          <w:rFonts w:ascii="Arial" w:cs="Arial" w:eastAsia="Arial" w:hAnsi="Arial"/>
          <w:sz w:val="18"/>
          <w:szCs w:val="18"/>
          <w:color w:val="auto"/>
        </w:rPr>
        <w:t>) the Indemnified Party may retain counsel at its sole cost and expense to control the defense of any portion of the action, lawsuit, proceeding, investigation, demand or other claim against the Indemnified Party that is not a Third Party Claim (the “</w:t>
      </w:r>
      <w:r>
        <w:rPr>
          <w:rFonts w:ascii="Arial" w:cs="Arial" w:eastAsia="Arial" w:hAnsi="Arial"/>
          <w:sz w:val="18"/>
          <w:szCs w:val="18"/>
          <w:u w:val="single" w:color="auto"/>
          <w:color w:val="auto"/>
        </w:rPr>
        <w:t>Uncovered Claim</w:t>
      </w:r>
      <w:r>
        <w:rPr>
          <w:rFonts w:ascii="Arial" w:cs="Arial" w:eastAsia="Arial" w:hAnsi="Arial"/>
          <w:sz w:val="18"/>
          <w:szCs w:val="18"/>
          <w:color w:val="auto"/>
        </w:rPr>
        <w:t>”); (</w:t>
      </w:r>
      <w:r>
        <w:rPr>
          <w:rFonts w:ascii="Arial" w:cs="Arial" w:eastAsia="Arial" w:hAnsi="Arial"/>
          <w:sz w:val="18"/>
          <w:szCs w:val="18"/>
          <w:u w:val="single" w:color="auto"/>
          <w:color w:val="auto"/>
        </w:rPr>
        <w:t>iii</w:t>
      </w:r>
      <w:r>
        <w:rPr>
          <w:rFonts w:ascii="Arial" w:cs="Arial" w:eastAsia="Arial" w:hAnsi="Arial"/>
          <w:sz w:val="18"/>
          <w:szCs w:val="18"/>
          <w:color w:val="auto"/>
        </w:rPr>
        <w:t xml:space="preserve">) the Insurer and the Indemnified Party shall cooperate fully with each other and any of their respective counsel in connection with the defense, negotiation or settlement of any such Third Party Claim or (if the Indemnified Party retains counsel for the Uncovered Claim) the Uncovered Claim, including providing access to any relevant books and records, properties, employees and Representatives;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for avoidance of doubt, the foregoing will not require any Person to waive, or take any action which has the affect of waiving, its attorney-client privilege, attorney work-product, or any other applicable privilege with respect thereto; (</w:t>
      </w:r>
      <w:r>
        <w:rPr>
          <w:rFonts w:ascii="Arial" w:cs="Arial" w:eastAsia="Arial" w:hAnsi="Arial"/>
          <w:sz w:val="18"/>
          <w:szCs w:val="18"/>
          <w:u w:val="single" w:color="auto"/>
          <w:color w:val="auto"/>
        </w:rPr>
        <w:t>iv</w:t>
      </w:r>
      <w:r>
        <w:rPr>
          <w:rFonts w:ascii="Arial" w:cs="Arial" w:eastAsia="Arial" w:hAnsi="Arial"/>
          <w:sz w:val="18"/>
          <w:szCs w:val="18"/>
          <w:color w:val="auto"/>
        </w:rPr>
        <w:t>) the Insurer shall not consent to the entry of any judgment on or enter into any settlement with respect to such Third Party Claim without the prior written consent of the Indemnified Party (which will not be unreasonably withheld, conditioned or delayed) unless the judgment or proposed settlement involves only the payment of money damages by the Insurer and does not impose an injunction or other equitable relief upon the Indemnified Party or admit liability on the part of any Indemnified Party; (</w:t>
      </w:r>
      <w:r>
        <w:rPr>
          <w:rFonts w:ascii="Arial" w:cs="Arial" w:eastAsia="Arial" w:hAnsi="Arial"/>
          <w:sz w:val="18"/>
          <w:szCs w:val="18"/>
          <w:u w:val="single" w:color="auto"/>
          <w:color w:val="auto"/>
        </w:rPr>
        <w:t>v</w:t>
      </w:r>
      <w:r>
        <w:rPr>
          <w:rFonts w:ascii="Arial" w:cs="Arial" w:eastAsia="Arial" w:hAnsi="Arial"/>
          <w:sz w:val="18"/>
          <w:szCs w:val="18"/>
          <w:color w:val="auto"/>
        </w:rPr>
        <w:t>) the Indemnified Party shall not consent to the entry of any judgment or enter into any settlement with respect to such Third Party Claim without the prior written consent of the Insurer (which will not be unreasonably withheld, conditioned or delayed); and (</w:t>
      </w:r>
      <w:r>
        <w:rPr>
          <w:rFonts w:ascii="Arial" w:cs="Arial" w:eastAsia="Arial" w:hAnsi="Arial"/>
          <w:sz w:val="18"/>
          <w:szCs w:val="18"/>
          <w:u w:val="single" w:color="auto"/>
          <w:color w:val="auto"/>
        </w:rPr>
        <w:t>vi</w:t>
      </w:r>
      <w:r>
        <w:rPr>
          <w:rFonts w:ascii="Arial" w:cs="Arial" w:eastAsia="Arial" w:hAnsi="Arial"/>
          <w:sz w:val="18"/>
          <w:szCs w:val="18"/>
          <w:color w:val="auto"/>
        </w:rPr>
        <w:t>) the Indemnified Party may consent to the entry of any judgment or enter into any settlement with respect to the Uncovered Claim without the prior consent of Insurer.</w:t>
      </w:r>
    </w:p>
    <w:p>
      <w:pPr>
        <w:spacing w:after="0" w:line="192" w:lineRule="exact"/>
        <w:rPr>
          <w:rFonts w:ascii="Arial" w:cs="Arial" w:eastAsia="Arial" w:hAnsi="Arial"/>
          <w:sz w:val="18"/>
          <w:szCs w:val="18"/>
          <w:color w:val="auto"/>
        </w:rPr>
      </w:pPr>
    </w:p>
    <w:p>
      <w:pPr>
        <w:jc w:val="both"/>
        <w:ind w:firstLine="601"/>
        <w:spacing w:after="0" w:line="285" w:lineRule="auto"/>
        <w:tabs>
          <w:tab w:leader="none" w:pos="1117" w:val="left"/>
        </w:tabs>
        <w:numPr>
          <w:ilvl w:val="0"/>
          <w:numId w:val="93"/>
        </w:numPr>
        <w:rPr>
          <w:rFonts w:ascii="Arial" w:cs="Arial" w:eastAsia="Arial" w:hAnsi="Arial"/>
          <w:sz w:val="18"/>
          <w:szCs w:val="18"/>
          <w:color w:val="auto"/>
        </w:rPr>
      </w:pPr>
      <w:r>
        <w:rPr>
          <w:rFonts w:ascii="Arial" w:cs="Arial" w:eastAsia="Arial" w:hAnsi="Arial"/>
          <w:sz w:val="18"/>
          <w:szCs w:val="18"/>
          <w:color w:val="auto"/>
        </w:rPr>
        <w:t>If the Insurer has not assumed the defense of a Third Party Claim after notice thereof, (</w:t>
      </w:r>
      <w:r>
        <w:rPr>
          <w:rFonts w:ascii="Arial" w:cs="Arial" w:eastAsia="Arial" w:hAnsi="Arial"/>
          <w:sz w:val="18"/>
          <w:szCs w:val="18"/>
          <w:u w:val="single" w:color="auto"/>
          <w:color w:val="auto"/>
        </w:rPr>
        <w:t>i</w:t>
      </w:r>
      <w:r>
        <w:rPr>
          <w:rFonts w:ascii="Arial" w:cs="Arial" w:eastAsia="Arial" w:hAnsi="Arial"/>
          <w:sz w:val="18"/>
          <w:szCs w:val="18"/>
          <w:color w:val="auto"/>
        </w:rPr>
        <w:t>) the Indemnified Party may defend against the Third Party Claim in any manner it reasonably determines to be appropriate; (</w:t>
      </w:r>
      <w:r>
        <w:rPr>
          <w:rFonts w:ascii="Arial" w:cs="Arial" w:eastAsia="Arial" w:hAnsi="Arial"/>
          <w:sz w:val="18"/>
          <w:szCs w:val="18"/>
          <w:u w:val="single" w:color="auto"/>
          <w:color w:val="auto"/>
        </w:rPr>
        <w:t>ii</w:t>
      </w:r>
      <w:r>
        <w:rPr>
          <w:rFonts w:ascii="Arial" w:cs="Arial" w:eastAsia="Arial" w:hAnsi="Arial"/>
          <w:sz w:val="18"/>
          <w:szCs w:val="18"/>
          <w:color w:val="auto"/>
        </w:rPr>
        <w:t>) the Insurer shall reimburse the Indemnified Party promptly and periodically for the costs of defending against the Third Party Claim (including reasonable attorneys' fees and expenses allocable to such Third Party Claim) to the extent such costs are Losses for which the Indemnified Party is entitled to indemnification hereunder; and (</w:t>
      </w:r>
      <w:r>
        <w:rPr>
          <w:rFonts w:ascii="Arial" w:cs="Arial" w:eastAsia="Arial" w:hAnsi="Arial"/>
          <w:sz w:val="18"/>
          <w:szCs w:val="18"/>
          <w:u w:val="single" w:color="auto"/>
          <w:color w:val="auto"/>
        </w:rPr>
        <w:t>iii</w:t>
      </w:r>
      <w:r>
        <w:rPr>
          <w:rFonts w:ascii="Arial" w:cs="Arial" w:eastAsia="Arial" w:hAnsi="Arial"/>
          <w:sz w:val="18"/>
          <w:szCs w:val="18"/>
          <w:color w:val="auto"/>
        </w:rPr>
        <w:t xml:space="preserve">) the Insurer shall remain responsible for any costs the Indemnified Party may incur resulting from the Third Party Claim to the extent such costs are Losses for which the Indemnified Party is entitled to indemnification hereunder. If the Indemnified Party has not assumed the defense of an Uncovered Claim as contemplated by </w:t>
      </w:r>
      <w:r>
        <w:rPr>
          <w:rFonts w:ascii="Arial" w:cs="Arial" w:eastAsia="Arial" w:hAnsi="Arial"/>
          <w:sz w:val="18"/>
          <w:szCs w:val="18"/>
          <w:u w:val="single" w:color="auto"/>
          <w:color w:val="auto"/>
        </w:rPr>
        <w:t>Section 9.2(c)(ii)</w:t>
      </w:r>
      <w:r>
        <w:rPr>
          <w:rFonts w:ascii="Arial" w:cs="Arial" w:eastAsia="Arial" w:hAnsi="Arial"/>
          <w:sz w:val="18"/>
          <w:szCs w:val="18"/>
          <w:color w:val="auto"/>
        </w:rPr>
        <w:t>, the Insurer is not responsible in any way for any</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57</w:t>
      </w:r>
    </w:p>
    <w:p>
      <w:pPr>
        <w:sectPr>
          <w:pgSz w:w="11900" w:h="16838" w:orient="portrait"/>
          <w:cols w:equalWidth="0" w:num="1">
            <w:col w:w="11420"/>
          </w:cols>
          <w:pgMar w:left="240" w:top="556" w:right="239" w:bottom="1440" w:gutter="0" w:footer="0" w:header="0"/>
        </w:sectPr>
      </w:pPr>
    </w:p>
    <w:bookmarkStart w:id="68" w:name="page69"/>
    <w:bookmarkEnd w:id="68"/>
    <w:p>
      <w:pPr>
        <w:jc w:val="both"/>
        <w:spacing w:after="0" w:line="275" w:lineRule="auto"/>
        <w:rPr>
          <w:sz w:val="20"/>
          <w:szCs w:val="20"/>
          <w:color w:val="auto"/>
        </w:rPr>
      </w:pPr>
      <w:r>
        <w:rPr>
          <w:rFonts w:ascii="Arial" w:cs="Arial" w:eastAsia="Arial" w:hAnsi="Arial"/>
          <w:sz w:val="20"/>
          <w:szCs w:val="20"/>
          <w:color w:val="auto"/>
        </w:rPr>
        <w:t xml:space="preserve">Liabilities or Orders resulting from not responding to or defending such Uncovered Claim;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Insurer's responsibility for Third Party Claims shall not be altered in any way.</w:t>
      </w:r>
    </w:p>
    <w:p>
      <w:pPr>
        <w:spacing w:after="0" w:line="349" w:lineRule="exact"/>
        <w:rPr>
          <w:sz w:val="20"/>
          <w:szCs w:val="20"/>
          <w:color w:val="auto"/>
        </w:rPr>
      </w:pPr>
    </w:p>
    <w:p>
      <w:pPr>
        <w:jc w:val="both"/>
        <w:ind w:firstLine="601"/>
        <w:spacing w:after="0" w:line="255" w:lineRule="auto"/>
        <w:rPr>
          <w:sz w:val="20"/>
          <w:szCs w:val="20"/>
          <w:color w:val="auto"/>
        </w:rPr>
      </w:pPr>
      <w:r>
        <w:rPr>
          <w:rFonts w:ascii="Arial" w:cs="Arial" w:eastAsia="Arial" w:hAnsi="Arial"/>
          <w:sz w:val="20"/>
          <w:szCs w:val="20"/>
          <w:color w:val="auto"/>
        </w:rPr>
        <w:t xml:space="preserve">Section 9.3 </w:t>
      </w:r>
      <w:r>
        <w:rPr>
          <w:rFonts w:ascii="Arial" w:cs="Arial" w:eastAsia="Arial" w:hAnsi="Arial"/>
          <w:sz w:val="20"/>
          <w:szCs w:val="20"/>
          <w:u w:val="single" w:color="auto"/>
          <w:color w:val="auto"/>
        </w:rPr>
        <w:t>Claims and Payment; Treatment of Payments</w:t>
      </w:r>
      <w:r>
        <w:rPr>
          <w:rFonts w:ascii="Arial" w:cs="Arial" w:eastAsia="Arial" w:hAnsi="Arial"/>
          <w:sz w:val="20"/>
          <w:szCs w:val="20"/>
          <w:color w:val="auto"/>
        </w:rPr>
        <w:t xml:space="preserve">. On each occasion that any Indemnified Party shall be entitled to indemnification under this </w:t>
      </w:r>
      <w:r>
        <w:rPr>
          <w:rFonts w:ascii="Arial" w:cs="Arial" w:eastAsia="Arial" w:hAnsi="Arial"/>
          <w:sz w:val="20"/>
          <w:szCs w:val="20"/>
          <w:u w:val="single" w:color="auto"/>
          <w:color w:val="auto"/>
        </w:rPr>
        <w:t>Article IX</w:t>
      </w:r>
      <w:r>
        <w:rPr>
          <w:rFonts w:ascii="Arial" w:cs="Arial" w:eastAsia="Arial" w:hAnsi="Arial"/>
          <w:sz w:val="20"/>
          <w:szCs w:val="20"/>
          <w:color w:val="auto"/>
        </w:rPr>
        <w:t xml:space="preserve">, the Insurer shall, at each such time, promptly pay the amount of such indemnification within ten (10) Business Days following receipt of an invoice for out-of-pocket expense, fees or other amounts for which it is liable under this </w:t>
      </w:r>
      <w:r>
        <w:rPr>
          <w:rFonts w:ascii="Arial" w:cs="Arial" w:eastAsia="Arial" w:hAnsi="Arial"/>
          <w:sz w:val="20"/>
          <w:szCs w:val="20"/>
          <w:u w:val="single" w:color="auto"/>
          <w:color w:val="auto"/>
        </w:rPr>
        <w:t>Article IX</w:t>
      </w:r>
      <w:r>
        <w:rPr>
          <w:rFonts w:ascii="Arial" w:cs="Arial" w:eastAsia="Arial" w:hAnsi="Arial"/>
          <w:sz w:val="20"/>
          <w:szCs w:val="20"/>
          <w:color w:val="auto"/>
        </w:rPr>
        <w:t>. Any indemnification payments made pursuant to this Agreement shall be treated for tax purposes as an adjustment to the Final Premium, unless otherwise required by applicable Law.</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X</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TERMINATION</w:t>
      </w:r>
    </w:p>
    <w:p>
      <w:pPr>
        <w:spacing w:after="0" w:line="228" w:lineRule="exact"/>
        <w:rPr>
          <w:sz w:val="20"/>
          <w:szCs w:val="20"/>
          <w:color w:val="auto"/>
        </w:rPr>
      </w:pPr>
    </w:p>
    <w:p>
      <w:pPr>
        <w:ind w:left="600"/>
        <w:spacing w:after="0"/>
        <w:tabs>
          <w:tab w:leader="none" w:pos="1780" w:val="left"/>
        </w:tabs>
        <w:rPr>
          <w:sz w:val="20"/>
          <w:szCs w:val="20"/>
          <w:color w:val="auto"/>
        </w:rPr>
      </w:pPr>
      <w:r>
        <w:rPr>
          <w:rFonts w:ascii="Arial" w:cs="Arial" w:eastAsia="Arial" w:hAnsi="Arial"/>
          <w:sz w:val="20"/>
          <w:szCs w:val="20"/>
          <w:color w:val="auto"/>
        </w:rPr>
        <w:t>Section 10.1</w:t>
      </w:r>
      <w:r>
        <w:rPr>
          <w:sz w:val="20"/>
          <w:szCs w:val="20"/>
          <w:color w:val="auto"/>
        </w:rPr>
        <w:tab/>
      </w:r>
      <w:r>
        <w:rPr>
          <w:rFonts w:ascii="Arial" w:cs="Arial" w:eastAsia="Arial" w:hAnsi="Arial"/>
          <w:sz w:val="18"/>
          <w:szCs w:val="18"/>
          <w:u w:val="single" w:color="auto"/>
          <w:color w:val="auto"/>
        </w:rPr>
        <w:t>Termination of Agreement</w:t>
      </w:r>
      <w:r>
        <w:rPr>
          <w:rFonts w:ascii="Arial" w:cs="Arial" w:eastAsia="Arial" w:hAnsi="Arial"/>
          <w:sz w:val="18"/>
          <w:szCs w:val="18"/>
          <w:color w:val="auto"/>
        </w:rPr>
        <w:t>. This Agreement may be terminated at any time prior to the Closing as provided below:</w:t>
      </w:r>
    </w:p>
    <w:p>
      <w:pPr>
        <w:spacing w:after="0" w:line="246" w:lineRule="exact"/>
        <w:rPr>
          <w:sz w:val="20"/>
          <w:szCs w:val="20"/>
          <w:color w:val="auto"/>
        </w:rPr>
      </w:pPr>
    </w:p>
    <w:p>
      <w:pPr>
        <w:ind w:left="1420" w:hanging="819"/>
        <w:spacing w:after="0"/>
        <w:tabs>
          <w:tab w:leader="none" w:pos="1420" w:val="left"/>
        </w:tabs>
        <w:numPr>
          <w:ilvl w:val="0"/>
          <w:numId w:val="94"/>
        </w:numPr>
        <w:rPr>
          <w:rFonts w:ascii="Arial" w:cs="Arial" w:eastAsia="Arial" w:hAnsi="Arial"/>
          <w:sz w:val="20"/>
          <w:szCs w:val="20"/>
          <w:color w:val="auto"/>
        </w:rPr>
      </w:pPr>
      <w:r>
        <w:rPr>
          <w:rFonts w:ascii="Arial" w:cs="Arial" w:eastAsia="Arial" w:hAnsi="Arial"/>
          <w:sz w:val="20"/>
          <w:szCs w:val="20"/>
          <w:color w:val="auto"/>
        </w:rPr>
        <w:t>by the mutual written consent of the Company and the Insurer;</w:t>
      </w:r>
    </w:p>
    <w:p>
      <w:pPr>
        <w:spacing w:after="0" w:line="245" w:lineRule="exact"/>
        <w:rPr>
          <w:rFonts w:ascii="Arial" w:cs="Arial" w:eastAsia="Arial" w:hAnsi="Arial"/>
          <w:sz w:val="20"/>
          <w:szCs w:val="20"/>
          <w:color w:val="auto"/>
        </w:rPr>
      </w:pPr>
    </w:p>
    <w:p>
      <w:pPr>
        <w:jc w:val="both"/>
        <w:ind w:firstLine="601"/>
        <w:spacing w:after="0" w:line="267" w:lineRule="auto"/>
        <w:tabs>
          <w:tab w:leader="none" w:pos="1435" w:val="left"/>
        </w:tabs>
        <w:numPr>
          <w:ilvl w:val="0"/>
          <w:numId w:val="94"/>
        </w:numPr>
        <w:rPr>
          <w:rFonts w:ascii="Arial" w:cs="Arial" w:eastAsia="Arial" w:hAnsi="Arial"/>
          <w:sz w:val="19"/>
          <w:szCs w:val="19"/>
          <w:color w:val="auto"/>
        </w:rPr>
      </w:pPr>
      <w:r>
        <w:rPr>
          <w:rFonts w:ascii="Arial" w:cs="Arial" w:eastAsia="Arial" w:hAnsi="Arial"/>
          <w:sz w:val="19"/>
          <w:szCs w:val="19"/>
          <w:color w:val="auto"/>
        </w:rPr>
        <w:t>by (</w:t>
      </w:r>
      <w:r>
        <w:rPr>
          <w:rFonts w:ascii="Arial" w:cs="Arial" w:eastAsia="Arial" w:hAnsi="Arial"/>
          <w:sz w:val="19"/>
          <w:szCs w:val="19"/>
          <w:u w:val="single" w:color="auto"/>
          <w:color w:val="auto"/>
        </w:rPr>
        <w:t>i</w:t>
      </w:r>
      <w:r>
        <w:rPr>
          <w:rFonts w:ascii="Arial" w:cs="Arial" w:eastAsia="Arial" w:hAnsi="Arial"/>
          <w:sz w:val="19"/>
          <w:szCs w:val="19"/>
          <w:color w:val="auto"/>
        </w:rPr>
        <w:t xml:space="preserve">) the Company at any time if a Company MAC exists by delivery by the Company to the other Parties of notice of termination, </w:t>
      </w:r>
      <w:r>
        <w:rPr>
          <w:rFonts w:ascii="Arial" w:cs="Arial" w:eastAsia="Arial" w:hAnsi="Arial"/>
          <w:sz w:val="19"/>
          <w:szCs w:val="19"/>
          <w:u w:val="single" w:color="auto"/>
          <w:color w:val="auto"/>
        </w:rPr>
        <w:t>provided</w:t>
      </w:r>
      <w:r>
        <w:rPr>
          <w:rFonts w:ascii="Arial" w:cs="Arial" w:eastAsia="Arial" w:hAnsi="Arial"/>
          <w:sz w:val="19"/>
          <w:szCs w:val="19"/>
          <w:color w:val="auto"/>
        </w:rPr>
        <w:t>, that the Company may not exercise this termination right to the extent that a Company MAC is attributable to any of the Liquidity Actions or (</w:t>
      </w:r>
      <w:r>
        <w:rPr>
          <w:rFonts w:ascii="Arial" w:cs="Arial" w:eastAsia="Arial" w:hAnsi="Arial"/>
          <w:sz w:val="19"/>
          <w:szCs w:val="19"/>
          <w:u w:val="single" w:color="auto"/>
          <w:color w:val="auto"/>
        </w:rPr>
        <w:t>ii</w:t>
      </w:r>
      <w:r>
        <w:rPr>
          <w:rFonts w:ascii="Arial" w:cs="Arial" w:eastAsia="Arial" w:hAnsi="Arial"/>
          <w:sz w:val="19"/>
          <w:szCs w:val="19"/>
          <w:color w:val="auto"/>
        </w:rPr>
        <w:t>) the Insurer at any time if an Insurer MAC exists by delivery by the Insurer to the other Parties of notice of</w:t>
      </w:r>
    </w:p>
    <w:p>
      <w:pPr>
        <w:spacing w:after="0" w:line="2" w:lineRule="exact"/>
        <w:rPr>
          <w:sz w:val="20"/>
          <w:szCs w:val="20"/>
          <w:color w:val="auto"/>
        </w:rPr>
      </w:pPr>
    </w:p>
    <w:p>
      <w:pPr>
        <w:spacing w:after="0"/>
        <w:tabs>
          <w:tab w:leader="none" w:pos="1320" w:val="left"/>
          <w:tab w:leader="none" w:pos="1980" w:val="left"/>
        </w:tabs>
        <w:rPr>
          <w:sz w:val="20"/>
          <w:szCs w:val="20"/>
          <w:color w:val="auto"/>
        </w:rPr>
      </w:pPr>
      <w:r>
        <w:rPr>
          <w:rFonts w:ascii="Arial" w:cs="Arial" w:eastAsia="Arial" w:hAnsi="Arial"/>
          <w:sz w:val="20"/>
          <w:szCs w:val="20"/>
          <w:color w:val="auto"/>
        </w:rPr>
        <w:t>termination, [</w:t>
        <w:tab/>
        <w:t>***</w:t>
      </w:r>
      <w:r>
        <w:rPr>
          <w:sz w:val="20"/>
          <w:szCs w:val="20"/>
          <w:color w:val="auto"/>
        </w:rPr>
        <w:tab/>
      </w:r>
      <w:r>
        <w:rPr>
          <w:rFonts w:ascii="Arial" w:cs="Arial" w:eastAsia="Arial" w:hAnsi="Arial"/>
          <w:sz w:val="20"/>
          <w:szCs w:val="20"/>
          <w:color w:val="auto"/>
        </w:rPr>
        <w:t>];</w:t>
      </w:r>
    </w:p>
    <w:p>
      <w:pPr>
        <w:spacing w:after="0" w:line="228" w:lineRule="exact"/>
        <w:rPr>
          <w:sz w:val="20"/>
          <w:szCs w:val="20"/>
          <w:color w:val="auto"/>
        </w:rPr>
      </w:pPr>
    </w:p>
    <w:p>
      <w:pPr>
        <w:ind w:left="1420" w:hanging="819"/>
        <w:spacing w:after="0"/>
        <w:tabs>
          <w:tab w:leader="none" w:pos="1420" w:val="left"/>
        </w:tabs>
        <w:numPr>
          <w:ilvl w:val="0"/>
          <w:numId w:val="95"/>
        </w:numPr>
        <w:rPr>
          <w:rFonts w:ascii="Arial" w:cs="Arial" w:eastAsia="Arial" w:hAnsi="Arial"/>
          <w:sz w:val="20"/>
          <w:szCs w:val="20"/>
          <w:color w:val="auto"/>
        </w:rPr>
      </w:pPr>
      <w:r>
        <w:rPr>
          <w:rFonts w:ascii="Arial" w:cs="Arial" w:eastAsia="Arial" w:hAnsi="Arial"/>
          <w:sz w:val="20"/>
          <w:szCs w:val="20"/>
          <w:color w:val="auto"/>
        </w:rPr>
        <w:t>by the Company if the Lump-Sum Payments have not been made prior to September 30, 2012;</w:t>
      </w:r>
    </w:p>
    <w:p>
      <w:pPr>
        <w:spacing w:after="0" w:line="245" w:lineRule="exact"/>
        <w:rPr>
          <w:rFonts w:ascii="Arial" w:cs="Arial" w:eastAsia="Arial" w:hAnsi="Arial"/>
          <w:sz w:val="20"/>
          <w:szCs w:val="20"/>
          <w:color w:val="auto"/>
        </w:rPr>
      </w:pPr>
    </w:p>
    <w:p>
      <w:pPr>
        <w:jc w:val="both"/>
        <w:ind w:firstLine="601"/>
        <w:spacing w:after="0" w:line="290" w:lineRule="auto"/>
        <w:tabs>
          <w:tab w:leader="none" w:pos="1435" w:val="left"/>
        </w:tabs>
        <w:numPr>
          <w:ilvl w:val="0"/>
          <w:numId w:val="95"/>
        </w:numPr>
        <w:rPr>
          <w:rFonts w:ascii="Arial" w:cs="Arial" w:eastAsia="Arial" w:hAnsi="Arial"/>
          <w:sz w:val="18"/>
          <w:szCs w:val="18"/>
          <w:color w:val="auto"/>
        </w:rPr>
      </w:pPr>
      <w:r>
        <w:rPr>
          <w:rFonts w:ascii="Arial" w:cs="Arial" w:eastAsia="Arial" w:hAnsi="Arial"/>
          <w:sz w:val="18"/>
          <w:szCs w:val="18"/>
          <w:color w:val="auto"/>
        </w:rPr>
        <w:t>by the Company if the Closing has not occurred by or on December 28, 2012 (the “</w:t>
      </w:r>
      <w:r>
        <w:rPr>
          <w:rFonts w:ascii="Arial" w:cs="Arial" w:eastAsia="Arial" w:hAnsi="Arial"/>
          <w:sz w:val="18"/>
          <w:szCs w:val="18"/>
          <w:u w:val="single" w:color="auto"/>
          <w:color w:val="auto"/>
        </w:rPr>
        <w:t>Outside Date</w:t>
      </w:r>
      <w:r>
        <w:rPr>
          <w:rFonts w:ascii="Arial" w:cs="Arial" w:eastAsia="Arial" w:hAnsi="Arial"/>
          <w:sz w:val="18"/>
          <w:szCs w:val="18"/>
          <w:color w:val="auto"/>
        </w:rPr>
        <w:t xml:space="preserve">”) or any state of facts or circumstances exists as a result of which there is no reasonable probability that the Closing can occur by or on the Outside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right to terminate this Agreement shall not be available to the Company if any failure of the Company to perform any of its obligations under this Agreement required to be performed at or prior to the Closing has been the cause of, or resulted in, the failure of the Closing to occur on or before the Outside Date and such action or failure to perform constitutes a breach of this Agreement;</w:t>
      </w:r>
    </w:p>
    <w:p>
      <w:pPr>
        <w:spacing w:after="0" w:line="176" w:lineRule="exact"/>
        <w:rPr>
          <w:rFonts w:ascii="Arial" w:cs="Arial" w:eastAsia="Arial" w:hAnsi="Arial"/>
          <w:sz w:val="18"/>
          <w:szCs w:val="18"/>
          <w:color w:val="auto"/>
        </w:rPr>
      </w:pPr>
    </w:p>
    <w:p>
      <w:pPr>
        <w:jc w:val="both"/>
        <w:ind w:firstLine="601"/>
        <w:spacing w:after="0" w:line="275" w:lineRule="auto"/>
        <w:tabs>
          <w:tab w:leader="none" w:pos="1424" w:val="left"/>
        </w:tabs>
        <w:numPr>
          <w:ilvl w:val="0"/>
          <w:numId w:val="95"/>
        </w:numPr>
        <w:rPr>
          <w:rFonts w:ascii="Arial" w:cs="Arial" w:eastAsia="Arial" w:hAnsi="Arial"/>
          <w:sz w:val="19"/>
          <w:szCs w:val="19"/>
          <w:color w:val="auto"/>
        </w:rPr>
      </w:pPr>
      <w:r>
        <w:rPr>
          <w:rFonts w:ascii="Arial" w:cs="Arial" w:eastAsia="Arial" w:hAnsi="Arial"/>
          <w:sz w:val="19"/>
          <w:szCs w:val="19"/>
          <w:color w:val="auto"/>
        </w:rPr>
        <w:t xml:space="preserve">by the Company if there shall have been a misrepresentation or breach of any representation, warranty, covenant or agreement on the part of the Independent Fiduciary or Insurer contained in this Agreement such that any of the conditions set forth in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8.2(a)</w:t>
      </w:r>
      <w:r>
        <w:rPr>
          <w:rFonts w:ascii="Arial" w:cs="Arial" w:eastAsia="Arial" w:hAnsi="Arial"/>
          <w:sz w:val="19"/>
          <w:szCs w:val="19"/>
          <w:color w:val="auto"/>
        </w:rPr>
        <w:t xml:space="preserve">, </w:t>
      </w:r>
      <w:r>
        <w:rPr>
          <w:rFonts w:ascii="Arial" w:cs="Arial" w:eastAsia="Arial" w:hAnsi="Arial"/>
          <w:sz w:val="19"/>
          <w:szCs w:val="19"/>
          <w:u w:val="single" w:color="auto"/>
          <w:color w:val="auto"/>
        </w:rPr>
        <w:t>8.2(b)</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8.2(c)</w:t>
      </w:r>
      <w:r>
        <w:rPr>
          <w:rFonts w:ascii="Arial" w:cs="Arial" w:eastAsia="Arial" w:hAnsi="Arial"/>
          <w:sz w:val="19"/>
          <w:szCs w:val="19"/>
          <w:color w:val="auto"/>
        </w:rPr>
        <w:t xml:space="preserve"> would not be satisfied, and which shall not have been cured prior to twenty (20) Business Days following notice of such misrepresentation or breach to the Insurer or the Independent Fiduciary, as applicable;</w:t>
      </w:r>
    </w:p>
    <w:p>
      <w:pPr>
        <w:spacing w:after="0" w:line="187" w:lineRule="exact"/>
        <w:rPr>
          <w:rFonts w:ascii="Arial" w:cs="Arial" w:eastAsia="Arial" w:hAnsi="Arial"/>
          <w:sz w:val="19"/>
          <w:szCs w:val="19"/>
          <w:color w:val="auto"/>
        </w:rPr>
      </w:pPr>
    </w:p>
    <w:p>
      <w:pPr>
        <w:jc w:val="both"/>
        <w:ind w:firstLine="601"/>
        <w:spacing w:after="0" w:line="271" w:lineRule="auto"/>
        <w:tabs>
          <w:tab w:leader="none" w:pos="1402" w:val="left"/>
        </w:tabs>
        <w:numPr>
          <w:ilvl w:val="0"/>
          <w:numId w:val="95"/>
        </w:numPr>
        <w:rPr>
          <w:rFonts w:ascii="Arial" w:cs="Arial" w:eastAsia="Arial" w:hAnsi="Arial"/>
          <w:sz w:val="19"/>
          <w:szCs w:val="19"/>
          <w:color w:val="auto"/>
        </w:rPr>
      </w:pPr>
      <w:r>
        <w:rPr>
          <w:rFonts w:ascii="Arial" w:cs="Arial" w:eastAsia="Arial" w:hAnsi="Arial"/>
          <w:sz w:val="19"/>
          <w:szCs w:val="19"/>
          <w:color w:val="auto"/>
        </w:rPr>
        <w:t xml:space="preserve">by the Insurer if the Closing has not occurred by or on the Outside Date or any state of facts or circumstances exists as a result of which there is no reasonable probability that the Closing can occur by or on the Outside Date, </w:t>
      </w:r>
      <w:r>
        <w:rPr>
          <w:rFonts w:ascii="Arial" w:cs="Arial" w:eastAsia="Arial" w:hAnsi="Arial"/>
          <w:sz w:val="19"/>
          <w:szCs w:val="19"/>
          <w:u w:val="single" w:color="auto"/>
          <w:color w:val="auto"/>
        </w:rPr>
        <w:t>provided</w:t>
      </w:r>
      <w:r>
        <w:rPr>
          <w:rFonts w:ascii="Arial" w:cs="Arial" w:eastAsia="Arial" w:hAnsi="Arial"/>
          <w:sz w:val="19"/>
          <w:szCs w:val="19"/>
          <w:color w:val="auto"/>
        </w:rPr>
        <w:t>, that such right to terminate this Agreement shall not be available to the Insurer if any action of the Insurer or the failure of the Insurer to perform any of its obligations under this Agreement required to be performed at or prior to the Closing has been the cause of, or resulted in, the failure of the Closing to occur on or before the Outside Date and such action or failure to perform constitutes a breach of this Agreement;</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58</w:t>
      </w:r>
    </w:p>
    <w:p>
      <w:pPr>
        <w:sectPr>
          <w:pgSz w:w="11900" w:h="16838" w:orient="portrait"/>
          <w:cols w:equalWidth="0" w:num="1">
            <w:col w:w="11420"/>
          </w:cols>
          <w:pgMar w:left="240" w:top="557" w:right="239" w:bottom="1440" w:gutter="0" w:footer="0" w:header="0"/>
        </w:sectPr>
      </w:pPr>
    </w:p>
    <w:bookmarkStart w:id="69" w:name="page70"/>
    <w:bookmarkEnd w:id="69"/>
    <w:p>
      <w:pPr>
        <w:jc w:val="both"/>
        <w:ind w:firstLine="601"/>
        <w:spacing w:after="0" w:line="275" w:lineRule="auto"/>
        <w:tabs>
          <w:tab w:leader="none" w:pos="1435" w:val="left"/>
        </w:tabs>
        <w:numPr>
          <w:ilvl w:val="0"/>
          <w:numId w:val="96"/>
        </w:numPr>
        <w:rPr>
          <w:rFonts w:ascii="Arial" w:cs="Arial" w:eastAsia="Arial" w:hAnsi="Arial"/>
          <w:sz w:val="19"/>
          <w:szCs w:val="19"/>
          <w:color w:val="auto"/>
        </w:rPr>
      </w:pPr>
      <w:r>
        <w:rPr>
          <w:rFonts w:ascii="Arial" w:cs="Arial" w:eastAsia="Arial" w:hAnsi="Arial"/>
          <w:sz w:val="19"/>
          <w:szCs w:val="19"/>
          <w:color w:val="auto"/>
        </w:rPr>
        <w:t xml:space="preserve">by the Insurer if there shall have been a misrepresentation or breach of any representation, warranty, covenant or agreement on the part of the Company or the Independent Fiduciary contained in this Agreement such that any of the conditions set forth in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8.3(a)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8.3(b)</w:t>
      </w:r>
      <w:r>
        <w:rPr>
          <w:rFonts w:ascii="Arial" w:cs="Arial" w:eastAsia="Arial" w:hAnsi="Arial"/>
          <w:sz w:val="19"/>
          <w:szCs w:val="19"/>
          <w:color w:val="auto"/>
        </w:rPr>
        <w:t xml:space="preserve"> would not be satisfied, and which shall not have been cured prior to twenty (20) Business Days following notice of such misrepresentation or breach to the Company and the Independent Fiduciary, as applicable;</w:t>
      </w:r>
    </w:p>
    <w:p>
      <w:pPr>
        <w:spacing w:after="0" w:line="187" w:lineRule="exact"/>
        <w:rPr>
          <w:rFonts w:ascii="Arial" w:cs="Arial" w:eastAsia="Arial" w:hAnsi="Arial"/>
          <w:sz w:val="19"/>
          <w:szCs w:val="19"/>
          <w:color w:val="auto"/>
        </w:rPr>
      </w:pPr>
    </w:p>
    <w:p>
      <w:pPr>
        <w:ind w:left="1440" w:hanging="839"/>
        <w:spacing w:after="0"/>
        <w:tabs>
          <w:tab w:leader="none" w:pos="1440" w:val="left"/>
        </w:tabs>
        <w:numPr>
          <w:ilvl w:val="0"/>
          <w:numId w:val="96"/>
        </w:numPr>
        <w:rPr>
          <w:rFonts w:ascii="Arial" w:cs="Arial" w:eastAsia="Arial" w:hAnsi="Arial"/>
          <w:sz w:val="19"/>
          <w:szCs w:val="19"/>
          <w:color w:val="auto"/>
        </w:rPr>
      </w:pPr>
      <w:r>
        <w:rPr>
          <w:rFonts w:ascii="Arial" w:cs="Arial" w:eastAsia="Arial" w:hAnsi="Arial"/>
          <w:sz w:val="19"/>
          <w:szCs w:val="19"/>
          <w:color w:val="auto"/>
        </w:rPr>
        <w:t>by the Company in the event the Closing Final Premium calculated by the Independent Third Party (or, if applicable</w:t>
      </w:r>
    </w:p>
    <w:p>
      <w:pPr>
        <w:spacing w:after="0" w:line="37" w:lineRule="exact"/>
        <w:rPr>
          <w:sz w:val="20"/>
          <w:szCs w:val="20"/>
          <w:color w:val="auto"/>
        </w:rPr>
      </w:pPr>
    </w:p>
    <w:p>
      <w:pPr>
        <w:spacing w:after="0"/>
        <w:tabs>
          <w:tab w:leader="none" w:pos="9920" w:val="left"/>
          <w:tab w:leader="none" w:pos="10640" w:val="left"/>
        </w:tabs>
        <w:rPr>
          <w:sz w:val="20"/>
          <w:szCs w:val="20"/>
          <w:color w:val="auto"/>
        </w:rPr>
      </w:pPr>
      <w:r>
        <w:rPr>
          <w:rFonts w:ascii="Arial" w:cs="Arial" w:eastAsia="Arial" w:hAnsi="Arial"/>
          <w:sz w:val="19"/>
          <w:szCs w:val="19"/>
          <w:color w:val="auto"/>
        </w:rPr>
        <w:t xml:space="preserve">pursuant to </w:t>
      </w:r>
      <w:r>
        <w:rPr>
          <w:rFonts w:ascii="Arial" w:cs="Arial" w:eastAsia="Arial" w:hAnsi="Arial"/>
          <w:sz w:val="19"/>
          <w:szCs w:val="19"/>
          <w:u w:val="single" w:color="auto"/>
          <w:color w:val="auto"/>
        </w:rPr>
        <w:t>Section 2.9</w:t>
      </w:r>
      <w:r>
        <w:rPr>
          <w:rFonts w:ascii="Arial" w:cs="Arial" w:eastAsia="Arial" w:hAnsi="Arial"/>
          <w:sz w:val="19"/>
          <w:szCs w:val="19"/>
          <w:color w:val="auto"/>
        </w:rPr>
        <w:t>, the Company) is less than the Closing Final Premium calculated by the Insurer by more than [</w:t>
      </w:r>
      <w:r>
        <w:rPr>
          <w:sz w:val="20"/>
          <w:szCs w:val="20"/>
          <w:color w:val="auto"/>
        </w:rPr>
        <w:tab/>
      </w:r>
      <w:r>
        <w:rPr>
          <w:rFonts w:ascii="Arial" w:cs="Arial" w:eastAsia="Arial" w:hAnsi="Arial"/>
          <w:sz w:val="20"/>
          <w:szCs w:val="20"/>
          <w:color w:val="auto"/>
        </w:rPr>
        <w:t>***</w:t>
      </w:r>
      <w:r>
        <w:rPr>
          <w:sz w:val="20"/>
          <w:szCs w:val="20"/>
          <w:color w:val="auto"/>
        </w:rPr>
        <w:tab/>
      </w:r>
      <w:r>
        <w:rPr>
          <w:rFonts w:ascii="Arial" w:cs="Arial" w:eastAsia="Arial" w:hAnsi="Arial"/>
          <w:sz w:val="18"/>
          <w:szCs w:val="18"/>
          <w:color w:val="auto"/>
        </w:rPr>
        <w:t>], in each</w:t>
      </w:r>
    </w:p>
    <w:p>
      <w:pPr>
        <w:spacing w:after="0" w:line="8" w:lineRule="exact"/>
        <w:rPr>
          <w:sz w:val="20"/>
          <w:szCs w:val="20"/>
          <w:color w:val="auto"/>
        </w:rPr>
      </w:pPr>
    </w:p>
    <w:p>
      <w:pPr>
        <w:spacing w:after="0" w:line="257" w:lineRule="auto"/>
        <w:rPr>
          <w:sz w:val="20"/>
          <w:szCs w:val="20"/>
          <w:color w:val="auto"/>
        </w:rPr>
      </w:pPr>
      <w:r>
        <w:rPr>
          <w:rFonts w:ascii="Arial" w:cs="Arial" w:eastAsia="Arial" w:hAnsi="Arial"/>
          <w:sz w:val="20"/>
          <w:szCs w:val="20"/>
          <w:color w:val="auto"/>
        </w:rPr>
        <w:t xml:space="preserve">case as the Closing Final Premium is calculated by such Person in accordance with </w:t>
      </w:r>
      <w:r>
        <w:rPr>
          <w:rFonts w:ascii="Arial" w:cs="Arial" w:eastAsia="Arial" w:hAnsi="Arial"/>
          <w:sz w:val="20"/>
          <w:szCs w:val="20"/>
          <w:u w:val="single" w:color="auto"/>
          <w:color w:val="auto"/>
        </w:rPr>
        <w:t>Section 2.9, subject to the proviso in the penultimate</w:t>
      </w:r>
      <w:r>
        <w:rPr>
          <w:rFonts w:ascii="Arial" w:cs="Arial" w:eastAsia="Arial" w:hAnsi="Arial"/>
          <w:sz w:val="20"/>
          <w:szCs w:val="20"/>
          <w:color w:val="auto"/>
        </w:rPr>
        <w:t xml:space="preserve"> </w:t>
      </w:r>
      <w:r>
        <w:rPr>
          <w:rFonts w:ascii="Arial" w:cs="Arial" w:eastAsia="Arial" w:hAnsi="Arial"/>
          <w:sz w:val="20"/>
          <w:szCs w:val="20"/>
          <w:u w:val="single" w:color="auto"/>
          <w:color w:val="auto"/>
        </w:rPr>
        <w:t>sentence of Section 2.9(e)</w:t>
      </w:r>
      <w:r>
        <w:rPr>
          <w:rFonts w:ascii="Arial" w:cs="Arial" w:eastAsia="Arial" w:hAnsi="Arial"/>
          <w:sz w:val="20"/>
          <w:szCs w:val="20"/>
          <w:color w:val="auto"/>
        </w:rPr>
        <w:t xml:space="preserve"> or, as applicable, the </w:t>
      </w:r>
      <w:r>
        <w:rPr>
          <w:rFonts w:ascii="Arial" w:cs="Arial" w:eastAsia="Arial" w:hAnsi="Arial"/>
          <w:sz w:val="20"/>
          <w:szCs w:val="20"/>
          <w:u w:val="single" w:color="auto"/>
          <w:color w:val="auto"/>
        </w:rPr>
        <w:t>proviso in the penultimate sentence of Section 2.9(f)</w:t>
      </w:r>
      <w:r>
        <w:rPr>
          <w:rFonts w:ascii="Arial" w:cs="Arial" w:eastAsia="Arial" w:hAnsi="Arial"/>
          <w:sz w:val="20"/>
          <w:szCs w:val="20"/>
          <w:color w:val="auto"/>
        </w:rPr>
        <w:t>; and</w:t>
      </w:r>
    </w:p>
    <w:p>
      <w:pPr>
        <w:spacing w:after="0" w:line="203" w:lineRule="exact"/>
        <w:rPr>
          <w:sz w:val="20"/>
          <w:szCs w:val="20"/>
          <w:color w:val="auto"/>
        </w:rPr>
      </w:pPr>
    </w:p>
    <w:p>
      <w:pPr>
        <w:jc w:val="both"/>
        <w:ind w:firstLine="601"/>
        <w:spacing w:after="0" w:line="257" w:lineRule="auto"/>
        <w:tabs>
          <w:tab w:leader="none" w:pos="1390" w:val="left"/>
        </w:tabs>
        <w:numPr>
          <w:ilvl w:val="0"/>
          <w:numId w:val="97"/>
        </w:numPr>
        <w:rPr>
          <w:rFonts w:ascii="Arial" w:cs="Arial" w:eastAsia="Arial" w:hAnsi="Arial"/>
          <w:sz w:val="20"/>
          <w:szCs w:val="20"/>
          <w:color w:val="auto"/>
        </w:rPr>
      </w:pPr>
      <w:r>
        <w:rPr>
          <w:rFonts w:ascii="Arial" w:cs="Arial" w:eastAsia="Arial" w:hAnsi="Arial"/>
          <w:sz w:val="20"/>
          <w:szCs w:val="20"/>
          <w:color w:val="auto"/>
        </w:rPr>
        <w:t xml:space="preserve">by the Company in the event that the Independent Third Party has not issued (A) the Initial Certification on or before the fifteenth Business Day following the DTFA Execution Date or (B) the Revised Certification on or before the tenth Business Day following the date established for delivery of the information described in the first sentence of </w:t>
      </w:r>
      <w:r>
        <w:rPr>
          <w:rFonts w:ascii="Arial" w:cs="Arial" w:eastAsia="Arial" w:hAnsi="Arial"/>
          <w:sz w:val="20"/>
          <w:szCs w:val="20"/>
          <w:u w:val="single" w:color="auto"/>
          <w:color w:val="auto"/>
        </w:rPr>
        <w:t>Section 2.4(c)</w:t>
      </w:r>
      <w:r>
        <w:rPr>
          <w:rFonts w:ascii="Arial" w:cs="Arial" w:eastAsia="Arial" w:hAnsi="Arial"/>
          <w:sz w:val="20"/>
          <w:szCs w:val="20"/>
          <w:color w:val="auto"/>
        </w:rPr>
        <w:t xml:space="preserve"> (or, if earlier, the tenth Business Day following the actual date of delivery of such information to the Independent Third Party).</w:t>
      </w:r>
    </w:p>
    <w:p>
      <w:pPr>
        <w:spacing w:after="0" w:line="204" w:lineRule="exact"/>
        <w:rPr>
          <w:rFonts w:ascii="Arial" w:cs="Arial" w:eastAsia="Arial" w:hAnsi="Arial"/>
          <w:sz w:val="20"/>
          <w:szCs w:val="20"/>
          <w:color w:val="auto"/>
        </w:rPr>
      </w:pPr>
    </w:p>
    <w:p>
      <w:pPr>
        <w:jc w:val="both"/>
        <w:ind w:firstLine="601"/>
        <w:spacing w:after="0" w:line="235" w:lineRule="auto"/>
        <w:tabs>
          <w:tab w:leader="none" w:pos="1390" w:val="left"/>
        </w:tabs>
        <w:numPr>
          <w:ilvl w:val="0"/>
          <w:numId w:val="97"/>
        </w:numPr>
        <w:rPr>
          <w:rFonts w:ascii="Arial" w:cs="Arial" w:eastAsia="Arial" w:hAnsi="Arial"/>
          <w:sz w:val="20"/>
          <w:szCs w:val="20"/>
          <w:color w:val="auto"/>
        </w:rPr>
      </w:pPr>
      <w:r>
        <w:rPr>
          <w:rFonts w:ascii="Arial" w:cs="Arial" w:eastAsia="Arial" w:hAnsi="Arial"/>
          <w:sz w:val="20"/>
          <w:szCs w:val="20"/>
          <w:color w:val="auto"/>
        </w:rPr>
        <w:t>by the Company or the Insurer in the event that the trustee of the Plan who is intended to hold the Group Annuity Contract has not affirmed, on or before the twenty-fifth (25</w:t>
      </w:r>
      <w:r>
        <w:rPr>
          <w:rFonts w:ascii="Arial" w:cs="Arial" w:eastAsia="Arial" w:hAnsi="Arial"/>
          <w:sz w:val="26"/>
          <w:szCs w:val="26"/>
          <w:color w:val="auto"/>
          <w:vertAlign w:val="superscript"/>
        </w:rPr>
        <w:t>th</w:t>
      </w:r>
      <w:r>
        <w:rPr>
          <w:rFonts w:ascii="Arial" w:cs="Arial" w:eastAsia="Arial" w:hAnsi="Arial"/>
          <w:sz w:val="20"/>
          <w:szCs w:val="20"/>
          <w:color w:val="auto"/>
        </w:rPr>
        <w:t>) Business Day following the DTFA Execution Date, in a manner reasonably acceptable to the Company and the Insurer, its willingness to execute the Plan Trustee Agreement and the Company and the Insurer have not agreed upon a mutually acceptable alternative.</w:t>
      </w:r>
    </w:p>
    <w:p>
      <w:pPr>
        <w:spacing w:after="0" w:line="183" w:lineRule="exact"/>
        <w:rPr>
          <w:sz w:val="20"/>
          <w:szCs w:val="20"/>
          <w:color w:val="auto"/>
        </w:rPr>
      </w:pPr>
    </w:p>
    <w:p>
      <w:pPr>
        <w:ind w:left="600"/>
        <w:spacing w:after="0"/>
        <w:tabs>
          <w:tab w:leader="none" w:pos="1780" w:val="left"/>
        </w:tabs>
        <w:rPr>
          <w:sz w:val="20"/>
          <w:szCs w:val="20"/>
          <w:color w:val="auto"/>
        </w:rPr>
      </w:pPr>
      <w:r>
        <w:rPr>
          <w:rFonts w:ascii="Arial" w:cs="Arial" w:eastAsia="Arial" w:hAnsi="Arial"/>
          <w:sz w:val="20"/>
          <w:szCs w:val="20"/>
          <w:color w:val="auto"/>
        </w:rPr>
        <w:t>Section 10.2</w:t>
      </w:r>
      <w:r>
        <w:rPr>
          <w:sz w:val="20"/>
          <w:szCs w:val="20"/>
          <w:color w:val="auto"/>
        </w:rPr>
        <w:tab/>
      </w:r>
      <w:r>
        <w:rPr>
          <w:rFonts w:ascii="Arial" w:cs="Arial" w:eastAsia="Arial" w:hAnsi="Arial"/>
          <w:sz w:val="18"/>
          <w:szCs w:val="18"/>
          <w:u w:val="single" w:color="auto"/>
          <w:color w:val="auto"/>
        </w:rPr>
        <w:t>Effect of Termination</w:t>
      </w:r>
      <w:r>
        <w:rPr>
          <w:rFonts w:ascii="Arial" w:cs="Arial" w:eastAsia="Arial" w:hAnsi="Arial"/>
          <w:sz w:val="18"/>
          <w:szCs w:val="18"/>
          <w:color w:val="auto"/>
        </w:rPr>
        <w:t>.</w:t>
      </w:r>
    </w:p>
    <w:p>
      <w:pPr>
        <w:spacing w:after="0" w:line="246" w:lineRule="exact"/>
        <w:rPr>
          <w:sz w:val="20"/>
          <w:szCs w:val="20"/>
          <w:color w:val="auto"/>
        </w:rPr>
      </w:pPr>
    </w:p>
    <w:p>
      <w:pPr>
        <w:jc w:val="both"/>
        <w:ind w:firstLine="601"/>
        <w:spacing w:after="0" w:line="282" w:lineRule="auto"/>
        <w:tabs>
          <w:tab w:leader="none" w:pos="1148"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xml:space="preserve">. If this Agreement is terminated pursuant to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all rights and obligations of the Parties hereunder will terminate upon such termination and will become null and void, except that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(Definitions), </w:t>
      </w:r>
      <w:r>
        <w:rPr>
          <w:rFonts w:ascii="Arial" w:cs="Arial" w:eastAsia="Arial" w:hAnsi="Arial"/>
          <w:sz w:val="18"/>
          <w:szCs w:val="18"/>
          <w:u w:val="single" w:color="auto"/>
          <w:color w:val="auto"/>
        </w:rPr>
        <w:t>Section 3.11</w:t>
      </w:r>
      <w:r>
        <w:rPr>
          <w:rFonts w:ascii="Arial" w:cs="Arial" w:eastAsia="Arial" w:hAnsi="Arial"/>
          <w:sz w:val="18"/>
          <w:szCs w:val="18"/>
          <w:color w:val="auto"/>
        </w:rPr>
        <w:t xml:space="preserve"> (No Other Representations and Warranties), </w:t>
      </w:r>
      <w:r>
        <w:rPr>
          <w:rFonts w:ascii="Arial" w:cs="Arial" w:eastAsia="Arial" w:hAnsi="Arial"/>
          <w:sz w:val="18"/>
          <w:szCs w:val="18"/>
          <w:u w:val="single" w:color="auto"/>
          <w:color w:val="auto"/>
        </w:rPr>
        <w:t>Section 4.6</w:t>
      </w:r>
      <w:r>
        <w:rPr>
          <w:rFonts w:ascii="Arial" w:cs="Arial" w:eastAsia="Arial" w:hAnsi="Arial"/>
          <w:sz w:val="18"/>
          <w:szCs w:val="18"/>
          <w:color w:val="auto"/>
        </w:rPr>
        <w:t xml:space="preserve"> (No Other Representations and Warranties), </w:t>
      </w:r>
      <w:r>
        <w:rPr>
          <w:rFonts w:ascii="Arial" w:cs="Arial" w:eastAsia="Arial" w:hAnsi="Arial"/>
          <w:sz w:val="18"/>
          <w:szCs w:val="18"/>
          <w:u w:val="single" w:color="auto"/>
          <w:color w:val="auto"/>
        </w:rPr>
        <w:t>Section 5.9</w:t>
      </w:r>
      <w:r>
        <w:rPr>
          <w:rFonts w:ascii="Arial" w:cs="Arial" w:eastAsia="Arial" w:hAnsi="Arial"/>
          <w:sz w:val="18"/>
          <w:szCs w:val="18"/>
          <w:color w:val="auto"/>
        </w:rPr>
        <w:t xml:space="preserve"> (No Other Representations and Warranties), </w:t>
      </w:r>
      <w:r>
        <w:rPr>
          <w:rFonts w:ascii="Arial" w:cs="Arial" w:eastAsia="Arial" w:hAnsi="Arial"/>
          <w:sz w:val="18"/>
          <w:szCs w:val="18"/>
          <w:u w:val="single" w:color="auto"/>
          <w:color w:val="auto"/>
        </w:rPr>
        <w:t>Section 6.6</w:t>
      </w:r>
    </w:p>
    <w:p>
      <w:pPr>
        <w:spacing w:after="0" w:line="2" w:lineRule="exact"/>
        <w:rPr>
          <w:sz w:val="20"/>
          <w:szCs w:val="20"/>
          <w:color w:val="auto"/>
        </w:rPr>
      </w:pPr>
    </w:p>
    <w:p>
      <w:pPr>
        <w:jc w:val="both"/>
        <w:spacing w:after="0" w:line="251" w:lineRule="auto"/>
        <w:rPr>
          <w:sz w:val="20"/>
          <w:szCs w:val="20"/>
          <w:color w:val="auto"/>
        </w:rPr>
      </w:pPr>
      <w:r>
        <w:rPr>
          <w:rFonts w:ascii="Arial" w:cs="Arial" w:eastAsia="Arial" w:hAnsi="Arial"/>
          <w:sz w:val="20"/>
          <w:szCs w:val="20"/>
          <w:color w:val="auto"/>
        </w:rPr>
        <w:t xml:space="preserve">(Calculation [ *** ] of Insurer RBC Ratio; Projected Parent Liquidity Position; Liquidity Requirement; Liquidity Cap), </w:t>
      </w:r>
      <w:r>
        <w:rPr>
          <w:rFonts w:ascii="Arial" w:cs="Arial" w:eastAsia="Arial" w:hAnsi="Arial"/>
          <w:sz w:val="20"/>
          <w:szCs w:val="20"/>
          <w:u w:val="single" w:color="auto"/>
          <w:color w:val="auto"/>
        </w:rPr>
        <w:t>Article XI</w:t>
      </w:r>
      <w:r>
        <w:rPr>
          <w:rFonts w:ascii="Arial" w:cs="Arial" w:eastAsia="Arial" w:hAnsi="Arial"/>
          <w:sz w:val="20"/>
          <w:szCs w:val="20"/>
          <w:color w:val="auto"/>
        </w:rPr>
        <w:t xml:space="preserve"> (Miscellaneous) and this </w:t>
      </w:r>
      <w:r>
        <w:rPr>
          <w:rFonts w:ascii="Arial" w:cs="Arial" w:eastAsia="Arial" w:hAnsi="Arial"/>
          <w:sz w:val="20"/>
          <w:szCs w:val="20"/>
          <w:u w:val="single" w:color="auto"/>
          <w:color w:val="auto"/>
        </w:rPr>
        <w:t>Section 10.2</w:t>
      </w:r>
      <w:r>
        <w:rPr>
          <w:rFonts w:ascii="Arial" w:cs="Arial" w:eastAsia="Arial" w:hAnsi="Arial"/>
          <w:sz w:val="20"/>
          <w:szCs w:val="20"/>
          <w:color w:val="auto"/>
        </w:rPr>
        <w:t xml:space="preserve"> (Effect of Termination) will survive any such termination and no Party will otherwise have any Liability to any other Party hereunder;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xml:space="preserve"> that nothing in this </w:t>
      </w:r>
      <w:r>
        <w:rPr>
          <w:rFonts w:ascii="Arial" w:cs="Arial" w:eastAsia="Arial" w:hAnsi="Arial"/>
          <w:sz w:val="20"/>
          <w:szCs w:val="20"/>
          <w:u w:val="single" w:color="auto"/>
          <w:color w:val="auto"/>
        </w:rPr>
        <w:t>Section 10.2</w:t>
      </w:r>
      <w:r>
        <w:rPr>
          <w:rFonts w:ascii="Arial" w:cs="Arial" w:eastAsia="Arial" w:hAnsi="Arial"/>
          <w:sz w:val="20"/>
          <w:szCs w:val="20"/>
          <w:color w:val="auto"/>
        </w:rPr>
        <w:t xml:space="preserve"> will relieve any Party from Liability for any willful and material breach hereof.</w:t>
      </w:r>
    </w:p>
    <w:p>
      <w:pPr>
        <w:spacing w:after="0" w:line="209" w:lineRule="exact"/>
        <w:rPr>
          <w:sz w:val="20"/>
          <w:szCs w:val="20"/>
          <w:color w:val="auto"/>
        </w:rPr>
      </w:pPr>
    </w:p>
    <w:p>
      <w:pPr>
        <w:jc w:val="both"/>
        <w:ind w:firstLine="601"/>
        <w:spacing w:after="0" w:line="280" w:lineRule="auto"/>
        <w:tabs>
          <w:tab w:leader="none" w:pos="1097"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t>TCF</w:t>
      </w:r>
      <w:r>
        <w:rPr>
          <w:rFonts w:ascii="Arial" w:cs="Arial" w:eastAsia="Arial" w:hAnsi="Arial"/>
          <w:sz w:val="18"/>
          <w:szCs w:val="18"/>
          <w:color w:val="auto"/>
        </w:rPr>
        <w:t xml:space="preserve">. If this Agreement is terminated pursuant to </w:t>
      </w:r>
      <w:r>
        <w:rPr>
          <w:rFonts w:ascii="Arial" w:cs="Arial" w:eastAsia="Arial" w:hAnsi="Arial"/>
          <w:sz w:val="18"/>
          <w:szCs w:val="18"/>
          <w:u w:val="single" w:color="auto"/>
          <w:color w:val="auto"/>
        </w:rPr>
        <w:t>Section 10.1</w:t>
      </w:r>
      <w:r>
        <w:rPr>
          <w:rFonts w:ascii="Arial" w:cs="Arial" w:eastAsia="Arial" w:hAnsi="Arial"/>
          <w:sz w:val="18"/>
          <w:szCs w:val="18"/>
          <w:color w:val="auto"/>
        </w:rPr>
        <w:t>, it is the intent of the parties that all funds held in the Escrow Account shall be released from the Escrow Account and paid to the appropriate Party not later than two (2) Business Days following the effective date of termination. In furtherance of the foregoing, the Company shall, together with Insurer Parent, issue a Joint Written Direction to the Escrow Agent to release all Cash and other assets held in the Escrow Account to the Insurer within two (2) Business Days after delivery</w:t>
      </w:r>
    </w:p>
    <w:tbl>
      <w:tblPr>
        <w:tblLayout w:type="fixed"/>
        <w:tblInd w:w="0" w:type="dxa"/>
        <w:tblCellMar>
          <w:top w:w="0" w:type="dxa"/>
          <w:left w:w="0" w:type="dxa"/>
          <w:bottom w:w="0" w:type="dxa"/>
          <w:right w:w="0" w:type="dxa"/>
        </w:tblCellMar>
      </w:tblPr>
      <w:tr>
        <w:trPr>
          <w:trHeight w:val="194"/>
        </w:trPr>
        <w:tc>
          <w:tcPr>
            <w:tcW w:w="6400" w:type="dxa"/>
            <w:vAlign w:val="bottom"/>
            <w:gridSpan w:val="6"/>
          </w:tcPr>
          <w:p>
            <w:pPr>
              <w:spacing w:after="0" w:line="194" w:lineRule="exact"/>
              <w:rPr>
                <w:sz w:val="20"/>
                <w:szCs w:val="20"/>
                <w:color w:val="auto"/>
              </w:rPr>
            </w:pPr>
            <w:r>
              <w:rPr>
                <w:rFonts w:ascii="Arial" w:cs="Arial" w:eastAsia="Arial" w:hAnsi="Arial"/>
                <w:sz w:val="20"/>
                <w:szCs w:val="20"/>
                <w:color w:val="auto"/>
                <w:w w:val="95"/>
              </w:rPr>
              <w:t>of notice of termination of this Agreement, unless (</w:t>
            </w:r>
            <w:r>
              <w:rPr>
                <w:rFonts w:ascii="Arial" w:cs="Arial" w:eastAsia="Arial" w:hAnsi="Arial"/>
                <w:sz w:val="20"/>
                <w:szCs w:val="20"/>
                <w:u w:val="single" w:color="auto"/>
                <w:color w:val="auto"/>
                <w:w w:val="95"/>
              </w:rPr>
              <w:t>i</w:t>
            </w:r>
            <w:r>
              <w:rPr>
                <w:rFonts w:ascii="Arial" w:cs="Arial" w:eastAsia="Arial" w:hAnsi="Arial"/>
                <w:sz w:val="20"/>
                <w:szCs w:val="20"/>
                <w:color w:val="auto"/>
                <w:w w:val="95"/>
              </w:rPr>
              <w:t>) this Agreement is [   ***</w:t>
            </w:r>
          </w:p>
        </w:tc>
        <w:tc>
          <w:tcPr>
            <w:tcW w:w="3080" w:type="dxa"/>
            <w:vAlign w:val="bottom"/>
            <w:gridSpan w:val="5"/>
          </w:tcPr>
          <w:p>
            <w:pPr>
              <w:ind w:left="340"/>
              <w:spacing w:after="0" w:line="194" w:lineRule="exact"/>
              <w:rPr>
                <w:sz w:val="20"/>
                <w:szCs w:val="20"/>
                <w:color w:val="auto"/>
              </w:rPr>
            </w:pPr>
            <w:r>
              <w:rPr>
                <w:rFonts w:ascii="Arial" w:cs="Arial" w:eastAsia="Arial" w:hAnsi="Arial"/>
                <w:sz w:val="20"/>
                <w:szCs w:val="20"/>
                <w:color w:val="auto"/>
              </w:rPr>
              <w:t>], (ii) this Agreement is [   ***</w:t>
            </w:r>
          </w:p>
        </w:tc>
        <w:tc>
          <w:tcPr>
            <w:tcW w:w="1940" w:type="dxa"/>
            <w:vAlign w:val="bottom"/>
            <w:gridSpan w:val="4"/>
          </w:tcPr>
          <w:p>
            <w:pPr>
              <w:jc w:val="right"/>
              <w:spacing w:after="0" w:line="194" w:lineRule="exact"/>
              <w:rPr>
                <w:sz w:val="20"/>
                <w:szCs w:val="20"/>
                <w:color w:val="auto"/>
              </w:rPr>
            </w:pPr>
            <w:r>
              <w:rPr>
                <w:rFonts w:ascii="Arial" w:cs="Arial" w:eastAsia="Arial" w:hAnsi="Arial"/>
                <w:sz w:val="20"/>
                <w:szCs w:val="20"/>
                <w:color w:val="auto"/>
              </w:rPr>
              <w:t>], (iii) this Agreement</w:t>
            </w:r>
          </w:p>
        </w:tc>
      </w:tr>
      <w:tr>
        <w:trPr>
          <w:trHeight w:val="20"/>
        </w:trPr>
        <w:tc>
          <w:tcPr>
            <w:tcW w:w="10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600" w:type="dxa"/>
            <w:vAlign w:val="bottom"/>
            <w:gridSpan w:val="5"/>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47"/>
        </w:trPr>
        <w:tc>
          <w:tcPr>
            <w:tcW w:w="1060" w:type="dxa"/>
            <w:vAlign w:val="bottom"/>
          </w:tcPr>
          <w:p>
            <w:pPr>
              <w:spacing w:after="0"/>
              <w:rPr>
                <w:sz w:val="20"/>
                <w:szCs w:val="20"/>
                <w:color w:val="auto"/>
              </w:rPr>
            </w:pPr>
            <w:r>
              <w:rPr>
                <w:rFonts w:ascii="Arial" w:cs="Arial" w:eastAsia="Arial" w:hAnsi="Arial"/>
                <w:sz w:val="20"/>
                <w:szCs w:val="20"/>
                <w:color w:val="auto"/>
              </w:rPr>
              <w:t>is [   ***</w:t>
            </w:r>
          </w:p>
        </w:tc>
        <w:tc>
          <w:tcPr>
            <w:tcW w:w="6980" w:type="dxa"/>
            <w:vAlign w:val="bottom"/>
            <w:gridSpan w:val="9"/>
          </w:tcPr>
          <w:p>
            <w:pPr>
              <w:jc w:val="right"/>
              <w:ind w:right="20"/>
              <w:spacing w:after="0"/>
              <w:rPr>
                <w:sz w:val="20"/>
                <w:szCs w:val="20"/>
                <w:color w:val="auto"/>
              </w:rPr>
            </w:pPr>
            <w:r>
              <w:rPr>
                <w:rFonts w:ascii="Arial" w:cs="Arial" w:eastAsia="Arial" w:hAnsi="Arial"/>
                <w:sz w:val="20"/>
                <w:szCs w:val="20"/>
                <w:color w:val="auto"/>
                <w:w w:val="98"/>
              </w:rPr>
              <w:t>], and as of the date of such termination, any of the conditions set forth in [   ***</w:t>
            </w:r>
          </w:p>
        </w:tc>
        <w:tc>
          <w:tcPr>
            <w:tcW w:w="2460" w:type="dxa"/>
            <w:vAlign w:val="bottom"/>
            <w:gridSpan w:val="4"/>
          </w:tcPr>
          <w:p>
            <w:pPr>
              <w:ind w:left="280"/>
              <w:spacing w:after="0"/>
              <w:rPr>
                <w:sz w:val="20"/>
                <w:szCs w:val="20"/>
                <w:color w:val="auto"/>
              </w:rPr>
            </w:pPr>
            <w:r>
              <w:rPr>
                <w:rFonts w:ascii="Arial" w:cs="Arial" w:eastAsia="Arial" w:hAnsi="Arial"/>
                <w:sz w:val="20"/>
                <w:szCs w:val="20"/>
                <w:color w:val="auto"/>
              </w:rPr>
              <w:t>], in which case [   ***</w:t>
            </w:r>
          </w:p>
        </w:tc>
        <w:tc>
          <w:tcPr>
            <w:tcW w:w="920" w:type="dxa"/>
            <w:vAlign w:val="bottom"/>
          </w:tcPr>
          <w:p>
            <w:pPr>
              <w:jc w:val="right"/>
              <w:spacing w:after="0"/>
              <w:rPr>
                <w:sz w:val="20"/>
                <w:szCs w:val="20"/>
                <w:color w:val="auto"/>
              </w:rPr>
            </w:pPr>
            <w:r>
              <w:rPr>
                <w:rFonts w:ascii="Arial" w:cs="Arial" w:eastAsia="Arial" w:hAnsi="Arial"/>
                <w:sz w:val="20"/>
                <w:szCs w:val="20"/>
                <w:color w:val="auto"/>
              </w:rPr>
              <w:t>], issue a</w:t>
            </w:r>
          </w:p>
        </w:tc>
      </w:tr>
      <w:tr>
        <w:trPr>
          <w:trHeight w:val="238"/>
        </w:trPr>
        <w:tc>
          <w:tcPr>
            <w:tcW w:w="4100" w:type="dxa"/>
            <w:vAlign w:val="bottom"/>
            <w:gridSpan w:val="3"/>
          </w:tcPr>
          <w:p>
            <w:pPr>
              <w:spacing w:after="0"/>
              <w:rPr>
                <w:sz w:val="20"/>
                <w:szCs w:val="20"/>
                <w:color w:val="auto"/>
              </w:rPr>
            </w:pPr>
            <w:r>
              <w:rPr>
                <w:rFonts w:ascii="Arial" w:cs="Arial" w:eastAsia="Arial" w:hAnsi="Arial"/>
                <w:sz w:val="20"/>
                <w:szCs w:val="20"/>
                <w:color w:val="auto"/>
                <w:w w:val="98"/>
              </w:rPr>
              <w:t>Joint Written Direction to the Escrow Agent to [</w:t>
            </w:r>
          </w:p>
        </w:tc>
        <w:tc>
          <w:tcPr>
            <w:tcW w:w="540" w:type="dxa"/>
            <w:vAlign w:val="bottom"/>
          </w:tcPr>
          <w:p>
            <w:pPr>
              <w:jc w:val="right"/>
              <w:spacing w:after="0"/>
              <w:rPr>
                <w:sz w:val="20"/>
                <w:szCs w:val="20"/>
                <w:color w:val="auto"/>
              </w:rPr>
            </w:pPr>
            <w:r>
              <w:rPr>
                <w:rFonts w:ascii="Arial" w:cs="Arial" w:eastAsia="Arial" w:hAnsi="Arial"/>
                <w:sz w:val="20"/>
                <w:szCs w:val="20"/>
                <w:color w:val="auto"/>
              </w:rPr>
              <w:t>***</w:t>
            </w:r>
          </w:p>
        </w:tc>
        <w:tc>
          <w:tcPr>
            <w:tcW w:w="2500" w:type="dxa"/>
            <w:vAlign w:val="bottom"/>
            <w:gridSpan w:val="5"/>
          </w:tcPr>
          <w:p>
            <w:pPr>
              <w:ind w:left="360"/>
              <w:spacing w:after="0"/>
              <w:rPr>
                <w:sz w:val="20"/>
                <w:szCs w:val="20"/>
                <w:color w:val="auto"/>
              </w:rPr>
            </w:pPr>
            <w:r>
              <w:rPr>
                <w:rFonts w:ascii="Arial" w:cs="Arial" w:eastAsia="Arial" w:hAnsi="Arial"/>
                <w:sz w:val="20"/>
                <w:szCs w:val="20"/>
                <w:color w:val="auto"/>
                <w:w w:val="96"/>
              </w:rPr>
              <w:t>] in the Escrow Account [</w:t>
            </w:r>
          </w:p>
        </w:tc>
        <w:tc>
          <w:tcPr>
            <w:tcW w:w="900" w:type="dxa"/>
            <w:vAlign w:val="bottom"/>
          </w:tcPr>
          <w:p>
            <w:pPr>
              <w:jc w:val="right"/>
              <w:ind w:right="220"/>
              <w:spacing w:after="0"/>
              <w:rPr>
                <w:sz w:val="20"/>
                <w:szCs w:val="20"/>
                <w:color w:val="auto"/>
              </w:rPr>
            </w:pPr>
            <w:r>
              <w:rPr>
                <w:rFonts w:ascii="Arial" w:cs="Arial" w:eastAsia="Arial" w:hAnsi="Arial"/>
                <w:sz w:val="20"/>
                <w:szCs w:val="20"/>
                <w:color w:val="auto"/>
              </w:rPr>
              <w:t>***</w:t>
            </w:r>
          </w:p>
        </w:tc>
        <w:tc>
          <w:tcPr>
            <w:tcW w:w="3380" w:type="dxa"/>
            <w:vAlign w:val="bottom"/>
            <w:gridSpan w:val="5"/>
          </w:tcPr>
          <w:p>
            <w:pPr>
              <w:jc w:val="right"/>
              <w:spacing w:after="0"/>
              <w:rPr>
                <w:sz w:val="20"/>
                <w:szCs w:val="20"/>
                <w:color w:val="auto"/>
              </w:rPr>
            </w:pPr>
            <w:r>
              <w:rPr>
                <w:rFonts w:ascii="Arial" w:cs="Arial" w:eastAsia="Arial" w:hAnsi="Arial"/>
                <w:sz w:val="20"/>
                <w:szCs w:val="20"/>
                <w:color w:val="auto"/>
                <w:w w:val="97"/>
              </w:rPr>
              <w:t>] within two (2) Business Days after the</w:t>
            </w:r>
          </w:p>
        </w:tc>
      </w:tr>
      <w:tr>
        <w:trPr>
          <w:trHeight w:val="256"/>
        </w:trPr>
        <w:tc>
          <w:tcPr>
            <w:tcW w:w="4100" w:type="dxa"/>
            <w:vAlign w:val="bottom"/>
            <w:gridSpan w:val="3"/>
          </w:tcPr>
          <w:p>
            <w:pPr>
              <w:spacing w:after="0"/>
              <w:rPr>
                <w:sz w:val="20"/>
                <w:szCs w:val="20"/>
                <w:color w:val="auto"/>
              </w:rPr>
            </w:pPr>
            <w:r>
              <w:rPr>
                <w:rFonts w:ascii="Arial" w:cs="Arial" w:eastAsia="Arial" w:hAnsi="Arial"/>
                <w:sz w:val="20"/>
                <w:szCs w:val="20"/>
                <w:color w:val="auto"/>
              </w:rPr>
              <w:t>termination of this Agreement.</w:t>
            </w:r>
          </w:p>
        </w:tc>
        <w:tc>
          <w:tcPr>
            <w:tcW w:w="5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428"/>
        </w:trPr>
        <w:tc>
          <w:tcPr>
            <w:tcW w:w="6400" w:type="dxa"/>
            <w:vAlign w:val="bottom"/>
            <w:gridSpan w:val="6"/>
          </w:tcPr>
          <w:p>
            <w:pPr>
              <w:ind w:left="600"/>
              <w:spacing w:after="0"/>
              <w:rPr>
                <w:sz w:val="20"/>
                <w:szCs w:val="20"/>
                <w:color w:val="auto"/>
              </w:rPr>
            </w:pPr>
            <w:r>
              <w:rPr>
                <w:rFonts w:ascii="Arial" w:cs="Arial" w:eastAsia="Arial" w:hAnsi="Arial"/>
                <w:sz w:val="20"/>
                <w:szCs w:val="20"/>
                <w:color w:val="auto"/>
                <w:w w:val="98"/>
              </w:rPr>
              <w:t>(c)   Termination Fee. If this Agreement is terminated pursuant to [</w:t>
            </w:r>
          </w:p>
        </w:tc>
        <w:tc>
          <w:tcPr>
            <w:tcW w:w="580" w:type="dxa"/>
            <w:vAlign w:val="bottom"/>
          </w:tcPr>
          <w:p>
            <w:pPr>
              <w:jc w:val="right"/>
              <w:ind w:right="140"/>
              <w:spacing w:after="0"/>
              <w:rPr>
                <w:sz w:val="20"/>
                <w:szCs w:val="20"/>
                <w:color w:val="auto"/>
              </w:rPr>
            </w:pPr>
            <w:r>
              <w:rPr>
                <w:rFonts w:ascii="Arial" w:cs="Arial" w:eastAsia="Arial" w:hAnsi="Arial"/>
                <w:sz w:val="20"/>
                <w:szCs w:val="20"/>
                <w:color w:val="auto"/>
              </w:rPr>
              <w:t>***</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80" w:type="dxa"/>
            <w:vAlign w:val="bottom"/>
            <w:gridSpan w:val="6"/>
          </w:tcPr>
          <w:p>
            <w:pPr>
              <w:jc w:val="right"/>
              <w:spacing w:after="0"/>
              <w:rPr>
                <w:sz w:val="20"/>
                <w:szCs w:val="20"/>
                <w:color w:val="auto"/>
              </w:rPr>
            </w:pPr>
            <w:r>
              <w:rPr>
                <w:rFonts w:ascii="Arial" w:cs="Arial" w:eastAsia="Arial" w:hAnsi="Arial"/>
                <w:sz w:val="20"/>
                <w:szCs w:val="20"/>
                <w:color w:val="auto"/>
                <w:w w:val="93"/>
              </w:rPr>
              <w:t>] the Insurer shall also pay to the Company, by wire</w:t>
            </w:r>
          </w:p>
        </w:tc>
      </w:tr>
      <w:tr>
        <w:trPr>
          <w:trHeight w:val="20"/>
        </w:trPr>
        <w:tc>
          <w:tcPr>
            <w:tcW w:w="106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65"/>
        </w:trPr>
        <w:tc>
          <w:tcPr>
            <w:tcW w:w="4640" w:type="dxa"/>
            <w:vAlign w:val="bottom"/>
            <w:gridSpan w:val="4"/>
          </w:tcPr>
          <w:p>
            <w:pPr>
              <w:spacing w:after="0"/>
              <w:rPr>
                <w:sz w:val="20"/>
                <w:szCs w:val="20"/>
                <w:color w:val="auto"/>
              </w:rPr>
            </w:pPr>
            <w:r>
              <w:rPr>
                <w:rFonts w:ascii="Arial" w:cs="Arial" w:eastAsia="Arial" w:hAnsi="Arial"/>
                <w:sz w:val="20"/>
                <w:szCs w:val="20"/>
                <w:color w:val="auto"/>
                <w:w w:val="95"/>
              </w:rPr>
              <w:t>transfer of immediately available funds, the amount of [</w:t>
            </w:r>
          </w:p>
        </w:tc>
        <w:tc>
          <w:tcPr>
            <w:tcW w:w="560" w:type="dxa"/>
            <w:vAlign w:val="bottom"/>
          </w:tcPr>
          <w:p>
            <w:pPr>
              <w:jc w:val="right"/>
              <w:ind w:right="80"/>
              <w:spacing w:after="0"/>
              <w:rPr>
                <w:sz w:val="20"/>
                <w:szCs w:val="20"/>
                <w:color w:val="auto"/>
              </w:rPr>
            </w:pPr>
            <w:r>
              <w:rPr>
                <w:rFonts w:ascii="Arial" w:cs="Arial" w:eastAsia="Arial" w:hAnsi="Arial"/>
                <w:sz w:val="20"/>
                <w:szCs w:val="20"/>
                <w:color w:val="auto"/>
              </w:rPr>
              <w:t>***</w:t>
            </w:r>
          </w:p>
        </w:tc>
        <w:tc>
          <w:tcPr>
            <w:tcW w:w="1200" w:type="dxa"/>
            <w:vAlign w:val="bottom"/>
          </w:tcPr>
          <w:p>
            <w:pPr>
              <w:jc w:val="right"/>
              <w:ind w:right="868"/>
              <w:spacing w:after="0"/>
              <w:rPr>
                <w:sz w:val="20"/>
                <w:szCs w:val="20"/>
                <w:color w:val="auto"/>
              </w:rPr>
            </w:pPr>
            <w:r>
              <w:rPr>
                <w:rFonts w:ascii="Arial" w:cs="Arial" w:eastAsia="Arial" w:hAnsi="Arial"/>
                <w:sz w:val="20"/>
                <w:szCs w:val="20"/>
                <w:color w:val="auto"/>
              </w:rPr>
              <w:t>]</w:t>
            </w: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416"/>
        </w:trPr>
        <w:tc>
          <w:tcPr>
            <w:tcW w:w="10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0" w:type="dxa"/>
            <w:vAlign w:val="bottom"/>
          </w:tcPr>
          <w:p>
            <w:pPr>
              <w:jc w:val="right"/>
              <w:ind w:right="508"/>
              <w:spacing w:after="0"/>
              <w:rPr>
                <w:sz w:val="20"/>
                <w:szCs w:val="20"/>
                <w:color w:val="auto"/>
              </w:rPr>
            </w:pPr>
            <w:r>
              <w:rPr>
                <w:rFonts w:ascii="Arial" w:cs="Arial" w:eastAsia="Arial" w:hAnsi="Arial"/>
                <w:sz w:val="17"/>
                <w:szCs w:val="17"/>
                <w:color w:val="auto"/>
              </w:rPr>
              <w:t>59</w:t>
            </w: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ectPr>
          <w:pgSz w:w="11900" w:h="16838" w:orient="portrait"/>
          <w:cols w:equalWidth="0" w:num="1">
            <w:col w:w="11420"/>
          </w:cols>
          <w:pgMar w:left="240" w:top="557" w:right="239" w:bottom="1440" w:gutter="0" w:footer="0" w:header="0"/>
        </w:sectPr>
      </w:pPr>
    </w:p>
    <w:bookmarkStart w:id="70" w:name="page71"/>
    <w:bookmarkEnd w:id="70"/>
    <w:p>
      <w:pPr>
        <w:ind w:left="440" w:hanging="439"/>
        <w:spacing w:after="0"/>
        <w:tabs>
          <w:tab w:leader="none" w:pos="440" w:val="left"/>
        </w:tabs>
        <w:numPr>
          <w:ilvl w:val="0"/>
          <w:numId w:val="100"/>
        </w:numPr>
        <w:rPr>
          <w:rFonts w:ascii="Arial" w:cs="Arial" w:eastAsia="Arial" w:hAnsi="Arial"/>
          <w:sz w:val="20"/>
          <w:szCs w:val="20"/>
          <w:color w:val="auto"/>
        </w:rPr>
      </w:pPr>
      <w:r>
        <w:rPr>
          <w:rFonts w:ascii="Arial" w:cs="Arial" w:eastAsia="Arial" w:hAnsi="Arial"/>
          <w:sz w:val="20"/>
          <w:szCs w:val="20"/>
          <w:u w:val="single" w:color="auto"/>
          <w:color w:val="auto"/>
        </w:rPr>
        <w:t>Extension</w:t>
      </w:r>
      <w:r>
        <w:rPr>
          <w:rFonts w:ascii="Arial" w:cs="Arial" w:eastAsia="Arial" w:hAnsi="Arial"/>
          <w:sz w:val="20"/>
          <w:szCs w:val="20"/>
          <w:color w:val="auto"/>
        </w:rPr>
        <w:t>.</w:t>
      </w:r>
    </w:p>
    <w:p>
      <w:pPr>
        <w:spacing w:after="0" w:line="246" w:lineRule="exact"/>
        <w:rPr>
          <w:sz w:val="20"/>
          <w:szCs w:val="20"/>
          <w:color w:val="auto"/>
        </w:rPr>
      </w:pPr>
    </w:p>
    <w:p>
      <w:pPr>
        <w:jc w:val="both"/>
        <w:ind w:firstLine="601"/>
        <w:spacing w:after="0" w:line="267" w:lineRule="auto"/>
        <w:rPr>
          <w:sz w:val="20"/>
          <w:szCs w:val="20"/>
          <w:color w:val="auto"/>
        </w:rPr>
      </w:pPr>
      <w:r>
        <w:rPr>
          <w:rFonts w:ascii="Arial" w:cs="Arial" w:eastAsia="Arial" w:hAnsi="Arial"/>
          <w:sz w:val="19"/>
          <w:szCs w:val="19"/>
          <w:color w:val="auto"/>
        </w:rPr>
        <w:t xml:space="preserve">(i) </w:t>
      </w:r>
      <w:r>
        <w:rPr>
          <w:rFonts w:ascii="Arial" w:cs="Arial" w:eastAsia="Arial" w:hAnsi="Arial"/>
          <w:sz w:val="19"/>
          <w:szCs w:val="19"/>
          <w:u w:val="single" w:color="auto"/>
          <w:color w:val="auto"/>
        </w:rPr>
        <w:t>Re-Pricing Offer</w:t>
      </w:r>
      <w:r>
        <w:rPr>
          <w:rFonts w:ascii="Arial" w:cs="Arial" w:eastAsia="Arial" w:hAnsi="Arial"/>
          <w:sz w:val="19"/>
          <w:szCs w:val="19"/>
          <w:color w:val="auto"/>
        </w:rPr>
        <w:t>. The Outside Date shall be deemed to be extended to [ *** ] if, on or before December 28, 2012, the Company delivers a request to the Insurer in writing that the Insurer deliver a Re-Pricing Offer (the “</w:t>
      </w:r>
      <w:r>
        <w:rPr>
          <w:rFonts w:ascii="Arial" w:cs="Arial" w:eastAsia="Arial" w:hAnsi="Arial"/>
          <w:sz w:val="19"/>
          <w:szCs w:val="19"/>
          <w:u w:val="single" w:color="auto"/>
          <w:color w:val="auto"/>
        </w:rPr>
        <w:t>Re-Pricing Request</w:t>
      </w:r>
      <w:r>
        <w:rPr>
          <w:rFonts w:ascii="Arial" w:cs="Arial" w:eastAsia="Arial" w:hAnsi="Arial"/>
          <w:sz w:val="19"/>
          <w:szCs w:val="19"/>
          <w:color w:val="auto"/>
        </w:rPr>
        <w:t>”). In such circumstance, on or prior to January 15, 2013, the Insurer shall deliver to the Company and the Independent Fiduciary a</w:t>
      </w:r>
    </w:p>
    <w:tbl>
      <w:tblPr>
        <w:tblLayout w:type="fixed"/>
        <w:tblInd w:w="0" w:type="dxa"/>
        <w:tblCellMar>
          <w:top w:w="0" w:type="dxa"/>
          <w:left w:w="0" w:type="dxa"/>
          <w:bottom w:w="0" w:type="dxa"/>
          <w:right w:w="0" w:type="dxa"/>
        </w:tblCellMar>
      </w:tblPr>
      <w:tr>
        <w:trPr>
          <w:trHeight w:val="193"/>
        </w:trPr>
        <w:tc>
          <w:tcPr>
            <w:tcW w:w="1440" w:type="dxa"/>
            <w:vAlign w:val="bottom"/>
          </w:tcPr>
          <w:p>
            <w:pPr>
              <w:spacing w:after="0" w:line="193" w:lineRule="exact"/>
              <w:rPr>
                <w:sz w:val="20"/>
                <w:szCs w:val="20"/>
                <w:color w:val="auto"/>
              </w:rPr>
            </w:pPr>
            <w:r>
              <w:rPr>
                <w:rFonts w:ascii="Arial" w:cs="Arial" w:eastAsia="Arial" w:hAnsi="Arial"/>
                <w:sz w:val="20"/>
                <w:szCs w:val="20"/>
                <w:color w:val="auto"/>
              </w:rPr>
              <w:t>written [   ***</w:t>
            </w:r>
          </w:p>
        </w:tc>
        <w:tc>
          <w:tcPr>
            <w:tcW w:w="9380" w:type="dxa"/>
            <w:vAlign w:val="bottom"/>
            <w:gridSpan w:val="4"/>
          </w:tcPr>
          <w:p>
            <w:pPr>
              <w:jc w:val="right"/>
              <w:spacing w:after="0" w:line="193" w:lineRule="exact"/>
              <w:rPr>
                <w:sz w:val="20"/>
                <w:szCs w:val="20"/>
                <w:color w:val="auto"/>
              </w:rPr>
            </w:pPr>
            <w:r>
              <w:rPr>
                <w:rFonts w:ascii="Arial" w:cs="Arial" w:eastAsia="Arial" w:hAnsi="Arial"/>
                <w:sz w:val="20"/>
                <w:szCs w:val="20"/>
                <w:color w:val="auto"/>
                <w:w w:val="94"/>
              </w:rPr>
              <w:t>] offer (the “Re-Pricing Offer”), which shall be determined by the Insurer based on pricing methodologies that are</w:t>
            </w:r>
          </w:p>
        </w:tc>
      </w:tr>
      <w:tr>
        <w:trPr>
          <w:trHeight w:val="20"/>
        </w:trPr>
        <w:tc>
          <w:tcPr>
            <w:tcW w:w="2660" w:type="dxa"/>
            <w:vAlign w:val="bottom"/>
            <w:gridSpan w:val="2"/>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r>
      <w:tr>
        <w:trPr>
          <w:trHeight w:val="265"/>
        </w:trPr>
        <w:tc>
          <w:tcPr>
            <w:tcW w:w="3500" w:type="dxa"/>
            <w:vAlign w:val="bottom"/>
            <w:gridSpan w:val="3"/>
          </w:tcPr>
          <w:p>
            <w:pPr>
              <w:spacing w:after="0"/>
              <w:rPr>
                <w:sz w:val="20"/>
                <w:szCs w:val="20"/>
                <w:color w:val="auto"/>
              </w:rPr>
            </w:pPr>
            <w:r>
              <w:rPr>
                <w:rFonts w:ascii="Arial" w:cs="Arial" w:eastAsia="Arial" w:hAnsi="Arial"/>
                <w:sz w:val="20"/>
                <w:szCs w:val="20"/>
                <w:color w:val="auto"/>
                <w:w w:val="98"/>
              </w:rPr>
              <w:t>the same as the pricing methodologies [</w:t>
            </w:r>
          </w:p>
        </w:tc>
        <w:tc>
          <w:tcPr>
            <w:tcW w:w="500" w:type="dxa"/>
            <w:vAlign w:val="bottom"/>
          </w:tcPr>
          <w:p>
            <w:pPr>
              <w:jc w:val="right"/>
              <w:spacing w:after="0"/>
              <w:rPr>
                <w:sz w:val="20"/>
                <w:szCs w:val="20"/>
                <w:color w:val="auto"/>
              </w:rPr>
            </w:pPr>
            <w:r>
              <w:rPr>
                <w:rFonts w:ascii="Arial" w:cs="Arial" w:eastAsia="Arial" w:hAnsi="Arial"/>
                <w:sz w:val="20"/>
                <w:szCs w:val="20"/>
                <w:color w:val="auto"/>
              </w:rPr>
              <w:t>***</w:t>
            </w:r>
          </w:p>
        </w:tc>
        <w:tc>
          <w:tcPr>
            <w:tcW w:w="6820" w:type="dxa"/>
            <w:vAlign w:val="bottom"/>
          </w:tcPr>
          <w:p>
            <w:pPr>
              <w:jc w:val="right"/>
              <w:spacing w:after="0"/>
              <w:rPr>
                <w:sz w:val="20"/>
                <w:szCs w:val="20"/>
                <w:color w:val="auto"/>
              </w:rPr>
            </w:pPr>
            <w:r>
              <w:rPr>
                <w:rFonts w:ascii="Arial" w:cs="Arial" w:eastAsia="Arial" w:hAnsi="Arial"/>
                <w:sz w:val="20"/>
                <w:szCs w:val="20"/>
                <w:color w:val="auto"/>
              </w:rPr>
              <w:t>] used to develop the Base Annuity Premium and the Revised Base Annuity</w:t>
            </w:r>
          </w:p>
        </w:tc>
      </w:tr>
    </w:tbl>
    <w:p>
      <w:pPr>
        <w:jc w:val="both"/>
        <w:spacing w:after="0" w:line="275" w:lineRule="auto"/>
        <w:rPr>
          <w:sz w:val="20"/>
          <w:szCs w:val="20"/>
          <w:color w:val="auto"/>
        </w:rPr>
      </w:pPr>
      <w:r>
        <w:rPr>
          <w:rFonts w:ascii="Arial" w:cs="Arial" w:eastAsia="Arial" w:hAnsi="Arial"/>
          <w:sz w:val="18"/>
          <w:szCs w:val="18"/>
          <w:color w:val="auto"/>
        </w:rPr>
        <w:t xml:space="preserve">Premium, including the pricing methodologies set forth in </w:t>
      </w:r>
      <w:r>
        <w:rPr>
          <w:rFonts w:ascii="Arial" w:cs="Arial" w:eastAsia="Arial" w:hAnsi="Arial"/>
          <w:sz w:val="18"/>
          <w:szCs w:val="18"/>
          <w:u w:val="single" w:color="auto"/>
          <w:color w:val="auto"/>
        </w:rPr>
        <w:t>Article II</w:t>
      </w:r>
      <w:r>
        <w:rPr>
          <w:rFonts w:ascii="Arial" w:cs="Arial" w:eastAsia="Arial" w:hAnsi="Arial"/>
          <w:sz w:val="18"/>
          <w:szCs w:val="18"/>
          <w:color w:val="auto"/>
        </w:rPr>
        <w:t xml:space="preserve"> and the Procedures Manual and on the Identified CD-ROM (the “</w:t>
      </w:r>
      <w:r>
        <w:rPr>
          <w:rFonts w:ascii="Arial" w:cs="Arial" w:eastAsia="Arial" w:hAnsi="Arial"/>
          <w:sz w:val="18"/>
          <w:szCs w:val="18"/>
          <w:u w:val="single" w:color="auto"/>
          <w:color w:val="auto"/>
        </w:rPr>
        <w:t>Original Pricing Methodologies</w:t>
      </w:r>
      <w:r>
        <w:rPr>
          <w:rFonts w:ascii="Arial" w:cs="Arial" w:eastAsia="Arial" w:hAnsi="Arial"/>
          <w:sz w:val="18"/>
          <w:szCs w:val="18"/>
          <w:color w:val="auto"/>
        </w:rPr>
        <w:t xml:space="preserve">”), updated to reflect the agreed methodologies and changes determined pursuant to </w:t>
      </w:r>
      <w:r>
        <w:rPr>
          <w:rFonts w:ascii="Arial" w:cs="Arial" w:eastAsia="Arial" w:hAnsi="Arial"/>
          <w:sz w:val="18"/>
          <w:szCs w:val="18"/>
          <w:u w:val="single" w:color="auto"/>
          <w:color w:val="auto"/>
        </w:rPr>
        <w:t>Section 2.7(b)</w:t>
      </w:r>
    </w:p>
    <w:tbl>
      <w:tblPr>
        <w:tblLayout w:type="fixed"/>
        <w:tblInd w:w="0" w:type="dxa"/>
        <w:tblCellMar>
          <w:top w:w="0" w:type="dxa"/>
          <w:left w:w="0" w:type="dxa"/>
          <w:bottom w:w="0" w:type="dxa"/>
          <w:right w:w="0" w:type="dxa"/>
        </w:tblCellMar>
      </w:tblPr>
      <w:tr>
        <w:trPr>
          <w:trHeight w:val="192"/>
        </w:trPr>
        <w:tc>
          <w:tcPr>
            <w:tcW w:w="1760" w:type="dxa"/>
            <w:vAlign w:val="bottom"/>
            <w:gridSpan w:val="3"/>
          </w:tcPr>
          <w:p>
            <w:pPr>
              <w:spacing w:after="0" w:line="192" w:lineRule="exact"/>
              <w:rPr>
                <w:sz w:val="20"/>
                <w:szCs w:val="20"/>
                <w:color w:val="auto"/>
              </w:rPr>
            </w:pPr>
            <w:r>
              <w:rPr>
                <w:rFonts w:ascii="Arial" w:cs="Arial" w:eastAsia="Arial" w:hAnsi="Arial"/>
                <w:sz w:val="20"/>
                <w:szCs w:val="20"/>
                <w:color w:val="auto"/>
                <w:w w:val="96"/>
              </w:rPr>
              <w:t>and Section 2.8(b), [</w:t>
            </w:r>
          </w:p>
        </w:tc>
        <w:tc>
          <w:tcPr>
            <w:tcW w:w="520" w:type="dxa"/>
            <w:vAlign w:val="bottom"/>
          </w:tcPr>
          <w:p>
            <w:pPr>
              <w:jc w:val="right"/>
              <w:spacing w:after="0" w:line="192" w:lineRule="exact"/>
              <w:rPr>
                <w:sz w:val="20"/>
                <w:szCs w:val="20"/>
                <w:color w:val="auto"/>
              </w:rPr>
            </w:pPr>
            <w:r>
              <w:rPr>
                <w:rFonts w:ascii="Arial" w:cs="Arial" w:eastAsia="Arial" w:hAnsi="Arial"/>
                <w:sz w:val="20"/>
                <w:szCs w:val="20"/>
                <w:color w:val="auto"/>
              </w:rPr>
              <w:t>***</w:t>
            </w:r>
          </w:p>
        </w:tc>
        <w:tc>
          <w:tcPr>
            <w:tcW w:w="580" w:type="dxa"/>
            <w:vAlign w:val="bottom"/>
          </w:tcPr>
          <w:p>
            <w:pPr>
              <w:jc w:val="right"/>
              <w:ind w:right="100"/>
              <w:spacing w:after="0" w:line="192" w:lineRule="exact"/>
              <w:rPr>
                <w:sz w:val="20"/>
                <w:szCs w:val="20"/>
                <w:color w:val="auto"/>
              </w:rPr>
            </w:pPr>
            <w:r>
              <w:rPr>
                <w:rFonts w:ascii="Arial" w:cs="Arial" w:eastAsia="Arial" w:hAnsi="Arial"/>
                <w:sz w:val="20"/>
                <w:szCs w:val="20"/>
                <w:color w:val="auto"/>
              </w:rPr>
              <w:t>]:</w:t>
            </w:r>
          </w:p>
        </w:tc>
        <w:tc>
          <w:tcPr>
            <w:tcW w:w="260" w:type="dxa"/>
            <w:vAlign w:val="bottom"/>
          </w:tcPr>
          <w:p>
            <w:pPr>
              <w:spacing w:after="0"/>
              <w:rPr>
                <w:sz w:val="16"/>
                <w:szCs w:val="16"/>
                <w:color w:val="auto"/>
              </w:rPr>
            </w:pPr>
          </w:p>
        </w:tc>
      </w:tr>
      <w:tr>
        <w:trPr>
          <w:trHeight w:val="20"/>
        </w:trPr>
        <w:tc>
          <w:tcPr>
            <w:tcW w:w="3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503"/>
        </w:trPr>
        <w:tc>
          <w:tcPr>
            <w:tcW w:w="340" w:type="dxa"/>
            <w:vAlign w:val="bottom"/>
          </w:tcPr>
          <w:p>
            <w:pPr>
              <w:spacing w:after="0"/>
              <w:rPr>
                <w:sz w:val="24"/>
                <w:szCs w:val="24"/>
                <w:color w:val="auto"/>
              </w:rPr>
            </w:pPr>
          </w:p>
        </w:tc>
        <w:tc>
          <w:tcPr>
            <w:tcW w:w="1420" w:type="dxa"/>
            <w:vAlign w:val="bottom"/>
            <w:gridSpan w:val="2"/>
          </w:tcPr>
          <w:p>
            <w:pPr>
              <w:ind w:left="860"/>
              <w:spacing w:after="0"/>
              <w:rPr>
                <w:sz w:val="20"/>
                <w:szCs w:val="20"/>
                <w:color w:val="auto"/>
              </w:rPr>
            </w:pPr>
            <w:r>
              <w:rPr>
                <w:rFonts w:ascii="Arial" w:cs="Arial" w:eastAsia="Arial" w:hAnsi="Arial"/>
                <w:sz w:val="20"/>
                <w:szCs w:val="20"/>
                <w:color w:val="auto"/>
              </w:rPr>
              <w:t>(A)</w:t>
            </w:r>
          </w:p>
        </w:tc>
        <w:tc>
          <w:tcPr>
            <w:tcW w:w="520" w:type="dxa"/>
            <w:vAlign w:val="bottom"/>
          </w:tcPr>
          <w:p>
            <w:pPr>
              <w:jc w:val="right"/>
              <w:ind w:right="40"/>
              <w:spacing w:after="0"/>
              <w:rPr>
                <w:sz w:val="20"/>
                <w:szCs w:val="20"/>
                <w:color w:val="auto"/>
              </w:rPr>
            </w:pPr>
            <w:r>
              <w:rPr>
                <w:rFonts w:ascii="Arial" w:cs="Arial" w:eastAsia="Arial" w:hAnsi="Arial"/>
                <w:sz w:val="20"/>
                <w:szCs w:val="20"/>
                <w:color w:val="auto"/>
              </w:rPr>
              <w:t>[</w:t>
            </w:r>
          </w:p>
        </w:tc>
        <w:tc>
          <w:tcPr>
            <w:tcW w:w="580" w:type="dxa"/>
            <w:vAlign w:val="bottom"/>
          </w:tcPr>
          <w:p>
            <w:pPr>
              <w:jc w:val="right"/>
              <w:ind w:right="60"/>
              <w:spacing w:after="0"/>
              <w:rPr>
                <w:sz w:val="20"/>
                <w:szCs w:val="20"/>
                <w:color w:val="auto"/>
              </w:rPr>
            </w:pPr>
            <w:r>
              <w:rPr>
                <w:rFonts w:ascii="Arial" w:cs="Arial" w:eastAsia="Arial" w:hAnsi="Arial"/>
                <w:sz w:val="20"/>
                <w:szCs w:val="20"/>
                <w:color w:val="auto"/>
              </w:rPr>
              <w:t>***</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476"/>
        </w:trPr>
        <w:tc>
          <w:tcPr>
            <w:tcW w:w="340" w:type="dxa"/>
            <w:vAlign w:val="bottom"/>
          </w:tcPr>
          <w:p>
            <w:pPr>
              <w:spacing w:after="0"/>
              <w:rPr>
                <w:sz w:val="24"/>
                <w:szCs w:val="24"/>
                <w:color w:val="auto"/>
              </w:rPr>
            </w:pPr>
          </w:p>
        </w:tc>
        <w:tc>
          <w:tcPr>
            <w:tcW w:w="1420" w:type="dxa"/>
            <w:vAlign w:val="bottom"/>
            <w:gridSpan w:val="2"/>
          </w:tcPr>
          <w:p>
            <w:pPr>
              <w:ind w:left="860"/>
              <w:spacing w:after="0"/>
              <w:rPr>
                <w:sz w:val="20"/>
                <w:szCs w:val="20"/>
                <w:color w:val="auto"/>
              </w:rPr>
            </w:pPr>
            <w:r>
              <w:rPr>
                <w:rFonts w:ascii="Arial" w:cs="Arial" w:eastAsia="Arial" w:hAnsi="Arial"/>
                <w:sz w:val="20"/>
                <w:szCs w:val="20"/>
                <w:color w:val="auto"/>
              </w:rPr>
              <w:t>(B)</w:t>
            </w:r>
          </w:p>
        </w:tc>
        <w:tc>
          <w:tcPr>
            <w:tcW w:w="520" w:type="dxa"/>
            <w:vAlign w:val="bottom"/>
          </w:tcPr>
          <w:p>
            <w:pPr>
              <w:jc w:val="right"/>
              <w:ind w:right="40"/>
              <w:spacing w:after="0"/>
              <w:rPr>
                <w:sz w:val="20"/>
                <w:szCs w:val="20"/>
                <w:color w:val="auto"/>
              </w:rPr>
            </w:pPr>
            <w:r>
              <w:rPr>
                <w:rFonts w:ascii="Arial" w:cs="Arial" w:eastAsia="Arial" w:hAnsi="Arial"/>
                <w:sz w:val="20"/>
                <w:szCs w:val="20"/>
                <w:color w:val="auto"/>
              </w:rPr>
              <w:t>[</w:t>
            </w:r>
          </w:p>
        </w:tc>
        <w:tc>
          <w:tcPr>
            <w:tcW w:w="580" w:type="dxa"/>
            <w:vAlign w:val="bottom"/>
          </w:tcPr>
          <w:p>
            <w:pPr>
              <w:jc w:val="right"/>
              <w:ind w:right="80"/>
              <w:spacing w:after="0"/>
              <w:rPr>
                <w:sz w:val="20"/>
                <w:szCs w:val="20"/>
                <w:color w:val="auto"/>
              </w:rPr>
            </w:pPr>
            <w:r>
              <w:rPr>
                <w:rFonts w:ascii="Arial" w:cs="Arial" w:eastAsia="Arial" w:hAnsi="Arial"/>
                <w:sz w:val="20"/>
                <w:szCs w:val="20"/>
                <w:color w:val="auto"/>
              </w:rPr>
              <w:t>***</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476"/>
        </w:trPr>
        <w:tc>
          <w:tcPr>
            <w:tcW w:w="340" w:type="dxa"/>
            <w:vAlign w:val="bottom"/>
          </w:tcPr>
          <w:p>
            <w:pPr>
              <w:spacing w:after="0"/>
              <w:rPr>
                <w:sz w:val="24"/>
                <w:szCs w:val="24"/>
                <w:color w:val="auto"/>
              </w:rPr>
            </w:pPr>
          </w:p>
        </w:tc>
        <w:tc>
          <w:tcPr>
            <w:tcW w:w="1420" w:type="dxa"/>
            <w:vAlign w:val="bottom"/>
            <w:gridSpan w:val="2"/>
          </w:tcPr>
          <w:p>
            <w:pPr>
              <w:ind w:left="860"/>
              <w:spacing w:after="0"/>
              <w:rPr>
                <w:sz w:val="20"/>
                <w:szCs w:val="20"/>
                <w:color w:val="auto"/>
              </w:rPr>
            </w:pPr>
            <w:r>
              <w:rPr>
                <w:rFonts w:ascii="Arial" w:cs="Arial" w:eastAsia="Arial" w:hAnsi="Arial"/>
                <w:sz w:val="20"/>
                <w:szCs w:val="20"/>
                <w:color w:val="auto"/>
              </w:rPr>
              <w:t>(C)</w:t>
            </w:r>
          </w:p>
        </w:tc>
        <w:tc>
          <w:tcPr>
            <w:tcW w:w="520" w:type="dxa"/>
            <w:vAlign w:val="bottom"/>
          </w:tcPr>
          <w:p>
            <w:pPr>
              <w:jc w:val="right"/>
              <w:ind w:right="40"/>
              <w:spacing w:after="0"/>
              <w:rPr>
                <w:sz w:val="20"/>
                <w:szCs w:val="20"/>
                <w:color w:val="auto"/>
              </w:rPr>
            </w:pPr>
            <w:r>
              <w:rPr>
                <w:rFonts w:ascii="Arial" w:cs="Arial" w:eastAsia="Arial" w:hAnsi="Arial"/>
                <w:sz w:val="20"/>
                <w:szCs w:val="20"/>
                <w:color w:val="auto"/>
              </w:rPr>
              <w:t>[</w:t>
            </w:r>
          </w:p>
        </w:tc>
        <w:tc>
          <w:tcPr>
            <w:tcW w:w="580" w:type="dxa"/>
            <w:vAlign w:val="bottom"/>
          </w:tcPr>
          <w:p>
            <w:pPr>
              <w:jc w:val="right"/>
              <w:ind w:right="80"/>
              <w:spacing w:after="0"/>
              <w:rPr>
                <w:sz w:val="20"/>
                <w:szCs w:val="20"/>
                <w:color w:val="auto"/>
              </w:rPr>
            </w:pPr>
            <w:r>
              <w:rPr>
                <w:rFonts w:ascii="Arial" w:cs="Arial" w:eastAsia="Arial" w:hAnsi="Arial"/>
                <w:sz w:val="20"/>
                <w:szCs w:val="20"/>
                <w:color w:val="auto"/>
              </w:rPr>
              <w:t>***</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476"/>
        </w:trPr>
        <w:tc>
          <w:tcPr>
            <w:tcW w:w="340" w:type="dxa"/>
            <w:vAlign w:val="bottom"/>
          </w:tcPr>
          <w:p>
            <w:pPr>
              <w:spacing w:after="0"/>
              <w:rPr>
                <w:sz w:val="24"/>
                <w:szCs w:val="24"/>
                <w:color w:val="auto"/>
              </w:rPr>
            </w:pPr>
          </w:p>
        </w:tc>
        <w:tc>
          <w:tcPr>
            <w:tcW w:w="1420" w:type="dxa"/>
            <w:vAlign w:val="bottom"/>
            <w:gridSpan w:val="2"/>
          </w:tcPr>
          <w:p>
            <w:pPr>
              <w:ind w:left="860"/>
              <w:spacing w:after="0"/>
              <w:rPr>
                <w:sz w:val="20"/>
                <w:szCs w:val="20"/>
                <w:color w:val="auto"/>
              </w:rPr>
            </w:pPr>
            <w:r>
              <w:rPr>
                <w:rFonts w:ascii="Arial" w:cs="Arial" w:eastAsia="Arial" w:hAnsi="Arial"/>
                <w:sz w:val="20"/>
                <w:szCs w:val="20"/>
                <w:color w:val="auto"/>
              </w:rPr>
              <w:t>(D)</w:t>
            </w:r>
          </w:p>
        </w:tc>
        <w:tc>
          <w:tcPr>
            <w:tcW w:w="520" w:type="dxa"/>
            <w:vAlign w:val="bottom"/>
          </w:tcPr>
          <w:p>
            <w:pPr>
              <w:jc w:val="right"/>
              <w:ind w:right="40"/>
              <w:spacing w:after="0"/>
              <w:rPr>
                <w:sz w:val="20"/>
                <w:szCs w:val="20"/>
                <w:color w:val="auto"/>
              </w:rPr>
            </w:pPr>
            <w:r>
              <w:rPr>
                <w:rFonts w:ascii="Arial" w:cs="Arial" w:eastAsia="Arial" w:hAnsi="Arial"/>
                <w:sz w:val="20"/>
                <w:szCs w:val="20"/>
                <w:color w:val="auto"/>
              </w:rPr>
              <w:t>[</w:t>
            </w:r>
          </w:p>
        </w:tc>
        <w:tc>
          <w:tcPr>
            <w:tcW w:w="580" w:type="dxa"/>
            <w:vAlign w:val="bottom"/>
          </w:tcPr>
          <w:p>
            <w:pPr>
              <w:jc w:val="right"/>
              <w:ind w:right="60"/>
              <w:spacing w:after="0"/>
              <w:rPr>
                <w:sz w:val="20"/>
                <w:szCs w:val="20"/>
                <w:color w:val="auto"/>
              </w:rPr>
            </w:pPr>
            <w:r>
              <w:rPr>
                <w:rFonts w:ascii="Arial" w:cs="Arial" w:eastAsia="Arial" w:hAnsi="Arial"/>
                <w:sz w:val="20"/>
                <w:szCs w:val="20"/>
                <w:color w:val="auto"/>
              </w:rPr>
              <w:t>***</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476"/>
        </w:trPr>
        <w:tc>
          <w:tcPr>
            <w:tcW w:w="340" w:type="dxa"/>
            <w:vAlign w:val="bottom"/>
          </w:tcPr>
          <w:p>
            <w:pPr>
              <w:spacing w:after="0"/>
              <w:rPr>
                <w:sz w:val="24"/>
                <w:szCs w:val="24"/>
                <w:color w:val="auto"/>
              </w:rPr>
            </w:pPr>
          </w:p>
        </w:tc>
        <w:tc>
          <w:tcPr>
            <w:tcW w:w="1420" w:type="dxa"/>
            <w:vAlign w:val="bottom"/>
            <w:gridSpan w:val="2"/>
          </w:tcPr>
          <w:p>
            <w:pPr>
              <w:ind w:left="860"/>
              <w:spacing w:after="0"/>
              <w:rPr>
                <w:sz w:val="20"/>
                <w:szCs w:val="20"/>
                <w:color w:val="auto"/>
              </w:rPr>
            </w:pPr>
            <w:r>
              <w:rPr>
                <w:rFonts w:ascii="Arial" w:cs="Arial" w:eastAsia="Arial" w:hAnsi="Arial"/>
                <w:sz w:val="20"/>
                <w:szCs w:val="20"/>
                <w:color w:val="auto"/>
              </w:rPr>
              <w:t>(E)</w:t>
            </w:r>
          </w:p>
        </w:tc>
        <w:tc>
          <w:tcPr>
            <w:tcW w:w="520" w:type="dxa"/>
            <w:vAlign w:val="bottom"/>
          </w:tcPr>
          <w:p>
            <w:pPr>
              <w:jc w:val="right"/>
              <w:ind w:right="60"/>
              <w:spacing w:after="0"/>
              <w:rPr>
                <w:sz w:val="20"/>
                <w:szCs w:val="20"/>
                <w:color w:val="auto"/>
              </w:rPr>
            </w:pPr>
            <w:r>
              <w:rPr>
                <w:rFonts w:ascii="Arial" w:cs="Arial" w:eastAsia="Arial" w:hAnsi="Arial"/>
                <w:sz w:val="20"/>
                <w:szCs w:val="20"/>
                <w:color w:val="auto"/>
              </w:rPr>
              <w:t>[</w:t>
            </w:r>
          </w:p>
        </w:tc>
        <w:tc>
          <w:tcPr>
            <w:tcW w:w="580" w:type="dxa"/>
            <w:vAlign w:val="bottom"/>
          </w:tcPr>
          <w:p>
            <w:pPr>
              <w:jc w:val="right"/>
              <w:ind w:right="80"/>
              <w:spacing w:after="0"/>
              <w:rPr>
                <w:sz w:val="20"/>
                <w:szCs w:val="20"/>
                <w:color w:val="auto"/>
              </w:rPr>
            </w:pPr>
            <w:r>
              <w:rPr>
                <w:rFonts w:ascii="Arial" w:cs="Arial" w:eastAsia="Arial" w:hAnsi="Arial"/>
                <w:sz w:val="20"/>
                <w:szCs w:val="20"/>
                <w:color w:val="auto"/>
              </w:rPr>
              <w:t>***</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476"/>
        </w:trPr>
        <w:tc>
          <w:tcPr>
            <w:tcW w:w="340" w:type="dxa"/>
            <w:vAlign w:val="bottom"/>
          </w:tcPr>
          <w:p>
            <w:pPr>
              <w:spacing w:after="0"/>
              <w:rPr>
                <w:sz w:val="24"/>
                <w:szCs w:val="24"/>
                <w:color w:val="auto"/>
              </w:rPr>
            </w:pPr>
          </w:p>
        </w:tc>
        <w:tc>
          <w:tcPr>
            <w:tcW w:w="1420" w:type="dxa"/>
            <w:vAlign w:val="bottom"/>
            <w:gridSpan w:val="2"/>
          </w:tcPr>
          <w:p>
            <w:pPr>
              <w:ind w:left="860"/>
              <w:spacing w:after="0"/>
              <w:rPr>
                <w:sz w:val="20"/>
                <w:szCs w:val="20"/>
                <w:color w:val="auto"/>
              </w:rPr>
            </w:pPr>
            <w:r>
              <w:rPr>
                <w:rFonts w:ascii="Arial" w:cs="Arial" w:eastAsia="Arial" w:hAnsi="Arial"/>
                <w:sz w:val="20"/>
                <w:szCs w:val="20"/>
                <w:color w:val="auto"/>
              </w:rPr>
              <w:t>(F)</w:t>
            </w:r>
          </w:p>
        </w:tc>
        <w:tc>
          <w:tcPr>
            <w:tcW w:w="520" w:type="dxa"/>
            <w:vAlign w:val="bottom"/>
          </w:tcPr>
          <w:p>
            <w:pPr>
              <w:jc w:val="right"/>
              <w:ind w:right="60"/>
              <w:spacing w:after="0"/>
              <w:rPr>
                <w:sz w:val="20"/>
                <w:szCs w:val="20"/>
                <w:color w:val="auto"/>
              </w:rPr>
            </w:pPr>
            <w:r>
              <w:rPr>
                <w:rFonts w:ascii="Arial" w:cs="Arial" w:eastAsia="Arial" w:hAnsi="Arial"/>
                <w:sz w:val="20"/>
                <w:szCs w:val="20"/>
                <w:color w:val="auto"/>
              </w:rPr>
              <w:t>[</w:t>
            </w:r>
          </w:p>
        </w:tc>
        <w:tc>
          <w:tcPr>
            <w:tcW w:w="580" w:type="dxa"/>
            <w:vAlign w:val="bottom"/>
          </w:tcPr>
          <w:p>
            <w:pPr>
              <w:jc w:val="right"/>
              <w:ind w:right="100"/>
              <w:spacing w:after="0"/>
              <w:rPr>
                <w:sz w:val="20"/>
                <w:szCs w:val="20"/>
                <w:color w:val="auto"/>
              </w:rPr>
            </w:pPr>
            <w:r>
              <w:rPr>
                <w:rFonts w:ascii="Arial" w:cs="Arial" w:eastAsia="Arial" w:hAnsi="Arial"/>
                <w:sz w:val="20"/>
                <w:szCs w:val="20"/>
                <w:color w:val="auto"/>
              </w:rPr>
              <w:t>***</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r>
    </w:tbl>
    <w:p>
      <w:pPr>
        <w:spacing w:after="0" w:line="219" w:lineRule="exact"/>
        <w:rPr>
          <w:sz w:val="20"/>
          <w:szCs w:val="20"/>
          <w:color w:val="auto"/>
        </w:rPr>
      </w:pPr>
    </w:p>
    <w:p>
      <w:pPr>
        <w:jc w:val="both"/>
        <w:ind w:firstLine="602"/>
        <w:spacing w:after="0" w:line="255" w:lineRule="auto"/>
        <w:tabs>
          <w:tab w:leader="none" w:pos="1509" w:val="left"/>
        </w:tabs>
        <w:numPr>
          <w:ilvl w:val="0"/>
          <w:numId w:val="101"/>
        </w:numPr>
        <w:rPr>
          <w:rFonts w:ascii="Arial" w:cs="Arial" w:eastAsia="Arial" w:hAnsi="Arial"/>
          <w:sz w:val="20"/>
          <w:szCs w:val="20"/>
          <w:color w:val="auto"/>
        </w:rPr>
      </w:pPr>
      <w:r>
        <w:rPr>
          <w:rFonts w:ascii="Arial" w:cs="Arial" w:eastAsia="Arial" w:hAnsi="Arial"/>
          <w:sz w:val="20"/>
          <w:szCs w:val="20"/>
          <w:u w:val="single" w:color="auto"/>
          <w:color w:val="auto"/>
        </w:rPr>
        <w:t>Company Response</w:t>
      </w:r>
      <w:r>
        <w:rPr>
          <w:rFonts w:ascii="Arial" w:cs="Arial" w:eastAsia="Arial" w:hAnsi="Arial"/>
          <w:sz w:val="20"/>
          <w:szCs w:val="20"/>
          <w:color w:val="auto"/>
        </w:rPr>
        <w:t>. The Company and the Insurer will cooperate in good faith for a period of ten (10) Business Days to negotiate any amendments to this Agreement and the Ancillary Agreements necessary to implement the terms of the Re-Pricing Offer, and to agree upon any other open items that need to be resolved (including any administrative transition issues). The Company shall deliver a written response to the Insurer either accepting or rejecting the Re-Pricing Offer within 10 Business Days following the Insurer's delivery of the Re-Pricing Offer to the Company.</w:t>
      </w:r>
    </w:p>
    <w:p>
      <w:pPr>
        <w:spacing w:after="0" w:line="205" w:lineRule="exact"/>
        <w:rPr>
          <w:rFonts w:ascii="Arial" w:cs="Arial" w:eastAsia="Arial" w:hAnsi="Arial"/>
          <w:sz w:val="20"/>
          <w:szCs w:val="20"/>
          <w:color w:val="auto"/>
        </w:rPr>
      </w:pPr>
    </w:p>
    <w:p>
      <w:pPr>
        <w:ind w:left="1500" w:hanging="898"/>
        <w:spacing w:after="0"/>
        <w:tabs>
          <w:tab w:leader="none" w:pos="1500" w:val="left"/>
        </w:tabs>
        <w:numPr>
          <w:ilvl w:val="0"/>
          <w:numId w:val="101"/>
        </w:numPr>
        <w:rPr>
          <w:rFonts w:ascii="Arial" w:cs="Arial" w:eastAsia="Arial" w:hAnsi="Arial"/>
          <w:sz w:val="18"/>
          <w:szCs w:val="18"/>
          <w:color w:val="auto"/>
        </w:rPr>
      </w:pPr>
      <w:r>
        <w:rPr>
          <w:rFonts w:ascii="Arial" w:cs="Arial" w:eastAsia="Arial" w:hAnsi="Arial"/>
          <w:sz w:val="18"/>
          <w:szCs w:val="18"/>
          <w:u w:val="single" w:color="auto"/>
          <w:color w:val="auto"/>
        </w:rPr>
        <w:t>Rejection of Re-Pricing Offer</w:t>
      </w:r>
      <w:r>
        <w:rPr>
          <w:rFonts w:ascii="Arial" w:cs="Arial" w:eastAsia="Arial" w:hAnsi="Arial"/>
          <w:sz w:val="18"/>
          <w:szCs w:val="18"/>
          <w:color w:val="auto"/>
        </w:rPr>
        <w:t>. If the Company rejects the Re-Pricing Offer, then this Agreement shall immediately</w:t>
      </w:r>
    </w:p>
    <w:p>
      <w:pPr>
        <w:spacing w:after="0" w:line="4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terminate, and such termination will be treated in the same manner as a termination by the mutual written consent of the Company and</w:t>
      </w:r>
    </w:p>
    <w:p>
      <w:pPr>
        <w:spacing w:after="0" w:line="269" w:lineRule="exact"/>
        <w:rPr>
          <w:sz w:val="20"/>
          <w:szCs w:val="20"/>
          <w:color w:val="auto"/>
        </w:rPr>
      </w:pPr>
    </w:p>
    <w:p>
      <w:pPr>
        <w:jc w:val="both"/>
        <w:spacing w:after="0" w:line="275" w:lineRule="auto"/>
        <w:rPr>
          <w:sz w:val="20"/>
          <w:szCs w:val="20"/>
          <w:color w:val="auto"/>
        </w:rPr>
      </w:pPr>
      <w:r>
        <w:rPr>
          <w:rFonts w:ascii="Arial" w:cs="Arial" w:eastAsia="Arial" w:hAnsi="Arial"/>
          <w:sz w:val="20"/>
          <w:szCs w:val="20"/>
          <w:color w:val="auto"/>
        </w:rPr>
        <w:t>the Insurer (and, for the avoidance of doubt, the Company shall, together with the Insurer Parent, [ *** ] (2) Business Days after the delivery of such notice of termination of this Agreement and [ *** ]).</w:t>
      </w:r>
    </w:p>
    <w:p>
      <w:pPr>
        <w:spacing w:after="0" w:line="186" w:lineRule="exact"/>
        <w:rPr>
          <w:sz w:val="20"/>
          <w:szCs w:val="20"/>
          <w:color w:val="auto"/>
        </w:rPr>
      </w:pPr>
    </w:p>
    <w:p>
      <w:pPr>
        <w:ind w:left="1500" w:hanging="898"/>
        <w:spacing w:after="0"/>
        <w:tabs>
          <w:tab w:leader="none" w:pos="1500" w:val="left"/>
        </w:tabs>
        <w:numPr>
          <w:ilvl w:val="0"/>
          <w:numId w:val="102"/>
        </w:numPr>
        <w:rPr>
          <w:rFonts w:ascii="Arial" w:cs="Arial" w:eastAsia="Arial" w:hAnsi="Arial"/>
          <w:sz w:val="19"/>
          <w:szCs w:val="19"/>
          <w:color w:val="auto"/>
        </w:rPr>
      </w:pPr>
      <w:r>
        <w:rPr>
          <w:rFonts w:ascii="Arial" w:cs="Arial" w:eastAsia="Arial" w:hAnsi="Arial"/>
          <w:sz w:val="19"/>
          <w:szCs w:val="19"/>
          <w:u w:val="single" w:color="auto"/>
          <w:color w:val="auto"/>
        </w:rPr>
        <w:t>Acceptance of Re-Pricing Offer</w:t>
      </w:r>
      <w:r>
        <w:rPr>
          <w:rFonts w:ascii="Arial" w:cs="Arial" w:eastAsia="Arial" w:hAnsi="Arial"/>
          <w:sz w:val="19"/>
          <w:szCs w:val="19"/>
          <w:color w:val="auto"/>
        </w:rPr>
        <w:t>. If the Company accepts the Re-Pricing Offer, then the following provisions will</w:t>
      </w:r>
    </w:p>
    <w:p>
      <w:pPr>
        <w:spacing w:after="0" w:line="37" w:lineRule="exact"/>
        <w:rPr>
          <w:sz w:val="20"/>
          <w:szCs w:val="20"/>
          <w:color w:val="auto"/>
        </w:rPr>
      </w:pPr>
    </w:p>
    <w:p>
      <w:pPr>
        <w:spacing w:after="0"/>
        <w:rPr>
          <w:sz w:val="20"/>
          <w:szCs w:val="20"/>
          <w:color w:val="auto"/>
        </w:rPr>
      </w:pPr>
      <w:r>
        <w:rPr>
          <w:rFonts w:ascii="Arial" w:cs="Arial" w:eastAsia="Arial" w:hAnsi="Arial"/>
          <w:sz w:val="20"/>
          <w:szCs w:val="20"/>
          <w:color w:val="auto"/>
        </w:rPr>
        <w:t>apply:</w:t>
      </w:r>
    </w:p>
    <w:p>
      <w:pPr>
        <w:spacing w:after="0" w:line="228" w:lineRule="exact"/>
        <w:rPr>
          <w:sz w:val="20"/>
          <w:szCs w:val="20"/>
          <w:color w:val="auto"/>
        </w:rPr>
      </w:pPr>
    </w:p>
    <w:p>
      <w:pPr>
        <w:jc w:val="both"/>
        <w:ind w:firstLine="1202"/>
        <w:spacing w:after="0" w:line="257" w:lineRule="auto"/>
        <w:rPr>
          <w:sz w:val="20"/>
          <w:szCs w:val="20"/>
          <w:color w:val="auto"/>
        </w:rPr>
      </w:pPr>
      <w:r>
        <w:rPr>
          <w:rFonts w:ascii="Arial" w:cs="Arial" w:eastAsia="Arial" w:hAnsi="Arial"/>
          <w:sz w:val="20"/>
          <w:szCs w:val="20"/>
          <w:color w:val="auto"/>
        </w:rPr>
        <w:t>(A) The Closing Date and the Annuity Commencement Date shall take place [ *** ] (other than conditions that by their nature or pursuant to the terms of this Agreement are to be satisfied at or immediately prior to the Closing, but subject to the satisfaction or, where permitted, waiver of such conditions), or such other date as mutually agreed to by the Company and the Insurer.</w:t>
      </w:r>
    </w:p>
    <w:p>
      <w:pPr>
        <w:spacing w:after="0" w:line="204" w:lineRule="exact"/>
        <w:rPr>
          <w:sz w:val="20"/>
          <w:szCs w:val="20"/>
          <w:color w:val="auto"/>
        </w:rPr>
      </w:pPr>
    </w:p>
    <w:p>
      <w:pPr>
        <w:ind w:left="1200"/>
        <w:spacing w:after="0"/>
        <w:tabs>
          <w:tab w:leader="none" w:pos="2060" w:val="left"/>
          <w:tab w:leader="none" w:pos="10400" w:val="left"/>
        </w:tabs>
        <w:rPr>
          <w:sz w:val="20"/>
          <w:szCs w:val="20"/>
          <w:color w:val="auto"/>
        </w:rPr>
      </w:pPr>
      <w:r>
        <w:rPr>
          <w:rFonts w:ascii="Arial" w:cs="Arial" w:eastAsia="Arial" w:hAnsi="Arial"/>
          <w:sz w:val="20"/>
          <w:szCs w:val="20"/>
          <w:color w:val="auto"/>
        </w:rPr>
        <w:t>(B)</w:t>
      </w:r>
      <w:r>
        <w:rPr>
          <w:sz w:val="20"/>
          <w:szCs w:val="20"/>
          <w:color w:val="auto"/>
        </w:rPr>
        <w:tab/>
      </w:r>
      <w:r>
        <w:rPr>
          <w:rFonts w:ascii="Arial" w:cs="Arial" w:eastAsia="Arial" w:hAnsi="Arial"/>
          <w:sz w:val="20"/>
          <w:szCs w:val="20"/>
          <w:color w:val="auto"/>
        </w:rPr>
        <w:t xml:space="preserve">The Re-Pricing Offer will be used for purposes of </w:t>
      </w:r>
      <w:r>
        <w:rPr>
          <w:rFonts w:ascii="Arial" w:cs="Arial" w:eastAsia="Arial" w:hAnsi="Arial"/>
          <w:sz w:val="20"/>
          <w:szCs w:val="20"/>
          <w:u w:val="single" w:color="auto"/>
          <w:color w:val="auto"/>
        </w:rPr>
        <w:t>Article II</w:t>
      </w:r>
      <w:r>
        <w:rPr>
          <w:rFonts w:ascii="Arial" w:cs="Arial" w:eastAsia="Arial" w:hAnsi="Arial"/>
          <w:sz w:val="20"/>
          <w:szCs w:val="20"/>
          <w:color w:val="auto"/>
        </w:rPr>
        <w:t xml:space="preserve"> as if the DTFA Execution Date were [</w:t>
      </w:r>
      <w:r>
        <w:rPr>
          <w:sz w:val="20"/>
          <w:szCs w:val="20"/>
          <w:color w:val="auto"/>
        </w:rPr>
        <w:tab/>
      </w:r>
      <w:r>
        <w:rPr>
          <w:rFonts w:ascii="Arial" w:cs="Arial" w:eastAsia="Arial" w:hAnsi="Arial"/>
          <w:sz w:val="20"/>
          <w:szCs w:val="20"/>
          <w:color w:val="auto"/>
        </w:rPr>
        <w:t>***</w:t>
      </w:r>
    </w:p>
    <w:p>
      <w:pPr>
        <w:spacing w:after="0" w:line="26" w:lineRule="exact"/>
        <w:rPr>
          <w:sz w:val="20"/>
          <w:szCs w:val="20"/>
          <w:color w:val="auto"/>
        </w:rPr>
      </w:pPr>
    </w:p>
    <w:p>
      <w:pPr>
        <w:ind w:left="200"/>
        <w:spacing w:after="0"/>
        <w:rPr>
          <w:sz w:val="20"/>
          <w:szCs w:val="20"/>
          <w:color w:val="auto"/>
        </w:rPr>
      </w:pPr>
      <w:r>
        <w:rPr>
          <w:rFonts w:ascii="Arial" w:cs="Arial" w:eastAsia="Arial" w:hAnsi="Arial"/>
          <w:sz w:val="20"/>
          <w:szCs w:val="20"/>
          <w:color w:val="auto"/>
        </w:rPr>
        <w:t xml:space="preserve">] and all provisions of such </w:t>
      </w:r>
      <w:r>
        <w:rPr>
          <w:rFonts w:ascii="Arial" w:cs="Arial" w:eastAsia="Arial" w:hAnsi="Arial"/>
          <w:sz w:val="20"/>
          <w:szCs w:val="20"/>
          <w:u w:val="single" w:color="auto"/>
          <w:color w:val="auto"/>
        </w:rPr>
        <w:t>Article II</w:t>
      </w:r>
      <w:r>
        <w:rPr>
          <w:rFonts w:ascii="Arial" w:cs="Arial" w:eastAsia="Arial" w:hAnsi="Arial"/>
          <w:sz w:val="20"/>
          <w:szCs w:val="20"/>
          <w:color w:val="auto"/>
        </w:rPr>
        <w:t xml:space="preserve"> will apply thereafter (e.g., the</w:t>
      </w:r>
    </w:p>
    <w:p>
      <w:pPr>
        <w:spacing w:after="0" w:line="211" w:lineRule="exact"/>
        <w:rPr>
          <w:sz w:val="20"/>
          <w:szCs w:val="20"/>
          <w:color w:val="auto"/>
        </w:rPr>
      </w:pPr>
    </w:p>
    <w:p>
      <w:pPr>
        <w:ind w:left="5040"/>
        <w:spacing w:after="0"/>
        <w:rPr>
          <w:sz w:val="20"/>
          <w:szCs w:val="20"/>
          <w:color w:val="auto"/>
        </w:rPr>
      </w:pPr>
      <w:r>
        <w:rPr>
          <w:rFonts w:ascii="Arial" w:cs="Arial" w:eastAsia="Arial" w:hAnsi="Arial"/>
          <w:sz w:val="17"/>
          <w:szCs w:val="17"/>
          <w:color w:val="auto"/>
        </w:rPr>
        <w:t>60</w:t>
      </w:r>
    </w:p>
    <w:p>
      <w:pPr>
        <w:sectPr>
          <w:pgSz w:w="11900" w:h="16838" w:orient="portrait"/>
          <w:cols w:equalWidth="0" w:num="1">
            <w:col w:w="10820"/>
          </w:cols>
          <w:pgMar w:left="840" w:top="794" w:right="239" w:bottom="1440" w:gutter="0" w:footer="0" w:header="0"/>
        </w:sectPr>
      </w:pPr>
    </w:p>
    <w:bookmarkStart w:id="71" w:name="page72"/>
    <w:bookmarkEnd w:id="71"/>
    <w:p>
      <w:pPr>
        <w:ind w:left="600"/>
        <w:spacing w:after="0"/>
        <w:rPr>
          <w:sz w:val="20"/>
          <w:szCs w:val="20"/>
          <w:color w:val="auto"/>
        </w:rPr>
      </w:pPr>
      <w:r>
        <w:rPr>
          <w:rFonts w:ascii="Arial" w:cs="Arial" w:eastAsia="Arial" w:hAnsi="Arial"/>
          <w:sz w:val="18"/>
          <w:szCs w:val="18"/>
          <w:color w:val="auto"/>
        </w:rPr>
        <w:t>Company and the Insurer will continue the practice of calculating the Dry-Run Closing Premium on a monthly basis).</w:t>
      </w:r>
    </w:p>
    <w:p>
      <w:pPr>
        <w:sectPr>
          <w:pgSz w:w="11900" w:h="16838" w:orient="portrait"/>
          <w:cols w:equalWidth="0" w:num="1">
            <w:col w:w="11420"/>
          </w:cols>
          <w:pgMar w:left="240" w:top="556" w:right="239" w:bottom="1440" w:gutter="0" w:footer="0" w:header="0"/>
        </w:sectPr>
      </w:pPr>
    </w:p>
    <w:p>
      <w:pPr>
        <w:spacing w:after="0" w:line="269" w:lineRule="exact"/>
        <w:rPr>
          <w:sz w:val="20"/>
          <w:szCs w:val="20"/>
          <w:color w:val="auto"/>
        </w:rPr>
      </w:pPr>
    </w:p>
    <w:p>
      <w:pPr>
        <w:ind w:left="2680" w:hanging="877"/>
        <w:spacing w:after="0"/>
        <w:tabs>
          <w:tab w:leader="none" w:pos="26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During the Extension Period, [</w:t>
      </w:r>
    </w:p>
    <w:p>
      <w:pPr>
        <w:spacing w:after="0" w:line="49" w:lineRule="exact"/>
        <w:rPr>
          <w:sz w:val="20"/>
          <w:szCs w:val="20"/>
          <w:color w:val="auto"/>
        </w:rPr>
      </w:pPr>
    </w:p>
    <w:p>
      <w:pPr>
        <w:ind w:left="600"/>
        <w:spacing w:after="0"/>
        <w:tabs>
          <w:tab w:leader="none" w:pos="1280" w:val="left"/>
          <w:tab w:leader="none" w:pos="2060" w:val="left"/>
          <w:tab w:leader="none" w:pos="4740" w:val="left"/>
        </w:tabs>
        <w:rPr>
          <w:sz w:val="20"/>
          <w:szCs w:val="20"/>
          <w:color w:val="auto"/>
        </w:rPr>
      </w:pPr>
      <w:r>
        <w:rPr>
          <w:rFonts w:ascii="Arial" w:cs="Arial" w:eastAsia="Arial" w:hAnsi="Arial"/>
          <w:sz w:val="20"/>
          <w:szCs w:val="20"/>
          <w:color w:val="auto"/>
        </w:rPr>
        <w:t>the [</w:t>
      </w:r>
      <w:r>
        <w:rPr>
          <w:sz w:val="20"/>
          <w:szCs w:val="20"/>
          <w:color w:val="auto"/>
        </w:rPr>
        <w:tab/>
      </w:r>
      <w:r>
        <w:rPr>
          <w:rFonts w:ascii="Arial" w:cs="Arial" w:eastAsia="Arial" w:hAnsi="Arial"/>
          <w:sz w:val="20"/>
          <w:szCs w:val="20"/>
          <w:color w:val="auto"/>
        </w:rPr>
        <w:t>***</w:t>
      </w:r>
      <w:r>
        <w:rPr>
          <w:sz w:val="20"/>
          <w:szCs w:val="20"/>
          <w:color w:val="auto"/>
        </w:rPr>
        <w:tab/>
      </w:r>
      <w:r>
        <w:rPr>
          <w:rFonts w:ascii="Arial" w:cs="Arial" w:eastAsia="Arial" w:hAnsi="Arial"/>
          <w:sz w:val="20"/>
          <w:szCs w:val="20"/>
          <w:color w:val="auto"/>
        </w:rPr>
        <w:t>] will (i) upon the Closing, [</w:t>
      </w:r>
      <w:r>
        <w:rPr>
          <w:sz w:val="20"/>
          <w:szCs w:val="20"/>
          <w:color w:val="auto"/>
        </w:rPr>
        <w:tab/>
      </w:r>
      <w:r>
        <w:rPr>
          <w:rFonts w:ascii="Arial" w:cs="Arial" w:eastAsia="Arial" w:hAnsi="Arial"/>
          <w:sz w:val="20"/>
          <w:szCs w:val="20"/>
          <w:color w:val="auto"/>
        </w:rPr>
        <w:t>***</w:t>
      </w:r>
    </w:p>
    <w:p>
      <w:pPr>
        <w:spacing w:after="0" w:line="8" w:lineRule="exact"/>
        <w:rPr>
          <w:sz w:val="20"/>
          <w:szCs w:val="20"/>
          <w:color w:val="auto"/>
        </w:rPr>
      </w:pPr>
    </w:p>
    <w:p>
      <w:pPr>
        <w:ind w:left="600"/>
        <w:spacing w:after="0"/>
        <w:tabs>
          <w:tab w:leader="none" w:pos="1880" w:val="left"/>
          <w:tab w:leader="none" w:pos="2540" w:val="left"/>
        </w:tabs>
        <w:rPr>
          <w:sz w:val="20"/>
          <w:szCs w:val="20"/>
          <w:color w:val="auto"/>
        </w:rPr>
      </w:pPr>
      <w:r>
        <w:rPr>
          <w:rFonts w:ascii="Arial" w:cs="Arial" w:eastAsia="Arial" w:hAnsi="Arial"/>
          <w:sz w:val="20"/>
          <w:szCs w:val="20"/>
          <w:color w:val="auto"/>
        </w:rPr>
        <w:t>Agreement, [</w:t>
        <w:tab/>
        <w:t>***</w:t>
      </w:r>
      <w:r>
        <w:rPr>
          <w:sz w:val="20"/>
          <w:szCs w:val="20"/>
          <w:color w:val="auto"/>
        </w:rPr>
        <w:tab/>
      </w:r>
      <w:r>
        <w:rPr>
          <w:rFonts w:ascii="Arial" w:cs="Arial" w:eastAsia="Arial" w:hAnsi="Arial"/>
          <w:sz w:val="18"/>
          <w:szCs w:val="18"/>
          <w:color w:val="auto"/>
        </w:rPr>
        <w:t>] pursuant to this Section 10.2.</w:t>
      </w:r>
    </w:p>
    <w:p>
      <w:pPr>
        <w:spacing w:after="0" w:line="20" w:lineRule="exact"/>
        <w:rPr>
          <w:sz w:val="20"/>
          <w:szCs w:val="20"/>
          <w:color w:val="auto"/>
        </w:rPr>
      </w:pPr>
      <w:r>
        <w:rPr>
          <w:sz w:val="20"/>
          <w:szCs w:val="20"/>
          <w:color w:val="auto"/>
        </w:rPr>
        <w:br w:type="column"/>
      </w:r>
    </w:p>
    <w:p>
      <w:pPr>
        <w:spacing w:after="0" w:line="249" w:lineRule="exact"/>
        <w:rPr>
          <w:sz w:val="20"/>
          <w:szCs w:val="20"/>
          <w:color w:val="auto"/>
        </w:rPr>
      </w:pPr>
    </w:p>
    <w:p>
      <w:pPr>
        <w:jc w:val="both"/>
        <w:ind w:left="53" w:hanging="53"/>
        <w:spacing w:after="0" w:line="333" w:lineRule="auto"/>
        <w:tabs>
          <w:tab w:leader="none" w:pos="73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 on or prior to December 31, 2012. For the avoidance of doubt, ] in accordance with Section 2.1(a) and (ii) upon the termination of this</w:t>
      </w:r>
    </w:p>
    <w:p>
      <w:pPr>
        <w:spacing w:after="0" w:line="349" w:lineRule="exact"/>
        <w:rPr>
          <w:sz w:val="20"/>
          <w:szCs w:val="20"/>
          <w:color w:val="auto"/>
        </w:rPr>
      </w:pPr>
    </w:p>
    <w:p>
      <w:pPr>
        <w:sectPr>
          <w:pgSz w:w="11900" w:h="16838" w:orient="portrait"/>
          <w:cols w:equalWidth="0" w:num="2">
            <w:col w:w="5160" w:space="307"/>
            <w:col w:w="5953"/>
          </w:cols>
          <w:pgMar w:left="240" w:top="556" w:right="239" w:bottom="1440" w:gutter="0" w:footer="0" w:header="0"/>
          <w:type w:val="continuous"/>
        </w:sectPr>
      </w:pPr>
    </w:p>
    <w:p>
      <w:pPr>
        <w:spacing w:after="0" w:line="28" w:lineRule="exact"/>
        <w:rPr>
          <w:sz w:val="20"/>
          <w:szCs w:val="20"/>
          <w:color w:val="auto"/>
        </w:rPr>
      </w:pPr>
    </w:p>
    <w:p>
      <w:pPr>
        <w:ind w:left="1800"/>
        <w:spacing w:after="0"/>
        <w:tabs>
          <w:tab w:leader="none" w:pos="2660" w:val="left"/>
          <w:tab w:leader="none" w:pos="7540" w:val="left"/>
          <w:tab w:leader="none" w:pos="8180" w:val="left"/>
        </w:tabs>
        <w:rPr>
          <w:sz w:val="20"/>
          <w:szCs w:val="20"/>
          <w:color w:val="auto"/>
        </w:rPr>
      </w:pPr>
      <w:r>
        <w:rPr>
          <w:rFonts w:ascii="Arial" w:cs="Arial" w:eastAsia="Arial" w:hAnsi="Arial"/>
          <w:sz w:val="20"/>
          <w:szCs w:val="20"/>
          <w:color w:val="auto"/>
        </w:rPr>
        <w:t>(D)</w:t>
      </w:r>
      <w:r>
        <w:rPr>
          <w:sz w:val="20"/>
          <w:szCs w:val="20"/>
          <w:color w:val="auto"/>
        </w:rPr>
        <w:tab/>
      </w:r>
      <w:r>
        <w:rPr>
          <w:rFonts w:ascii="Arial" w:cs="Arial" w:eastAsia="Arial" w:hAnsi="Arial"/>
          <w:sz w:val="20"/>
          <w:szCs w:val="20"/>
          <w:color w:val="auto"/>
        </w:rPr>
        <w:t>For the purpose of any calculations made from and after [</w:t>
        <w:tab/>
        <w:t>***</w:t>
      </w:r>
      <w:r>
        <w:rPr>
          <w:sz w:val="20"/>
          <w:szCs w:val="20"/>
          <w:color w:val="auto"/>
        </w:rPr>
        <w:tab/>
      </w:r>
      <w:r>
        <w:rPr>
          <w:rFonts w:ascii="Arial" w:cs="Arial" w:eastAsia="Arial" w:hAnsi="Arial"/>
          <w:sz w:val="18"/>
          <w:szCs w:val="18"/>
          <w:color w:val="auto"/>
        </w:rPr>
        <w:t>], the reference to “December 31, 2012”</w:t>
      </w:r>
    </w:p>
    <w:p>
      <w:pPr>
        <w:spacing w:after="0" w:line="26" w:lineRule="exact"/>
        <w:rPr>
          <w:sz w:val="20"/>
          <w:szCs w:val="20"/>
          <w:color w:val="auto"/>
        </w:rPr>
      </w:pPr>
    </w:p>
    <w:p>
      <w:pPr>
        <w:ind w:left="600"/>
        <w:spacing w:after="0"/>
        <w:tabs>
          <w:tab w:leader="none" w:pos="5940" w:val="left"/>
          <w:tab w:leader="none" w:pos="6680" w:val="left"/>
        </w:tabs>
        <w:rPr>
          <w:sz w:val="20"/>
          <w:szCs w:val="20"/>
          <w:color w:val="auto"/>
        </w:rPr>
      </w:pPr>
      <w:r>
        <w:rPr>
          <w:rFonts w:ascii="Arial" w:cs="Arial" w:eastAsia="Arial" w:hAnsi="Arial"/>
          <w:sz w:val="20"/>
          <w:szCs w:val="20"/>
          <w:color w:val="auto"/>
        </w:rPr>
        <w:t>in the definition of “Company MAC” will be deemed to be “[</w:t>
      </w:r>
      <w:r>
        <w:rPr>
          <w:sz w:val="20"/>
          <w:szCs w:val="20"/>
          <w:color w:val="auto"/>
        </w:rPr>
        <w:tab/>
      </w:r>
      <w:r>
        <w:rPr>
          <w:rFonts w:ascii="Arial" w:cs="Arial" w:eastAsia="Arial" w:hAnsi="Arial"/>
          <w:sz w:val="20"/>
          <w:szCs w:val="20"/>
          <w:color w:val="auto"/>
        </w:rPr>
        <w:t>***</w:t>
      </w:r>
      <w:r>
        <w:rPr>
          <w:sz w:val="20"/>
          <w:szCs w:val="20"/>
          <w:color w:val="auto"/>
        </w:rPr>
        <w:tab/>
      </w:r>
      <w:r>
        <w:rPr>
          <w:rFonts w:ascii="Arial" w:cs="Arial" w:eastAsia="Arial" w:hAnsi="Arial"/>
          <w:sz w:val="18"/>
          <w:szCs w:val="18"/>
          <w:color w:val="auto"/>
        </w:rPr>
        <w:t>]” and reference to “end of the 2012 calendar year” in the</w:t>
      </w:r>
    </w:p>
    <w:p>
      <w:pPr>
        <w:spacing w:after="0" w:line="8" w:lineRule="exact"/>
        <w:rPr>
          <w:sz w:val="20"/>
          <w:szCs w:val="20"/>
          <w:color w:val="auto"/>
        </w:rPr>
      </w:pPr>
    </w:p>
    <w:p>
      <w:pPr>
        <w:ind w:left="600"/>
        <w:spacing w:after="0"/>
        <w:tabs>
          <w:tab w:leader="none" w:pos="5680" w:val="left"/>
          <w:tab w:leader="none" w:pos="6320" w:val="left"/>
        </w:tabs>
        <w:rPr>
          <w:sz w:val="20"/>
          <w:szCs w:val="20"/>
          <w:color w:val="auto"/>
        </w:rPr>
      </w:pPr>
      <w:r>
        <w:rPr>
          <w:rFonts w:ascii="Arial" w:cs="Arial" w:eastAsia="Arial" w:hAnsi="Arial"/>
          <w:sz w:val="20"/>
          <w:szCs w:val="20"/>
          <w:color w:val="auto"/>
        </w:rPr>
        <w:t>definition of “Projected RBC Ratio” will be deemed to be “[</w:t>
        <w:tab/>
        <w:t>***</w:t>
      </w:r>
      <w:r>
        <w:rPr>
          <w:sz w:val="20"/>
          <w:szCs w:val="20"/>
          <w:color w:val="auto"/>
        </w:rPr>
        <w:tab/>
      </w:r>
      <w:r>
        <w:rPr>
          <w:rFonts w:ascii="Arial" w:cs="Arial" w:eastAsia="Arial" w:hAnsi="Arial"/>
          <w:sz w:val="20"/>
          <w:szCs w:val="20"/>
          <w:color w:val="auto"/>
        </w:rPr>
        <w:t>].”</w:t>
      </w:r>
    </w:p>
    <w:p>
      <w:pPr>
        <w:spacing w:after="0" w:line="228" w:lineRule="exact"/>
        <w:rPr>
          <w:sz w:val="20"/>
          <w:szCs w:val="20"/>
          <w:color w:val="auto"/>
        </w:rPr>
      </w:pPr>
    </w:p>
    <w:p>
      <w:pPr>
        <w:jc w:val="both"/>
        <w:ind w:left="600" w:firstLine="1203"/>
        <w:spacing w:after="0" w:line="257" w:lineRule="auto"/>
        <w:tabs>
          <w:tab w:leader="none" w:pos="2658" w:val="left"/>
        </w:tabs>
        <w:numPr>
          <w:ilvl w:val="0"/>
          <w:numId w:val="105"/>
        </w:numPr>
        <w:rPr>
          <w:rFonts w:ascii="Arial" w:cs="Arial" w:eastAsia="Arial" w:hAnsi="Arial"/>
          <w:sz w:val="20"/>
          <w:szCs w:val="20"/>
          <w:color w:val="auto"/>
        </w:rPr>
      </w:pPr>
      <w:r>
        <w:rPr>
          <w:rFonts w:ascii="Arial" w:cs="Arial" w:eastAsia="Arial" w:hAnsi="Arial"/>
          <w:sz w:val="20"/>
          <w:szCs w:val="20"/>
          <w:color w:val="auto"/>
        </w:rPr>
        <w:t>The Insurer shall provide to the Company and the Independent Fiduciary the Insurer's RBC Ratio as of December 31, 2012, promptly following the date by which the Insurer prepares such RBC Ratio in the normal course of its business, which is expected to be approximately March 1, 2013, and together with a reasonably detailed explanation of the material underlying assumptions used in connection therewith.</w:t>
      </w:r>
    </w:p>
    <w:p>
      <w:pPr>
        <w:spacing w:after="0" w:line="204" w:lineRule="exact"/>
        <w:rPr>
          <w:rFonts w:ascii="Arial" w:cs="Arial" w:eastAsia="Arial" w:hAnsi="Arial"/>
          <w:sz w:val="20"/>
          <w:szCs w:val="20"/>
          <w:color w:val="auto"/>
        </w:rPr>
      </w:pPr>
    </w:p>
    <w:p>
      <w:pPr>
        <w:ind w:left="600" w:firstLine="1203"/>
        <w:spacing w:after="0" w:line="275" w:lineRule="auto"/>
        <w:tabs>
          <w:tab w:leader="none" w:pos="2647" w:val="left"/>
        </w:tabs>
        <w:numPr>
          <w:ilvl w:val="0"/>
          <w:numId w:val="105"/>
        </w:numPr>
        <w:rPr>
          <w:rFonts w:ascii="Arial" w:cs="Arial" w:eastAsia="Arial" w:hAnsi="Arial"/>
          <w:sz w:val="20"/>
          <w:szCs w:val="20"/>
          <w:color w:val="auto"/>
        </w:rPr>
      </w:pPr>
      <w:r>
        <w:rPr>
          <w:rFonts w:ascii="Arial" w:cs="Arial" w:eastAsia="Arial" w:hAnsi="Arial"/>
          <w:sz w:val="20"/>
          <w:szCs w:val="20"/>
          <w:color w:val="auto"/>
        </w:rPr>
        <w:t xml:space="preserve">The Parties will negotiate in good faith to implement any amendments to this Agreement necessary to give effect to the Re-Pricing Proposal and the provisions of this </w:t>
      </w:r>
      <w:r>
        <w:rPr>
          <w:rFonts w:ascii="Arial" w:cs="Arial" w:eastAsia="Arial" w:hAnsi="Arial"/>
          <w:sz w:val="20"/>
          <w:szCs w:val="20"/>
          <w:u w:val="single" w:color="auto"/>
          <w:color w:val="auto"/>
        </w:rPr>
        <w:t>Section 10.2(d)</w:t>
      </w:r>
      <w:r>
        <w:rPr>
          <w:rFonts w:ascii="Arial" w:cs="Arial" w:eastAsia="Arial" w:hAnsi="Arial"/>
          <w:sz w:val="20"/>
          <w:szCs w:val="20"/>
          <w:color w:val="auto"/>
        </w:rPr>
        <w:t>.</w:t>
      </w:r>
    </w:p>
    <w:p>
      <w:pPr>
        <w:spacing w:after="0" w:line="186" w:lineRule="exact"/>
        <w:rPr>
          <w:rFonts w:ascii="Arial" w:cs="Arial" w:eastAsia="Arial" w:hAnsi="Arial"/>
          <w:sz w:val="20"/>
          <w:szCs w:val="20"/>
          <w:color w:val="auto"/>
        </w:rPr>
      </w:pPr>
    </w:p>
    <w:p>
      <w:pPr>
        <w:jc w:val="both"/>
        <w:ind w:left="600" w:firstLine="1203"/>
        <w:spacing w:after="0" w:line="271" w:lineRule="auto"/>
        <w:tabs>
          <w:tab w:leader="none" w:pos="2680" w:val="left"/>
        </w:tabs>
        <w:numPr>
          <w:ilvl w:val="0"/>
          <w:numId w:val="105"/>
        </w:numPr>
        <w:rPr>
          <w:rFonts w:ascii="Arial" w:cs="Arial" w:eastAsia="Arial" w:hAnsi="Arial"/>
          <w:sz w:val="19"/>
          <w:szCs w:val="19"/>
          <w:color w:val="auto"/>
        </w:rPr>
      </w:pPr>
      <w:r>
        <w:rPr>
          <w:rFonts w:ascii="Arial" w:cs="Arial" w:eastAsia="Arial" w:hAnsi="Arial"/>
          <w:sz w:val="19"/>
          <w:szCs w:val="19"/>
          <w:color w:val="auto"/>
        </w:rPr>
        <w:t xml:space="preserve">The terms “RBC Actions” and “Liquidity Actions”, shall, following December 31, 2012, be eliminated from this Agreement and shall not be given effect for any purposes hereunder or under the Ancillary Documents and the Company and the Insurer shall, in connection with the negotiation of the amendments to this Agreement and the Ancillary Agreements contemplated by </w:t>
      </w:r>
      <w:r>
        <w:rPr>
          <w:rFonts w:ascii="Arial" w:cs="Arial" w:eastAsia="Arial" w:hAnsi="Arial"/>
          <w:sz w:val="19"/>
          <w:szCs w:val="19"/>
          <w:u w:val="single" w:color="auto"/>
          <w:color w:val="auto"/>
        </w:rPr>
        <w:t>Section 10.2(d)(ii)</w:t>
      </w:r>
      <w:r>
        <w:rPr>
          <w:rFonts w:ascii="Arial" w:cs="Arial" w:eastAsia="Arial" w:hAnsi="Arial"/>
          <w:sz w:val="19"/>
          <w:szCs w:val="19"/>
          <w:color w:val="auto"/>
        </w:rPr>
        <w:t>, negotiate in good faith revised definitions of “RBC Actions” and “Liquidity Actions” with such updates and revisions as the Company and the Insurer may mutually agree upon.</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XI</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MISCELLANEOUS</w:t>
      </w:r>
    </w:p>
    <w:p>
      <w:pPr>
        <w:spacing w:after="0" w:line="228" w:lineRule="exact"/>
        <w:rPr>
          <w:sz w:val="20"/>
          <w:szCs w:val="20"/>
          <w:color w:val="auto"/>
        </w:rPr>
      </w:pPr>
    </w:p>
    <w:p>
      <w:pPr>
        <w:jc w:val="both"/>
        <w:ind w:firstLine="601"/>
        <w:spacing w:after="0" w:line="261" w:lineRule="auto"/>
        <w:rPr>
          <w:sz w:val="20"/>
          <w:szCs w:val="20"/>
          <w:color w:val="auto"/>
        </w:rPr>
      </w:pPr>
      <w:r>
        <w:rPr>
          <w:rFonts w:ascii="Arial" w:cs="Arial" w:eastAsia="Arial" w:hAnsi="Arial"/>
          <w:sz w:val="20"/>
          <w:szCs w:val="20"/>
          <w:color w:val="auto"/>
        </w:rPr>
        <w:t xml:space="preserve">Section 11.1 </w:t>
      </w:r>
      <w:r>
        <w:rPr>
          <w:rFonts w:ascii="Arial" w:cs="Arial" w:eastAsia="Arial" w:hAnsi="Arial"/>
          <w:sz w:val="20"/>
          <w:szCs w:val="20"/>
          <w:u w:val="single" w:color="auto"/>
          <w:color w:val="auto"/>
        </w:rPr>
        <w:t>Expenses</w:t>
      </w:r>
      <w:r>
        <w:rPr>
          <w:rFonts w:ascii="Arial" w:cs="Arial" w:eastAsia="Arial" w:hAnsi="Arial"/>
          <w:sz w:val="20"/>
          <w:szCs w:val="20"/>
          <w:color w:val="auto"/>
        </w:rPr>
        <w:t>. Except as otherwise expressly set forth herein, each Party will bear its own costs and expenses incurred in connection with this Agreement and the transactions contemplated hereby, including all fees of law firms, commercial banks, investment banks, accountants, public relations firms, experts and consultants.</w:t>
      </w:r>
    </w:p>
    <w:p>
      <w:pPr>
        <w:spacing w:after="0" w:line="163" w:lineRule="exact"/>
        <w:rPr>
          <w:sz w:val="20"/>
          <w:szCs w:val="20"/>
          <w:color w:val="auto"/>
        </w:rPr>
      </w:pPr>
    </w:p>
    <w:p>
      <w:pPr>
        <w:jc w:val="both"/>
        <w:ind w:firstLine="601"/>
        <w:spacing w:after="0" w:line="257" w:lineRule="auto"/>
        <w:rPr>
          <w:sz w:val="20"/>
          <w:szCs w:val="20"/>
          <w:color w:val="auto"/>
        </w:rPr>
      </w:pPr>
      <w:r>
        <w:rPr>
          <w:rFonts w:ascii="Arial" w:cs="Arial" w:eastAsia="Arial" w:hAnsi="Arial"/>
          <w:sz w:val="20"/>
          <w:szCs w:val="20"/>
          <w:color w:val="auto"/>
        </w:rPr>
        <w:t xml:space="preserve">Section 11.2 </w:t>
      </w:r>
      <w:r>
        <w:rPr>
          <w:rFonts w:ascii="Arial" w:cs="Arial" w:eastAsia="Arial" w:hAnsi="Arial"/>
          <w:sz w:val="20"/>
          <w:szCs w:val="20"/>
          <w:u w:val="single" w:color="auto"/>
          <w:color w:val="auto"/>
        </w:rPr>
        <w:t>Entire Agreement</w:t>
      </w:r>
      <w:r>
        <w:rPr>
          <w:rFonts w:ascii="Arial" w:cs="Arial" w:eastAsia="Arial" w:hAnsi="Arial"/>
          <w:sz w:val="20"/>
          <w:szCs w:val="20"/>
          <w:color w:val="auto"/>
        </w:rPr>
        <w:t>. This Agreement and the Ancillary Agreements, constitute the entire agreement between the Parties and supersede any prior understandings, agreements or representations (whether written or oral) by or between the Parties, written or oral, to the extent they relate in any way to the subject matter hereof. Notwithstanding the foregoing, the IF Engagement Letter shall not be superseded by this Agreement or the Ancillary Agreements.</w:t>
      </w:r>
    </w:p>
    <w:p>
      <w:pPr>
        <w:spacing w:after="0" w:line="166" w:lineRule="exact"/>
        <w:rPr>
          <w:sz w:val="20"/>
          <w:szCs w:val="20"/>
          <w:color w:val="auto"/>
        </w:rPr>
      </w:pPr>
    </w:p>
    <w:p>
      <w:pPr>
        <w:jc w:val="both"/>
        <w:ind w:firstLine="601"/>
        <w:spacing w:after="0" w:line="257" w:lineRule="auto"/>
        <w:rPr>
          <w:sz w:val="20"/>
          <w:szCs w:val="20"/>
          <w:color w:val="auto"/>
        </w:rPr>
      </w:pPr>
      <w:r>
        <w:rPr>
          <w:rFonts w:ascii="Arial" w:cs="Arial" w:eastAsia="Arial" w:hAnsi="Arial"/>
          <w:sz w:val="20"/>
          <w:szCs w:val="20"/>
          <w:color w:val="auto"/>
        </w:rPr>
        <w:t xml:space="preserve">Section 11.3 </w:t>
      </w:r>
      <w:r>
        <w:rPr>
          <w:rFonts w:ascii="Arial" w:cs="Arial" w:eastAsia="Arial" w:hAnsi="Arial"/>
          <w:sz w:val="20"/>
          <w:szCs w:val="20"/>
          <w:u w:val="single" w:color="auto"/>
          <w:color w:val="auto"/>
        </w:rPr>
        <w:t>Amendments and Waivers</w:t>
      </w:r>
      <w:r>
        <w:rPr>
          <w:rFonts w:ascii="Arial" w:cs="Arial" w:eastAsia="Arial" w:hAnsi="Arial"/>
          <w:sz w:val="20"/>
          <w:szCs w:val="20"/>
          <w:color w:val="auto"/>
        </w:rPr>
        <w:t>. No amendment of any provision of this Agreement or the Ancillary Agreements will be valid unless the same will be in writing and signed by each party thereto, except as expressly provided herein. No waiver of any breach of this Agreement will be construed as an implied amendment or agreement to amend or modify any provision of this Agreement. No waiver by any Party of</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61</w:t>
      </w:r>
    </w:p>
    <w:p>
      <w:pPr>
        <w:sectPr>
          <w:pgSz w:w="11900" w:h="16838" w:orient="portrait"/>
          <w:cols w:equalWidth="0" w:num="1">
            <w:col w:w="11420"/>
          </w:cols>
          <w:pgMar w:left="240" w:top="556" w:right="239" w:bottom="1440" w:gutter="0" w:footer="0" w:header="0"/>
          <w:type w:val="continuous"/>
        </w:sectPr>
      </w:pPr>
    </w:p>
    <w:bookmarkStart w:id="72" w:name="page73"/>
    <w:bookmarkEnd w:id="72"/>
    <w:p>
      <w:pPr>
        <w:jc w:val="both"/>
        <w:spacing w:after="0" w:line="285" w:lineRule="auto"/>
        <w:rPr>
          <w:sz w:val="20"/>
          <w:szCs w:val="20"/>
          <w:color w:val="auto"/>
        </w:rPr>
      </w:pPr>
      <w:r>
        <w:rPr>
          <w:rFonts w:ascii="Arial" w:cs="Arial" w:eastAsia="Arial" w:hAnsi="Arial"/>
          <w:sz w:val="18"/>
          <w:szCs w:val="18"/>
          <w:color w:val="auto"/>
        </w:rPr>
        <w:t xml:space="preserve">any default, misrepresentation or breach of warranty or covenant hereunder, whether intentional or not, will be valid unless the same will be in writing and signed by the Party making such waiver, nor will such waiver be deemed to extend to any prior or subsequent default, misrepresentation or breach of warranty or covenant hereunder or affect in any way any rights arising by virtue of any prior or subsequent default, misrepresentation or breach of warranty or covenant. No conditions, course of dealing or performance, understanding or agreement purporting to modify, vary, explain or supplement the terms or conditions of this Agreement will be binding unless this Agreement is amended or modified in writing pursuant to the first sentence of this </w:t>
      </w:r>
      <w:r>
        <w:rPr>
          <w:rFonts w:ascii="Arial" w:cs="Arial" w:eastAsia="Arial" w:hAnsi="Arial"/>
          <w:sz w:val="18"/>
          <w:szCs w:val="18"/>
          <w:u w:val="single" w:color="auto"/>
          <w:color w:val="auto"/>
        </w:rPr>
        <w:t>Section 11.3</w:t>
      </w:r>
      <w:r>
        <w:rPr>
          <w:rFonts w:ascii="Arial" w:cs="Arial" w:eastAsia="Arial" w:hAnsi="Arial"/>
          <w:sz w:val="18"/>
          <w:szCs w:val="18"/>
          <w:color w:val="auto"/>
        </w:rPr>
        <w:t>. Except where a specific period for action or inaction is provided herein, no delay on the part of any Party in exercising any right, power or privilege hereunder will operate as a waiver thereof.</w:t>
      </w:r>
    </w:p>
    <w:p>
      <w:pPr>
        <w:spacing w:after="0" w:line="144" w:lineRule="exact"/>
        <w:rPr>
          <w:sz w:val="20"/>
          <w:szCs w:val="20"/>
          <w:color w:val="auto"/>
        </w:rPr>
      </w:pPr>
    </w:p>
    <w:p>
      <w:pPr>
        <w:jc w:val="both"/>
        <w:ind w:firstLine="601"/>
        <w:spacing w:after="0" w:line="261" w:lineRule="auto"/>
        <w:rPr>
          <w:sz w:val="20"/>
          <w:szCs w:val="20"/>
          <w:color w:val="auto"/>
        </w:rPr>
      </w:pPr>
      <w:r>
        <w:rPr>
          <w:rFonts w:ascii="Arial" w:cs="Arial" w:eastAsia="Arial" w:hAnsi="Arial"/>
          <w:sz w:val="20"/>
          <w:szCs w:val="20"/>
          <w:color w:val="auto"/>
        </w:rPr>
        <w:t xml:space="preserve">Section 11.4 </w:t>
      </w:r>
      <w:r>
        <w:rPr>
          <w:rFonts w:ascii="Arial" w:cs="Arial" w:eastAsia="Arial" w:hAnsi="Arial"/>
          <w:sz w:val="20"/>
          <w:szCs w:val="20"/>
          <w:u w:val="single" w:color="auto"/>
          <w:color w:val="auto"/>
        </w:rPr>
        <w:t>Succession and Assignment</w:t>
      </w:r>
      <w:r>
        <w:rPr>
          <w:rFonts w:ascii="Arial" w:cs="Arial" w:eastAsia="Arial" w:hAnsi="Arial"/>
          <w:sz w:val="20"/>
          <w:szCs w:val="20"/>
          <w:color w:val="auto"/>
        </w:rPr>
        <w:t>. This Agreement will be binding upon and inure to the benefit of the Parties and their respective successors and permitted assigns. No Party may assign either this Agreement or any of its rights, interests or obligations hereunder without the prior written consent of the other Parties.</w:t>
      </w:r>
    </w:p>
    <w:p>
      <w:pPr>
        <w:spacing w:after="0" w:line="163" w:lineRule="exact"/>
        <w:rPr>
          <w:sz w:val="20"/>
          <w:szCs w:val="20"/>
          <w:color w:val="auto"/>
        </w:rPr>
      </w:pPr>
    </w:p>
    <w:p>
      <w:pPr>
        <w:jc w:val="both"/>
        <w:ind w:firstLine="601"/>
        <w:spacing w:after="0" w:line="271" w:lineRule="auto"/>
        <w:rPr>
          <w:sz w:val="20"/>
          <w:szCs w:val="20"/>
          <w:color w:val="auto"/>
        </w:rPr>
      </w:pPr>
      <w:r>
        <w:rPr>
          <w:rFonts w:ascii="Arial" w:cs="Arial" w:eastAsia="Arial" w:hAnsi="Arial"/>
          <w:sz w:val="19"/>
          <w:szCs w:val="19"/>
          <w:color w:val="auto"/>
        </w:rPr>
        <w:t xml:space="preserve">Section 11.5 </w:t>
      </w:r>
      <w:r>
        <w:rPr>
          <w:rFonts w:ascii="Arial" w:cs="Arial" w:eastAsia="Arial" w:hAnsi="Arial"/>
          <w:sz w:val="19"/>
          <w:szCs w:val="19"/>
          <w:u w:val="single" w:color="auto"/>
          <w:color w:val="auto"/>
        </w:rPr>
        <w:t>Notices</w:t>
      </w:r>
      <w:r>
        <w:rPr>
          <w:rFonts w:ascii="Arial" w:cs="Arial" w:eastAsia="Arial" w:hAnsi="Arial"/>
          <w:sz w:val="19"/>
          <w:szCs w:val="19"/>
          <w:color w:val="auto"/>
        </w:rPr>
        <w:t>. All notices, requests, demands, claims, certifications and other communications hereunder will be in writing except as expressly provided herein. Any notice, request, demand, claim or other communication hereunder will be deemed duly given (</w:t>
      </w:r>
      <w:r>
        <w:rPr>
          <w:rFonts w:ascii="Arial" w:cs="Arial" w:eastAsia="Arial" w:hAnsi="Arial"/>
          <w:sz w:val="19"/>
          <w:szCs w:val="19"/>
          <w:u w:val="single" w:color="auto"/>
          <w:color w:val="auto"/>
        </w:rPr>
        <w:t>i</w:t>
      </w:r>
      <w:r>
        <w:rPr>
          <w:rFonts w:ascii="Arial" w:cs="Arial" w:eastAsia="Arial" w:hAnsi="Arial"/>
          <w:sz w:val="19"/>
          <w:szCs w:val="19"/>
          <w:color w:val="auto"/>
        </w:rPr>
        <w:t>) when delivered personally to the recipient; (</w:t>
      </w:r>
      <w:r>
        <w:rPr>
          <w:rFonts w:ascii="Arial" w:cs="Arial" w:eastAsia="Arial" w:hAnsi="Arial"/>
          <w:sz w:val="19"/>
          <w:szCs w:val="19"/>
          <w:u w:val="single" w:color="auto"/>
          <w:color w:val="auto"/>
        </w:rPr>
        <w:t>ii</w:t>
      </w:r>
      <w:r>
        <w:rPr>
          <w:rFonts w:ascii="Arial" w:cs="Arial" w:eastAsia="Arial" w:hAnsi="Arial"/>
          <w:sz w:val="19"/>
          <w:szCs w:val="19"/>
          <w:color w:val="auto"/>
        </w:rPr>
        <w:t>) one (1) Business Day after being sent to the recipient by reputable overnight courier service (charges prepaid), addressed as set forth below; or (iii) when transmitted, if transmitted by facsimile, with confirmation of successful transmission received by the sender, with copies provided by email, if any, to those indicated below (including the recipient):</w:t>
      </w:r>
    </w:p>
    <w:p>
      <w:pPr>
        <w:spacing w:after="0" w:line="293" w:lineRule="exact"/>
        <w:rPr>
          <w:sz w:val="20"/>
          <w:szCs w:val="20"/>
          <w:color w:val="auto"/>
        </w:rPr>
      </w:pPr>
    </w:p>
    <w:p>
      <w:pPr>
        <w:ind w:left="4520"/>
        <w:spacing w:after="0"/>
        <w:tabs>
          <w:tab w:leader="none" w:pos="6360" w:val="left"/>
        </w:tabs>
        <w:rPr>
          <w:sz w:val="20"/>
          <w:szCs w:val="20"/>
          <w:color w:val="auto"/>
        </w:rPr>
      </w:pPr>
      <w:r>
        <w:rPr>
          <w:rFonts w:ascii="Arial" w:cs="Arial" w:eastAsia="Arial" w:hAnsi="Arial"/>
          <w:sz w:val="20"/>
          <w:szCs w:val="20"/>
          <w:color w:val="auto"/>
        </w:rPr>
        <w:t>If to the Company:</w:t>
      </w:r>
      <w:r>
        <w:rPr>
          <w:sz w:val="20"/>
          <w:szCs w:val="20"/>
          <w:color w:val="auto"/>
        </w:rPr>
        <w:tab/>
      </w:r>
      <w:r>
        <w:rPr>
          <w:rFonts w:ascii="Arial" w:cs="Arial" w:eastAsia="Arial" w:hAnsi="Arial"/>
          <w:sz w:val="18"/>
          <w:szCs w:val="18"/>
          <w:color w:val="auto"/>
        </w:rPr>
        <w:t>General Motors LLC</w:t>
      </w:r>
    </w:p>
    <w:p>
      <w:pPr>
        <w:spacing w:after="0" w:line="45" w:lineRule="exact"/>
        <w:rPr>
          <w:sz w:val="20"/>
          <w:szCs w:val="20"/>
          <w:color w:val="auto"/>
        </w:rPr>
      </w:pPr>
    </w:p>
    <w:p>
      <w:pPr>
        <w:ind w:left="6380"/>
        <w:spacing w:after="0"/>
        <w:rPr>
          <w:sz w:val="20"/>
          <w:szCs w:val="20"/>
          <w:color w:val="auto"/>
        </w:rPr>
      </w:pPr>
      <w:r>
        <w:rPr>
          <w:rFonts w:ascii="Arial" w:cs="Arial" w:eastAsia="Arial" w:hAnsi="Arial"/>
          <w:sz w:val="20"/>
          <w:szCs w:val="20"/>
          <w:color w:val="auto"/>
        </w:rPr>
        <w:t>300 Renaissance Center</w:t>
      </w:r>
    </w:p>
    <w:p>
      <w:pPr>
        <w:spacing w:after="0" w:line="45" w:lineRule="exact"/>
        <w:rPr>
          <w:sz w:val="20"/>
          <w:szCs w:val="20"/>
          <w:color w:val="auto"/>
        </w:rPr>
      </w:pPr>
    </w:p>
    <w:p>
      <w:pPr>
        <w:ind w:left="6380"/>
        <w:spacing w:after="0"/>
        <w:rPr>
          <w:sz w:val="20"/>
          <w:szCs w:val="20"/>
          <w:color w:val="auto"/>
        </w:rPr>
      </w:pPr>
      <w:r>
        <w:rPr>
          <w:rFonts w:ascii="Arial" w:cs="Arial" w:eastAsia="Arial" w:hAnsi="Arial"/>
          <w:sz w:val="20"/>
          <w:szCs w:val="20"/>
          <w:color w:val="auto"/>
        </w:rPr>
        <w:t>Detroit, MI 48265</w:t>
      </w:r>
    </w:p>
    <w:p>
      <w:pPr>
        <w:spacing w:after="0" w:line="45" w:lineRule="exact"/>
        <w:rPr>
          <w:sz w:val="20"/>
          <w:szCs w:val="20"/>
          <w:color w:val="auto"/>
        </w:rPr>
      </w:pPr>
    </w:p>
    <w:p>
      <w:pPr>
        <w:ind w:left="6380"/>
        <w:spacing w:after="0"/>
        <w:rPr>
          <w:sz w:val="20"/>
          <w:szCs w:val="20"/>
          <w:color w:val="auto"/>
        </w:rPr>
      </w:pPr>
      <w:r>
        <w:rPr>
          <w:rFonts w:ascii="Arial" w:cs="Arial" w:eastAsia="Arial" w:hAnsi="Arial"/>
          <w:sz w:val="20"/>
          <w:szCs w:val="20"/>
          <w:color w:val="auto"/>
        </w:rPr>
        <w:t>Attention: Director, Pensions Funding,</w:t>
      </w:r>
    </w:p>
    <w:p>
      <w:pPr>
        <w:spacing w:after="0" w:line="45" w:lineRule="exact"/>
        <w:rPr>
          <w:sz w:val="20"/>
          <w:szCs w:val="20"/>
          <w:color w:val="auto"/>
        </w:rPr>
      </w:pPr>
    </w:p>
    <w:p>
      <w:pPr>
        <w:ind w:left="7380"/>
        <w:spacing w:after="0"/>
        <w:rPr>
          <w:sz w:val="20"/>
          <w:szCs w:val="20"/>
          <w:color w:val="auto"/>
        </w:rPr>
      </w:pPr>
      <w:r>
        <w:rPr>
          <w:rFonts w:ascii="Arial" w:cs="Arial" w:eastAsia="Arial" w:hAnsi="Arial"/>
          <w:sz w:val="20"/>
          <w:szCs w:val="20"/>
          <w:color w:val="auto"/>
        </w:rPr>
        <w:t>Treasurer's Office</w:t>
      </w:r>
    </w:p>
    <w:p>
      <w:pPr>
        <w:spacing w:after="0" w:line="45" w:lineRule="exact"/>
        <w:rPr>
          <w:sz w:val="20"/>
          <w:szCs w:val="20"/>
          <w:color w:val="auto"/>
        </w:rPr>
      </w:pPr>
    </w:p>
    <w:p>
      <w:pPr>
        <w:ind w:left="6380"/>
        <w:spacing w:after="0"/>
        <w:rPr>
          <w:sz w:val="20"/>
          <w:szCs w:val="20"/>
          <w:color w:val="auto"/>
        </w:rPr>
      </w:pPr>
      <w:r>
        <w:rPr>
          <w:rFonts w:ascii="Arial" w:cs="Arial" w:eastAsia="Arial" w:hAnsi="Arial"/>
          <w:sz w:val="20"/>
          <w:szCs w:val="20"/>
          <w:color w:val="auto"/>
        </w:rPr>
        <w:t>Email: alfred.kibe@gm.com</w:t>
      </w:r>
    </w:p>
    <w:p>
      <w:pPr>
        <w:spacing w:after="0" w:line="346" w:lineRule="exact"/>
        <w:rPr>
          <w:sz w:val="20"/>
          <w:szCs w:val="20"/>
          <w:color w:val="auto"/>
        </w:rPr>
      </w:pPr>
    </w:p>
    <w:p>
      <w:pPr>
        <w:ind w:left="6380"/>
        <w:spacing w:after="0"/>
        <w:rPr>
          <w:sz w:val="20"/>
          <w:szCs w:val="20"/>
          <w:color w:val="auto"/>
        </w:rPr>
      </w:pPr>
      <w:r>
        <w:rPr>
          <w:rFonts w:ascii="Arial" w:cs="Arial" w:eastAsia="Arial" w:hAnsi="Arial"/>
          <w:sz w:val="20"/>
          <w:szCs w:val="20"/>
          <w:color w:val="auto"/>
        </w:rPr>
        <w:t>With a copy (which will not constitute</w:t>
      </w:r>
    </w:p>
    <w:p>
      <w:pPr>
        <w:spacing w:after="0" w:line="45" w:lineRule="exact"/>
        <w:rPr>
          <w:sz w:val="20"/>
          <w:szCs w:val="20"/>
          <w:color w:val="auto"/>
        </w:rPr>
      </w:pPr>
    </w:p>
    <w:p>
      <w:pPr>
        <w:ind w:left="6380"/>
        <w:spacing w:after="0"/>
        <w:rPr>
          <w:sz w:val="20"/>
          <w:szCs w:val="20"/>
          <w:color w:val="auto"/>
        </w:rPr>
      </w:pPr>
      <w:r>
        <w:rPr>
          <w:rFonts w:ascii="Arial" w:cs="Arial" w:eastAsia="Arial" w:hAnsi="Arial"/>
          <w:sz w:val="20"/>
          <w:szCs w:val="20"/>
          <w:color w:val="auto"/>
        </w:rPr>
        <w:t>notice to the Company) to:</w:t>
      </w:r>
    </w:p>
    <w:p>
      <w:pPr>
        <w:spacing w:after="0" w:line="346" w:lineRule="exact"/>
        <w:rPr>
          <w:sz w:val="20"/>
          <w:szCs w:val="20"/>
          <w:color w:val="auto"/>
        </w:rPr>
      </w:pPr>
    </w:p>
    <w:p>
      <w:pPr>
        <w:ind w:left="6380"/>
        <w:spacing w:after="0"/>
        <w:rPr>
          <w:sz w:val="20"/>
          <w:szCs w:val="20"/>
          <w:color w:val="auto"/>
        </w:rPr>
      </w:pPr>
      <w:r>
        <w:rPr>
          <w:rFonts w:ascii="Arial" w:cs="Arial" w:eastAsia="Arial" w:hAnsi="Arial"/>
          <w:sz w:val="20"/>
          <w:szCs w:val="20"/>
          <w:color w:val="auto"/>
        </w:rPr>
        <w:t>General Motors LLC</w:t>
      </w:r>
    </w:p>
    <w:p>
      <w:pPr>
        <w:spacing w:after="0" w:line="45" w:lineRule="exact"/>
        <w:rPr>
          <w:sz w:val="20"/>
          <w:szCs w:val="20"/>
          <w:color w:val="auto"/>
        </w:rPr>
      </w:pPr>
    </w:p>
    <w:p>
      <w:pPr>
        <w:ind w:left="6380"/>
        <w:spacing w:after="0"/>
        <w:rPr>
          <w:sz w:val="20"/>
          <w:szCs w:val="20"/>
          <w:color w:val="auto"/>
        </w:rPr>
      </w:pPr>
      <w:r>
        <w:rPr>
          <w:rFonts w:ascii="Arial" w:cs="Arial" w:eastAsia="Arial" w:hAnsi="Arial"/>
          <w:sz w:val="20"/>
          <w:szCs w:val="20"/>
          <w:color w:val="auto"/>
        </w:rPr>
        <w:t>300 Renaissance Center</w:t>
      </w:r>
    </w:p>
    <w:p>
      <w:pPr>
        <w:spacing w:after="0" w:line="45" w:lineRule="exact"/>
        <w:rPr>
          <w:sz w:val="20"/>
          <w:szCs w:val="20"/>
          <w:color w:val="auto"/>
        </w:rPr>
      </w:pPr>
    </w:p>
    <w:p>
      <w:pPr>
        <w:ind w:left="6380"/>
        <w:spacing w:after="0"/>
        <w:rPr>
          <w:sz w:val="20"/>
          <w:szCs w:val="20"/>
          <w:color w:val="auto"/>
        </w:rPr>
      </w:pPr>
      <w:r>
        <w:rPr>
          <w:rFonts w:ascii="Arial" w:cs="Arial" w:eastAsia="Arial" w:hAnsi="Arial"/>
          <w:sz w:val="20"/>
          <w:szCs w:val="20"/>
          <w:color w:val="auto"/>
        </w:rPr>
        <w:t>Detroit, MI 48265</w:t>
      </w:r>
    </w:p>
    <w:p>
      <w:pPr>
        <w:spacing w:after="0" w:line="45" w:lineRule="exact"/>
        <w:rPr>
          <w:sz w:val="20"/>
          <w:szCs w:val="20"/>
          <w:color w:val="auto"/>
        </w:rPr>
      </w:pPr>
    </w:p>
    <w:p>
      <w:pPr>
        <w:ind w:left="6380"/>
        <w:spacing w:after="0"/>
        <w:rPr>
          <w:sz w:val="20"/>
          <w:szCs w:val="20"/>
          <w:color w:val="auto"/>
        </w:rPr>
      </w:pPr>
      <w:r>
        <w:rPr>
          <w:rFonts w:ascii="Arial" w:cs="Arial" w:eastAsia="Arial" w:hAnsi="Arial"/>
          <w:sz w:val="20"/>
          <w:szCs w:val="20"/>
          <w:color w:val="auto"/>
        </w:rPr>
        <w:t>Attention: Associate General Counsel --</w:t>
      </w:r>
    </w:p>
    <w:p>
      <w:pPr>
        <w:spacing w:after="0" w:line="45" w:lineRule="exact"/>
        <w:rPr>
          <w:sz w:val="20"/>
          <w:szCs w:val="20"/>
          <w:color w:val="auto"/>
        </w:rPr>
      </w:pPr>
    </w:p>
    <w:p>
      <w:pPr>
        <w:ind w:left="7420"/>
        <w:spacing w:after="0"/>
        <w:rPr>
          <w:sz w:val="20"/>
          <w:szCs w:val="20"/>
          <w:color w:val="auto"/>
        </w:rPr>
      </w:pPr>
      <w:r>
        <w:rPr>
          <w:rFonts w:ascii="Arial" w:cs="Arial" w:eastAsia="Arial" w:hAnsi="Arial"/>
          <w:sz w:val="20"/>
          <w:szCs w:val="20"/>
          <w:color w:val="auto"/>
        </w:rPr>
        <w:t>Manufacturing and Labor Relations</w:t>
      </w:r>
    </w:p>
    <w:p>
      <w:pPr>
        <w:spacing w:after="0" w:line="45" w:lineRule="exact"/>
        <w:rPr>
          <w:sz w:val="20"/>
          <w:szCs w:val="20"/>
          <w:color w:val="auto"/>
        </w:rPr>
      </w:pPr>
    </w:p>
    <w:p>
      <w:pPr>
        <w:ind w:left="6380"/>
        <w:spacing w:after="0"/>
        <w:rPr>
          <w:sz w:val="20"/>
          <w:szCs w:val="20"/>
          <w:color w:val="auto"/>
        </w:rPr>
      </w:pPr>
      <w:r>
        <w:rPr>
          <w:rFonts w:ascii="Arial" w:cs="Arial" w:eastAsia="Arial" w:hAnsi="Arial"/>
          <w:sz w:val="20"/>
          <w:szCs w:val="20"/>
          <w:color w:val="auto"/>
        </w:rPr>
        <w:t>Email: francis.s.jaworski@gm.com</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62</w:t>
      </w:r>
    </w:p>
    <w:p>
      <w:pPr>
        <w:sectPr>
          <w:pgSz w:w="11900" w:h="16838" w:orient="portrait"/>
          <w:cols w:equalWidth="0" w:num="1">
            <w:col w:w="11420"/>
          </w:cols>
          <w:pgMar w:left="240" w:top="556" w:right="239" w:bottom="1440" w:gutter="0" w:footer="0" w:header="0"/>
        </w:sectPr>
      </w:pPr>
    </w:p>
    <w:bookmarkStart w:id="73" w:name="page74"/>
    <w:bookmarkEnd w:id="73"/>
    <w:p>
      <w:pPr>
        <w:ind w:left="3320"/>
        <w:spacing w:after="0"/>
        <w:rPr>
          <w:sz w:val="20"/>
          <w:szCs w:val="20"/>
          <w:color w:val="auto"/>
        </w:rPr>
      </w:pPr>
      <w:r>
        <w:rPr>
          <w:rFonts w:ascii="Arial" w:cs="Arial" w:eastAsia="Arial" w:hAnsi="Arial"/>
          <w:sz w:val="18"/>
          <w:szCs w:val="18"/>
          <w:color w:val="auto"/>
        </w:rPr>
        <w:t>If to Insurer Parent:</w:t>
      </w:r>
    </w:p>
    <w:p>
      <w:pPr>
        <w:spacing w:after="0" w:line="20" w:lineRule="exact"/>
        <w:rPr>
          <w:sz w:val="20"/>
          <w:szCs w:val="20"/>
          <w:color w:val="auto"/>
        </w:rPr>
      </w:pPr>
      <w:r>
        <w:rPr>
          <w:sz w:val="20"/>
          <w:szCs w:val="20"/>
          <w:color w:val="auto"/>
        </w:rPr>
        <w:br w:type="column"/>
      </w:r>
    </w:p>
    <w:p>
      <w:pPr>
        <w:ind w:right="1699"/>
        <w:spacing w:after="0" w:line="330" w:lineRule="auto"/>
        <w:rPr>
          <w:sz w:val="20"/>
          <w:szCs w:val="20"/>
          <w:color w:val="auto"/>
        </w:rPr>
      </w:pPr>
      <w:r>
        <w:rPr>
          <w:rFonts w:ascii="Arial" w:cs="Arial" w:eastAsia="Arial" w:hAnsi="Arial"/>
          <w:sz w:val="18"/>
          <w:szCs w:val="18"/>
          <w:color w:val="auto"/>
        </w:rPr>
        <w:t>Prudential Financial, Inc. 280 Trumbull Street One Commercial Plaza Hartford, CT 06103 Attention: Phil Waldeck Facsimile: (860) 534-2614</w:t>
      </w:r>
    </w:p>
    <w:p>
      <w:pPr>
        <w:spacing w:after="0" w:line="200" w:lineRule="exact"/>
        <w:rPr>
          <w:sz w:val="20"/>
          <w:szCs w:val="20"/>
          <w:color w:val="auto"/>
        </w:rPr>
      </w:pPr>
    </w:p>
    <w:p>
      <w:pPr>
        <w:sectPr>
          <w:pgSz w:w="11900" w:h="16838" w:orient="portrait"/>
          <w:cols w:equalWidth="0" w:num="2">
            <w:col w:w="4880" w:space="300"/>
            <w:col w:w="3839"/>
          </w:cols>
          <w:pgMar w:left="1440" w:top="894" w:right="1440" w:bottom="1440" w:gutter="0" w:footer="0" w:header="0"/>
        </w:sectPr>
      </w:pPr>
    </w:p>
    <w:p>
      <w:pPr>
        <w:spacing w:after="0" w:line="45" w:lineRule="exact"/>
        <w:rPr>
          <w:sz w:val="20"/>
          <w:szCs w:val="20"/>
          <w:color w:val="auto"/>
        </w:rPr>
      </w:pPr>
    </w:p>
    <w:p>
      <w:pPr>
        <w:ind w:left="5180"/>
        <w:spacing w:after="0"/>
        <w:rPr>
          <w:sz w:val="20"/>
          <w:szCs w:val="20"/>
          <w:color w:val="auto"/>
        </w:rPr>
      </w:pPr>
      <w:r>
        <w:rPr>
          <w:rFonts w:ascii="Arial" w:cs="Arial" w:eastAsia="Arial" w:hAnsi="Arial"/>
          <w:sz w:val="19"/>
          <w:szCs w:val="19"/>
          <w:color w:val="auto"/>
        </w:rPr>
        <w:t>With a copy (which will not constitute</w:t>
      </w:r>
    </w:p>
    <w:p>
      <w:pPr>
        <w:spacing w:after="0" w:line="57" w:lineRule="exact"/>
        <w:rPr>
          <w:sz w:val="20"/>
          <w:szCs w:val="20"/>
          <w:color w:val="auto"/>
        </w:rPr>
      </w:pPr>
    </w:p>
    <w:p>
      <w:pPr>
        <w:ind w:left="5180"/>
        <w:spacing w:after="0"/>
        <w:rPr>
          <w:sz w:val="20"/>
          <w:szCs w:val="20"/>
          <w:color w:val="auto"/>
        </w:rPr>
      </w:pPr>
      <w:r>
        <w:rPr>
          <w:rFonts w:ascii="Arial" w:cs="Arial" w:eastAsia="Arial" w:hAnsi="Arial"/>
          <w:sz w:val="20"/>
          <w:szCs w:val="20"/>
          <w:color w:val="auto"/>
        </w:rPr>
        <w:t>notice to the Insurer Parent) to:</w:t>
      </w:r>
    </w:p>
    <w:p>
      <w:pPr>
        <w:spacing w:after="0" w:line="346" w:lineRule="exact"/>
        <w:rPr>
          <w:sz w:val="20"/>
          <w:szCs w:val="20"/>
          <w:color w:val="auto"/>
        </w:rPr>
      </w:pPr>
    </w:p>
    <w:p>
      <w:pPr>
        <w:ind w:left="5180"/>
        <w:spacing w:after="0"/>
        <w:rPr>
          <w:sz w:val="20"/>
          <w:szCs w:val="20"/>
          <w:color w:val="auto"/>
        </w:rPr>
      </w:pPr>
      <w:r>
        <w:rPr>
          <w:rFonts w:ascii="Arial" w:cs="Arial" w:eastAsia="Arial" w:hAnsi="Arial"/>
          <w:sz w:val="20"/>
          <w:szCs w:val="20"/>
          <w:color w:val="auto"/>
        </w:rPr>
        <w:t>Debevoise &amp; Plimpton LLP</w:t>
      </w:r>
    </w:p>
    <w:p>
      <w:pPr>
        <w:spacing w:after="0" w:line="45" w:lineRule="exact"/>
        <w:rPr>
          <w:sz w:val="20"/>
          <w:szCs w:val="20"/>
          <w:color w:val="auto"/>
        </w:rPr>
      </w:pPr>
    </w:p>
    <w:p>
      <w:pPr>
        <w:ind w:left="5180"/>
        <w:spacing w:after="0"/>
        <w:rPr>
          <w:sz w:val="20"/>
          <w:szCs w:val="20"/>
          <w:color w:val="auto"/>
        </w:rPr>
      </w:pPr>
      <w:r>
        <w:rPr>
          <w:rFonts w:ascii="Arial" w:cs="Arial" w:eastAsia="Arial" w:hAnsi="Arial"/>
          <w:sz w:val="20"/>
          <w:szCs w:val="20"/>
          <w:color w:val="auto"/>
        </w:rPr>
        <w:t>919 Third Avenue</w:t>
      </w:r>
    </w:p>
    <w:p>
      <w:pPr>
        <w:spacing w:after="0" w:line="45" w:lineRule="exact"/>
        <w:rPr>
          <w:sz w:val="20"/>
          <w:szCs w:val="20"/>
          <w:color w:val="auto"/>
        </w:rPr>
      </w:pPr>
    </w:p>
    <w:p>
      <w:pPr>
        <w:ind w:left="5180"/>
        <w:spacing w:after="0"/>
        <w:rPr>
          <w:sz w:val="20"/>
          <w:szCs w:val="20"/>
          <w:color w:val="auto"/>
        </w:rPr>
      </w:pPr>
      <w:r>
        <w:rPr>
          <w:rFonts w:ascii="Arial" w:cs="Arial" w:eastAsia="Arial" w:hAnsi="Arial"/>
          <w:sz w:val="20"/>
          <w:szCs w:val="20"/>
          <w:color w:val="auto"/>
        </w:rPr>
        <w:t>New York, NY 10022</w:t>
      </w:r>
    </w:p>
    <w:p>
      <w:pPr>
        <w:spacing w:after="0" w:line="45" w:lineRule="exact"/>
        <w:rPr>
          <w:sz w:val="20"/>
          <w:szCs w:val="20"/>
          <w:color w:val="auto"/>
        </w:rPr>
      </w:pPr>
    </w:p>
    <w:p>
      <w:pPr>
        <w:ind w:left="5180"/>
        <w:spacing w:after="0"/>
        <w:rPr>
          <w:sz w:val="20"/>
          <w:szCs w:val="20"/>
          <w:color w:val="auto"/>
        </w:rPr>
      </w:pPr>
      <w:r>
        <w:rPr>
          <w:rFonts w:ascii="Arial" w:cs="Arial" w:eastAsia="Arial" w:hAnsi="Arial"/>
          <w:sz w:val="20"/>
          <w:szCs w:val="20"/>
          <w:color w:val="auto"/>
        </w:rPr>
        <w:t>Attention: Nicholas Potter</w:t>
      </w:r>
    </w:p>
    <w:p>
      <w:pPr>
        <w:spacing w:after="0" w:line="45" w:lineRule="exact"/>
        <w:rPr>
          <w:sz w:val="20"/>
          <w:szCs w:val="20"/>
          <w:color w:val="auto"/>
        </w:rPr>
      </w:pPr>
    </w:p>
    <w:p>
      <w:pPr>
        <w:ind w:left="6220"/>
        <w:spacing w:after="0"/>
        <w:rPr>
          <w:sz w:val="20"/>
          <w:szCs w:val="20"/>
          <w:color w:val="auto"/>
        </w:rPr>
      </w:pPr>
      <w:r>
        <w:rPr>
          <w:rFonts w:ascii="Arial" w:cs="Arial" w:eastAsia="Arial" w:hAnsi="Arial"/>
          <w:sz w:val="20"/>
          <w:szCs w:val="20"/>
          <w:color w:val="auto"/>
        </w:rPr>
        <w:t>Sarah Fitts</w:t>
      </w:r>
    </w:p>
    <w:p>
      <w:pPr>
        <w:spacing w:after="0" w:line="45" w:lineRule="exact"/>
        <w:rPr>
          <w:sz w:val="20"/>
          <w:szCs w:val="20"/>
          <w:color w:val="auto"/>
        </w:rPr>
      </w:pPr>
    </w:p>
    <w:p>
      <w:pPr>
        <w:ind w:left="5180"/>
        <w:spacing w:after="0"/>
        <w:rPr>
          <w:sz w:val="20"/>
          <w:szCs w:val="20"/>
          <w:color w:val="auto"/>
        </w:rPr>
      </w:pPr>
      <w:r>
        <w:rPr>
          <w:rFonts w:ascii="Arial" w:cs="Arial" w:eastAsia="Arial" w:hAnsi="Arial"/>
          <w:sz w:val="20"/>
          <w:szCs w:val="20"/>
          <w:color w:val="auto"/>
        </w:rPr>
        <w:t>Email: nfpotter@debevoise.com</w:t>
      </w:r>
    </w:p>
    <w:p>
      <w:pPr>
        <w:spacing w:after="0" w:line="45"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sawfitts@debevoise.com</w:t>
      </w:r>
    </w:p>
    <w:p>
      <w:pPr>
        <w:sectPr>
          <w:pgSz w:w="11900" w:h="16838" w:orient="portrait"/>
          <w:cols w:equalWidth="0" w:num="1">
            <w:col w:w="9019"/>
          </w:cols>
          <w:pgMar w:left="1440" w:top="894" w:right="1440" w:bottom="1440" w:gutter="0" w:footer="0" w:header="0"/>
          <w:type w:val="continuous"/>
        </w:sectPr>
      </w:pPr>
    </w:p>
    <w:p>
      <w:pPr>
        <w:spacing w:after="0" w:line="200" w:lineRule="exact"/>
        <w:rPr>
          <w:sz w:val="20"/>
          <w:szCs w:val="20"/>
          <w:color w:val="auto"/>
        </w:rPr>
      </w:pPr>
    </w:p>
    <w:p>
      <w:pPr>
        <w:spacing w:after="0" w:line="394"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If to the Insurer: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Prudential Insurance Company of America</w:t>
      </w:r>
    </w:p>
    <w:p>
      <w:pPr>
        <w:spacing w:after="0" w:line="68" w:lineRule="exact"/>
        <w:rPr>
          <w:sz w:val="20"/>
          <w:szCs w:val="20"/>
          <w:color w:val="auto"/>
        </w:rPr>
      </w:pPr>
    </w:p>
    <w:p>
      <w:pPr>
        <w:spacing w:after="0"/>
        <w:rPr>
          <w:sz w:val="20"/>
          <w:szCs w:val="20"/>
          <w:color w:val="auto"/>
        </w:rPr>
      </w:pPr>
      <w:r>
        <w:rPr>
          <w:rFonts w:ascii="Arial" w:cs="Arial" w:eastAsia="Arial" w:hAnsi="Arial"/>
          <w:sz w:val="20"/>
          <w:szCs w:val="20"/>
          <w:color w:val="auto"/>
        </w:rPr>
        <w:t>200 Wood Avenue South</w:t>
      </w:r>
    </w:p>
    <w:p>
      <w:pPr>
        <w:spacing w:after="0" w:line="45" w:lineRule="exact"/>
        <w:rPr>
          <w:sz w:val="20"/>
          <w:szCs w:val="20"/>
          <w:color w:val="auto"/>
        </w:rPr>
      </w:pPr>
    </w:p>
    <w:p>
      <w:pPr>
        <w:spacing w:after="0"/>
        <w:rPr>
          <w:sz w:val="20"/>
          <w:szCs w:val="20"/>
          <w:color w:val="auto"/>
        </w:rPr>
      </w:pPr>
      <w:r>
        <w:rPr>
          <w:rFonts w:ascii="Arial" w:cs="Arial" w:eastAsia="Arial" w:hAnsi="Arial"/>
          <w:sz w:val="20"/>
          <w:szCs w:val="20"/>
          <w:color w:val="auto"/>
        </w:rPr>
        <w:t>Iselin, NJ 08830</w:t>
      </w:r>
    </w:p>
    <w:p>
      <w:pPr>
        <w:spacing w:after="0" w:line="45" w:lineRule="exact"/>
        <w:rPr>
          <w:sz w:val="20"/>
          <w:szCs w:val="20"/>
          <w:color w:val="auto"/>
        </w:rPr>
      </w:pPr>
    </w:p>
    <w:p>
      <w:pPr>
        <w:spacing w:after="0"/>
        <w:rPr>
          <w:sz w:val="20"/>
          <w:szCs w:val="20"/>
          <w:color w:val="auto"/>
        </w:rPr>
      </w:pPr>
      <w:r>
        <w:rPr>
          <w:rFonts w:ascii="Arial" w:cs="Arial" w:eastAsia="Arial" w:hAnsi="Arial"/>
          <w:sz w:val="20"/>
          <w:szCs w:val="20"/>
          <w:color w:val="auto"/>
        </w:rPr>
        <w:t>Attention: Dylan Tyson</w:t>
      </w:r>
    </w:p>
    <w:p>
      <w:pPr>
        <w:spacing w:after="0" w:line="45" w:lineRule="exact"/>
        <w:rPr>
          <w:sz w:val="20"/>
          <w:szCs w:val="20"/>
          <w:color w:val="auto"/>
        </w:rPr>
      </w:pPr>
    </w:p>
    <w:p>
      <w:pPr>
        <w:spacing w:after="0"/>
        <w:rPr>
          <w:sz w:val="20"/>
          <w:szCs w:val="20"/>
          <w:color w:val="auto"/>
        </w:rPr>
      </w:pPr>
      <w:r>
        <w:rPr>
          <w:rFonts w:ascii="Arial" w:cs="Arial" w:eastAsia="Arial" w:hAnsi="Arial"/>
          <w:sz w:val="20"/>
          <w:szCs w:val="20"/>
          <w:color w:val="auto"/>
        </w:rPr>
        <w:t>Facsimile: (732) 482-6878</w:t>
      </w:r>
    </w:p>
    <w:p>
      <w:pPr>
        <w:spacing w:after="0" w:line="200" w:lineRule="exact"/>
        <w:rPr>
          <w:sz w:val="20"/>
          <w:szCs w:val="20"/>
          <w:color w:val="auto"/>
        </w:rPr>
      </w:pPr>
    </w:p>
    <w:p>
      <w:pPr>
        <w:sectPr>
          <w:pgSz w:w="11900" w:h="16838" w:orient="portrait"/>
          <w:cols w:equalWidth="0" w:num="2">
            <w:col w:w="4620" w:space="560"/>
            <w:col w:w="3839"/>
          </w:cols>
          <w:pgMar w:left="1440" w:top="894" w:right="1440" w:bottom="1440" w:gutter="0" w:footer="0" w:header="0"/>
          <w:type w:val="continuous"/>
        </w:sectPr>
      </w:pPr>
    </w:p>
    <w:p>
      <w:pPr>
        <w:spacing w:after="0" w:line="146" w:lineRule="exact"/>
        <w:rPr>
          <w:sz w:val="20"/>
          <w:szCs w:val="20"/>
          <w:color w:val="auto"/>
        </w:rPr>
      </w:pPr>
    </w:p>
    <w:p>
      <w:pPr>
        <w:ind w:left="5180"/>
        <w:spacing w:after="0"/>
        <w:rPr>
          <w:sz w:val="20"/>
          <w:szCs w:val="20"/>
          <w:color w:val="auto"/>
        </w:rPr>
      </w:pPr>
      <w:r>
        <w:rPr>
          <w:rFonts w:ascii="Arial" w:cs="Arial" w:eastAsia="Arial" w:hAnsi="Arial"/>
          <w:sz w:val="19"/>
          <w:szCs w:val="19"/>
          <w:color w:val="auto"/>
        </w:rPr>
        <w:t>With a copy (which will not constitute</w:t>
      </w:r>
    </w:p>
    <w:p>
      <w:pPr>
        <w:spacing w:after="0" w:line="57" w:lineRule="exact"/>
        <w:rPr>
          <w:sz w:val="20"/>
          <w:szCs w:val="20"/>
          <w:color w:val="auto"/>
        </w:rPr>
      </w:pPr>
    </w:p>
    <w:p>
      <w:pPr>
        <w:ind w:left="5180"/>
        <w:spacing w:after="0"/>
        <w:rPr>
          <w:sz w:val="20"/>
          <w:szCs w:val="20"/>
          <w:color w:val="auto"/>
        </w:rPr>
      </w:pPr>
      <w:r>
        <w:rPr>
          <w:rFonts w:ascii="Arial" w:cs="Arial" w:eastAsia="Arial" w:hAnsi="Arial"/>
          <w:sz w:val="20"/>
          <w:szCs w:val="20"/>
          <w:color w:val="auto"/>
        </w:rPr>
        <w:t>notice to the Insurer) to:</w:t>
      </w:r>
    </w:p>
    <w:p>
      <w:pPr>
        <w:spacing w:after="0" w:line="346" w:lineRule="exact"/>
        <w:rPr>
          <w:sz w:val="20"/>
          <w:szCs w:val="20"/>
          <w:color w:val="auto"/>
        </w:rPr>
      </w:pPr>
    </w:p>
    <w:p>
      <w:pPr>
        <w:ind w:left="5180"/>
        <w:spacing w:after="0"/>
        <w:rPr>
          <w:sz w:val="20"/>
          <w:szCs w:val="20"/>
          <w:color w:val="auto"/>
        </w:rPr>
      </w:pPr>
      <w:r>
        <w:rPr>
          <w:rFonts w:ascii="Arial" w:cs="Arial" w:eastAsia="Arial" w:hAnsi="Arial"/>
          <w:sz w:val="20"/>
          <w:szCs w:val="20"/>
          <w:color w:val="auto"/>
        </w:rPr>
        <w:t>Debevoise &amp; Plimpton LLP</w:t>
      </w:r>
    </w:p>
    <w:p>
      <w:pPr>
        <w:spacing w:after="0" w:line="45" w:lineRule="exact"/>
        <w:rPr>
          <w:sz w:val="20"/>
          <w:szCs w:val="20"/>
          <w:color w:val="auto"/>
        </w:rPr>
      </w:pPr>
    </w:p>
    <w:p>
      <w:pPr>
        <w:ind w:left="5180"/>
        <w:spacing w:after="0"/>
        <w:rPr>
          <w:sz w:val="20"/>
          <w:szCs w:val="20"/>
          <w:color w:val="auto"/>
        </w:rPr>
      </w:pPr>
      <w:r>
        <w:rPr>
          <w:rFonts w:ascii="Arial" w:cs="Arial" w:eastAsia="Arial" w:hAnsi="Arial"/>
          <w:sz w:val="20"/>
          <w:szCs w:val="20"/>
          <w:color w:val="auto"/>
        </w:rPr>
        <w:t>919 Third Avenue</w:t>
      </w:r>
    </w:p>
    <w:p>
      <w:pPr>
        <w:spacing w:after="0" w:line="45" w:lineRule="exact"/>
        <w:rPr>
          <w:sz w:val="20"/>
          <w:szCs w:val="20"/>
          <w:color w:val="auto"/>
        </w:rPr>
      </w:pPr>
    </w:p>
    <w:p>
      <w:pPr>
        <w:ind w:left="5180"/>
        <w:spacing w:after="0"/>
        <w:rPr>
          <w:sz w:val="20"/>
          <w:szCs w:val="20"/>
          <w:color w:val="auto"/>
        </w:rPr>
      </w:pPr>
      <w:r>
        <w:rPr>
          <w:rFonts w:ascii="Arial" w:cs="Arial" w:eastAsia="Arial" w:hAnsi="Arial"/>
          <w:sz w:val="20"/>
          <w:szCs w:val="20"/>
          <w:color w:val="auto"/>
        </w:rPr>
        <w:t>New York, NY 10022</w:t>
      </w:r>
    </w:p>
    <w:p>
      <w:pPr>
        <w:spacing w:after="0" w:line="45" w:lineRule="exact"/>
        <w:rPr>
          <w:sz w:val="20"/>
          <w:szCs w:val="20"/>
          <w:color w:val="auto"/>
        </w:rPr>
      </w:pPr>
    </w:p>
    <w:p>
      <w:pPr>
        <w:ind w:left="5180"/>
        <w:spacing w:after="0"/>
        <w:rPr>
          <w:sz w:val="20"/>
          <w:szCs w:val="20"/>
          <w:color w:val="auto"/>
        </w:rPr>
      </w:pPr>
      <w:r>
        <w:rPr>
          <w:rFonts w:ascii="Arial" w:cs="Arial" w:eastAsia="Arial" w:hAnsi="Arial"/>
          <w:sz w:val="20"/>
          <w:szCs w:val="20"/>
          <w:color w:val="auto"/>
        </w:rPr>
        <w:t>Attention: Nicholas Potter</w:t>
      </w:r>
    </w:p>
    <w:p>
      <w:pPr>
        <w:spacing w:after="0" w:line="45" w:lineRule="exact"/>
        <w:rPr>
          <w:sz w:val="20"/>
          <w:szCs w:val="20"/>
          <w:color w:val="auto"/>
        </w:rPr>
      </w:pPr>
    </w:p>
    <w:p>
      <w:pPr>
        <w:ind w:left="6220"/>
        <w:spacing w:after="0"/>
        <w:rPr>
          <w:sz w:val="20"/>
          <w:szCs w:val="20"/>
          <w:color w:val="auto"/>
        </w:rPr>
      </w:pPr>
      <w:r>
        <w:rPr>
          <w:rFonts w:ascii="Arial" w:cs="Arial" w:eastAsia="Arial" w:hAnsi="Arial"/>
          <w:sz w:val="20"/>
          <w:szCs w:val="20"/>
          <w:color w:val="auto"/>
        </w:rPr>
        <w:t>Sarah Fitts</w:t>
      </w:r>
    </w:p>
    <w:p>
      <w:pPr>
        <w:spacing w:after="0" w:line="45" w:lineRule="exact"/>
        <w:rPr>
          <w:sz w:val="20"/>
          <w:szCs w:val="20"/>
          <w:color w:val="auto"/>
        </w:rPr>
      </w:pPr>
    </w:p>
    <w:p>
      <w:pPr>
        <w:ind w:left="5180"/>
        <w:spacing w:after="0"/>
        <w:rPr>
          <w:sz w:val="20"/>
          <w:szCs w:val="20"/>
          <w:color w:val="auto"/>
        </w:rPr>
      </w:pPr>
      <w:r>
        <w:rPr>
          <w:rFonts w:ascii="Arial" w:cs="Arial" w:eastAsia="Arial" w:hAnsi="Arial"/>
          <w:sz w:val="20"/>
          <w:szCs w:val="20"/>
          <w:color w:val="auto"/>
        </w:rPr>
        <w:t>Email: nfpotter@debevoise.com</w:t>
      </w:r>
    </w:p>
    <w:p>
      <w:pPr>
        <w:spacing w:after="0" w:line="45"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sawfitts@debevoise.com</w:t>
      </w:r>
    </w:p>
    <w:p>
      <w:pPr>
        <w:sectPr>
          <w:pgSz w:w="11900" w:h="16838" w:orient="portrait"/>
          <w:cols w:equalWidth="0" w:num="1">
            <w:col w:w="9019"/>
          </w:cols>
          <w:pgMar w:left="1440" w:top="894" w:right="1440" w:bottom="1440" w:gutter="0" w:footer="0" w:header="0"/>
          <w:type w:val="continuous"/>
        </w:sectPr>
      </w:pPr>
    </w:p>
    <w:p>
      <w:pPr>
        <w:spacing w:after="0" w:line="200" w:lineRule="exact"/>
        <w:rPr>
          <w:sz w:val="20"/>
          <w:szCs w:val="20"/>
          <w:color w:val="auto"/>
        </w:rPr>
      </w:pPr>
    </w:p>
    <w:p>
      <w:pPr>
        <w:spacing w:after="0" w:line="278"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63</w:t>
      </w:r>
    </w:p>
    <w:p>
      <w:pPr>
        <w:sectPr>
          <w:pgSz w:w="11900" w:h="16838" w:orient="portrait"/>
          <w:cols w:equalWidth="0" w:num="1">
            <w:col w:w="9019"/>
          </w:cols>
          <w:pgMar w:left="1440" w:top="894" w:right="1440" w:bottom="1440" w:gutter="0" w:footer="0" w:header="0"/>
          <w:type w:val="continuous"/>
        </w:sectPr>
      </w:pPr>
    </w:p>
    <w:bookmarkStart w:id="74" w:name="page75"/>
    <w:bookmarkEnd w:id="74"/>
    <w:p>
      <w:pPr>
        <w:ind w:left="4520"/>
        <w:spacing w:after="0"/>
        <w:rPr>
          <w:sz w:val="20"/>
          <w:szCs w:val="20"/>
          <w:color w:val="auto"/>
        </w:rPr>
      </w:pPr>
      <w:r>
        <w:rPr>
          <w:rFonts w:ascii="Arial" w:cs="Arial" w:eastAsia="Arial" w:hAnsi="Arial"/>
          <w:sz w:val="18"/>
          <w:szCs w:val="18"/>
          <w:color w:val="auto"/>
        </w:rPr>
        <w:t>If to Independent</w:t>
      </w:r>
    </w:p>
    <w:p>
      <w:pPr>
        <w:spacing w:after="0" w:line="36" w:lineRule="exact"/>
        <w:rPr>
          <w:sz w:val="20"/>
          <w:szCs w:val="20"/>
          <w:color w:val="auto"/>
        </w:rPr>
      </w:pPr>
    </w:p>
    <w:p>
      <w:pPr>
        <w:ind w:left="4520"/>
        <w:spacing w:after="0"/>
        <w:rPr>
          <w:sz w:val="20"/>
          <w:szCs w:val="20"/>
          <w:color w:val="auto"/>
        </w:rPr>
      </w:pPr>
      <w:r>
        <w:rPr>
          <w:rFonts w:ascii="Arial" w:cs="Arial" w:eastAsia="Arial" w:hAnsi="Arial"/>
          <w:sz w:val="20"/>
          <w:szCs w:val="20"/>
          <w:color w:val="auto"/>
        </w:rPr>
        <w:t>Fiduciary:</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State Street Global Advisors</w:t>
      </w:r>
    </w:p>
    <w:p>
      <w:pPr>
        <w:spacing w:after="0" w:line="67" w:lineRule="exact"/>
        <w:rPr>
          <w:sz w:val="20"/>
          <w:szCs w:val="20"/>
          <w:color w:val="auto"/>
        </w:rPr>
      </w:pPr>
    </w:p>
    <w:p>
      <w:pPr>
        <w:sectPr>
          <w:pgSz w:w="11900" w:h="16838" w:orient="portrait"/>
          <w:cols w:equalWidth="0" w:num="2">
            <w:col w:w="5900" w:space="480"/>
            <w:col w:w="5040"/>
          </w:cols>
          <w:pgMar w:left="240" w:top="894" w:right="239" w:bottom="1440" w:gutter="0" w:footer="0" w:header="0"/>
        </w:sectPr>
      </w:pPr>
    </w:p>
    <w:p>
      <w:pPr>
        <w:ind w:left="6380"/>
        <w:spacing w:after="0"/>
        <w:rPr>
          <w:sz w:val="20"/>
          <w:szCs w:val="20"/>
          <w:color w:val="auto"/>
        </w:rPr>
      </w:pPr>
      <w:r>
        <w:rPr>
          <w:rFonts w:ascii="Arial" w:cs="Arial" w:eastAsia="Arial" w:hAnsi="Arial"/>
          <w:sz w:val="20"/>
          <w:szCs w:val="20"/>
          <w:color w:val="auto"/>
        </w:rPr>
        <w:t>One Lincoln Street</w:t>
      </w:r>
    </w:p>
    <w:p>
      <w:pPr>
        <w:spacing w:after="0" w:line="45" w:lineRule="exact"/>
        <w:rPr>
          <w:sz w:val="20"/>
          <w:szCs w:val="20"/>
          <w:color w:val="auto"/>
        </w:rPr>
      </w:pPr>
    </w:p>
    <w:p>
      <w:pPr>
        <w:ind w:left="6380"/>
        <w:spacing w:after="0"/>
        <w:rPr>
          <w:sz w:val="20"/>
          <w:szCs w:val="20"/>
          <w:color w:val="auto"/>
        </w:rPr>
      </w:pPr>
      <w:r>
        <w:rPr>
          <w:rFonts w:ascii="Arial" w:cs="Arial" w:eastAsia="Arial" w:hAnsi="Arial"/>
          <w:sz w:val="20"/>
          <w:szCs w:val="20"/>
          <w:color w:val="auto"/>
        </w:rPr>
        <w:t>Boston, MA 02111</w:t>
      </w:r>
    </w:p>
    <w:p>
      <w:pPr>
        <w:spacing w:after="0" w:line="45"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Attention: Denise Sisk, Managing Director</w:t>
      </w:r>
    </w:p>
    <w:p>
      <w:pPr>
        <w:spacing w:after="0" w:line="68" w:lineRule="exact"/>
        <w:rPr>
          <w:sz w:val="20"/>
          <w:szCs w:val="20"/>
          <w:color w:val="auto"/>
        </w:rPr>
      </w:pPr>
    </w:p>
    <w:p>
      <w:pPr>
        <w:ind w:left="6380"/>
        <w:spacing w:after="0"/>
        <w:rPr>
          <w:sz w:val="20"/>
          <w:szCs w:val="20"/>
          <w:color w:val="auto"/>
        </w:rPr>
      </w:pPr>
      <w:r>
        <w:rPr>
          <w:rFonts w:ascii="Arial" w:cs="Arial" w:eastAsia="Arial" w:hAnsi="Arial"/>
          <w:sz w:val="20"/>
          <w:szCs w:val="20"/>
          <w:color w:val="auto"/>
        </w:rPr>
        <w:t>Email: denise_sisk@ssga.com</w:t>
      </w:r>
    </w:p>
    <w:p>
      <w:pPr>
        <w:spacing w:after="0" w:line="346" w:lineRule="exact"/>
        <w:rPr>
          <w:sz w:val="20"/>
          <w:szCs w:val="20"/>
          <w:color w:val="auto"/>
        </w:rPr>
      </w:pPr>
    </w:p>
    <w:p>
      <w:pPr>
        <w:ind w:left="6380"/>
        <w:spacing w:after="0"/>
        <w:rPr>
          <w:sz w:val="20"/>
          <w:szCs w:val="20"/>
          <w:color w:val="auto"/>
        </w:rPr>
      </w:pPr>
      <w:r>
        <w:rPr>
          <w:rFonts w:ascii="Arial" w:cs="Arial" w:eastAsia="Arial" w:hAnsi="Arial"/>
          <w:sz w:val="20"/>
          <w:szCs w:val="20"/>
          <w:color w:val="auto"/>
        </w:rPr>
        <w:t>With a copy (which will not constitute</w:t>
      </w:r>
    </w:p>
    <w:p>
      <w:pPr>
        <w:spacing w:after="0" w:line="45" w:lineRule="exact"/>
        <w:rPr>
          <w:sz w:val="20"/>
          <w:szCs w:val="20"/>
          <w:color w:val="auto"/>
        </w:rPr>
      </w:pPr>
    </w:p>
    <w:p>
      <w:pPr>
        <w:ind w:left="6380"/>
        <w:spacing w:after="0"/>
        <w:rPr>
          <w:sz w:val="20"/>
          <w:szCs w:val="20"/>
          <w:color w:val="auto"/>
        </w:rPr>
      </w:pPr>
      <w:r>
        <w:rPr>
          <w:rFonts w:ascii="Arial" w:cs="Arial" w:eastAsia="Arial" w:hAnsi="Arial"/>
          <w:sz w:val="19"/>
          <w:szCs w:val="19"/>
          <w:color w:val="auto"/>
        </w:rPr>
        <w:t>notice to the Independent Fiduciary) to:</w:t>
      </w:r>
    </w:p>
    <w:p>
      <w:pPr>
        <w:spacing w:after="0" w:line="357" w:lineRule="exact"/>
        <w:rPr>
          <w:sz w:val="20"/>
          <w:szCs w:val="20"/>
          <w:color w:val="auto"/>
        </w:rPr>
      </w:pPr>
    </w:p>
    <w:p>
      <w:pPr>
        <w:ind w:left="6380"/>
        <w:spacing w:after="0"/>
        <w:rPr>
          <w:sz w:val="20"/>
          <w:szCs w:val="20"/>
          <w:color w:val="auto"/>
        </w:rPr>
      </w:pPr>
      <w:r>
        <w:rPr>
          <w:rFonts w:ascii="Arial" w:cs="Arial" w:eastAsia="Arial" w:hAnsi="Arial"/>
          <w:sz w:val="20"/>
          <w:szCs w:val="20"/>
          <w:color w:val="auto"/>
        </w:rPr>
        <w:t>K&amp;L Gates LLP</w:t>
      </w:r>
    </w:p>
    <w:p>
      <w:pPr>
        <w:spacing w:after="0" w:line="45" w:lineRule="exact"/>
        <w:rPr>
          <w:sz w:val="20"/>
          <w:szCs w:val="20"/>
          <w:color w:val="auto"/>
        </w:rPr>
      </w:pPr>
    </w:p>
    <w:p>
      <w:pPr>
        <w:ind w:left="6380"/>
        <w:spacing w:after="0"/>
        <w:rPr>
          <w:sz w:val="20"/>
          <w:szCs w:val="20"/>
          <w:color w:val="auto"/>
        </w:rPr>
      </w:pPr>
      <w:r>
        <w:rPr>
          <w:rFonts w:ascii="Arial" w:cs="Arial" w:eastAsia="Arial" w:hAnsi="Arial"/>
          <w:sz w:val="20"/>
          <w:szCs w:val="20"/>
          <w:color w:val="auto"/>
        </w:rPr>
        <w:t>K&amp;L Gates Center</w:t>
      </w:r>
    </w:p>
    <w:p>
      <w:pPr>
        <w:spacing w:after="0" w:line="45" w:lineRule="exact"/>
        <w:rPr>
          <w:sz w:val="20"/>
          <w:szCs w:val="20"/>
          <w:color w:val="auto"/>
        </w:rPr>
      </w:pPr>
    </w:p>
    <w:p>
      <w:pPr>
        <w:ind w:left="6380"/>
        <w:spacing w:after="0"/>
        <w:rPr>
          <w:sz w:val="20"/>
          <w:szCs w:val="20"/>
          <w:color w:val="auto"/>
        </w:rPr>
      </w:pPr>
      <w:r>
        <w:rPr>
          <w:rFonts w:ascii="Arial" w:cs="Arial" w:eastAsia="Arial" w:hAnsi="Arial"/>
          <w:sz w:val="20"/>
          <w:szCs w:val="20"/>
          <w:color w:val="auto"/>
        </w:rPr>
        <w:t>210 Sixth Avenue</w:t>
      </w:r>
    </w:p>
    <w:p>
      <w:pPr>
        <w:spacing w:after="0" w:line="45" w:lineRule="exact"/>
        <w:rPr>
          <w:sz w:val="20"/>
          <w:szCs w:val="20"/>
          <w:color w:val="auto"/>
        </w:rPr>
      </w:pPr>
    </w:p>
    <w:p>
      <w:pPr>
        <w:ind w:left="6380"/>
        <w:spacing w:after="0"/>
        <w:rPr>
          <w:sz w:val="20"/>
          <w:szCs w:val="20"/>
          <w:color w:val="auto"/>
        </w:rPr>
      </w:pPr>
      <w:r>
        <w:rPr>
          <w:rFonts w:ascii="Arial" w:cs="Arial" w:eastAsia="Arial" w:hAnsi="Arial"/>
          <w:sz w:val="20"/>
          <w:szCs w:val="20"/>
          <w:color w:val="auto"/>
        </w:rPr>
        <w:t>Pittsburgh, PA 15222</w:t>
      </w:r>
    </w:p>
    <w:p>
      <w:pPr>
        <w:spacing w:after="0" w:line="45" w:lineRule="exact"/>
        <w:rPr>
          <w:sz w:val="20"/>
          <w:szCs w:val="20"/>
          <w:color w:val="auto"/>
        </w:rPr>
      </w:pPr>
    </w:p>
    <w:p>
      <w:pPr>
        <w:ind w:left="6380"/>
        <w:spacing w:after="0"/>
        <w:rPr>
          <w:sz w:val="20"/>
          <w:szCs w:val="20"/>
          <w:color w:val="auto"/>
        </w:rPr>
      </w:pPr>
      <w:r>
        <w:rPr>
          <w:rFonts w:ascii="Arial" w:cs="Arial" w:eastAsia="Arial" w:hAnsi="Arial"/>
          <w:sz w:val="20"/>
          <w:szCs w:val="20"/>
          <w:color w:val="auto"/>
        </w:rPr>
        <w:t>Attention: Charles R. Smith</w:t>
      </w:r>
    </w:p>
    <w:p>
      <w:pPr>
        <w:spacing w:after="0" w:line="45" w:lineRule="exact"/>
        <w:rPr>
          <w:sz w:val="20"/>
          <w:szCs w:val="20"/>
          <w:color w:val="auto"/>
        </w:rPr>
      </w:pPr>
    </w:p>
    <w:p>
      <w:pPr>
        <w:ind w:left="6380"/>
        <w:spacing w:after="0"/>
        <w:rPr>
          <w:sz w:val="20"/>
          <w:szCs w:val="20"/>
          <w:color w:val="auto"/>
        </w:rPr>
      </w:pPr>
      <w:r>
        <w:rPr>
          <w:rFonts w:ascii="Arial" w:cs="Arial" w:eastAsia="Arial" w:hAnsi="Arial"/>
          <w:sz w:val="20"/>
          <w:szCs w:val="20"/>
          <w:color w:val="auto"/>
        </w:rPr>
        <w:t>Email: charles.smith@klgates.com</w:t>
      </w:r>
    </w:p>
    <w:p>
      <w:pPr>
        <w:sectPr>
          <w:pgSz w:w="11900" w:h="16838" w:orient="portrait"/>
          <w:cols w:equalWidth="0" w:num="1">
            <w:col w:w="11420"/>
          </w:cols>
          <w:pgMar w:left="240" w:top="894"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80"/>
        <w:spacing w:after="0" w:line="275" w:lineRule="auto"/>
        <w:rPr>
          <w:sz w:val="20"/>
          <w:szCs w:val="20"/>
          <w:color w:val="auto"/>
        </w:rPr>
      </w:pPr>
      <w:r>
        <w:rPr>
          <w:rFonts w:ascii="Arial" w:cs="Arial" w:eastAsia="Arial" w:hAnsi="Arial"/>
          <w:sz w:val="20"/>
          <w:szCs w:val="20"/>
          <w:color w:val="auto"/>
        </w:rPr>
        <w:t xml:space="preserve">Any Party may change the address to which notices, requests, demands, claims and other communications hereunder are to be delivered by giving the other Parties notice in the manner set forth in this </w:t>
      </w:r>
      <w:r>
        <w:rPr>
          <w:rFonts w:ascii="Arial" w:cs="Arial" w:eastAsia="Arial" w:hAnsi="Arial"/>
          <w:sz w:val="20"/>
          <w:szCs w:val="20"/>
          <w:u w:val="single" w:color="auto"/>
          <w:color w:val="auto"/>
        </w:rPr>
        <w:t>Section 11.5</w:t>
      </w:r>
      <w:r>
        <w:rPr>
          <w:rFonts w:ascii="Arial" w:cs="Arial" w:eastAsia="Arial" w:hAnsi="Arial"/>
          <w:sz w:val="20"/>
          <w:szCs w:val="20"/>
          <w:color w:val="auto"/>
        </w:rPr>
        <w:t>.</w:t>
      </w:r>
    </w:p>
    <w:p>
      <w:pPr>
        <w:spacing w:after="0" w:line="349" w:lineRule="exact"/>
        <w:rPr>
          <w:sz w:val="20"/>
          <w:szCs w:val="20"/>
          <w:color w:val="auto"/>
        </w:rPr>
      </w:pPr>
    </w:p>
    <w:p>
      <w:pPr>
        <w:ind w:right="260" w:firstLine="601"/>
        <w:spacing w:after="0" w:line="282" w:lineRule="auto"/>
        <w:rPr>
          <w:sz w:val="20"/>
          <w:szCs w:val="20"/>
          <w:color w:val="auto"/>
        </w:rPr>
      </w:pPr>
      <w:r>
        <w:rPr>
          <w:rFonts w:ascii="Arial" w:cs="Arial" w:eastAsia="Arial" w:hAnsi="Arial"/>
          <w:sz w:val="19"/>
          <w:szCs w:val="19"/>
          <w:color w:val="auto"/>
        </w:rPr>
        <w:t xml:space="preserve">Section 11.6 </w:t>
      </w:r>
      <w:r>
        <w:rPr>
          <w:rFonts w:ascii="Arial" w:cs="Arial" w:eastAsia="Arial" w:hAnsi="Arial"/>
          <w:sz w:val="19"/>
          <w:szCs w:val="19"/>
          <w:u w:val="single" w:color="auto"/>
          <w:color w:val="auto"/>
        </w:rPr>
        <w:t>Governing Law</w:t>
      </w:r>
      <w:r>
        <w:rPr>
          <w:rFonts w:ascii="Arial" w:cs="Arial" w:eastAsia="Arial" w:hAnsi="Arial"/>
          <w:sz w:val="19"/>
          <w:szCs w:val="19"/>
          <w:color w:val="auto"/>
        </w:rPr>
        <w:t>. Except to the extent preempted by applicable Federal Law, this Agreement will be governed by, and construed in accordance with, the Laws of the State of New York, without regard to any principles of conflicts of law thereof that are not mandatorily applicable by Law and would permit or require the application of the Laws of another jurisdiction.</w:t>
      </w:r>
    </w:p>
    <w:p>
      <w:pPr>
        <w:spacing w:after="0" w:line="144" w:lineRule="exact"/>
        <w:rPr>
          <w:sz w:val="20"/>
          <w:szCs w:val="20"/>
          <w:color w:val="auto"/>
        </w:rPr>
      </w:pPr>
    </w:p>
    <w:p>
      <w:pPr>
        <w:ind w:left="600"/>
        <w:spacing w:after="0"/>
        <w:tabs>
          <w:tab w:leader="none" w:pos="1780" w:val="left"/>
        </w:tabs>
        <w:rPr>
          <w:sz w:val="20"/>
          <w:szCs w:val="20"/>
          <w:color w:val="auto"/>
        </w:rPr>
      </w:pPr>
      <w:r>
        <w:rPr>
          <w:rFonts w:ascii="Arial" w:cs="Arial" w:eastAsia="Arial" w:hAnsi="Arial"/>
          <w:sz w:val="20"/>
          <w:szCs w:val="20"/>
          <w:color w:val="auto"/>
        </w:rPr>
        <w:t>Section 11.7</w:t>
      </w:r>
      <w:r>
        <w:rPr>
          <w:sz w:val="20"/>
          <w:szCs w:val="20"/>
          <w:color w:val="auto"/>
        </w:rPr>
        <w:tab/>
      </w:r>
      <w:r>
        <w:rPr>
          <w:rFonts w:ascii="Arial" w:cs="Arial" w:eastAsia="Arial" w:hAnsi="Arial"/>
          <w:sz w:val="18"/>
          <w:szCs w:val="18"/>
          <w:u w:val="single" w:color="auto"/>
          <w:color w:val="auto"/>
        </w:rPr>
        <w:t>Submission to Jurisdiction; Service of Process</w:t>
      </w:r>
      <w:r>
        <w:rPr>
          <w:rFonts w:ascii="Arial" w:cs="Arial" w:eastAsia="Arial" w:hAnsi="Arial"/>
          <w:sz w:val="18"/>
          <w:szCs w:val="18"/>
          <w:color w:val="auto"/>
        </w:rPr>
        <w:t>.</w:t>
      </w:r>
    </w:p>
    <w:p>
      <w:pPr>
        <w:spacing w:after="0" w:line="246" w:lineRule="exact"/>
        <w:rPr>
          <w:sz w:val="20"/>
          <w:szCs w:val="20"/>
          <w:color w:val="auto"/>
        </w:rPr>
      </w:pPr>
    </w:p>
    <w:p>
      <w:pPr>
        <w:jc w:val="both"/>
        <w:ind w:firstLine="601"/>
        <w:spacing w:after="0" w:line="284" w:lineRule="auto"/>
        <w:tabs>
          <w:tab w:leader="none" w:pos="1387" w:val="left"/>
        </w:tabs>
        <w:numPr>
          <w:ilvl w:val="0"/>
          <w:numId w:val="106"/>
        </w:numPr>
        <w:rPr>
          <w:rFonts w:ascii="Arial" w:cs="Arial" w:eastAsia="Arial" w:hAnsi="Arial"/>
          <w:sz w:val="15"/>
          <w:szCs w:val="15"/>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Sections 2.12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6.6</w:t>
      </w:r>
      <w:r>
        <w:rPr>
          <w:rFonts w:ascii="Arial" w:cs="Arial" w:eastAsia="Arial" w:hAnsi="Arial"/>
          <w:sz w:val="18"/>
          <w:szCs w:val="18"/>
          <w:color w:val="auto"/>
        </w:rPr>
        <w:t xml:space="preserve">, each of the Parties irrevocably and unconditionally submits to the jurisdiction of any state or federal court, and only federal court if diversity of Parties exists, sitting in New York County, New York in any Dispute arising out of or relating to this Agreement or any Ancillary Agreement and agrees that all claims in respect of such Action may be heard and determined in any such court. Each Party also agrees not to bring any Action arising out of or relating to this Agreement or any Ancillary Agreement in any other court. Each of the Parties irrevocably and unconditionally waives any objection to personal jurisdiction, venue, and any defense of inconvenient forum to the maintenance of, any Action so brought and waives any bond, surety or other security that might be required of any other Party with respect thereto. Any Party may make service on any other Party by sending or delivering a copy of the process to the Party to be served at the address and in the manner provided for the giving of notices in </w:t>
      </w:r>
      <w:r>
        <w:rPr>
          <w:rFonts w:ascii="Arial" w:cs="Arial" w:eastAsia="Arial" w:hAnsi="Arial"/>
          <w:sz w:val="18"/>
          <w:szCs w:val="18"/>
          <w:u w:val="single" w:color="auto"/>
          <w:color w:val="auto"/>
        </w:rPr>
        <w:t>Section 11.5</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nothing in this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11.7</w:t>
      </w:r>
      <w:r>
        <w:rPr>
          <w:rFonts w:ascii="Arial" w:cs="Arial" w:eastAsia="Arial" w:hAnsi="Arial"/>
          <w:sz w:val="18"/>
          <w:szCs w:val="18"/>
          <w:color w:val="auto"/>
        </w:rPr>
        <w:t xml:space="preserve"> will affect the right of any Party to serve legal process in any other manner permitted by Law or in equity.</w:t>
      </w:r>
    </w:p>
    <w:p>
      <w:pPr>
        <w:spacing w:after="0" w:line="186" w:lineRule="exact"/>
        <w:rPr>
          <w:rFonts w:ascii="Arial" w:cs="Arial" w:eastAsia="Arial" w:hAnsi="Arial"/>
          <w:sz w:val="15"/>
          <w:szCs w:val="15"/>
          <w:color w:val="auto"/>
        </w:rPr>
      </w:pPr>
    </w:p>
    <w:p>
      <w:pPr>
        <w:jc w:val="both"/>
        <w:ind w:firstLine="601"/>
        <w:spacing w:after="0" w:line="254" w:lineRule="auto"/>
        <w:tabs>
          <w:tab w:leader="none" w:pos="1396" w:val="left"/>
        </w:tabs>
        <w:numPr>
          <w:ilvl w:val="0"/>
          <w:numId w:val="106"/>
        </w:numPr>
        <w:rPr>
          <w:rFonts w:ascii="Arial" w:cs="Arial" w:eastAsia="Arial" w:hAnsi="Arial"/>
          <w:sz w:val="17"/>
          <w:szCs w:val="17"/>
          <w:color w:val="auto"/>
        </w:rPr>
      </w:pPr>
      <w:r>
        <w:rPr>
          <w:rFonts w:ascii="Arial" w:cs="Arial" w:eastAsia="Arial" w:hAnsi="Arial"/>
          <w:sz w:val="20"/>
          <w:szCs w:val="20"/>
          <w:color w:val="auto"/>
        </w:rPr>
        <w:t xml:space="preserve">Notwithstanding anything to the contrary set forth herein, the Parties acknowledge and agree that in the course of any Action including any dispute resolution process pursuant to </w:t>
      </w:r>
      <w:r>
        <w:rPr>
          <w:rFonts w:ascii="Arial" w:cs="Arial" w:eastAsia="Arial" w:hAnsi="Arial"/>
          <w:sz w:val="20"/>
          <w:szCs w:val="20"/>
          <w:u w:val="single" w:color="auto"/>
          <w:color w:val="auto"/>
        </w:rPr>
        <w:t>Section 2.12</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6.6</w:t>
      </w:r>
      <w:r>
        <w:rPr>
          <w:rFonts w:ascii="Arial" w:cs="Arial" w:eastAsia="Arial" w:hAnsi="Arial"/>
          <w:sz w:val="20"/>
          <w:szCs w:val="20"/>
          <w:color w:val="auto"/>
        </w:rPr>
        <w:t>, if the Insurer or the Independent Third Party produces or otherwise disclose the Life-By-Life Information, or information from which Life-By-Life Information may be derived, to the Company, the Independent Fiduciary or their respective Affiliates or Representatives, the Company and the Independent Fiduciary shall consent to the filing of, and the Parties shall use their all reasonable efforts to move for and urge the court to adopt, a protective order implementing terms reasonably satisfactory to the Insurer to limit the disclosure of such Insurer Provided Life-by-Life Information and ensure the strictly confidential treatment thereof, including</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64</w:t>
      </w:r>
    </w:p>
    <w:p>
      <w:pPr>
        <w:sectPr>
          <w:pgSz w:w="11900" w:h="16838" w:orient="portrait"/>
          <w:cols w:equalWidth="0" w:num="1">
            <w:col w:w="11420"/>
          </w:cols>
          <w:pgMar w:left="240" w:top="894" w:right="239" w:bottom="1440" w:gutter="0" w:footer="0" w:header="0"/>
          <w:type w:val="continuous"/>
        </w:sectPr>
      </w:pPr>
    </w:p>
    <w:bookmarkStart w:id="75" w:name="page76"/>
    <w:bookmarkEnd w:id="75"/>
    <w:p>
      <w:pPr>
        <w:jc w:val="both"/>
        <w:spacing w:after="0" w:line="285" w:lineRule="auto"/>
        <w:rPr>
          <w:sz w:val="20"/>
          <w:szCs w:val="20"/>
          <w:color w:val="auto"/>
        </w:rPr>
      </w:pPr>
      <w:r>
        <w:rPr>
          <w:rFonts w:ascii="Arial" w:cs="Arial" w:eastAsia="Arial" w:hAnsi="Arial"/>
          <w:sz w:val="18"/>
          <w:szCs w:val="18"/>
          <w:color w:val="auto"/>
        </w:rPr>
        <w:t xml:space="preserve">requiring such Insurer Provided Life-by-Life Information to be submitted under seal and for the return and destruction of such Insurer Provided Life-by-Life Information or copies thereof following the conclusion of any such Action,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no case will the Company be required to take any steps that would compromise the ability of the Company to prosecute or defend the Action or otherwise prejudice the Company's position (including any restrictions on the ability of Company experts to review, access and analyze any materials that the Company determines are relevant to such prosecution or defense);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the Company and the Independent Fiduciary agree that it will not be considered unreasonable for the Insurer to seek a protective order that prevents disclosure of such information in such a way that it would be reasonably likely to become available to competitors of the Insurer or other third parties not involved in any such Action.</w:t>
      </w:r>
    </w:p>
    <w:p>
      <w:pPr>
        <w:spacing w:after="0" w:line="144" w:lineRule="exact"/>
        <w:rPr>
          <w:sz w:val="20"/>
          <w:szCs w:val="20"/>
          <w:color w:val="auto"/>
        </w:rPr>
      </w:pPr>
    </w:p>
    <w:p>
      <w:pPr>
        <w:jc w:val="both"/>
        <w:ind w:firstLine="601"/>
        <w:spacing w:after="0" w:line="275" w:lineRule="auto"/>
        <w:rPr>
          <w:sz w:val="20"/>
          <w:szCs w:val="20"/>
          <w:color w:val="auto"/>
        </w:rPr>
      </w:pPr>
      <w:r>
        <w:rPr>
          <w:rFonts w:ascii="Arial" w:cs="Arial" w:eastAsia="Arial" w:hAnsi="Arial"/>
          <w:sz w:val="19"/>
          <w:szCs w:val="19"/>
          <w:color w:val="auto"/>
        </w:rPr>
        <w:t xml:space="preserve">Section 11.8 </w:t>
      </w:r>
      <w:r>
        <w:rPr>
          <w:rFonts w:ascii="Arial" w:cs="Arial" w:eastAsia="Arial" w:hAnsi="Arial"/>
          <w:sz w:val="19"/>
          <w:szCs w:val="19"/>
          <w:u w:val="single" w:color="auto"/>
          <w:color w:val="auto"/>
        </w:rPr>
        <w:t>Waivers of Jury Trial</w:t>
      </w:r>
      <w:r>
        <w:rPr>
          <w:rFonts w:ascii="Arial" w:cs="Arial" w:eastAsia="Arial" w:hAnsi="Arial"/>
          <w:sz w:val="19"/>
          <w:szCs w:val="19"/>
          <w:color w:val="auto"/>
        </w:rPr>
        <w:t>. EACH PARTY IRREVOCABLY AND UNCONDITIONALLY WAIVES ANY RIGHT IT MAY HAVE TO A TRIAL BY JURY IN RESPECT OF ANY ACTION DIRECTLY OR INDIRECTLY ARISING OUT OF, UNDER OR IN CONNECTION WITH THIS AGREEMENT, THE ANCILLARY AGREEMENTS OR THE TRANSACTIONS CONTEMPLATED BY THIS AGREEMENT, INCLUDING THE STANDARD TERMINATION AND THE LUMP-SUM SOLICITATION.</w:t>
      </w:r>
    </w:p>
    <w:p>
      <w:pPr>
        <w:spacing w:after="0" w:line="150" w:lineRule="exact"/>
        <w:rPr>
          <w:sz w:val="20"/>
          <w:szCs w:val="20"/>
          <w:color w:val="auto"/>
        </w:rPr>
      </w:pPr>
    </w:p>
    <w:p>
      <w:pPr>
        <w:jc w:val="both"/>
        <w:ind w:firstLine="601"/>
        <w:spacing w:after="0" w:line="265" w:lineRule="auto"/>
        <w:rPr>
          <w:sz w:val="20"/>
          <w:szCs w:val="20"/>
          <w:color w:val="auto"/>
        </w:rPr>
      </w:pPr>
      <w:r>
        <w:rPr>
          <w:rFonts w:ascii="Arial" w:cs="Arial" w:eastAsia="Arial" w:hAnsi="Arial"/>
          <w:sz w:val="19"/>
          <w:szCs w:val="19"/>
          <w:color w:val="auto"/>
        </w:rPr>
        <w:t xml:space="preserve">Section 11.9 </w:t>
      </w:r>
      <w:r>
        <w:rPr>
          <w:rFonts w:ascii="Arial" w:cs="Arial" w:eastAsia="Arial" w:hAnsi="Arial"/>
          <w:sz w:val="19"/>
          <w:szCs w:val="19"/>
          <w:u w:val="single" w:color="auto"/>
          <w:color w:val="auto"/>
        </w:rPr>
        <w:t>Specific Performance</w:t>
      </w:r>
      <w:r>
        <w:rPr>
          <w:rFonts w:ascii="Arial" w:cs="Arial" w:eastAsia="Arial" w:hAnsi="Arial"/>
          <w:sz w:val="19"/>
          <w:szCs w:val="19"/>
          <w:color w:val="auto"/>
        </w:rPr>
        <w:t>. The Parties agree that irreparable damage would occur if any of the provisions of this Agreement were not performed in accordance with their specific terms or were otherwise breached. Accordingly, each Party will be entitled to an injunction or injunctions to prevent breaches of this Agreement by the breaching Party and to enforce specifically the terms and provisions of this Agreement, in addition to any other remedy to which such Party is entitled at law or in equity. The Parties further agree that (</w:t>
      </w:r>
      <w:r>
        <w:rPr>
          <w:rFonts w:ascii="Arial" w:cs="Arial" w:eastAsia="Arial" w:hAnsi="Arial"/>
          <w:sz w:val="19"/>
          <w:szCs w:val="19"/>
          <w:u w:val="single" w:color="auto"/>
          <w:color w:val="auto"/>
        </w:rPr>
        <w:t>a</w:t>
      </w:r>
      <w:r>
        <w:rPr>
          <w:rFonts w:ascii="Arial" w:cs="Arial" w:eastAsia="Arial" w:hAnsi="Arial"/>
          <w:sz w:val="19"/>
          <w:szCs w:val="19"/>
          <w:color w:val="auto"/>
        </w:rPr>
        <w:t xml:space="preserve">) by seeking the remedies provided for in this </w:t>
      </w:r>
      <w:r>
        <w:rPr>
          <w:rFonts w:ascii="Arial" w:cs="Arial" w:eastAsia="Arial" w:hAnsi="Arial"/>
          <w:sz w:val="19"/>
          <w:szCs w:val="19"/>
          <w:u w:val="single" w:color="auto"/>
          <w:color w:val="auto"/>
        </w:rPr>
        <w:t>Section 11.9</w:t>
      </w:r>
      <w:r>
        <w:rPr>
          <w:rFonts w:ascii="Arial" w:cs="Arial" w:eastAsia="Arial" w:hAnsi="Arial"/>
          <w:sz w:val="19"/>
          <w:szCs w:val="19"/>
          <w:color w:val="auto"/>
        </w:rPr>
        <w:t xml:space="preserve">, a Party will not in any respect waive its right to seek any other form of relief that may be available to such Party under this Agreement (including monetary damages) if the remedies provided for in this </w:t>
      </w:r>
      <w:r>
        <w:rPr>
          <w:rFonts w:ascii="Arial" w:cs="Arial" w:eastAsia="Arial" w:hAnsi="Arial"/>
          <w:sz w:val="19"/>
          <w:szCs w:val="19"/>
          <w:u w:val="single" w:color="auto"/>
          <w:color w:val="auto"/>
        </w:rPr>
        <w:t>Section 11.9</w:t>
      </w:r>
      <w:r>
        <w:rPr>
          <w:rFonts w:ascii="Arial" w:cs="Arial" w:eastAsia="Arial" w:hAnsi="Arial"/>
          <w:sz w:val="19"/>
          <w:szCs w:val="19"/>
          <w:color w:val="auto"/>
        </w:rPr>
        <w:t xml:space="preserve"> are not available or otherwise are not granted, and ( </w:t>
      </w:r>
      <w:r>
        <w:rPr>
          <w:rFonts w:ascii="Arial" w:cs="Arial" w:eastAsia="Arial" w:hAnsi="Arial"/>
          <w:sz w:val="19"/>
          <w:szCs w:val="19"/>
          <w:u w:val="single" w:color="auto"/>
          <w:color w:val="auto"/>
        </w:rPr>
        <w:t>b</w:t>
      </w:r>
      <w:r>
        <w:rPr>
          <w:rFonts w:ascii="Arial" w:cs="Arial" w:eastAsia="Arial" w:hAnsi="Arial"/>
          <w:sz w:val="19"/>
          <w:szCs w:val="19"/>
          <w:color w:val="auto"/>
        </w:rPr>
        <w:t xml:space="preserve">) nothing set forth in this </w:t>
      </w:r>
      <w:r>
        <w:rPr>
          <w:rFonts w:ascii="Arial" w:cs="Arial" w:eastAsia="Arial" w:hAnsi="Arial"/>
          <w:sz w:val="19"/>
          <w:szCs w:val="19"/>
          <w:u w:val="single" w:color="auto"/>
          <w:color w:val="auto"/>
        </w:rPr>
        <w:t>Section 11.9</w:t>
      </w:r>
      <w:r>
        <w:rPr>
          <w:rFonts w:ascii="Arial" w:cs="Arial" w:eastAsia="Arial" w:hAnsi="Arial"/>
          <w:sz w:val="19"/>
          <w:szCs w:val="19"/>
          <w:color w:val="auto"/>
        </w:rPr>
        <w:t xml:space="preserve"> will require any Party hereto to institute any proceeding for (or limit any Party's right to institute any proceeding for) specific performance under this </w:t>
      </w:r>
      <w:r>
        <w:rPr>
          <w:rFonts w:ascii="Arial" w:cs="Arial" w:eastAsia="Arial" w:hAnsi="Arial"/>
          <w:sz w:val="19"/>
          <w:szCs w:val="19"/>
          <w:u w:val="single" w:color="auto"/>
          <w:color w:val="auto"/>
        </w:rPr>
        <w:t>Section 11.9</w:t>
      </w:r>
      <w:r>
        <w:rPr>
          <w:rFonts w:ascii="Arial" w:cs="Arial" w:eastAsia="Arial" w:hAnsi="Arial"/>
          <w:sz w:val="19"/>
          <w:szCs w:val="19"/>
          <w:color w:val="auto"/>
        </w:rPr>
        <w:t xml:space="preserve"> prior or as a condition to exercising any termination right under </w:t>
      </w:r>
      <w:r>
        <w:rPr>
          <w:rFonts w:ascii="Arial" w:cs="Arial" w:eastAsia="Arial" w:hAnsi="Arial"/>
          <w:sz w:val="19"/>
          <w:szCs w:val="19"/>
          <w:u w:val="single" w:color="auto"/>
          <w:color w:val="auto"/>
        </w:rPr>
        <w:t>Article</w:t>
      </w:r>
      <w:r>
        <w:rPr>
          <w:rFonts w:ascii="Arial" w:cs="Arial" w:eastAsia="Arial" w:hAnsi="Arial"/>
          <w:sz w:val="19"/>
          <w:szCs w:val="19"/>
          <w:color w:val="auto"/>
        </w:rPr>
        <w:t xml:space="preserve"> X (or receipt of any amounts due pursuant to </w:t>
      </w:r>
      <w:r>
        <w:rPr>
          <w:rFonts w:ascii="Arial" w:cs="Arial" w:eastAsia="Arial" w:hAnsi="Arial"/>
          <w:sz w:val="19"/>
          <w:szCs w:val="19"/>
          <w:u w:val="single" w:color="auto"/>
          <w:color w:val="auto"/>
        </w:rPr>
        <w:t>Section 10.2</w:t>
      </w:r>
      <w:r>
        <w:rPr>
          <w:rFonts w:ascii="Arial" w:cs="Arial" w:eastAsia="Arial" w:hAnsi="Arial"/>
          <w:sz w:val="19"/>
          <w:szCs w:val="19"/>
          <w:color w:val="auto"/>
        </w:rPr>
        <w:t xml:space="preserve">), nor will the commencement of any legal action or legal proceeding pursuant to this </w:t>
      </w:r>
      <w:r>
        <w:rPr>
          <w:rFonts w:ascii="Arial" w:cs="Arial" w:eastAsia="Arial" w:hAnsi="Arial"/>
          <w:sz w:val="19"/>
          <w:szCs w:val="19"/>
          <w:u w:val="single" w:color="auto"/>
          <w:color w:val="auto"/>
        </w:rPr>
        <w:t>Section 11.9</w:t>
      </w:r>
      <w:r>
        <w:rPr>
          <w:rFonts w:ascii="Arial" w:cs="Arial" w:eastAsia="Arial" w:hAnsi="Arial"/>
          <w:sz w:val="19"/>
          <w:szCs w:val="19"/>
          <w:color w:val="auto"/>
        </w:rPr>
        <w:t xml:space="preserve"> or anything set forth in this </w:t>
      </w:r>
      <w:r>
        <w:rPr>
          <w:rFonts w:ascii="Arial" w:cs="Arial" w:eastAsia="Arial" w:hAnsi="Arial"/>
          <w:sz w:val="19"/>
          <w:szCs w:val="19"/>
          <w:u w:val="single" w:color="auto"/>
          <w:color w:val="auto"/>
        </w:rPr>
        <w:t>Section 11.9</w:t>
      </w:r>
      <w:r>
        <w:rPr>
          <w:rFonts w:ascii="Arial" w:cs="Arial" w:eastAsia="Arial" w:hAnsi="Arial"/>
          <w:sz w:val="19"/>
          <w:szCs w:val="19"/>
          <w:color w:val="auto"/>
        </w:rPr>
        <w:t xml:space="preserve"> restrict or limit any Party's right to terminate this Agreement in accordance with the terms of </w:t>
      </w:r>
      <w:r>
        <w:rPr>
          <w:rFonts w:ascii="Arial" w:cs="Arial" w:eastAsia="Arial" w:hAnsi="Arial"/>
          <w:sz w:val="19"/>
          <w:szCs w:val="19"/>
          <w:u w:val="single" w:color="auto"/>
          <w:color w:val="auto"/>
        </w:rPr>
        <w:t>Article</w:t>
      </w:r>
      <w:r>
        <w:rPr>
          <w:rFonts w:ascii="Arial" w:cs="Arial" w:eastAsia="Arial" w:hAnsi="Arial"/>
          <w:sz w:val="19"/>
          <w:szCs w:val="19"/>
          <w:color w:val="auto"/>
        </w:rPr>
        <w:t xml:space="preserve"> X, or pursue any other remedies under this Agreement that may be available then or thereafter.</w:t>
      </w:r>
    </w:p>
    <w:p>
      <w:pPr>
        <w:spacing w:after="0" w:line="159" w:lineRule="exact"/>
        <w:rPr>
          <w:sz w:val="20"/>
          <w:szCs w:val="20"/>
          <w:color w:val="auto"/>
        </w:rPr>
      </w:pPr>
    </w:p>
    <w:p>
      <w:pPr>
        <w:jc w:val="both"/>
        <w:ind w:firstLine="601"/>
        <w:spacing w:after="0" w:line="268" w:lineRule="auto"/>
        <w:rPr>
          <w:sz w:val="20"/>
          <w:szCs w:val="20"/>
          <w:color w:val="auto"/>
        </w:rPr>
      </w:pPr>
      <w:r>
        <w:rPr>
          <w:rFonts w:ascii="Arial" w:cs="Arial" w:eastAsia="Arial" w:hAnsi="Arial"/>
          <w:sz w:val="19"/>
          <w:szCs w:val="19"/>
          <w:color w:val="auto"/>
        </w:rPr>
        <w:t xml:space="preserve">Section 11.10 </w:t>
      </w:r>
      <w:r>
        <w:rPr>
          <w:rFonts w:ascii="Arial" w:cs="Arial" w:eastAsia="Arial" w:hAnsi="Arial"/>
          <w:sz w:val="19"/>
          <w:szCs w:val="19"/>
          <w:u w:val="single" w:color="auto"/>
          <w:color w:val="auto"/>
        </w:rPr>
        <w:t>Severability</w:t>
      </w:r>
      <w:r>
        <w:rPr>
          <w:rFonts w:ascii="Arial" w:cs="Arial" w:eastAsia="Arial" w:hAnsi="Arial"/>
          <w:sz w:val="19"/>
          <w:szCs w:val="19"/>
          <w:color w:val="auto"/>
        </w:rPr>
        <w:t>. The invalidity or unenforceability of any provision of this Agreement will not affect the validity or enforceability of any other provisions of this Agreement. If any of the provisions of this Agreement are be held by a court or other tribunal of competent jurisdiction to be illegal, invalid or unenforceable, such provisions will be limited or eliminated only to the minimum extent necessary so that this Agreement will otherwise remain in full force and effect. If any of the material provisions of this Agreement are held illegal, invalid or unenforceable, this entire Agreement shall be null and void; provided that the Parties shall seek to reform any such provisions to the greatest extent practicable to restore the original meaning, intent and application of such provisions and shall restore this Agreement to the extent they are able to replicate its terms and conditions in all material respects.</w:t>
      </w:r>
    </w:p>
    <w:p>
      <w:pPr>
        <w:spacing w:after="0" w:line="357" w:lineRule="exact"/>
        <w:rPr>
          <w:sz w:val="20"/>
          <w:szCs w:val="20"/>
          <w:color w:val="auto"/>
        </w:rPr>
      </w:pPr>
    </w:p>
    <w:p>
      <w:pPr>
        <w:jc w:val="both"/>
        <w:ind w:firstLine="601"/>
        <w:spacing w:after="0" w:line="261" w:lineRule="auto"/>
        <w:rPr>
          <w:sz w:val="20"/>
          <w:szCs w:val="20"/>
          <w:color w:val="auto"/>
        </w:rPr>
      </w:pPr>
      <w:r>
        <w:rPr>
          <w:rFonts w:ascii="Arial" w:cs="Arial" w:eastAsia="Arial" w:hAnsi="Arial"/>
          <w:sz w:val="20"/>
          <w:szCs w:val="20"/>
          <w:color w:val="auto"/>
        </w:rPr>
        <w:t xml:space="preserve">Section 11.11 </w:t>
      </w:r>
      <w:r>
        <w:rPr>
          <w:rFonts w:ascii="Arial" w:cs="Arial" w:eastAsia="Arial" w:hAnsi="Arial"/>
          <w:sz w:val="20"/>
          <w:szCs w:val="20"/>
          <w:u w:val="single" w:color="auto"/>
          <w:color w:val="auto"/>
        </w:rPr>
        <w:t>No Third Party Beneficiaries</w:t>
      </w:r>
      <w:r>
        <w:rPr>
          <w:rFonts w:ascii="Arial" w:cs="Arial" w:eastAsia="Arial" w:hAnsi="Arial"/>
          <w:sz w:val="20"/>
          <w:szCs w:val="20"/>
          <w:color w:val="auto"/>
        </w:rPr>
        <w:t xml:space="preserve">. Except to the extent otherwise provided in </w:t>
      </w:r>
      <w:r>
        <w:rPr>
          <w:rFonts w:ascii="Arial" w:cs="Arial" w:eastAsia="Arial" w:hAnsi="Arial"/>
          <w:sz w:val="20"/>
          <w:szCs w:val="20"/>
          <w:u w:val="single" w:color="auto"/>
          <w:color w:val="auto"/>
        </w:rPr>
        <w:t>Section 9.1</w:t>
      </w:r>
      <w:r>
        <w:rPr>
          <w:rFonts w:ascii="Arial" w:cs="Arial" w:eastAsia="Arial" w:hAnsi="Arial"/>
          <w:sz w:val="20"/>
          <w:szCs w:val="20"/>
          <w:color w:val="auto"/>
        </w:rPr>
        <w:t xml:space="preserve"> with respect to Indemnified Parties, this Agreement will not confer any rights or remedies upon any Person other than the Parties and the respective successors and permitted assigns of the foregoing.</w:t>
      </w:r>
    </w:p>
    <w:p>
      <w:pPr>
        <w:spacing w:after="0" w:line="364" w:lineRule="exact"/>
        <w:rPr>
          <w:sz w:val="20"/>
          <w:szCs w:val="20"/>
          <w:color w:val="auto"/>
        </w:rPr>
      </w:pPr>
    </w:p>
    <w:p>
      <w:pPr>
        <w:jc w:val="both"/>
        <w:ind w:firstLine="601"/>
        <w:spacing w:after="0" w:line="275" w:lineRule="auto"/>
        <w:rPr>
          <w:sz w:val="20"/>
          <w:szCs w:val="20"/>
          <w:color w:val="auto"/>
        </w:rPr>
      </w:pPr>
      <w:r>
        <w:rPr>
          <w:rFonts w:ascii="Arial" w:cs="Arial" w:eastAsia="Arial" w:hAnsi="Arial"/>
          <w:sz w:val="20"/>
          <w:szCs w:val="20"/>
          <w:color w:val="auto"/>
        </w:rPr>
        <w:t xml:space="preserve">Section 11.12 </w:t>
      </w:r>
      <w:r>
        <w:rPr>
          <w:rFonts w:ascii="Arial" w:cs="Arial" w:eastAsia="Arial" w:hAnsi="Arial"/>
          <w:sz w:val="20"/>
          <w:szCs w:val="20"/>
          <w:u w:val="single" w:color="auto"/>
          <w:color w:val="auto"/>
        </w:rPr>
        <w:t>Counterparts; Facsimile and Electronic Signatures</w:t>
      </w:r>
      <w:r>
        <w:rPr>
          <w:rFonts w:ascii="Arial" w:cs="Arial" w:eastAsia="Arial" w:hAnsi="Arial"/>
          <w:sz w:val="20"/>
          <w:szCs w:val="20"/>
          <w:color w:val="auto"/>
        </w:rPr>
        <w:t>. This Agreement may be executed in one or more counterparts, each of which will be deemed an original but all of which together will constitute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65</w:t>
      </w:r>
    </w:p>
    <w:p>
      <w:pPr>
        <w:sectPr>
          <w:pgSz w:w="11900" w:h="16838" w:orient="portrait"/>
          <w:cols w:equalWidth="0" w:num="1">
            <w:col w:w="11420"/>
          </w:cols>
          <w:pgMar w:left="240" w:top="556" w:right="239" w:bottom="1440" w:gutter="0" w:footer="0" w:header="0"/>
        </w:sectPr>
      </w:pPr>
    </w:p>
    <w:bookmarkStart w:id="76" w:name="page77"/>
    <w:bookmarkEnd w:id="76"/>
    <w:p>
      <w:pPr>
        <w:spacing w:after="0" w:line="275" w:lineRule="auto"/>
        <w:rPr>
          <w:sz w:val="20"/>
          <w:szCs w:val="20"/>
          <w:color w:val="auto"/>
        </w:rPr>
      </w:pPr>
      <w:r>
        <w:rPr>
          <w:rFonts w:ascii="Arial" w:cs="Arial" w:eastAsia="Arial" w:hAnsi="Arial"/>
          <w:sz w:val="20"/>
          <w:szCs w:val="20"/>
          <w:color w:val="auto"/>
        </w:rPr>
        <w:t xml:space="preserve">one and the same instrument. This Agreement or any counterpart may be executed and delivered to the recipients in </w:t>
      </w:r>
      <w:r>
        <w:rPr>
          <w:rFonts w:ascii="Arial" w:cs="Arial" w:eastAsia="Arial" w:hAnsi="Arial"/>
          <w:sz w:val="20"/>
          <w:szCs w:val="20"/>
          <w:u w:val="single" w:color="auto"/>
          <w:color w:val="auto"/>
        </w:rPr>
        <w:t>Section 11.5</w:t>
      </w:r>
      <w:r>
        <w:rPr>
          <w:rFonts w:ascii="Arial" w:cs="Arial" w:eastAsia="Arial" w:hAnsi="Arial"/>
          <w:sz w:val="20"/>
          <w:szCs w:val="20"/>
          <w:color w:val="auto"/>
        </w:rPr>
        <w:t xml:space="preserve"> by electronic communications by portable document format (.pdf), each of which will be deemed an original.</w:t>
      </w:r>
    </w:p>
    <w:p>
      <w:pPr>
        <w:spacing w:after="0" w:line="149" w:lineRule="exact"/>
        <w:rPr>
          <w:sz w:val="20"/>
          <w:szCs w:val="20"/>
          <w:color w:val="auto"/>
        </w:rPr>
      </w:pPr>
    </w:p>
    <w:p>
      <w:pPr>
        <w:ind w:left="600"/>
        <w:spacing w:after="0"/>
        <w:tabs>
          <w:tab w:leader="none" w:pos="1880" w:val="left"/>
        </w:tabs>
        <w:rPr>
          <w:sz w:val="20"/>
          <w:szCs w:val="20"/>
          <w:color w:val="auto"/>
        </w:rPr>
      </w:pPr>
      <w:r>
        <w:rPr>
          <w:rFonts w:ascii="Arial" w:cs="Arial" w:eastAsia="Arial" w:hAnsi="Arial"/>
          <w:sz w:val="20"/>
          <w:szCs w:val="20"/>
          <w:color w:val="auto"/>
        </w:rPr>
        <w:t>Section 11.13</w:t>
      </w:r>
      <w:r>
        <w:rPr>
          <w:sz w:val="20"/>
          <w:szCs w:val="20"/>
          <w:color w:val="auto"/>
        </w:rPr>
        <w:tab/>
      </w:r>
      <w:r>
        <w:rPr>
          <w:rFonts w:ascii="Arial" w:cs="Arial" w:eastAsia="Arial" w:hAnsi="Arial"/>
          <w:sz w:val="17"/>
          <w:szCs w:val="17"/>
          <w:u w:val="single" w:color="auto"/>
          <w:color w:val="auto"/>
        </w:rPr>
        <w:t>Survival of Representations and Warranties</w:t>
      </w:r>
      <w:r>
        <w:rPr>
          <w:rFonts w:ascii="Arial" w:cs="Arial" w:eastAsia="Arial" w:hAnsi="Arial"/>
          <w:sz w:val="17"/>
          <w:szCs w:val="17"/>
          <w:color w:val="auto"/>
        </w:rPr>
        <w:t>.</w:t>
      </w:r>
    </w:p>
    <w:p>
      <w:pPr>
        <w:spacing w:after="0" w:line="246" w:lineRule="exact"/>
        <w:rPr>
          <w:sz w:val="20"/>
          <w:szCs w:val="20"/>
          <w:color w:val="auto"/>
        </w:rPr>
      </w:pPr>
    </w:p>
    <w:p>
      <w:pPr>
        <w:ind w:firstLine="601"/>
        <w:spacing w:after="0" w:line="275" w:lineRule="auto"/>
        <w:tabs>
          <w:tab w:leader="none" w:pos="1098" w:val="left"/>
        </w:tabs>
        <w:numPr>
          <w:ilvl w:val="0"/>
          <w:numId w:val="107"/>
        </w:numPr>
        <w:rPr>
          <w:rFonts w:ascii="Arial" w:cs="Arial" w:eastAsia="Arial" w:hAnsi="Arial"/>
          <w:sz w:val="20"/>
          <w:szCs w:val="20"/>
          <w:color w:val="auto"/>
        </w:rPr>
      </w:pPr>
      <w:r>
        <w:rPr>
          <w:rFonts w:ascii="Arial" w:cs="Arial" w:eastAsia="Arial" w:hAnsi="Arial"/>
          <w:sz w:val="20"/>
          <w:szCs w:val="20"/>
          <w:u w:val="single" w:color="auto"/>
          <w:color w:val="auto"/>
        </w:rPr>
        <w:t>Survival</w:t>
      </w:r>
      <w:r>
        <w:rPr>
          <w:rFonts w:ascii="Arial" w:cs="Arial" w:eastAsia="Arial" w:hAnsi="Arial"/>
          <w:sz w:val="20"/>
          <w:szCs w:val="20"/>
          <w:color w:val="auto"/>
        </w:rPr>
        <w:t xml:space="preserve">. The representations and warranties of the Parties will survive the Closing until the expiry of the relevant statute of limitations for contractual claims under the Laws of the State of New York as contemplated by </w:t>
      </w:r>
      <w:r>
        <w:rPr>
          <w:rFonts w:ascii="Arial" w:cs="Arial" w:eastAsia="Arial" w:hAnsi="Arial"/>
          <w:sz w:val="20"/>
          <w:szCs w:val="20"/>
          <w:u w:val="single" w:color="auto"/>
          <w:color w:val="auto"/>
        </w:rPr>
        <w:t>Section 11.6</w:t>
      </w:r>
      <w:r>
        <w:rPr>
          <w:rFonts w:ascii="Arial" w:cs="Arial" w:eastAsia="Arial" w:hAnsi="Arial"/>
          <w:sz w:val="20"/>
          <w:szCs w:val="20"/>
          <w:color w:val="auto"/>
        </w:rPr>
        <w:t>.</w:t>
      </w:r>
    </w:p>
    <w:p>
      <w:pPr>
        <w:spacing w:after="0" w:line="186" w:lineRule="exact"/>
        <w:rPr>
          <w:rFonts w:ascii="Arial" w:cs="Arial" w:eastAsia="Arial" w:hAnsi="Arial"/>
          <w:sz w:val="20"/>
          <w:szCs w:val="20"/>
          <w:color w:val="auto"/>
        </w:rPr>
      </w:pPr>
    </w:p>
    <w:p>
      <w:pPr>
        <w:jc w:val="both"/>
        <w:ind w:firstLine="601"/>
        <w:spacing w:after="0" w:line="261" w:lineRule="auto"/>
        <w:tabs>
          <w:tab w:leader="none" w:pos="1085" w:val="left"/>
        </w:tabs>
        <w:numPr>
          <w:ilvl w:val="0"/>
          <w:numId w:val="107"/>
        </w:numPr>
        <w:rPr>
          <w:rFonts w:ascii="Arial" w:cs="Arial" w:eastAsia="Arial" w:hAnsi="Arial"/>
          <w:sz w:val="20"/>
          <w:szCs w:val="20"/>
          <w:color w:val="auto"/>
        </w:rPr>
      </w:pPr>
      <w:r>
        <w:rPr>
          <w:rFonts w:ascii="Arial" w:cs="Arial" w:eastAsia="Arial" w:hAnsi="Arial"/>
          <w:sz w:val="20"/>
          <w:szCs w:val="20"/>
          <w:u w:val="single" w:color="auto"/>
          <w:color w:val="auto"/>
        </w:rPr>
        <w:t>Exclusive Remedy</w:t>
      </w:r>
      <w:r>
        <w:rPr>
          <w:rFonts w:ascii="Arial" w:cs="Arial" w:eastAsia="Arial" w:hAnsi="Arial"/>
          <w:sz w:val="20"/>
          <w:szCs w:val="20"/>
          <w:color w:val="auto"/>
        </w:rPr>
        <w:t xml:space="preserve">. The Parties acknowledge that, except in the case of fraud or deliberate and intentional misrepresentations, after the Closing the sole and exclusive remedy of the Parties to address any Arbitration Dispute, shall be as set forth in </w:t>
      </w:r>
      <w:r>
        <w:rPr>
          <w:rFonts w:ascii="Arial" w:cs="Arial" w:eastAsia="Arial" w:hAnsi="Arial"/>
          <w:sz w:val="20"/>
          <w:szCs w:val="20"/>
          <w:u w:val="single" w:color="auto"/>
          <w:color w:val="auto"/>
        </w:rPr>
        <w:t>Sections 2.10</w:t>
      </w:r>
      <w:r>
        <w:rPr>
          <w:rFonts w:ascii="Arial" w:cs="Arial" w:eastAsia="Arial" w:hAnsi="Arial"/>
          <w:sz w:val="20"/>
          <w:szCs w:val="20"/>
          <w:color w:val="auto"/>
        </w:rPr>
        <w:t xml:space="preserve">, </w:t>
      </w:r>
      <w:r>
        <w:rPr>
          <w:rFonts w:ascii="Arial" w:cs="Arial" w:eastAsia="Arial" w:hAnsi="Arial"/>
          <w:sz w:val="20"/>
          <w:szCs w:val="20"/>
          <w:u w:val="single" w:color="auto"/>
          <w:color w:val="auto"/>
        </w:rPr>
        <w:t>2.12</w:t>
      </w:r>
      <w:r>
        <w:rPr>
          <w:rFonts w:ascii="Arial" w:cs="Arial" w:eastAsia="Arial" w:hAnsi="Arial"/>
          <w:sz w:val="20"/>
          <w:szCs w:val="20"/>
          <w:color w:val="auto"/>
        </w:rPr>
        <w:t xml:space="preserve">, </w:t>
      </w:r>
      <w:r>
        <w:rPr>
          <w:rFonts w:ascii="Arial" w:cs="Arial" w:eastAsia="Arial" w:hAnsi="Arial"/>
          <w:sz w:val="20"/>
          <w:szCs w:val="20"/>
          <w:u w:val="single" w:color="auto"/>
          <w:color w:val="auto"/>
        </w:rPr>
        <w:t>2.13</w:t>
      </w:r>
      <w:r>
        <w:rPr>
          <w:rFonts w:ascii="Arial" w:cs="Arial" w:eastAsia="Arial" w:hAnsi="Arial"/>
          <w:sz w:val="20"/>
          <w:szCs w:val="20"/>
          <w:color w:val="auto"/>
        </w:rPr>
        <w:t xml:space="preserve">, </w:t>
      </w:r>
      <w:r>
        <w:rPr>
          <w:rFonts w:ascii="Arial" w:cs="Arial" w:eastAsia="Arial" w:hAnsi="Arial"/>
          <w:sz w:val="20"/>
          <w:szCs w:val="20"/>
          <w:u w:val="single" w:color="auto"/>
          <w:color w:val="auto"/>
        </w:rPr>
        <w:t>2.19</w:t>
      </w:r>
      <w:r>
        <w:rPr>
          <w:rFonts w:ascii="Arial" w:cs="Arial" w:eastAsia="Arial" w:hAnsi="Arial"/>
          <w:sz w:val="20"/>
          <w:szCs w:val="20"/>
          <w:color w:val="auto"/>
        </w:rPr>
        <w:t xml:space="preserve">, </w:t>
      </w:r>
      <w:r>
        <w:rPr>
          <w:rFonts w:ascii="Arial" w:cs="Arial" w:eastAsia="Arial" w:hAnsi="Arial"/>
          <w:sz w:val="20"/>
          <w:szCs w:val="20"/>
          <w:u w:val="single" w:color="auto"/>
          <w:color w:val="auto"/>
        </w:rPr>
        <w:t>2.21</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2.23</w:t>
      </w:r>
      <w:r>
        <w:rPr>
          <w:rFonts w:ascii="Arial" w:cs="Arial" w:eastAsia="Arial" w:hAnsi="Arial"/>
          <w:sz w:val="20"/>
          <w:szCs w:val="20"/>
          <w:color w:val="auto"/>
        </w:rPr>
        <w:t>.</w:t>
      </w:r>
    </w:p>
    <w:p>
      <w:pPr>
        <w:spacing w:after="0" w:line="163" w:lineRule="exact"/>
        <w:rPr>
          <w:sz w:val="20"/>
          <w:szCs w:val="20"/>
          <w:color w:val="auto"/>
        </w:rPr>
      </w:pPr>
    </w:p>
    <w:p>
      <w:pPr>
        <w:ind w:left="600"/>
        <w:spacing w:after="0"/>
        <w:tabs>
          <w:tab w:leader="none" w:pos="1880" w:val="left"/>
        </w:tabs>
        <w:rPr>
          <w:sz w:val="20"/>
          <w:szCs w:val="20"/>
          <w:color w:val="auto"/>
        </w:rPr>
      </w:pPr>
      <w:r>
        <w:rPr>
          <w:rFonts w:ascii="Arial" w:cs="Arial" w:eastAsia="Arial" w:hAnsi="Arial"/>
          <w:sz w:val="20"/>
          <w:szCs w:val="20"/>
          <w:color w:val="auto"/>
        </w:rPr>
        <w:t>Section 11.14</w:t>
      </w:r>
      <w:r>
        <w:rPr>
          <w:sz w:val="20"/>
          <w:szCs w:val="20"/>
          <w:color w:val="auto"/>
        </w:rPr>
        <w:tab/>
      </w:r>
      <w:r>
        <w:rPr>
          <w:rFonts w:ascii="Arial" w:cs="Arial" w:eastAsia="Arial" w:hAnsi="Arial"/>
          <w:sz w:val="18"/>
          <w:szCs w:val="18"/>
          <w:u w:val="single" w:color="auto"/>
          <w:color w:val="auto"/>
        </w:rPr>
        <w:t>Confidentiality; Intellectual Property</w:t>
      </w:r>
      <w:r>
        <w:rPr>
          <w:rFonts w:ascii="Arial" w:cs="Arial" w:eastAsia="Arial" w:hAnsi="Arial"/>
          <w:sz w:val="18"/>
          <w:szCs w:val="18"/>
          <w:color w:val="auto"/>
        </w:rPr>
        <w:t>.</w:t>
      </w:r>
    </w:p>
    <w:p>
      <w:pPr>
        <w:spacing w:after="0" w:line="246" w:lineRule="exact"/>
        <w:rPr>
          <w:sz w:val="20"/>
          <w:szCs w:val="20"/>
          <w:color w:val="auto"/>
        </w:rPr>
      </w:pPr>
    </w:p>
    <w:p>
      <w:pPr>
        <w:jc w:val="both"/>
        <w:ind w:firstLine="601"/>
        <w:spacing w:after="0" w:line="265" w:lineRule="auto"/>
        <w:tabs>
          <w:tab w:leader="none" w:pos="1049" w:val="left"/>
        </w:tabs>
        <w:numPr>
          <w:ilvl w:val="0"/>
          <w:numId w:val="108"/>
        </w:numPr>
        <w:rPr>
          <w:rFonts w:ascii="Arial" w:cs="Arial" w:eastAsia="Arial" w:hAnsi="Arial"/>
          <w:sz w:val="19"/>
          <w:szCs w:val="19"/>
          <w:color w:val="auto"/>
        </w:rPr>
      </w:pPr>
      <w:r>
        <w:rPr>
          <w:rFonts w:ascii="Arial" w:cs="Arial" w:eastAsia="Arial" w:hAnsi="Arial"/>
          <w:sz w:val="19"/>
          <w:szCs w:val="19"/>
          <w:color w:val="auto"/>
        </w:rPr>
        <w:t xml:space="preserve">It is understood that each Party has received and will receive Confidential Information from the other Parties in connection with the negotiation of this Agreement and the Ancillary Agreements as well as in previous discussions and interactions involving the matters addressed by this Agreement and the Ancillary Agreements. Except as set forth herein (including except as expressly permitted or contemplated by the other provisions of this Agreement), the Parties shall not use the Confidential Information of another disclosing Party except in connection with the performance of their respective obligations under this Agreement and shall not disclose (and shall cause their respective Representatives, Affiliates, and Affiliates' Representatives not to disclose) any Confidential Information received from another Party, the Independent Third Party or an Approved Firm, except to such receiving Party's Representatives, Affiliates, and Affiliates' Representatives, who have a need to know and have agreed to maintain the confidentiality of Confidential Information in accordance with this </w:t>
      </w:r>
      <w:r>
        <w:rPr>
          <w:rFonts w:ascii="Arial" w:cs="Arial" w:eastAsia="Arial" w:hAnsi="Arial"/>
          <w:sz w:val="19"/>
          <w:szCs w:val="19"/>
          <w:u w:val="single" w:color="auto"/>
          <w:color w:val="auto"/>
        </w:rPr>
        <w:t>Section 11.14</w:t>
      </w:r>
      <w:r>
        <w:rPr>
          <w:rFonts w:ascii="Arial" w:cs="Arial" w:eastAsia="Arial" w:hAnsi="Arial"/>
          <w:sz w:val="19"/>
          <w:szCs w:val="19"/>
          <w:color w:val="auto"/>
        </w:rPr>
        <w:t>; the disclosing Party is and shall be an express third party beneficiary of such agreement by such receiving Party's Representatives, Affiliates, and Affiliates' Representatives.</w:t>
      </w:r>
    </w:p>
    <w:p>
      <w:pPr>
        <w:spacing w:after="0" w:line="203" w:lineRule="exact"/>
        <w:rPr>
          <w:rFonts w:ascii="Arial" w:cs="Arial" w:eastAsia="Arial" w:hAnsi="Arial"/>
          <w:sz w:val="19"/>
          <w:szCs w:val="19"/>
          <w:color w:val="auto"/>
        </w:rPr>
      </w:pPr>
    </w:p>
    <w:p>
      <w:pPr>
        <w:ind w:left="1040" w:hanging="439"/>
        <w:spacing w:after="0"/>
        <w:tabs>
          <w:tab w:leader="none" w:pos="1040" w:val="left"/>
        </w:tabs>
        <w:numPr>
          <w:ilvl w:val="0"/>
          <w:numId w:val="108"/>
        </w:numPr>
        <w:rPr>
          <w:rFonts w:ascii="Arial" w:cs="Arial" w:eastAsia="Arial" w:hAnsi="Arial"/>
          <w:sz w:val="19"/>
          <w:szCs w:val="19"/>
          <w:color w:val="auto"/>
        </w:rPr>
      </w:pPr>
      <w:r>
        <w:rPr>
          <w:rFonts w:ascii="Arial" w:cs="Arial" w:eastAsia="Arial" w:hAnsi="Arial"/>
          <w:sz w:val="19"/>
          <w:szCs w:val="19"/>
          <w:u w:val="single" w:color="auto"/>
          <w:color w:val="auto"/>
        </w:rPr>
        <w:t>Section 11.14(a)</w:t>
      </w:r>
      <w:r>
        <w:rPr>
          <w:rFonts w:ascii="Arial" w:cs="Arial" w:eastAsia="Arial" w:hAnsi="Arial"/>
          <w:sz w:val="19"/>
          <w:szCs w:val="19"/>
          <w:color w:val="auto"/>
        </w:rPr>
        <w:t xml:space="preserve"> shall not apply with respect to Confidential Information that the receiving Party can demonstrate is or was:</w:t>
      </w:r>
    </w:p>
    <w:p>
      <w:pPr>
        <w:spacing w:after="0" w:line="257" w:lineRule="exact"/>
        <w:rPr>
          <w:rFonts w:ascii="Arial" w:cs="Arial" w:eastAsia="Arial" w:hAnsi="Arial"/>
          <w:sz w:val="19"/>
          <w:szCs w:val="19"/>
          <w:color w:val="auto"/>
        </w:rPr>
      </w:pPr>
    </w:p>
    <w:p>
      <w:pPr>
        <w:ind w:left="600" w:firstLine="602"/>
        <w:spacing w:after="0" w:line="275" w:lineRule="auto"/>
        <w:tabs>
          <w:tab w:leader="none" w:pos="1990" w:val="left"/>
        </w:tabs>
        <w:numPr>
          <w:ilvl w:val="1"/>
          <w:numId w:val="108"/>
        </w:numPr>
        <w:rPr>
          <w:rFonts w:ascii="Arial" w:cs="Arial" w:eastAsia="Arial" w:hAnsi="Arial"/>
          <w:sz w:val="20"/>
          <w:szCs w:val="20"/>
          <w:color w:val="auto"/>
        </w:rPr>
      </w:pPr>
      <w:r>
        <w:rPr>
          <w:rFonts w:ascii="Arial" w:cs="Arial" w:eastAsia="Arial" w:hAnsi="Arial"/>
          <w:sz w:val="20"/>
          <w:szCs w:val="20"/>
          <w:color w:val="auto"/>
        </w:rPr>
        <w:t>already known to such Party or its Affiliates prior to the confidential disclosure by the disclosing Party, the Independent Third Party or an Approved Firm;</w:t>
      </w:r>
    </w:p>
    <w:p>
      <w:pPr>
        <w:spacing w:after="0" w:line="186" w:lineRule="exact"/>
        <w:rPr>
          <w:rFonts w:ascii="Arial" w:cs="Arial" w:eastAsia="Arial" w:hAnsi="Arial"/>
          <w:sz w:val="20"/>
          <w:szCs w:val="20"/>
          <w:color w:val="auto"/>
        </w:rPr>
      </w:pPr>
    </w:p>
    <w:p>
      <w:pPr>
        <w:jc w:val="both"/>
        <w:ind w:left="600" w:firstLine="602"/>
        <w:spacing w:after="0" w:line="261" w:lineRule="auto"/>
        <w:tabs>
          <w:tab w:leader="none" w:pos="2046" w:val="left"/>
        </w:tabs>
        <w:numPr>
          <w:ilvl w:val="1"/>
          <w:numId w:val="108"/>
        </w:numPr>
        <w:rPr>
          <w:rFonts w:ascii="Arial" w:cs="Arial" w:eastAsia="Arial" w:hAnsi="Arial"/>
          <w:sz w:val="20"/>
          <w:szCs w:val="20"/>
          <w:color w:val="auto"/>
        </w:rPr>
      </w:pPr>
      <w:r>
        <w:rPr>
          <w:rFonts w:ascii="Arial" w:cs="Arial" w:eastAsia="Arial" w:hAnsi="Arial"/>
          <w:sz w:val="20"/>
          <w:szCs w:val="20"/>
          <w:color w:val="auto"/>
        </w:rPr>
        <w:t>independently developed by the receiving Party or its Affiliates not in violation or breach of this Agreement or any other confidentiality obligation to the disclosing Party (such as the Confidentiality Agreements or any retention agreement with a firm or professional in connection with this Agreement);</w:t>
      </w:r>
    </w:p>
    <w:p>
      <w:pPr>
        <w:spacing w:after="0" w:line="200" w:lineRule="exact"/>
        <w:rPr>
          <w:rFonts w:ascii="Arial" w:cs="Arial" w:eastAsia="Arial" w:hAnsi="Arial"/>
          <w:sz w:val="20"/>
          <w:szCs w:val="20"/>
          <w:color w:val="auto"/>
        </w:rPr>
      </w:pPr>
    </w:p>
    <w:p>
      <w:pPr>
        <w:ind w:left="2100" w:hanging="898"/>
        <w:spacing w:after="0"/>
        <w:tabs>
          <w:tab w:leader="none" w:pos="2100" w:val="left"/>
        </w:tabs>
        <w:numPr>
          <w:ilvl w:val="1"/>
          <w:numId w:val="108"/>
        </w:numPr>
        <w:rPr>
          <w:rFonts w:ascii="Arial" w:cs="Arial" w:eastAsia="Arial" w:hAnsi="Arial"/>
          <w:sz w:val="20"/>
          <w:szCs w:val="20"/>
          <w:color w:val="auto"/>
        </w:rPr>
      </w:pPr>
      <w:r>
        <w:rPr>
          <w:rFonts w:ascii="Arial" w:cs="Arial" w:eastAsia="Arial" w:hAnsi="Arial"/>
          <w:sz w:val="20"/>
          <w:szCs w:val="20"/>
          <w:color w:val="auto"/>
        </w:rPr>
        <w:t>already known to the public without breach of confidence by such Party or any of its Affiliates;</w:t>
      </w:r>
    </w:p>
    <w:p>
      <w:pPr>
        <w:spacing w:after="0" w:line="245" w:lineRule="exact"/>
        <w:rPr>
          <w:rFonts w:ascii="Arial" w:cs="Arial" w:eastAsia="Arial" w:hAnsi="Arial"/>
          <w:sz w:val="20"/>
          <w:szCs w:val="20"/>
          <w:color w:val="auto"/>
        </w:rPr>
      </w:pPr>
    </w:p>
    <w:p>
      <w:pPr>
        <w:ind w:left="600" w:firstLine="602"/>
        <w:spacing w:after="0" w:line="275" w:lineRule="auto"/>
        <w:tabs>
          <w:tab w:leader="none" w:pos="2091" w:val="left"/>
        </w:tabs>
        <w:numPr>
          <w:ilvl w:val="1"/>
          <w:numId w:val="108"/>
        </w:numPr>
        <w:rPr>
          <w:rFonts w:ascii="Arial" w:cs="Arial" w:eastAsia="Arial" w:hAnsi="Arial"/>
          <w:sz w:val="20"/>
          <w:szCs w:val="20"/>
          <w:color w:val="auto"/>
        </w:rPr>
      </w:pPr>
      <w:r>
        <w:rPr>
          <w:rFonts w:ascii="Arial" w:cs="Arial" w:eastAsia="Arial" w:hAnsi="Arial"/>
          <w:sz w:val="20"/>
          <w:szCs w:val="20"/>
          <w:color w:val="auto"/>
        </w:rPr>
        <w:t>received by the receiving Party from a third party without restrictions on its use in favor of the disclosing Party, whether by law or contract; or</w:t>
      </w:r>
    </w:p>
    <w:p>
      <w:pPr>
        <w:spacing w:after="0" w:line="186" w:lineRule="exact"/>
        <w:rPr>
          <w:rFonts w:ascii="Arial" w:cs="Arial" w:eastAsia="Arial" w:hAnsi="Arial"/>
          <w:sz w:val="20"/>
          <w:szCs w:val="20"/>
          <w:color w:val="auto"/>
        </w:rPr>
      </w:pPr>
    </w:p>
    <w:p>
      <w:pPr>
        <w:ind w:left="600" w:firstLine="602"/>
        <w:spacing w:after="0" w:line="275" w:lineRule="auto"/>
        <w:tabs>
          <w:tab w:leader="none" w:pos="2035" w:val="left"/>
        </w:tabs>
        <w:numPr>
          <w:ilvl w:val="1"/>
          <w:numId w:val="108"/>
        </w:numPr>
        <w:rPr>
          <w:rFonts w:ascii="Arial" w:cs="Arial" w:eastAsia="Arial" w:hAnsi="Arial"/>
          <w:sz w:val="20"/>
          <w:szCs w:val="20"/>
          <w:color w:val="auto"/>
        </w:rPr>
      </w:pPr>
      <w:r>
        <w:rPr>
          <w:rFonts w:ascii="Arial" w:cs="Arial" w:eastAsia="Arial" w:hAnsi="Arial"/>
          <w:sz w:val="20"/>
          <w:szCs w:val="20"/>
          <w:color w:val="auto"/>
        </w:rPr>
        <w:t xml:space="preserve">subject to prior compliance with </w:t>
      </w:r>
      <w:r>
        <w:rPr>
          <w:rFonts w:ascii="Arial" w:cs="Arial" w:eastAsia="Arial" w:hAnsi="Arial"/>
          <w:sz w:val="20"/>
          <w:szCs w:val="20"/>
          <w:u w:val="single" w:color="auto"/>
          <w:color w:val="auto"/>
        </w:rPr>
        <w:t>Section 11.14(c)</w:t>
      </w:r>
      <w:r>
        <w:rPr>
          <w:rFonts w:ascii="Arial" w:cs="Arial" w:eastAsia="Arial" w:hAnsi="Arial"/>
          <w:sz w:val="20"/>
          <w:szCs w:val="20"/>
          <w:color w:val="auto"/>
        </w:rPr>
        <w:t>, required to be disclosed pursuant to any applicable Law, stock exchange regulation, regulatory provision, court order, subpoena or other legal process.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66</w:t>
      </w:r>
    </w:p>
    <w:p>
      <w:pPr>
        <w:sectPr>
          <w:pgSz w:w="11900" w:h="16838" w:orient="portrait"/>
          <w:cols w:equalWidth="0" w:num="1">
            <w:col w:w="11420"/>
          </w:cols>
          <w:pgMar w:left="240" w:top="556" w:right="239" w:bottom="1440" w:gutter="0" w:footer="0" w:header="0"/>
        </w:sectPr>
      </w:pPr>
    </w:p>
    <w:bookmarkStart w:id="77" w:name="page78"/>
    <w:bookmarkEnd w:id="77"/>
    <w:p>
      <w:pPr>
        <w:jc w:val="both"/>
        <w:ind w:firstLine="601"/>
        <w:spacing w:after="0" w:line="290" w:lineRule="auto"/>
        <w:tabs>
          <w:tab w:leader="none" w:pos="1086" w:val="left"/>
        </w:tabs>
        <w:numPr>
          <w:ilvl w:val="1"/>
          <w:numId w:val="109"/>
        </w:numPr>
        <w:rPr>
          <w:rFonts w:ascii="Arial" w:cs="Arial" w:eastAsia="Arial" w:hAnsi="Arial"/>
          <w:sz w:val="18"/>
          <w:szCs w:val="18"/>
          <w:color w:val="auto"/>
        </w:rPr>
      </w:pPr>
      <w:r>
        <w:rPr>
          <w:rFonts w:ascii="Arial" w:cs="Arial" w:eastAsia="Arial" w:hAnsi="Arial"/>
          <w:sz w:val="18"/>
          <w:szCs w:val="18"/>
          <w:u w:val="single" w:color="auto"/>
          <w:color w:val="auto"/>
        </w:rPr>
        <w:t>Section 11.14(a)</w:t>
      </w:r>
      <w:r>
        <w:rPr>
          <w:rFonts w:ascii="Arial" w:cs="Arial" w:eastAsia="Arial" w:hAnsi="Arial"/>
          <w:sz w:val="18"/>
          <w:szCs w:val="18"/>
          <w:color w:val="auto"/>
        </w:rPr>
        <w:t xml:space="preserve"> shall not apply from and after the Closing to restrict the use or disclosure by the Insurer of any Confidential Information related to Priced Lives, Annuity Payments, or the pricing or underwriting of the Group Annuity Contract, received from another disclosing Party,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Insurer shall use such Confidential Information only in compliance with all applicable Laws relating to privacy of personally identifying information. For the avoidance of doubt, this </w:t>
      </w:r>
      <w:r>
        <w:rPr>
          <w:rFonts w:ascii="Arial" w:cs="Arial" w:eastAsia="Arial" w:hAnsi="Arial"/>
          <w:sz w:val="18"/>
          <w:szCs w:val="18"/>
          <w:u w:val="single" w:color="auto"/>
          <w:color w:val="auto"/>
        </w:rPr>
        <w:t>Section 11.14(c)</w:t>
      </w:r>
      <w:r>
        <w:rPr>
          <w:rFonts w:ascii="Arial" w:cs="Arial" w:eastAsia="Arial" w:hAnsi="Arial"/>
          <w:sz w:val="18"/>
          <w:szCs w:val="18"/>
          <w:color w:val="auto"/>
        </w:rPr>
        <w:t xml:space="preserve"> does not apply to Confidential Information regarding the Company or the Plan (other than to the extent required in connection with the Group Annuity Contract).</w:t>
      </w:r>
    </w:p>
    <w:p>
      <w:pPr>
        <w:spacing w:after="0" w:line="176" w:lineRule="exact"/>
        <w:rPr>
          <w:rFonts w:ascii="Arial" w:cs="Arial" w:eastAsia="Arial" w:hAnsi="Arial"/>
          <w:sz w:val="18"/>
          <w:szCs w:val="18"/>
          <w:color w:val="auto"/>
        </w:rPr>
      </w:pPr>
    </w:p>
    <w:p>
      <w:pPr>
        <w:jc w:val="both"/>
        <w:ind w:firstLine="601"/>
        <w:spacing w:after="0" w:line="282" w:lineRule="auto"/>
        <w:tabs>
          <w:tab w:leader="none" w:pos="1063" w:val="left"/>
        </w:tabs>
        <w:numPr>
          <w:ilvl w:val="1"/>
          <w:numId w:val="109"/>
        </w:numPr>
        <w:rPr>
          <w:rFonts w:ascii="Arial" w:cs="Arial" w:eastAsia="Arial" w:hAnsi="Arial"/>
          <w:sz w:val="18"/>
          <w:szCs w:val="18"/>
          <w:color w:val="auto"/>
        </w:rPr>
      </w:pPr>
      <w:r>
        <w:rPr>
          <w:rFonts w:ascii="Arial" w:cs="Arial" w:eastAsia="Arial" w:hAnsi="Arial"/>
          <w:sz w:val="18"/>
          <w:szCs w:val="18"/>
          <w:color w:val="auto"/>
        </w:rPr>
        <w:t>Except as otherwise provided in this Agreement, if any Party, its Representatives, its Affiliates or its Affiliates' Representatives, receives a request, subpoena, demand, or order for disclosure or become required by Law or stock exchange rule or regulation to disclose any Confidential Information (a “</w:t>
      </w:r>
      <w:r>
        <w:rPr>
          <w:rFonts w:ascii="Arial" w:cs="Arial" w:eastAsia="Arial" w:hAnsi="Arial"/>
          <w:sz w:val="18"/>
          <w:szCs w:val="18"/>
          <w:u w:val="single" w:color="auto"/>
          <w:color w:val="auto"/>
        </w:rPr>
        <w:t>Compelled Disclosing Party</w:t>
      </w:r>
      <w:r>
        <w:rPr>
          <w:rFonts w:ascii="Arial" w:cs="Arial" w:eastAsia="Arial" w:hAnsi="Arial"/>
          <w:sz w:val="18"/>
          <w:szCs w:val="18"/>
          <w:color w:val="auto"/>
        </w:rPr>
        <w:t>”), such Compelled Disclosing Party shall promptly, and in no case more than five</w:t>
      </w:r>
    </w:p>
    <w:p>
      <w:pPr>
        <w:spacing w:after="0" w:line="1" w:lineRule="exact"/>
        <w:rPr>
          <w:rFonts w:ascii="Arial" w:cs="Arial" w:eastAsia="Arial" w:hAnsi="Arial"/>
          <w:sz w:val="18"/>
          <w:szCs w:val="18"/>
          <w:color w:val="auto"/>
        </w:rPr>
      </w:pPr>
    </w:p>
    <w:p>
      <w:pPr>
        <w:jc w:val="both"/>
        <w:spacing w:after="0" w:line="280" w:lineRule="auto"/>
        <w:tabs>
          <w:tab w:leader="none" w:pos="322" w:val="left"/>
        </w:tabs>
        <w:numPr>
          <w:ilvl w:val="0"/>
          <w:numId w:val="110"/>
        </w:numPr>
        <w:rPr>
          <w:rFonts w:ascii="Arial" w:cs="Arial" w:eastAsia="Arial" w:hAnsi="Arial"/>
          <w:sz w:val="18"/>
          <w:szCs w:val="18"/>
          <w:color w:val="auto"/>
        </w:rPr>
      </w:pPr>
      <w:r>
        <w:rPr>
          <w:rFonts w:ascii="Arial" w:cs="Arial" w:eastAsia="Arial" w:hAnsi="Arial"/>
          <w:sz w:val="18"/>
          <w:szCs w:val="18"/>
          <w:color w:val="auto"/>
        </w:rPr>
        <w:t>Business Days following receipt of such a request, subpoena, demand, or order (so long as it is legally permitted to provide such notification), notify the other Parties to afford them the opportunity to object or seek a protective order or other remedy, including a protective order requiring Confidential Information to be submitted under seal and for the return and destruction of Confidential Information or copies thereof following the conclusion of any Action, prior to the disclosure of any such Confidential Information. The Compelled Disclosing Party shall, to the extent permitted by Law, cooperate with the other Party's or Parties' efforts to obtain such protective order, at such other Party's or Parties' cost and expense. In the event that such protective order or other remedy is not sought or obtained, only that portion of Confidential Information which the Compelled Disclosing Party in good faith believes is legally required to be provided may be disclosed and such Compelled Disclosing Party shall request that appropriate confidential treatment will be accorded to such Confidential Information.</w:t>
      </w:r>
    </w:p>
    <w:p>
      <w:pPr>
        <w:spacing w:after="0" w:line="190" w:lineRule="exact"/>
        <w:rPr>
          <w:rFonts w:ascii="Arial" w:cs="Arial" w:eastAsia="Arial" w:hAnsi="Arial"/>
          <w:sz w:val="18"/>
          <w:szCs w:val="18"/>
          <w:color w:val="auto"/>
        </w:rPr>
      </w:pPr>
    </w:p>
    <w:p>
      <w:pPr>
        <w:jc w:val="both"/>
        <w:ind w:firstLine="601"/>
        <w:spacing w:after="0" w:line="294" w:lineRule="auto"/>
        <w:tabs>
          <w:tab w:leader="none" w:pos="1025" w:val="left"/>
        </w:tabs>
        <w:numPr>
          <w:ilvl w:val="1"/>
          <w:numId w:val="110"/>
        </w:numPr>
        <w:rPr>
          <w:rFonts w:ascii="Arial" w:cs="Arial" w:eastAsia="Arial" w:hAnsi="Arial"/>
          <w:sz w:val="18"/>
          <w:szCs w:val="18"/>
          <w:color w:val="auto"/>
        </w:rPr>
      </w:pPr>
      <w:r>
        <w:rPr>
          <w:rFonts w:ascii="Arial" w:cs="Arial" w:eastAsia="Arial" w:hAnsi="Arial"/>
          <w:sz w:val="18"/>
          <w:szCs w:val="18"/>
          <w:color w:val="auto"/>
        </w:rPr>
        <w:t xml:space="preserve">Each engagement letter between any of the Parties on the one hand and the Independent Third Party, each Approved Firm or each other professional engaged in connection with this Agreement, on the other, shall include undertakings by such professional to maintain the confidentiality of Confidential Information in accordance with this </w:t>
      </w:r>
      <w:r>
        <w:rPr>
          <w:rFonts w:ascii="Arial" w:cs="Arial" w:eastAsia="Arial" w:hAnsi="Arial"/>
          <w:sz w:val="18"/>
          <w:szCs w:val="18"/>
          <w:u w:val="single" w:color="auto"/>
          <w:color w:val="auto"/>
        </w:rPr>
        <w:t>Section 11.14</w:t>
      </w:r>
      <w:r>
        <w:rPr>
          <w:rFonts w:ascii="Arial" w:cs="Arial" w:eastAsia="Arial" w:hAnsi="Arial"/>
          <w:sz w:val="18"/>
          <w:szCs w:val="18"/>
          <w:color w:val="auto"/>
        </w:rPr>
        <w:t xml:space="preserve"> and to clearly mark any reports or other work product prepared in connection with such engagement as confidential and not subject to disclosure except as permitted by this </w:t>
      </w:r>
      <w:r>
        <w:rPr>
          <w:rFonts w:ascii="Arial" w:cs="Arial" w:eastAsia="Arial" w:hAnsi="Arial"/>
          <w:sz w:val="18"/>
          <w:szCs w:val="18"/>
          <w:u w:val="single" w:color="auto"/>
          <w:color w:val="auto"/>
        </w:rPr>
        <w:t>Section 11.14</w:t>
      </w:r>
      <w:r>
        <w:rPr>
          <w:rFonts w:ascii="Arial" w:cs="Arial" w:eastAsia="Arial" w:hAnsi="Arial"/>
          <w:sz w:val="18"/>
          <w:szCs w:val="18"/>
          <w:color w:val="auto"/>
        </w:rPr>
        <w:t>.</w:t>
      </w:r>
    </w:p>
    <w:p>
      <w:pPr>
        <w:spacing w:after="0" w:line="174" w:lineRule="exact"/>
        <w:rPr>
          <w:rFonts w:ascii="Arial" w:cs="Arial" w:eastAsia="Arial" w:hAnsi="Arial"/>
          <w:sz w:val="18"/>
          <w:szCs w:val="18"/>
          <w:color w:val="auto"/>
        </w:rPr>
      </w:pPr>
    </w:p>
    <w:p>
      <w:pPr>
        <w:ind w:left="1000" w:hanging="399"/>
        <w:spacing w:after="0"/>
        <w:tabs>
          <w:tab w:leader="none" w:pos="1000" w:val="left"/>
        </w:tabs>
        <w:numPr>
          <w:ilvl w:val="1"/>
          <w:numId w:val="110"/>
        </w:numPr>
        <w:rPr>
          <w:rFonts w:ascii="Arial" w:cs="Arial" w:eastAsia="Arial" w:hAnsi="Arial"/>
          <w:sz w:val="20"/>
          <w:szCs w:val="20"/>
          <w:color w:val="auto"/>
        </w:rPr>
      </w:pPr>
      <w:r>
        <w:rPr>
          <w:rFonts w:ascii="Arial" w:cs="Arial" w:eastAsia="Arial" w:hAnsi="Arial"/>
          <w:sz w:val="20"/>
          <w:szCs w:val="20"/>
          <w:color w:val="auto"/>
        </w:rPr>
        <w:t xml:space="preserve">The Parties acknowledge and agree that this </w:t>
      </w:r>
      <w:r>
        <w:rPr>
          <w:rFonts w:ascii="Arial" w:cs="Arial" w:eastAsia="Arial" w:hAnsi="Arial"/>
          <w:sz w:val="20"/>
          <w:szCs w:val="20"/>
          <w:u w:val="single" w:color="auto"/>
          <w:color w:val="auto"/>
        </w:rPr>
        <w:t>Section 11.14</w:t>
      </w:r>
      <w:r>
        <w:rPr>
          <w:rFonts w:ascii="Arial" w:cs="Arial" w:eastAsia="Arial" w:hAnsi="Arial"/>
          <w:sz w:val="20"/>
          <w:szCs w:val="20"/>
          <w:color w:val="auto"/>
        </w:rPr>
        <w:t xml:space="preserve"> shall supersede the Confidentiality Agreements.</w:t>
      </w:r>
    </w:p>
    <w:p>
      <w:pPr>
        <w:spacing w:after="0" w:line="245" w:lineRule="exact"/>
        <w:rPr>
          <w:rFonts w:ascii="Arial" w:cs="Arial" w:eastAsia="Arial" w:hAnsi="Arial"/>
          <w:sz w:val="20"/>
          <w:szCs w:val="20"/>
          <w:color w:val="auto"/>
        </w:rPr>
      </w:pPr>
    </w:p>
    <w:p>
      <w:pPr>
        <w:ind w:left="1140" w:hanging="539"/>
        <w:spacing w:after="0"/>
        <w:tabs>
          <w:tab w:leader="none" w:pos="114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Insurer is, and the other Parties acknowledge that Insurer is, the sole owner of all spreadsheets and formulas, including the</w:t>
      </w:r>
    </w:p>
    <w:p>
      <w:pPr>
        <w:spacing w:after="0" w:line="49"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 xml:space="preserve">methodologies in the CMA Adjustment tab, [ *** ] Adjustment tab, PFS Adjustment tab and SCA Adjustment tab on the spreadsheets and manuals (including the Procedures Manual) on the Identified CD-ROM, and that all such materials constitute Insurer's valuable and proprietary know how. The foregoing remains true even with respect to any such materials or know how incorporated or reproduced in the work product of the Independent Third Party, the Approved Firms or any arbitrator or staff thereof or any other professional engaged in connection with this Agreement. Insurer grants the Independent Fiduciary, the Company and, pursuant to the applicable engagement letter and subject to this </w:t>
      </w:r>
      <w:r>
        <w:rPr>
          <w:rFonts w:ascii="Arial" w:cs="Arial" w:eastAsia="Arial" w:hAnsi="Arial"/>
          <w:sz w:val="20"/>
          <w:szCs w:val="20"/>
          <w:u w:val="single" w:color="auto"/>
          <w:color w:val="auto"/>
        </w:rPr>
        <w:t>Section 11.14</w:t>
      </w:r>
      <w:r>
        <w:rPr>
          <w:rFonts w:ascii="Arial" w:cs="Arial" w:eastAsia="Arial" w:hAnsi="Arial"/>
          <w:sz w:val="20"/>
          <w:szCs w:val="20"/>
          <w:color w:val="auto"/>
        </w:rPr>
        <w:t xml:space="preserve"> only, the Independent Third Party, the Approved Firms or any arbitrator or staff thereof or any other professional engaged in connection with this Agreement, the limited right to use such materials solely in connection with the transactions and proceedings contemplated by this Agreement. No party having use thereof shall have any rights in connection therein except as specifically granted by the foregoing sentence.</w:t>
      </w:r>
    </w:p>
    <w:p>
      <w:pPr>
        <w:spacing w:after="0" w:line="175" w:lineRule="exact"/>
        <w:rPr>
          <w:sz w:val="20"/>
          <w:szCs w:val="20"/>
          <w:color w:val="auto"/>
        </w:rPr>
      </w:pPr>
    </w:p>
    <w:p>
      <w:pPr>
        <w:ind w:left="1900" w:right="3680" w:hanging="5028"/>
        <w:spacing w:after="0" w:line="461" w:lineRule="auto"/>
        <w:tabs>
          <w:tab w:leader="none" w:pos="1880" w:val="left"/>
        </w:tabs>
        <w:rPr>
          <w:sz w:val="20"/>
          <w:szCs w:val="20"/>
          <w:color w:val="auto"/>
        </w:rPr>
      </w:pPr>
      <w:r>
        <w:rPr>
          <w:rFonts w:ascii="Arial" w:cs="Arial" w:eastAsia="Arial" w:hAnsi="Arial"/>
          <w:sz w:val="20"/>
          <w:szCs w:val="20"/>
          <w:color w:val="auto"/>
        </w:rPr>
        <w:t>Section 11.15</w:t>
      </w:r>
      <w:r>
        <w:rPr>
          <w:sz w:val="20"/>
          <w:szCs w:val="20"/>
          <w:color w:val="auto"/>
        </w:rPr>
        <w:tab/>
      </w:r>
      <w:r>
        <w:rPr>
          <w:rFonts w:ascii="Arial" w:cs="Arial" w:eastAsia="Arial" w:hAnsi="Arial"/>
          <w:sz w:val="20"/>
          <w:szCs w:val="20"/>
          <w:u w:val="single" w:color="auto"/>
          <w:color w:val="auto"/>
        </w:rPr>
        <w:t>Waiver of Punitive Damages</w:t>
      </w:r>
      <w:r>
        <w:rPr>
          <w:rFonts w:ascii="Arial" w:cs="Arial" w:eastAsia="Arial" w:hAnsi="Arial"/>
          <w:sz w:val="20"/>
          <w:szCs w:val="20"/>
          <w:color w:val="auto"/>
        </w:rPr>
        <w:t>. To the fullest extent permitted by Law, and</w:t>
      </w:r>
      <w:r>
        <w:rPr>
          <w:rFonts w:ascii="Arial" w:cs="Arial" w:eastAsia="Arial" w:hAnsi="Arial"/>
          <w:sz w:val="20"/>
          <w:szCs w:val="20"/>
          <w:u w:val="single" w:color="auto"/>
          <w:color w:val="auto"/>
        </w:rPr>
        <w:t xml:space="preserve"> </w:t>
      </w:r>
      <w:r>
        <w:rPr>
          <w:rFonts w:ascii="Arial" w:cs="Arial" w:eastAsia="Arial" w:hAnsi="Arial"/>
          <w:sz w:val="16"/>
          <w:szCs w:val="16"/>
          <w:color w:val="auto"/>
        </w:rPr>
        <w:t>67</w:t>
      </w:r>
    </w:p>
    <w:p>
      <w:pPr>
        <w:sectPr>
          <w:pgSz w:w="11900" w:h="16838" w:orient="portrait"/>
          <w:cols w:equalWidth="0" w:num="1">
            <w:col w:w="11420"/>
          </w:cols>
          <w:pgMar w:left="240" w:top="794" w:right="239" w:bottom="1440" w:gutter="0" w:footer="0" w:header="0"/>
        </w:sectPr>
      </w:pPr>
    </w:p>
    <w:bookmarkStart w:id="78" w:name="page79"/>
    <w:bookmarkEnd w:id="78"/>
    <w:p>
      <w:pPr>
        <w:jc w:val="both"/>
        <w:spacing w:after="0" w:line="294" w:lineRule="auto"/>
        <w:rPr>
          <w:sz w:val="20"/>
          <w:szCs w:val="20"/>
          <w:color w:val="auto"/>
        </w:rPr>
      </w:pPr>
      <w:r>
        <w:rPr>
          <w:rFonts w:ascii="Arial" w:cs="Arial" w:eastAsia="Arial" w:hAnsi="Arial"/>
          <w:sz w:val="18"/>
          <w:szCs w:val="18"/>
          <w:color w:val="auto"/>
        </w:rPr>
        <w:t>notwithstanding any other provision of this Agreement, none of the Parties shall be liable to any other Party for any punitive or exemplary damages of any nature in respect of matters arising out of this Agreement or the Ancillary Agreements, whether arising out of breach of contract, negligence, tort, strict liability or any other legal or equitable principle. The foregoing sentence will not preclude recovery of amounts claimed in Third Party Claim to the extent that claims for such amounts are subject to indemnification under this Agreement.</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color w:val="auto"/>
        </w:rPr>
        <w:t>Remainder of page intentionally left blank.</w:t>
      </w:r>
      <w:r>
        <w:rPr>
          <w:rFonts w:ascii="Arial" w:cs="Arial" w:eastAsia="Arial" w:hAnsi="Arial"/>
          <w:sz w:val="20"/>
          <w:szCs w:val="20"/>
          <w:b w:val="1"/>
          <w:bCs w:val="1"/>
          <w:color w:val="auto"/>
        </w:rPr>
        <w:t>]</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68</w:t>
      </w:r>
    </w:p>
    <w:p>
      <w:pPr>
        <w:sectPr>
          <w:pgSz w:w="11900" w:h="16838" w:orient="portrait"/>
          <w:cols w:equalWidth="0" w:num="1">
            <w:col w:w="11420"/>
          </w:cols>
          <w:pgMar w:left="240" w:top="557" w:right="239" w:bottom="1440" w:gutter="0" w:footer="0" w:header="0"/>
        </w:sectPr>
      </w:pPr>
    </w:p>
    <w:bookmarkStart w:id="79" w:name="page80"/>
    <w:bookmarkEnd w:id="79"/>
    <w:p>
      <w:pPr>
        <w:spacing w:after="0"/>
        <w:rPr>
          <w:sz w:val="20"/>
          <w:szCs w:val="20"/>
          <w:color w:val="auto"/>
        </w:rPr>
      </w:pPr>
      <w:r>
        <w:rPr>
          <w:rFonts w:ascii="Arial" w:cs="Arial" w:eastAsia="Arial" w:hAnsi="Arial"/>
          <w:sz w:val="19"/>
          <w:szCs w:val="19"/>
          <w:color w:val="auto"/>
        </w:rPr>
        <w:t>IN WITNESS WHEREOF, the Parties have executed this Agreement as of the date first above written.</w:t>
      </w:r>
    </w:p>
    <w:p>
      <w:pPr>
        <w:spacing w:after="0" w:line="353" w:lineRule="exact"/>
        <w:rPr>
          <w:sz w:val="20"/>
          <w:szCs w:val="20"/>
          <w:color w:val="auto"/>
        </w:rPr>
      </w:pPr>
    </w:p>
    <w:p>
      <w:pPr>
        <w:ind w:left="4040"/>
        <w:spacing w:after="0"/>
        <w:rPr>
          <w:sz w:val="20"/>
          <w:szCs w:val="20"/>
          <w:color w:val="auto"/>
        </w:rPr>
      </w:pPr>
      <w:r>
        <w:rPr>
          <w:rFonts w:ascii="Arial" w:cs="Arial" w:eastAsia="Arial" w:hAnsi="Arial"/>
          <w:sz w:val="20"/>
          <w:szCs w:val="20"/>
          <w:b w:val="1"/>
          <w:bCs w:val="1"/>
          <w:color w:val="auto"/>
        </w:rPr>
        <w:t>GENERAL MOTORS LLC</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3700"/>
        <w:spacing w:after="0"/>
        <w:rPr>
          <w:sz w:val="20"/>
          <w:szCs w:val="20"/>
          <w:color w:val="auto"/>
        </w:rPr>
      </w:pPr>
      <w:r>
        <w:rPr>
          <w:rFonts w:ascii="Arial" w:cs="Arial" w:eastAsia="Arial" w:hAnsi="Arial"/>
          <w:sz w:val="20"/>
          <w:szCs w:val="20"/>
          <w:color w:val="auto"/>
        </w:rPr>
        <w:t>By: /s/ Daniel Ammann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2543810</wp:posOffset>
            </wp:positionH>
            <wp:positionV relativeFrom="paragraph">
              <wp:posOffset>26670</wp:posOffset>
            </wp:positionV>
            <wp:extent cx="42443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244340" cy="8255"/>
                    </a:xfrm>
                    <a:prstGeom prst="rect">
                      <a:avLst/>
                    </a:prstGeom>
                    <a:noFill/>
                  </pic:spPr>
                </pic:pic>
              </a:graphicData>
            </a:graphic>
          </wp:anchor>
        </w:drawing>
      </w:r>
    </w:p>
    <w:p>
      <w:pPr>
        <w:spacing w:after="0" w:line="38" w:lineRule="exact"/>
        <w:rPr>
          <w:sz w:val="20"/>
          <w:szCs w:val="20"/>
          <w:color w:val="auto"/>
        </w:rPr>
      </w:pPr>
    </w:p>
    <w:p>
      <w:pPr>
        <w:ind w:left="4340"/>
        <w:spacing w:after="0"/>
        <w:rPr>
          <w:sz w:val="20"/>
          <w:szCs w:val="20"/>
          <w:color w:val="auto"/>
        </w:rPr>
      </w:pPr>
      <w:r>
        <w:rPr>
          <w:rFonts w:ascii="Arial" w:cs="Arial" w:eastAsia="Arial" w:hAnsi="Arial"/>
          <w:sz w:val="20"/>
          <w:szCs w:val="20"/>
          <w:color w:val="auto"/>
        </w:rPr>
        <w:t>Name: Daniel Ammann</w:t>
      </w:r>
    </w:p>
    <w:p>
      <w:pPr>
        <w:spacing w:after="0" w:line="45" w:lineRule="exact"/>
        <w:rPr>
          <w:sz w:val="20"/>
          <w:szCs w:val="20"/>
          <w:color w:val="auto"/>
        </w:rPr>
      </w:pPr>
    </w:p>
    <w:p>
      <w:pPr>
        <w:jc w:val="right"/>
        <w:ind w:right="819"/>
        <w:spacing w:after="0"/>
        <w:rPr>
          <w:sz w:val="20"/>
          <w:szCs w:val="20"/>
          <w:color w:val="auto"/>
        </w:rPr>
      </w:pPr>
      <w:r>
        <w:rPr>
          <w:rFonts w:ascii="Arial" w:cs="Arial" w:eastAsia="Arial" w:hAnsi="Arial"/>
          <w:sz w:val="20"/>
          <w:szCs w:val="20"/>
          <w:color w:val="auto"/>
        </w:rPr>
        <w:t>Title: Senior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040"/>
        <w:spacing w:after="0"/>
        <w:rPr>
          <w:sz w:val="20"/>
          <w:szCs w:val="20"/>
          <w:color w:val="auto"/>
        </w:rPr>
      </w:pPr>
      <w:r>
        <w:rPr>
          <w:rFonts w:ascii="Arial" w:cs="Arial" w:eastAsia="Arial" w:hAnsi="Arial"/>
          <w:sz w:val="20"/>
          <w:szCs w:val="20"/>
          <w:b w:val="1"/>
          <w:bCs w:val="1"/>
          <w:color w:val="auto"/>
        </w:rPr>
        <w:t>THE PRUDENTIAL INSURANCE COMPANY</w:t>
      </w:r>
    </w:p>
    <w:p>
      <w:pPr>
        <w:spacing w:after="0" w:line="45" w:lineRule="exact"/>
        <w:rPr>
          <w:sz w:val="20"/>
          <w:szCs w:val="20"/>
          <w:color w:val="auto"/>
        </w:rPr>
      </w:pPr>
    </w:p>
    <w:p>
      <w:pPr>
        <w:ind w:left="4040"/>
        <w:spacing w:after="0"/>
        <w:rPr>
          <w:sz w:val="20"/>
          <w:szCs w:val="20"/>
          <w:color w:val="auto"/>
        </w:rPr>
      </w:pPr>
      <w:r>
        <w:rPr>
          <w:rFonts w:ascii="Arial" w:cs="Arial" w:eastAsia="Arial" w:hAnsi="Arial"/>
          <w:sz w:val="20"/>
          <w:szCs w:val="20"/>
          <w:b w:val="1"/>
          <w:bCs w:val="1"/>
          <w:color w:val="auto"/>
        </w:rPr>
        <w:t>OF AMERICA</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3700"/>
        <w:spacing w:after="0"/>
        <w:rPr>
          <w:sz w:val="20"/>
          <w:szCs w:val="20"/>
          <w:color w:val="auto"/>
        </w:rPr>
      </w:pPr>
      <w:r>
        <w:rPr>
          <w:rFonts w:ascii="Arial" w:cs="Arial" w:eastAsia="Arial" w:hAnsi="Arial"/>
          <w:sz w:val="20"/>
          <w:szCs w:val="20"/>
          <w:color w:val="auto"/>
        </w:rPr>
        <w:t>By: /s/ Dylan Tyson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2543810</wp:posOffset>
            </wp:positionH>
            <wp:positionV relativeFrom="paragraph">
              <wp:posOffset>26670</wp:posOffset>
            </wp:positionV>
            <wp:extent cx="42443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244340" cy="8255"/>
                    </a:xfrm>
                    <a:prstGeom prst="rect">
                      <a:avLst/>
                    </a:prstGeom>
                    <a:noFill/>
                  </pic:spPr>
                </pic:pic>
              </a:graphicData>
            </a:graphic>
          </wp:anchor>
        </w:drawing>
      </w:r>
    </w:p>
    <w:p>
      <w:pPr>
        <w:spacing w:after="0" w:line="38" w:lineRule="exact"/>
        <w:rPr>
          <w:sz w:val="20"/>
          <w:szCs w:val="20"/>
          <w:color w:val="auto"/>
        </w:rPr>
      </w:pPr>
    </w:p>
    <w:p>
      <w:pPr>
        <w:ind w:left="4340"/>
        <w:spacing w:after="0"/>
        <w:rPr>
          <w:sz w:val="20"/>
          <w:szCs w:val="20"/>
          <w:color w:val="auto"/>
        </w:rPr>
      </w:pPr>
      <w:r>
        <w:rPr>
          <w:rFonts w:ascii="Arial" w:cs="Arial" w:eastAsia="Arial" w:hAnsi="Arial"/>
          <w:sz w:val="20"/>
          <w:szCs w:val="20"/>
          <w:color w:val="auto"/>
        </w:rPr>
        <w:t>Name: Dylan Tyson</w:t>
      </w:r>
    </w:p>
    <w:p>
      <w:pPr>
        <w:spacing w:after="0" w:line="45" w:lineRule="exact"/>
        <w:rPr>
          <w:sz w:val="20"/>
          <w:szCs w:val="20"/>
          <w:color w:val="auto"/>
        </w:rPr>
      </w:pPr>
    </w:p>
    <w:p>
      <w:pPr>
        <w:ind w:left="4320"/>
        <w:spacing w:after="0"/>
        <w:rPr>
          <w:sz w:val="20"/>
          <w:szCs w:val="20"/>
          <w:color w:val="auto"/>
        </w:rPr>
      </w:pPr>
      <w:r>
        <w:rPr>
          <w:rFonts w:ascii="Arial" w:cs="Arial" w:eastAsia="Arial" w:hAnsi="Arial"/>
          <w:sz w:val="20"/>
          <w:szCs w:val="20"/>
          <w:color w:val="auto"/>
        </w:rPr>
        <w:t>Title: Vice President, Payout Annuities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040"/>
        <w:spacing w:after="0"/>
        <w:rPr>
          <w:sz w:val="20"/>
          <w:szCs w:val="20"/>
          <w:color w:val="auto"/>
        </w:rPr>
      </w:pPr>
      <w:r>
        <w:rPr>
          <w:rFonts w:ascii="Arial" w:cs="Arial" w:eastAsia="Arial" w:hAnsi="Arial"/>
          <w:sz w:val="20"/>
          <w:szCs w:val="20"/>
          <w:b w:val="1"/>
          <w:bCs w:val="1"/>
          <w:color w:val="auto"/>
        </w:rPr>
        <w:t>PRUDENTIAL FINANCIAL, INC.</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3700"/>
        <w:spacing w:after="0"/>
        <w:rPr>
          <w:sz w:val="20"/>
          <w:szCs w:val="20"/>
          <w:color w:val="auto"/>
        </w:rPr>
      </w:pPr>
      <w:r>
        <w:rPr>
          <w:rFonts w:ascii="Arial" w:cs="Arial" w:eastAsia="Arial" w:hAnsi="Arial"/>
          <w:sz w:val="20"/>
          <w:szCs w:val="20"/>
          <w:color w:val="auto"/>
        </w:rPr>
        <w:t>By: /s/ George P. Waldeck,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2543810</wp:posOffset>
            </wp:positionH>
            <wp:positionV relativeFrom="paragraph">
              <wp:posOffset>26670</wp:posOffset>
            </wp:positionV>
            <wp:extent cx="42443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244340" cy="8255"/>
                    </a:xfrm>
                    <a:prstGeom prst="rect">
                      <a:avLst/>
                    </a:prstGeom>
                    <a:noFill/>
                  </pic:spPr>
                </pic:pic>
              </a:graphicData>
            </a:graphic>
          </wp:anchor>
        </w:drawing>
      </w:r>
    </w:p>
    <w:p>
      <w:pPr>
        <w:spacing w:after="0" w:line="38" w:lineRule="exact"/>
        <w:rPr>
          <w:sz w:val="20"/>
          <w:szCs w:val="20"/>
          <w:color w:val="auto"/>
        </w:rPr>
      </w:pPr>
    </w:p>
    <w:p>
      <w:pPr>
        <w:ind w:left="4340"/>
        <w:spacing w:after="0"/>
        <w:rPr>
          <w:sz w:val="20"/>
          <w:szCs w:val="20"/>
          <w:color w:val="auto"/>
        </w:rPr>
      </w:pPr>
      <w:r>
        <w:rPr>
          <w:rFonts w:ascii="Arial" w:cs="Arial" w:eastAsia="Arial" w:hAnsi="Arial"/>
          <w:sz w:val="20"/>
          <w:szCs w:val="20"/>
          <w:color w:val="auto"/>
        </w:rPr>
        <w:t>Name: George P. Waldeck, Jr.</w:t>
      </w:r>
    </w:p>
    <w:p>
      <w:pPr>
        <w:spacing w:after="0" w:line="45" w:lineRule="exact"/>
        <w:rPr>
          <w:sz w:val="20"/>
          <w:szCs w:val="20"/>
          <w:color w:val="auto"/>
        </w:rPr>
      </w:pPr>
    </w:p>
    <w:p>
      <w:pPr>
        <w:ind w:left="4320"/>
        <w:spacing w:after="0"/>
        <w:rPr>
          <w:sz w:val="20"/>
          <w:szCs w:val="20"/>
          <w:color w:val="auto"/>
        </w:rPr>
      </w:pPr>
      <w:r>
        <w:rPr>
          <w:rFonts w:ascii="Arial" w:cs="Arial" w:eastAsia="Arial" w:hAnsi="Arial"/>
          <w:sz w:val="20"/>
          <w:szCs w:val="20"/>
          <w:color w:val="auto"/>
        </w:rPr>
        <w:t>Title: Second Vice President</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040"/>
        <w:spacing w:after="0"/>
        <w:rPr>
          <w:sz w:val="20"/>
          <w:szCs w:val="20"/>
          <w:color w:val="auto"/>
        </w:rPr>
      </w:pPr>
      <w:r>
        <w:rPr>
          <w:rFonts w:ascii="Arial" w:cs="Arial" w:eastAsia="Arial" w:hAnsi="Arial"/>
          <w:sz w:val="20"/>
          <w:szCs w:val="20"/>
          <w:b w:val="1"/>
          <w:bCs w:val="1"/>
          <w:color w:val="auto"/>
        </w:rPr>
        <w:t>STATE STREET BANK AND TRUST COMPANY,</w:t>
      </w:r>
    </w:p>
    <w:p>
      <w:pPr>
        <w:spacing w:after="0" w:line="45" w:lineRule="exact"/>
        <w:rPr>
          <w:sz w:val="20"/>
          <w:szCs w:val="20"/>
          <w:color w:val="auto"/>
        </w:rPr>
      </w:pPr>
    </w:p>
    <w:p>
      <w:pPr>
        <w:ind w:left="4040"/>
        <w:spacing w:after="0"/>
        <w:rPr>
          <w:sz w:val="20"/>
          <w:szCs w:val="20"/>
          <w:color w:val="auto"/>
        </w:rPr>
      </w:pPr>
      <w:r>
        <w:rPr>
          <w:rFonts w:ascii="Arial" w:cs="Arial" w:eastAsia="Arial" w:hAnsi="Arial"/>
          <w:sz w:val="20"/>
          <w:szCs w:val="20"/>
          <w:b w:val="1"/>
          <w:bCs w:val="1"/>
          <w:color w:val="auto"/>
        </w:rPr>
        <w:t>Solely In Its Capacity As Independent Fiduciary of</w:t>
      </w:r>
    </w:p>
    <w:p>
      <w:pPr>
        <w:spacing w:after="0" w:line="45" w:lineRule="exact"/>
        <w:rPr>
          <w:sz w:val="20"/>
          <w:szCs w:val="20"/>
          <w:color w:val="auto"/>
        </w:rPr>
      </w:pPr>
    </w:p>
    <w:p>
      <w:pPr>
        <w:ind w:left="4040"/>
        <w:spacing w:after="0"/>
        <w:rPr>
          <w:sz w:val="20"/>
          <w:szCs w:val="20"/>
          <w:color w:val="auto"/>
        </w:rPr>
      </w:pPr>
      <w:r>
        <w:rPr>
          <w:rFonts w:ascii="Arial" w:cs="Arial" w:eastAsia="Arial" w:hAnsi="Arial"/>
          <w:sz w:val="20"/>
          <w:szCs w:val="20"/>
          <w:b w:val="1"/>
          <w:bCs w:val="1"/>
          <w:color w:val="auto"/>
        </w:rPr>
        <w:t>the General Motors Retirement Plan for Salaried</w:t>
      </w:r>
    </w:p>
    <w:p>
      <w:pPr>
        <w:spacing w:after="0" w:line="45" w:lineRule="exact"/>
        <w:rPr>
          <w:sz w:val="20"/>
          <w:szCs w:val="20"/>
          <w:color w:val="auto"/>
        </w:rPr>
      </w:pPr>
    </w:p>
    <w:p>
      <w:pPr>
        <w:ind w:left="4040"/>
        <w:spacing w:after="0"/>
        <w:rPr>
          <w:sz w:val="20"/>
          <w:szCs w:val="20"/>
          <w:color w:val="auto"/>
        </w:rPr>
      </w:pPr>
      <w:r>
        <w:rPr>
          <w:rFonts w:ascii="Arial" w:cs="Arial" w:eastAsia="Arial" w:hAnsi="Arial"/>
          <w:sz w:val="20"/>
          <w:szCs w:val="20"/>
          <w:b w:val="1"/>
          <w:bCs w:val="1"/>
          <w:color w:val="auto"/>
        </w:rPr>
        <w:t>Employees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3700"/>
        <w:spacing w:after="0"/>
        <w:rPr>
          <w:sz w:val="20"/>
          <w:szCs w:val="20"/>
          <w:color w:val="auto"/>
        </w:rPr>
      </w:pPr>
      <w:r>
        <w:rPr>
          <w:rFonts w:ascii="Arial" w:cs="Arial" w:eastAsia="Arial" w:hAnsi="Arial"/>
          <w:sz w:val="20"/>
          <w:szCs w:val="20"/>
          <w:color w:val="auto"/>
        </w:rPr>
        <w:t>By: /s/ Denise Sisk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2543810</wp:posOffset>
            </wp:positionH>
            <wp:positionV relativeFrom="paragraph">
              <wp:posOffset>26670</wp:posOffset>
            </wp:positionV>
            <wp:extent cx="42443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244340" cy="8255"/>
                    </a:xfrm>
                    <a:prstGeom prst="rect">
                      <a:avLst/>
                    </a:prstGeom>
                    <a:noFill/>
                  </pic:spPr>
                </pic:pic>
              </a:graphicData>
            </a:graphic>
          </wp:anchor>
        </w:drawing>
      </w:r>
    </w:p>
    <w:p>
      <w:pPr>
        <w:spacing w:after="0" w:line="38" w:lineRule="exact"/>
        <w:rPr>
          <w:sz w:val="20"/>
          <w:szCs w:val="20"/>
          <w:color w:val="auto"/>
        </w:rPr>
      </w:pPr>
    </w:p>
    <w:p>
      <w:pPr>
        <w:ind w:left="4340"/>
        <w:spacing w:after="0"/>
        <w:rPr>
          <w:sz w:val="20"/>
          <w:szCs w:val="20"/>
          <w:color w:val="auto"/>
        </w:rPr>
      </w:pPr>
      <w:r>
        <w:rPr>
          <w:rFonts w:ascii="Arial" w:cs="Arial" w:eastAsia="Arial" w:hAnsi="Arial"/>
          <w:sz w:val="20"/>
          <w:szCs w:val="20"/>
          <w:color w:val="auto"/>
        </w:rPr>
        <w:t>Name: Denise Sisk</w:t>
      </w:r>
    </w:p>
    <w:p>
      <w:pPr>
        <w:spacing w:after="0" w:line="45" w:lineRule="exact"/>
        <w:rPr>
          <w:sz w:val="20"/>
          <w:szCs w:val="20"/>
          <w:color w:val="auto"/>
        </w:rPr>
      </w:pPr>
    </w:p>
    <w:p>
      <w:pPr>
        <w:ind w:left="4320"/>
        <w:spacing w:after="0"/>
        <w:rPr>
          <w:sz w:val="20"/>
          <w:szCs w:val="20"/>
          <w:color w:val="auto"/>
        </w:rPr>
      </w:pPr>
      <w:r>
        <w:rPr>
          <w:rFonts w:ascii="Arial" w:cs="Arial" w:eastAsia="Arial" w:hAnsi="Arial"/>
          <w:sz w:val="20"/>
          <w:szCs w:val="20"/>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5040"/>
        <w:spacing w:after="0"/>
        <w:rPr>
          <w:sz w:val="20"/>
          <w:szCs w:val="20"/>
          <w:color w:val="auto"/>
        </w:rPr>
      </w:pPr>
      <w:r>
        <w:rPr>
          <w:rFonts w:ascii="Arial" w:cs="Arial" w:eastAsia="Arial" w:hAnsi="Arial"/>
          <w:sz w:val="17"/>
          <w:szCs w:val="17"/>
          <w:color w:val="auto"/>
        </w:rPr>
        <w:t>69</w:t>
      </w:r>
    </w:p>
    <w:p>
      <w:pPr>
        <w:sectPr>
          <w:pgSz w:w="11900" w:h="16838" w:orient="portrait"/>
          <w:cols w:equalWidth="0" w:num="1">
            <w:col w:w="9619"/>
          </w:cols>
          <w:pgMar w:left="840" w:top="757" w:right="1440" w:bottom="1440" w:gutter="0" w:footer="0" w:header="0"/>
        </w:sectPr>
      </w:pPr>
    </w:p>
    <w:bookmarkStart w:id="80" w:name="page81"/>
    <w:bookmarkEnd w:id="80"/>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299"/>
        <w:spacing w:after="0"/>
        <w:rPr>
          <w:sz w:val="20"/>
          <w:szCs w:val="20"/>
          <w:color w:val="auto"/>
        </w:rPr>
      </w:pPr>
      <w:r>
        <w:rPr>
          <w:rFonts w:ascii="Arial" w:cs="Arial" w:eastAsia="Arial" w:hAnsi="Arial"/>
          <w:sz w:val="27"/>
          <w:szCs w:val="27"/>
          <w:b w:val="1"/>
          <w:bCs w:val="1"/>
          <w:color w:val="auto"/>
        </w:rPr>
        <w:t>APPENDICES</w:t>
      </w:r>
    </w:p>
    <w:p>
      <w:pPr>
        <w:spacing w:after="0" w:line="224" w:lineRule="exact"/>
        <w:rPr>
          <w:sz w:val="20"/>
          <w:szCs w:val="20"/>
          <w:color w:val="auto"/>
        </w:rPr>
      </w:pPr>
    </w:p>
    <w:p>
      <w:pPr>
        <w:spacing w:after="0" w:line="269" w:lineRule="auto"/>
        <w:rPr>
          <w:sz w:val="20"/>
          <w:szCs w:val="20"/>
          <w:color w:val="auto"/>
        </w:rPr>
      </w:pPr>
      <w:r>
        <w:rPr>
          <w:rFonts w:ascii="Arial" w:cs="Arial" w:eastAsia="Arial" w:hAnsi="Arial"/>
          <w:sz w:val="19"/>
          <w:szCs w:val="19"/>
          <w:color w:val="auto"/>
        </w:rPr>
        <w:t>Appendices to that certain Definitive Transaction Framework Agreement, dated as of May 30, 2012 (the “</w:t>
      </w:r>
      <w:r>
        <w:rPr>
          <w:rFonts w:ascii="Arial" w:cs="Arial" w:eastAsia="Arial" w:hAnsi="Arial"/>
          <w:sz w:val="19"/>
          <w:szCs w:val="19"/>
          <w:u w:val="single" w:color="auto"/>
          <w:color w:val="auto"/>
        </w:rPr>
        <w:t>Agreement</w:t>
      </w:r>
      <w:r>
        <w:rPr>
          <w:rFonts w:ascii="Arial" w:cs="Arial" w:eastAsia="Arial" w:hAnsi="Arial"/>
          <w:sz w:val="19"/>
          <w:szCs w:val="19"/>
          <w:color w:val="auto"/>
        </w:rPr>
        <w:t>”), by and among The Prudential Insurance Company of America, a New Jersey life insurance company (the “</w:t>
      </w:r>
      <w:r>
        <w:rPr>
          <w:rFonts w:ascii="Arial" w:cs="Arial" w:eastAsia="Arial" w:hAnsi="Arial"/>
          <w:sz w:val="19"/>
          <w:szCs w:val="19"/>
          <w:u w:val="single" w:color="auto"/>
          <w:color w:val="auto"/>
        </w:rPr>
        <w:t>Insurer</w:t>
      </w:r>
      <w:r>
        <w:rPr>
          <w:rFonts w:ascii="Arial" w:cs="Arial" w:eastAsia="Arial" w:hAnsi="Arial"/>
          <w:sz w:val="19"/>
          <w:szCs w:val="19"/>
          <w:color w:val="auto"/>
        </w:rPr>
        <w:t>”), Prudential Financial, Inc., a New Jersey corporation (“</w:t>
      </w:r>
      <w:r>
        <w:rPr>
          <w:rFonts w:ascii="Arial" w:cs="Arial" w:eastAsia="Arial" w:hAnsi="Arial"/>
          <w:sz w:val="19"/>
          <w:szCs w:val="19"/>
          <w:u w:val="single" w:color="auto"/>
          <w:color w:val="auto"/>
        </w:rPr>
        <w:t>Insurer Parent</w:t>
      </w:r>
      <w:r>
        <w:rPr>
          <w:rFonts w:ascii="Arial" w:cs="Arial" w:eastAsia="Arial" w:hAnsi="Arial"/>
          <w:sz w:val="19"/>
          <w:szCs w:val="19"/>
          <w:color w:val="auto"/>
        </w:rPr>
        <w:t>”), General Motors LLC, a Delaware limited liability company (the “</w:t>
      </w:r>
      <w:r>
        <w:rPr>
          <w:rFonts w:ascii="Arial" w:cs="Arial" w:eastAsia="Arial" w:hAnsi="Arial"/>
          <w:sz w:val="19"/>
          <w:szCs w:val="19"/>
          <w:u w:val="single" w:color="auto"/>
          <w:color w:val="auto"/>
        </w:rPr>
        <w:t>Company</w:t>
      </w:r>
      <w:r>
        <w:rPr>
          <w:rFonts w:ascii="Arial" w:cs="Arial" w:eastAsia="Arial" w:hAnsi="Arial"/>
          <w:sz w:val="19"/>
          <w:szCs w:val="19"/>
          <w:color w:val="auto"/>
        </w:rPr>
        <w:t>”) acting in a non-fiduciary capacity as the sponsor of the General Motors Retirement Program for Salaried Employees (the “</w:t>
      </w:r>
      <w:r>
        <w:rPr>
          <w:rFonts w:ascii="Arial" w:cs="Arial" w:eastAsia="Arial" w:hAnsi="Arial"/>
          <w:sz w:val="19"/>
          <w:szCs w:val="19"/>
          <w:u w:val="single" w:color="auto"/>
          <w:color w:val="auto"/>
        </w:rPr>
        <w:t>Plan</w:t>
      </w:r>
      <w:r>
        <w:rPr>
          <w:rFonts w:ascii="Arial" w:cs="Arial" w:eastAsia="Arial" w:hAnsi="Arial"/>
          <w:sz w:val="19"/>
          <w:szCs w:val="19"/>
          <w:color w:val="auto"/>
        </w:rPr>
        <w:t>”), and State Street Bank and Trust Company the independent fiduciary of the Plan (the “</w:t>
      </w:r>
      <w:r>
        <w:rPr>
          <w:rFonts w:ascii="Arial" w:cs="Arial" w:eastAsia="Arial" w:hAnsi="Arial"/>
          <w:sz w:val="19"/>
          <w:szCs w:val="19"/>
          <w:u w:val="single" w:color="auto"/>
          <w:color w:val="auto"/>
        </w:rPr>
        <w:t>Independent Fiduciary</w:t>
      </w:r>
      <w:r>
        <w:rPr>
          <w:rFonts w:ascii="Arial" w:cs="Arial" w:eastAsia="Arial" w:hAnsi="Arial"/>
          <w:sz w:val="19"/>
          <w:szCs w:val="19"/>
          <w:color w:val="auto"/>
        </w:rPr>
        <w:t>”). Capitalized terms used herein and not herein defined shall derive their meaning from Section 1.1 of the Agreement.</w:t>
      </w:r>
    </w:p>
    <w:p>
      <w:pPr>
        <w:spacing w:after="0" w:line="379" w:lineRule="exact"/>
        <w:rPr>
          <w:sz w:val="20"/>
          <w:szCs w:val="20"/>
          <w:color w:val="auto"/>
        </w:rPr>
      </w:pPr>
    </w:p>
    <w:p>
      <w:pPr>
        <w:jc w:val="center"/>
        <w:ind w:right="-299"/>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140"/>
          </w:cols>
          <w:pgMar w:left="240" w:top="1440" w:right="519" w:bottom="1440" w:gutter="0" w:footer="0" w:header="0"/>
        </w:sectPr>
      </w:pPr>
    </w:p>
    <w:bookmarkStart w:id="81" w:name="page82"/>
    <w:bookmarkEnd w:id="81"/>
    <w:p>
      <w:pPr>
        <w:spacing w:after="0" w:line="10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Appendix 1.1-A</w:t>
      </w:r>
    </w:p>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FORM OF GROUP ANNUITY CONTRACT</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Appendix 1.1A - 1</w:t>
      </w:r>
    </w:p>
    <w:p>
      <w:pPr>
        <w:sectPr>
          <w:pgSz w:w="11900" w:h="16838" w:orient="portrait"/>
          <w:cols w:equalWidth="0" w:num="1">
            <w:col w:w="9019"/>
          </w:cols>
          <w:pgMar w:left="1440" w:top="1440" w:right="1440" w:bottom="1440" w:gutter="0" w:footer="0" w:header="0"/>
        </w:sectPr>
      </w:pPr>
    </w:p>
    <w:bookmarkStart w:id="82" w:name="page83"/>
    <w:bookmarkEnd w:id="82"/>
    <w:p>
      <w:pPr>
        <w:spacing w:after="0"/>
        <w:rPr>
          <w:sz w:val="20"/>
          <w:szCs w:val="20"/>
          <w:color w:val="auto"/>
        </w:rPr>
      </w:pPr>
      <w:r>
        <w:rPr>
          <w:rFonts w:ascii="Arial" w:cs="Arial" w:eastAsia="Arial" w:hAnsi="Arial"/>
          <w:sz w:val="33"/>
          <w:szCs w:val="33"/>
          <w:color w:val="auto"/>
        </w:rPr>
        <w:t>[Prudential Logo]</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100"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80" w:type="dxa"/>
            <w:vAlign w:val="bottom"/>
            <w:gridSpan w:val="2"/>
          </w:tcPr>
          <w:p>
            <w:pPr>
              <w:jc w:val="right"/>
              <w:spacing w:after="0"/>
              <w:rPr>
                <w:sz w:val="20"/>
                <w:szCs w:val="20"/>
                <w:color w:val="auto"/>
              </w:rPr>
            </w:pPr>
            <w:r>
              <w:rPr>
                <w:rFonts w:ascii="Arial" w:cs="Arial" w:eastAsia="Arial" w:hAnsi="Arial"/>
                <w:sz w:val="18"/>
                <w:szCs w:val="18"/>
                <w:b w:val="1"/>
                <w:bCs w:val="1"/>
                <w:color w:val="auto"/>
              </w:rPr>
              <w:t>The Prudential Insurance Company of America</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80" w:type="dxa"/>
            <w:vAlign w:val="bottom"/>
            <w:gridSpan w:val="2"/>
          </w:tcPr>
          <w:p>
            <w:pPr>
              <w:jc w:val="right"/>
              <w:spacing w:after="0"/>
              <w:rPr>
                <w:sz w:val="20"/>
                <w:szCs w:val="20"/>
                <w:color w:val="auto"/>
              </w:rPr>
            </w:pPr>
            <w:r>
              <w:rPr>
                <w:rFonts w:ascii="Arial" w:cs="Arial" w:eastAsia="Arial" w:hAnsi="Arial"/>
                <w:sz w:val="18"/>
                <w:szCs w:val="18"/>
                <w:color w:val="auto"/>
              </w:rPr>
              <w:t>Newark, New Jersey</w:t>
            </w:r>
          </w:p>
        </w:tc>
        <w:tc>
          <w:tcPr>
            <w:tcW w:w="0" w:type="dxa"/>
            <w:vAlign w:val="bottom"/>
          </w:tcPr>
          <w:p>
            <w:pPr>
              <w:spacing w:after="0"/>
              <w:rPr>
                <w:sz w:val="1"/>
                <w:szCs w:val="1"/>
                <w:color w:val="auto"/>
              </w:rPr>
            </w:pPr>
          </w:p>
        </w:tc>
      </w:tr>
      <w:tr>
        <w:trPr>
          <w:trHeight w:val="522"/>
        </w:trPr>
        <w:tc>
          <w:tcPr>
            <w:tcW w:w="20" w:type="dxa"/>
            <w:vAlign w:val="bottom"/>
          </w:tcPr>
          <w:p>
            <w:pPr>
              <w:spacing w:after="0"/>
              <w:rPr>
                <w:sz w:val="24"/>
                <w:szCs w:val="24"/>
                <w:color w:val="auto"/>
              </w:rPr>
            </w:pPr>
          </w:p>
        </w:tc>
        <w:tc>
          <w:tcPr>
            <w:tcW w:w="5600" w:type="dxa"/>
            <w:vAlign w:val="bottom"/>
            <w:vMerge w:val="restart"/>
          </w:tcPr>
          <w:p>
            <w:pPr>
              <w:ind w:left="20"/>
              <w:spacing w:after="0"/>
              <w:rPr>
                <w:sz w:val="20"/>
                <w:szCs w:val="20"/>
                <w:color w:val="auto"/>
              </w:rPr>
            </w:pPr>
            <w:r>
              <w:rPr>
                <w:rFonts w:ascii="Arial" w:cs="Arial" w:eastAsia="Arial" w:hAnsi="Arial"/>
                <w:sz w:val="18"/>
                <w:szCs w:val="18"/>
                <w:color w:val="auto"/>
              </w:rPr>
              <w:t>Contract-Holder:</w:t>
            </w:r>
          </w:p>
        </w:tc>
        <w:tc>
          <w:tcPr>
            <w:tcW w:w="20" w:type="dxa"/>
            <w:vAlign w:val="bottom"/>
          </w:tcPr>
          <w:p>
            <w:pPr>
              <w:spacing w:after="0"/>
              <w:rPr>
                <w:sz w:val="24"/>
                <w:szCs w:val="24"/>
                <w:color w:val="auto"/>
              </w:rPr>
            </w:pPr>
          </w:p>
        </w:tc>
        <w:tc>
          <w:tcPr>
            <w:tcW w:w="5680" w:type="dxa"/>
            <w:vAlign w:val="bottom"/>
            <w:gridSpan w:val="2"/>
            <w:vMerge w:val="restart"/>
          </w:tcPr>
          <w:p>
            <w:pPr>
              <w:ind w:left="60"/>
              <w:spacing w:after="0"/>
              <w:rPr>
                <w:sz w:val="20"/>
                <w:szCs w:val="20"/>
                <w:color w:val="auto"/>
              </w:rPr>
            </w:pPr>
            <w:r>
              <w:rPr>
                <w:rFonts w:ascii="Arial" w:cs="Arial" w:eastAsia="Arial" w:hAnsi="Arial"/>
                <w:sz w:val="18"/>
                <w:szCs w:val="18"/>
                <w:color w:val="auto"/>
              </w:rPr>
              <w:t>Plan:</w:t>
            </w:r>
          </w:p>
        </w:tc>
        <w:tc>
          <w:tcPr>
            <w:tcW w:w="0" w:type="dxa"/>
            <w:vAlign w:val="bottom"/>
          </w:tcPr>
          <w:p>
            <w:pPr>
              <w:spacing w:after="0"/>
              <w:rPr>
                <w:sz w:val="1"/>
                <w:szCs w:val="1"/>
                <w:color w:val="auto"/>
              </w:rPr>
            </w:pPr>
          </w:p>
        </w:tc>
      </w:tr>
      <w:tr>
        <w:trPr>
          <w:trHeight w:val="242"/>
        </w:trPr>
        <w:tc>
          <w:tcPr>
            <w:tcW w:w="20" w:type="dxa"/>
            <w:vAlign w:val="bottom"/>
            <w:shd w:val="clear" w:color="auto" w:fill="000000"/>
          </w:tcPr>
          <w:p>
            <w:pPr>
              <w:spacing w:after="0"/>
              <w:rPr>
                <w:sz w:val="21"/>
                <w:szCs w:val="21"/>
                <w:color w:val="auto"/>
              </w:rPr>
            </w:pPr>
          </w:p>
        </w:tc>
        <w:tc>
          <w:tcPr>
            <w:tcW w:w="5600" w:type="dxa"/>
            <w:vAlign w:val="bottom"/>
            <w:vMerge w:val="continue"/>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568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shd w:val="clear" w:color="auto" w:fill="000000"/>
          </w:tcPr>
          <w:p>
            <w:pPr>
              <w:spacing w:after="0"/>
              <w:rPr>
                <w:sz w:val="18"/>
                <w:szCs w:val="18"/>
                <w:color w:val="auto"/>
              </w:rPr>
            </w:pPr>
          </w:p>
        </w:tc>
        <w:tc>
          <w:tcPr>
            <w:tcW w:w="5600" w:type="dxa"/>
            <w:vAlign w:val="bottom"/>
            <w:vMerge w:val="restart"/>
          </w:tcPr>
          <w:p>
            <w:pPr>
              <w:ind w:left="20"/>
              <w:spacing w:after="0"/>
              <w:rPr>
                <w:sz w:val="20"/>
                <w:szCs w:val="20"/>
                <w:color w:val="auto"/>
              </w:rPr>
            </w:pPr>
            <w:r>
              <w:rPr>
                <w:rFonts w:ascii="Arial" w:cs="Arial" w:eastAsia="Arial" w:hAnsi="Arial"/>
                <w:sz w:val="18"/>
                <w:szCs w:val="18"/>
                <w:color w:val="auto"/>
              </w:rPr>
              <w:t>[NAME OF TRUST BANK, as Directed Trustee of the Vita Salaried</w:t>
            </w:r>
          </w:p>
        </w:tc>
        <w:tc>
          <w:tcPr>
            <w:tcW w:w="20" w:type="dxa"/>
            <w:vAlign w:val="bottom"/>
            <w:shd w:val="clear" w:color="auto" w:fill="000000"/>
          </w:tcPr>
          <w:p>
            <w:pPr>
              <w:spacing w:after="0"/>
              <w:rPr>
                <w:sz w:val="18"/>
                <w:szCs w:val="18"/>
                <w:color w:val="auto"/>
              </w:rPr>
            </w:pPr>
          </w:p>
        </w:tc>
        <w:tc>
          <w:tcPr>
            <w:tcW w:w="56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20" w:type="dxa"/>
            <w:vAlign w:val="bottom"/>
            <w:shd w:val="clear" w:color="auto" w:fill="000000"/>
          </w:tcPr>
          <w:p>
            <w:pPr>
              <w:spacing w:after="0"/>
              <w:rPr>
                <w:sz w:val="15"/>
                <w:szCs w:val="15"/>
                <w:color w:val="auto"/>
              </w:rPr>
            </w:pPr>
          </w:p>
        </w:tc>
        <w:tc>
          <w:tcPr>
            <w:tcW w:w="5600" w:type="dxa"/>
            <w:vAlign w:val="bottom"/>
            <w:vMerge w:val="continue"/>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5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shd w:val="clear" w:color="auto" w:fill="000000"/>
          </w:tcPr>
          <w:p>
            <w:pPr>
              <w:spacing w:after="0"/>
              <w:rPr>
                <w:sz w:val="24"/>
                <w:szCs w:val="24"/>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Retirement Trust, a New York trust]</w:t>
            </w:r>
            <w:r>
              <w:rPr>
                <w:rFonts w:ascii="Arial" w:cs="Arial" w:eastAsia="Arial" w:hAnsi="Arial"/>
                <w:sz w:val="23"/>
                <w:szCs w:val="23"/>
                <w:color w:val="auto"/>
                <w:vertAlign w:val="superscript"/>
              </w:rPr>
              <w:t>A</w:t>
            </w:r>
          </w:p>
        </w:tc>
        <w:tc>
          <w:tcPr>
            <w:tcW w:w="20" w:type="dxa"/>
            <w:vAlign w:val="bottom"/>
            <w:shd w:val="clear" w:color="auto" w:fill="000000"/>
          </w:tcPr>
          <w:p>
            <w:pPr>
              <w:spacing w:after="0"/>
              <w:rPr>
                <w:sz w:val="24"/>
                <w:szCs w:val="24"/>
                <w:color w:val="auto"/>
              </w:rPr>
            </w:pPr>
          </w:p>
        </w:tc>
        <w:tc>
          <w:tcPr>
            <w:tcW w:w="5680" w:type="dxa"/>
            <w:vAlign w:val="bottom"/>
            <w:gridSpan w:val="2"/>
          </w:tcPr>
          <w:p>
            <w:pPr>
              <w:ind w:left="20"/>
              <w:spacing w:after="0"/>
              <w:rPr>
                <w:sz w:val="20"/>
                <w:szCs w:val="20"/>
                <w:color w:val="auto"/>
              </w:rPr>
            </w:pPr>
            <w:r>
              <w:rPr>
                <w:rFonts w:ascii="Arial" w:cs="Arial" w:eastAsia="Arial" w:hAnsi="Arial"/>
                <w:sz w:val="18"/>
                <w:szCs w:val="18"/>
                <w:color w:val="auto"/>
              </w:rPr>
              <w:t>[Vita]</w:t>
            </w:r>
            <w:r>
              <w:rPr>
                <w:rFonts w:ascii="Arial" w:cs="Arial" w:eastAsia="Arial" w:hAnsi="Arial"/>
                <w:sz w:val="23"/>
                <w:szCs w:val="23"/>
                <w:color w:val="auto"/>
                <w:vertAlign w:val="superscript"/>
              </w:rPr>
              <w:t>A</w:t>
            </w:r>
            <w:r>
              <w:rPr>
                <w:rFonts w:ascii="Arial" w:cs="Arial" w:eastAsia="Arial" w:hAnsi="Arial"/>
                <w:sz w:val="18"/>
                <w:szCs w:val="18"/>
                <w:color w:val="auto"/>
              </w:rPr>
              <w:t xml:space="preserve"> Salaried Retirement Plan</w:t>
            </w:r>
          </w:p>
        </w:tc>
        <w:tc>
          <w:tcPr>
            <w:tcW w:w="0" w:type="dxa"/>
            <w:vAlign w:val="bottom"/>
          </w:tcPr>
          <w:p>
            <w:pPr>
              <w:spacing w:after="0"/>
              <w:rPr>
                <w:sz w:val="1"/>
                <w:szCs w:val="1"/>
                <w:color w:val="auto"/>
              </w:rPr>
            </w:pPr>
          </w:p>
        </w:tc>
      </w:tr>
      <w:tr>
        <w:trPr>
          <w:trHeight w:val="148"/>
        </w:trPr>
        <w:tc>
          <w:tcPr>
            <w:tcW w:w="20" w:type="dxa"/>
            <w:vAlign w:val="bottom"/>
            <w:tcBorders>
              <w:bottom w:val="single" w:sz="8" w:color="auto"/>
            </w:tcBorders>
            <w:shd w:val="clear" w:color="auto" w:fill="000000"/>
          </w:tcPr>
          <w:p>
            <w:pPr>
              <w:spacing w:after="0"/>
              <w:rPr>
                <w:sz w:val="12"/>
                <w:szCs w:val="12"/>
                <w:color w:val="auto"/>
              </w:rPr>
            </w:pPr>
          </w:p>
        </w:tc>
        <w:tc>
          <w:tcPr>
            <w:tcW w:w="56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shd w:val="clear" w:color="auto" w:fill="000000"/>
          </w:tcPr>
          <w:p>
            <w:pPr>
              <w:spacing w:after="0"/>
              <w:rPr>
                <w:sz w:val="12"/>
                <w:szCs w:val="12"/>
                <w:color w:val="auto"/>
              </w:rPr>
            </w:pPr>
          </w:p>
        </w:tc>
        <w:tc>
          <w:tcPr>
            <w:tcW w:w="56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35"/>
        </w:trPr>
        <w:tc>
          <w:tcPr>
            <w:tcW w:w="20" w:type="dxa"/>
            <w:vAlign w:val="bottom"/>
            <w:shd w:val="clear" w:color="auto" w:fill="000000"/>
          </w:tcPr>
          <w:p>
            <w:pPr>
              <w:spacing w:after="0"/>
              <w:rPr>
                <w:sz w:val="24"/>
                <w:szCs w:val="24"/>
                <w:color w:val="auto"/>
              </w:rPr>
            </w:pPr>
          </w:p>
        </w:tc>
        <w:tc>
          <w:tcPr>
            <w:tcW w:w="5600" w:type="dxa"/>
            <w:vAlign w:val="bottom"/>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5680" w:type="dxa"/>
            <w:vAlign w:val="bottom"/>
            <w:gridSpan w:val="2"/>
          </w:tcPr>
          <w:p>
            <w:pPr>
              <w:ind w:left="20"/>
              <w:spacing w:after="0"/>
              <w:rPr>
                <w:sz w:val="20"/>
                <w:szCs w:val="20"/>
                <w:color w:val="auto"/>
              </w:rPr>
            </w:pPr>
            <w:r>
              <w:rPr>
                <w:rFonts w:ascii="Arial" w:cs="Arial" w:eastAsia="Arial" w:hAnsi="Arial"/>
                <w:sz w:val="18"/>
                <w:szCs w:val="18"/>
                <w:color w:val="auto"/>
              </w:rPr>
              <w:t>Jurisdiction:</w:t>
            </w:r>
          </w:p>
        </w:tc>
        <w:tc>
          <w:tcPr>
            <w:tcW w:w="0" w:type="dxa"/>
            <w:vAlign w:val="bottom"/>
          </w:tcPr>
          <w:p>
            <w:pPr>
              <w:spacing w:after="0"/>
              <w:rPr>
                <w:sz w:val="1"/>
                <w:szCs w:val="1"/>
                <w:color w:val="auto"/>
              </w:rPr>
            </w:pPr>
          </w:p>
        </w:tc>
      </w:tr>
      <w:tr>
        <w:trPr>
          <w:trHeight w:val="413"/>
        </w:trPr>
        <w:tc>
          <w:tcPr>
            <w:tcW w:w="20" w:type="dxa"/>
            <w:vAlign w:val="bottom"/>
            <w:shd w:val="clear" w:color="auto" w:fill="000000"/>
          </w:tcPr>
          <w:p>
            <w:pPr>
              <w:spacing w:after="0"/>
              <w:rPr>
                <w:sz w:val="24"/>
                <w:szCs w:val="24"/>
                <w:color w:val="auto"/>
              </w:rPr>
            </w:pPr>
          </w:p>
        </w:tc>
        <w:tc>
          <w:tcPr>
            <w:tcW w:w="5600" w:type="dxa"/>
            <w:vAlign w:val="bottom"/>
            <w:vMerge w:val="restart"/>
          </w:tcPr>
          <w:p>
            <w:pPr>
              <w:ind w:left="20"/>
              <w:spacing w:after="0"/>
              <w:rPr>
                <w:sz w:val="20"/>
                <w:szCs w:val="20"/>
                <w:color w:val="auto"/>
              </w:rPr>
            </w:pPr>
            <w:r>
              <w:rPr>
                <w:rFonts w:ascii="Arial" w:cs="Arial" w:eastAsia="Arial" w:hAnsi="Arial"/>
                <w:sz w:val="18"/>
                <w:szCs w:val="18"/>
                <w:color w:val="auto"/>
              </w:rPr>
              <w:t>[ *** ]</w:t>
            </w:r>
          </w:p>
        </w:tc>
        <w:tc>
          <w:tcPr>
            <w:tcW w:w="20" w:type="dxa"/>
            <w:vAlign w:val="bottom"/>
            <w:shd w:val="clear" w:color="auto" w:fill="000000"/>
          </w:tcPr>
          <w:p>
            <w:pPr>
              <w:spacing w:after="0"/>
              <w:rPr>
                <w:sz w:val="24"/>
                <w:szCs w:val="24"/>
                <w:color w:val="auto"/>
              </w:rPr>
            </w:pPr>
          </w:p>
        </w:tc>
        <w:tc>
          <w:tcPr>
            <w:tcW w:w="5680" w:type="dxa"/>
            <w:vAlign w:val="bottom"/>
            <w:gridSpan w:val="2"/>
          </w:tcPr>
          <w:p>
            <w:pPr>
              <w:ind w:left="20"/>
              <w:spacing w:after="0"/>
              <w:rPr>
                <w:sz w:val="20"/>
                <w:szCs w:val="20"/>
                <w:color w:val="auto"/>
              </w:rPr>
            </w:pPr>
            <w:r>
              <w:rPr>
                <w:rFonts w:ascii="Arial" w:cs="Arial" w:eastAsia="Arial" w:hAnsi="Arial"/>
                <w:sz w:val="18"/>
                <w:szCs w:val="18"/>
                <w:color w:val="auto"/>
              </w:rPr>
              <w:t>New York</w:t>
            </w:r>
          </w:p>
        </w:tc>
        <w:tc>
          <w:tcPr>
            <w:tcW w:w="0" w:type="dxa"/>
            <w:vAlign w:val="bottom"/>
          </w:tcPr>
          <w:p>
            <w:pPr>
              <w:spacing w:after="0"/>
              <w:rPr>
                <w:sz w:val="1"/>
                <w:szCs w:val="1"/>
                <w:color w:val="auto"/>
              </w:rPr>
            </w:pPr>
          </w:p>
        </w:tc>
      </w:tr>
      <w:tr>
        <w:trPr>
          <w:trHeight w:val="200"/>
        </w:trPr>
        <w:tc>
          <w:tcPr>
            <w:tcW w:w="20" w:type="dxa"/>
            <w:vAlign w:val="bottom"/>
            <w:shd w:val="clear" w:color="auto" w:fill="000000"/>
          </w:tcPr>
          <w:p>
            <w:pPr>
              <w:spacing w:after="0"/>
              <w:rPr>
                <w:sz w:val="17"/>
                <w:szCs w:val="17"/>
                <w:color w:val="auto"/>
              </w:rPr>
            </w:pPr>
          </w:p>
        </w:tc>
        <w:tc>
          <w:tcPr>
            <w:tcW w:w="5600" w:type="dxa"/>
            <w:vAlign w:val="bottom"/>
            <w:vMerge w:val="continue"/>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5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auto"/>
            </w:tcBorders>
            <w:shd w:val="clear" w:color="auto" w:fill="000000"/>
          </w:tcPr>
          <w:p>
            <w:pPr>
              <w:spacing w:after="0" w:line="20" w:lineRule="exact"/>
              <w:rPr>
                <w:sz w:val="1"/>
                <w:szCs w:val="1"/>
                <w:color w:val="auto"/>
              </w:rPr>
            </w:pPr>
          </w:p>
        </w:tc>
        <w:tc>
          <w:tcPr>
            <w:tcW w:w="5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c>
          <w:tcPr>
            <w:tcW w:w="5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5"/>
        </w:trPr>
        <w:tc>
          <w:tcPr>
            <w:tcW w:w="20" w:type="dxa"/>
            <w:vAlign w:val="bottom"/>
            <w:shd w:val="clear" w:color="auto" w:fill="000000"/>
          </w:tcPr>
          <w:p>
            <w:pPr>
              <w:spacing w:after="0"/>
              <w:rPr>
                <w:sz w:val="24"/>
                <w:szCs w:val="24"/>
                <w:color w:val="auto"/>
              </w:rPr>
            </w:pPr>
          </w:p>
        </w:tc>
        <w:tc>
          <w:tcPr>
            <w:tcW w:w="5600" w:type="dxa"/>
            <w:vAlign w:val="bottom"/>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5680" w:type="dxa"/>
            <w:vAlign w:val="bottom"/>
            <w:gridSpan w:val="2"/>
          </w:tcPr>
          <w:p>
            <w:pPr>
              <w:ind w:left="20"/>
              <w:spacing w:after="0"/>
              <w:rPr>
                <w:sz w:val="20"/>
                <w:szCs w:val="20"/>
                <w:color w:val="auto"/>
              </w:rPr>
            </w:pPr>
            <w:r>
              <w:rPr>
                <w:rFonts w:ascii="Arial" w:cs="Arial" w:eastAsia="Arial" w:hAnsi="Arial"/>
                <w:sz w:val="18"/>
                <w:szCs w:val="18"/>
                <w:color w:val="auto"/>
              </w:rPr>
              <w:t>Total Contribution Amount:</w:t>
            </w:r>
          </w:p>
        </w:tc>
        <w:tc>
          <w:tcPr>
            <w:tcW w:w="0" w:type="dxa"/>
            <w:vAlign w:val="bottom"/>
          </w:tcPr>
          <w:p>
            <w:pPr>
              <w:spacing w:after="0"/>
              <w:rPr>
                <w:sz w:val="1"/>
                <w:szCs w:val="1"/>
                <w:color w:val="auto"/>
              </w:rPr>
            </w:pPr>
          </w:p>
        </w:tc>
      </w:tr>
      <w:tr>
        <w:trPr>
          <w:trHeight w:val="487"/>
        </w:trPr>
        <w:tc>
          <w:tcPr>
            <w:tcW w:w="20" w:type="dxa"/>
            <w:vAlign w:val="bottom"/>
            <w:shd w:val="clear" w:color="auto" w:fill="000000"/>
          </w:tcPr>
          <w:p>
            <w:pPr>
              <w:spacing w:after="0"/>
              <w:rPr>
                <w:sz w:val="24"/>
                <w:szCs w:val="24"/>
                <w:color w:val="auto"/>
              </w:rPr>
            </w:pPr>
          </w:p>
        </w:tc>
        <w:tc>
          <w:tcPr>
            <w:tcW w:w="5600" w:type="dxa"/>
            <w:vAlign w:val="bottom"/>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5680" w:type="dxa"/>
            <w:vAlign w:val="bottom"/>
            <w:gridSpan w:val="2"/>
          </w:tcPr>
          <w:p>
            <w:pPr>
              <w:ind w:left="20"/>
              <w:spacing w:after="0"/>
              <w:rPr>
                <w:sz w:val="20"/>
                <w:szCs w:val="20"/>
                <w:color w:val="auto"/>
              </w:rPr>
            </w:pPr>
            <w:r>
              <w:rPr>
                <w:rFonts w:ascii="Arial" w:cs="Arial" w:eastAsia="Arial" w:hAnsi="Arial"/>
                <w:sz w:val="18"/>
                <w:szCs w:val="18"/>
                <w:color w:val="auto"/>
              </w:rPr>
              <w:t>[$XXX,XXX]</w:t>
            </w:r>
            <w:r>
              <w:rPr>
                <w:rFonts w:ascii="Arial" w:cs="Arial" w:eastAsia="Arial" w:hAnsi="Arial"/>
                <w:sz w:val="23"/>
                <w:szCs w:val="23"/>
                <w:color w:val="auto"/>
                <w:vertAlign w:val="superscript"/>
              </w:rPr>
              <w:t>A</w:t>
            </w:r>
          </w:p>
        </w:tc>
        <w:tc>
          <w:tcPr>
            <w:tcW w:w="0" w:type="dxa"/>
            <w:vAlign w:val="bottom"/>
          </w:tcPr>
          <w:p>
            <w:pPr>
              <w:spacing w:after="0"/>
              <w:rPr>
                <w:sz w:val="1"/>
                <w:szCs w:val="1"/>
                <w:color w:val="auto"/>
              </w:rPr>
            </w:pPr>
          </w:p>
        </w:tc>
      </w:tr>
      <w:tr>
        <w:trPr>
          <w:trHeight w:val="340"/>
        </w:trPr>
        <w:tc>
          <w:tcPr>
            <w:tcW w:w="20" w:type="dxa"/>
            <w:vAlign w:val="bottom"/>
            <w:shd w:val="clear" w:color="auto" w:fill="000000"/>
          </w:tcPr>
          <w:p>
            <w:pPr>
              <w:spacing w:after="0"/>
              <w:rPr>
                <w:sz w:val="24"/>
                <w:szCs w:val="24"/>
                <w:color w:val="auto"/>
              </w:rPr>
            </w:pPr>
          </w:p>
        </w:tc>
        <w:tc>
          <w:tcPr>
            <w:tcW w:w="5600" w:type="dxa"/>
            <w:vAlign w:val="bottom"/>
            <w:vMerge w:val="restart"/>
          </w:tcPr>
          <w:p>
            <w:pPr>
              <w:ind w:left="20"/>
              <w:spacing w:after="0"/>
              <w:rPr>
                <w:sz w:val="20"/>
                <w:szCs w:val="20"/>
                <w:color w:val="auto"/>
              </w:rPr>
            </w:pPr>
            <w:r>
              <w:rPr>
                <w:rFonts w:ascii="Arial" w:cs="Arial" w:eastAsia="Arial" w:hAnsi="Arial"/>
                <w:sz w:val="20"/>
                <w:szCs w:val="20"/>
                <w:color w:val="auto"/>
              </w:rPr>
              <w:t>[Amendment</w:t>
            </w:r>
            <w:r>
              <w:rPr>
                <w:rFonts w:ascii="Arial" w:cs="Arial" w:eastAsia="Arial" w:hAnsi="Arial"/>
                <w:sz w:val="18"/>
                <w:szCs w:val="18"/>
                <w:color w:val="auto"/>
              </w:rPr>
              <w:t>]</w:t>
            </w:r>
            <w:r>
              <w:rPr>
                <w:rFonts w:ascii="Arial" w:cs="Arial" w:eastAsia="Arial" w:hAnsi="Arial"/>
                <w:sz w:val="23"/>
                <w:szCs w:val="23"/>
                <w:color w:val="auto"/>
                <w:vertAlign w:val="superscript"/>
              </w:rPr>
              <w:t>A</w:t>
            </w:r>
            <w:r>
              <w:rPr>
                <w:rFonts w:ascii="Arial" w:cs="Arial" w:eastAsia="Arial" w:hAnsi="Arial"/>
                <w:sz w:val="20"/>
                <w:szCs w:val="20"/>
                <w:color w:val="auto"/>
              </w:rPr>
              <w:t xml:space="preserve"> Date:</w:t>
            </w:r>
          </w:p>
        </w:tc>
        <w:tc>
          <w:tcPr>
            <w:tcW w:w="20" w:type="dxa"/>
            <w:vAlign w:val="bottom"/>
            <w:shd w:val="clear" w:color="auto" w:fill="000000"/>
          </w:tcPr>
          <w:p>
            <w:pPr>
              <w:spacing w:after="0"/>
              <w:rPr>
                <w:sz w:val="24"/>
                <w:szCs w:val="24"/>
                <w:color w:val="auto"/>
              </w:rPr>
            </w:pPr>
          </w:p>
        </w:tc>
        <w:tc>
          <w:tcPr>
            <w:tcW w:w="5680" w:type="dxa"/>
            <w:vAlign w:val="bottom"/>
            <w:gridSpan w:val="2"/>
          </w:tcPr>
          <w:p>
            <w:pPr>
              <w:ind w:left="20"/>
              <w:spacing w:after="0"/>
              <w:rPr>
                <w:sz w:val="20"/>
                <w:szCs w:val="20"/>
                <w:color w:val="auto"/>
              </w:rPr>
            </w:pPr>
            <w:r>
              <w:rPr>
                <w:rFonts w:ascii="Arial" w:cs="Arial" w:eastAsia="Arial" w:hAnsi="Arial"/>
                <w:sz w:val="18"/>
                <w:szCs w:val="18"/>
                <w:color w:val="auto"/>
              </w:rPr>
              <w:t>Adjusted Contribution Amount:</w:t>
            </w:r>
          </w:p>
        </w:tc>
        <w:tc>
          <w:tcPr>
            <w:tcW w:w="0" w:type="dxa"/>
            <w:vAlign w:val="bottom"/>
          </w:tcPr>
          <w:p>
            <w:pPr>
              <w:spacing w:after="0"/>
              <w:rPr>
                <w:sz w:val="1"/>
                <w:szCs w:val="1"/>
                <w:color w:val="auto"/>
              </w:rPr>
            </w:pPr>
          </w:p>
        </w:tc>
      </w:tr>
      <w:tr>
        <w:trPr>
          <w:trHeight w:val="261"/>
        </w:trPr>
        <w:tc>
          <w:tcPr>
            <w:tcW w:w="20" w:type="dxa"/>
            <w:vAlign w:val="bottom"/>
            <w:shd w:val="clear" w:color="auto" w:fill="000000"/>
          </w:tcPr>
          <w:p>
            <w:pPr>
              <w:spacing w:after="0"/>
              <w:rPr>
                <w:sz w:val="22"/>
                <w:szCs w:val="22"/>
                <w:color w:val="auto"/>
              </w:rPr>
            </w:pPr>
          </w:p>
        </w:tc>
        <w:tc>
          <w:tcPr>
            <w:tcW w:w="5600" w:type="dxa"/>
            <w:vAlign w:val="bottom"/>
            <w:vMerge w:val="continue"/>
          </w:tcPr>
          <w:p>
            <w:pPr>
              <w:spacing w:after="0"/>
              <w:rPr>
                <w:sz w:val="22"/>
                <w:szCs w:val="22"/>
                <w:color w:val="auto"/>
              </w:rPr>
            </w:pPr>
          </w:p>
        </w:tc>
        <w:tc>
          <w:tcPr>
            <w:tcW w:w="20" w:type="dxa"/>
            <w:vAlign w:val="bottom"/>
            <w:shd w:val="clear" w:color="auto" w:fill="000000"/>
          </w:tcPr>
          <w:p>
            <w:pPr>
              <w:spacing w:after="0"/>
              <w:rPr>
                <w:sz w:val="22"/>
                <w:szCs w:val="22"/>
                <w:color w:val="auto"/>
              </w:rPr>
            </w:pPr>
          </w:p>
        </w:tc>
        <w:tc>
          <w:tcPr>
            <w:tcW w:w="5680" w:type="dxa"/>
            <w:vAlign w:val="bottom"/>
            <w:gridSpan w:val="2"/>
            <w:vMerge w:val="restart"/>
          </w:tcPr>
          <w:p>
            <w:pPr>
              <w:ind w:left="20"/>
              <w:spacing w:after="0"/>
              <w:rPr>
                <w:sz w:val="20"/>
                <w:szCs w:val="20"/>
                <w:color w:val="auto"/>
              </w:rPr>
            </w:pPr>
            <w:r>
              <w:rPr>
                <w:rFonts w:ascii="Arial" w:cs="Arial" w:eastAsia="Arial" w:hAnsi="Arial"/>
                <w:sz w:val="18"/>
                <w:szCs w:val="18"/>
                <w:color w:val="auto"/>
              </w:rPr>
              <w:t>[$XXX,XXX due to Prudential or Contract-Holder on an Amendment</w:t>
            </w:r>
          </w:p>
        </w:tc>
        <w:tc>
          <w:tcPr>
            <w:tcW w:w="0" w:type="dxa"/>
            <w:vAlign w:val="bottom"/>
          </w:tcPr>
          <w:p>
            <w:pPr>
              <w:spacing w:after="0"/>
              <w:rPr>
                <w:sz w:val="1"/>
                <w:szCs w:val="1"/>
                <w:color w:val="auto"/>
              </w:rPr>
            </w:pPr>
          </w:p>
        </w:tc>
      </w:tr>
      <w:tr>
        <w:trPr>
          <w:trHeight w:val="131"/>
        </w:trPr>
        <w:tc>
          <w:tcPr>
            <w:tcW w:w="20" w:type="dxa"/>
            <w:vAlign w:val="bottom"/>
            <w:shd w:val="clear" w:color="auto" w:fill="000000"/>
          </w:tcPr>
          <w:p>
            <w:pPr>
              <w:spacing w:after="0"/>
              <w:rPr>
                <w:sz w:val="11"/>
                <w:szCs w:val="11"/>
                <w:color w:val="auto"/>
              </w:rPr>
            </w:pPr>
          </w:p>
        </w:tc>
        <w:tc>
          <w:tcPr>
            <w:tcW w:w="5600" w:type="dxa"/>
            <w:vAlign w:val="bottom"/>
            <w:vMerge w:val="restart"/>
          </w:tcPr>
          <w:p>
            <w:pPr>
              <w:ind w:left="20"/>
              <w:spacing w:after="0"/>
              <w:rPr>
                <w:sz w:val="20"/>
                <w:szCs w:val="20"/>
                <w:color w:val="auto"/>
              </w:rPr>
            </w:pPr>
            <w:r>
              <w:rPr>
                <w:rFonts w:ascii="Arial" w:cs="Arial" w:eastAsia="Arial" w:hAnsi="Arial"/>
                <w:sz w:val="20"/>
                <w:szCs w:val="20"/>
                <w:color w:val="auto"/>
              </w:rPr>
              <w:t>[MM DD, YYYY</w:t>
            </w:r>
            <w:r>
              <w:rPr>
                <w:rFonts w:ascii="Arial" w:cs="Arial" w:eastAsia="Arial" w:hAnsi="Arial"/>
                <w:sz w:val="18"/>
                <w:szCs w:val="18"/>
                <w:color w:val="auto"/>
              </w:rPr>
              <w:t>]</w:t>
            </w:r>
            <w:r>
              <w:rPr>
                <w:rFonts w:ascii="Arial" w:cs="Arial" w:eastAsia="Arial" w:hAnsi="Arial"/>
                <w:sz w:val="23"/>
                <w:szCs w:val="23"/>
                <w:color w:val="auto"/>
                <w:vertAlign w:val="superscript"/>
              </w:rPr>
              <w:t>E</w:t>
            </w:r>
          </w:p>
        </w:tc>
        <w:tc>
          <w:tcPr>
            <w:tcW w:w="20" w:type="dxa"/>
            <w:vAlign w:val="bottom"/>
            <w:shd w:val="clear" w:color="auto" w:fill="000000"/>
          </w:tcPr>
          <w:p>
            <w:pPr>
              <w:spacing w:after="0"/>
              <w:rPr>
                <w:sz w:val="11"/>
                <w:szCs w:val="11"/>
                <w:color w:val="auto"/>
              </w:rPr>
            </w:pPr>
          </w:p>
        </w:tc>
        <w:tc>
          <w:tcPr>
            <w:tcW w:w="56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bottom w:val="single" w:sz="8" w:color="auto"/>
            </w:tcBorders>
            <w:shd w:val="clear" w:color="auto" w:fill="000000"/>
          </w:tcPr>
          <w:p>
            <w:pPr>
              <w:spacing w:after="0"/>
              <w:rPr>
                <w:sz w:val="22"/>
                <w:szCs w:val="22"/>
                <w:color w:val="auto"/>
              </w:rPr>
            </w:pPr>
          </w:p>
        </w:tc>
        <w:tc>
          <w:tcPr>
            <w:tcW w:w="5600" w:type="dxa"/>
            <w:vAlign w:val="bottom"/>
            <w:tcBorders>
              <w:bottom w:val="single" w:sz="8" w:color="auto"/>
            </w:tcBorders>
            <w:vMerge w:val="continue"/>
          </w:tcPr>
          <w:p>
            <w:pPr>
              <w:spacing w:after="0"/>
              <w:rPr>
                <w:sz w:val="22"/>
                <w:szCs w:val="22"/>
                <w:color w:val="auto"/>
              </w:rPr>
            </w:pPr>
          </w:p>
        </w:tc>
        <w:tc>
          <w:tcPr>
            <w:tcW w:w="20" w:type="dxa"/>
            <w:vAlign w:val="bottom"/>
            <w:tcBorders>
              <w:bottom w:val="single" w:sz="8" w:color="auto"/>
            </w:tcBorders>
            <w:shd w:val="clear" w:color="auto" w:fill="000000"/>
          </w:tcPr>
          <w:p>
            <w:pPr>
              <w:spacing w:after="0"/>
              <w:rPr>
                <w:sz w:val="22"/>
                <w:szCs w:val="22"/>
                <w:color w:val="auto"/>
              </w:rPr>
            </w:pPr>
          </w:p>
        </w:tc>
        <w:tc>
          <w:tcPr>
            <w:tcW w:w="5600" w:type="dxa"/>
            <w:vAlign w:val="bottom"/>
            <w:tcBorders>
              <w:bottom w:val="single" w:sz="8" w:color="auto"/>
            </w:tcBorders>
          </w:tcPr>
          <w:p>
            <w:pPr>
              <w:ind w:left="20"/>
              <w:spacing w:after="0" w:line="255" w:lineRule="exact"/>
              <w:rPr>
                <w:sz w:val="20"/>
                <w:szCs w:val="20"/>
                <w:color w:val="auto"/>
              </w:rPr>
            </w:pPr>
            <w:r>
              <w:rPr>
                <w:rFonts w:ascii="Arial" w:cs="Arial" w:eastAsia="Arial" w:hAnsi="Arial"/>
                <w:sz w:val="18"/>
                <w:szCs w:val="18"/>
                <w:color w:val="auto"/>
              </w:rPr>
              <w:t>Date]</w:t>
            </w:r>
            <w:r>
              <w:rPr>
                <w:rFonts w:ascii="Arial" w:cs="Arial" w:eastAsia="Arial" w:hAnsi="Arial"/>
                <w:sz w:val="23"/>
                <w:szCs w:val="23"/>
                <w:color w:val="auto"/>
                <w:vertAlign w:val="superscript"/>
              </w:rPr>
              <w:t>A</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56"/>
        </w:trPr>
        <w:tc>
          <w:tcPr>
            <w:tcW w:w="20" w:type="dxa"/>
            <w:vAlign w:val="bottom"/>
            <w:tcBorders>
              <w:bottom w:val="single" w:sz="8" w:color="auto"/>
            </w:tcBorders>
            <w:shd w:val="clear" w:color="auto" w:fill="000000"/>
          </w:tcPr>
          <w:p>
            <w:pPr>
              <w:spacing w:after="0"/>
              <w:rPr>
                <w:sz w:val="24"/>
                <w:szCs w:val="24"/>
                <w:color w:val="auto"/>
              </w:rPr>
            </w:pPr>
          </w:p>
        </w:tc>
        <w:tc>
          <w:tcPr>
            <w:tcW w:w="1122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Pages Attached: [1-XX, Transferred Assets Exhibit(s) and Annuity Exhibit(s)]</w:t>
            </w:r>
            <w:r>
              <w:rPr>
                <w:rFonts w:ascii="Arial" w:cs="Arial" w:eastAsia="Arial" w:hAnsi="Arial"/>
                <w:sz w:val="23"/>
                <w:szCs w:val="23"/>
                <w:color w:val="auto"/>
                <w:vertAlign w:val="superscript"/>
              </w:rPr>
              <w:t>A</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9"/>
        </w:trPr>
        <w:tc>
          <w:tcPr>
            <w:tcW w:w="2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80" w:type="dxa"/>
            <w:vAlign w:val="bottom"/>
            <w:gridSpan w:val="2"/>
          </w:tcPr>
          <w:p>
            <w:pPr>
              <w:ind w:left="40"/>
              <w:spacing w:after="0"/>
              <w:rPr>
                <w:sz w:val="20"/>
                <w:szCs w:val="20"/>
                <w:color w:val="auto"/>
              </w:rPr>
            </w:pPr>
            <w:r>
              <w:rPr>
                <w:rFonts w:ascii="Arial" w:cs="Arial" w:eastAsia="Arial" w:hAnsi="Arial"/>
                <w:sz w:val="18"/>
                <w:szCs w:val="18"/>
                <w:color w:val="auto"/>
              </w:rPr>
              <w:t>THE PRUDENTIAL INSURANCE COMPANY</w:t>
            </w:r>
          </w:p>
        </w:tc>
        <w:tc>
          <w:tcPr>
            <w:tcW w:w="0" w:type="dxa"/>
            <w:vAlign w:val="bottom"/>
          </w:tcPr>
          <w:p>
            <w:pPr>
              <w:spacing w:after="0"/>
              <w:rPr>
                <w:sz w:val="1"/>
                <w:szCs w:val="1"/>
                <w:color w:val="auto"/>
              </w:rPr>
            </w:pPr>
          </w:p>
        </w:tc>
      </w:tr>
      <w:tr>
        <w:trPr>
          <w:trHeight w:val="213"/>
        </w:trPr>
        <w:tc>
          <w:tcPr>
            <w:tcW w:w="11320" w:type="dxa"/>
            <w:vAlign w:val="bottom"/>
            <w:gridSpan w:val="5"/>
          </w:tcPr>
          <w:p>
            <w:pPr>
              <w:spacing w:after="0"/>
              <w:rPr>
                <w:sz w:val="20"/>
                <w:szCs w:val="20"/>
                <w:color w:val="auto"/>
              </w:rPr>
            </w:pPr>
            <w:r>
              <w:rPr>
                <w:rFonts w:ascii="Arial" w:cs="Arial" w:eastAsia="Arial" w:hAnsi="Arial"/>
                <w:sz w:val="18"/>
                <w:szCs w:val="18"/>
                <w:color w:val="auto"/>
              </w:rPr>
              <w:t>[NAME OF TRUST BANK as Directed Trustee of the Vita Salaried OF AMERICA</w:t>
            </w:r>
          </w:p>
        </w:tc>
        <w:tc>
          <w:tcPr>
            <w:tcW w:w="0" w:type="dxa"/>
            <w:vAlign w:val="bottom"/>
          </w:tcPr>
          <w:p>
            <w:pPr>
              <w:spacing w:after="0"/>
              <w:rPr>
                <w:sz w:val="1"/>
                <w:szCs w:val="1"/>
                <w:color w:val="auto"/>
              </w:rPr>
            </w:pPr>
          </w:p>
        </w:tc>
      </w:tr>
      <w:tr>
        <w:trPr>
          <w:trHeight w:val="213"/>
        </w:trPr>
        <w:tc>
          <w:tcPr>
            <w:tcW w:w="5620" w:type="dxa"/>
            <w:vAlign w:val="bottom"/>
            <w:gridSpan w:val="2"/>
          </w:tcPr>
          <w:p>
            <w:pPr>
              <w:spacing w:after="0" w:line="213" w:lineRule="exact"/>
              <w:rPr>
                <w:sz w:val="20"/>
                <w:szCs w:val="20"/>
                <w:color w:val="auto"/>
              </w:rPr>
            </w:pPr>
            <w:r>
              <w:rPr>
                <w:rFonts w:ascii="Arial" w:cs="Arial" w:eastAsia="Arial" w:hAnsi="Arial"/>
                <w:sz w:val="18"/>
                <w:szCs w:val="18"/>
                <w:color w:val="auto"/>
              </w:rPr>
              <w:t>Retirement Trust, a New York trust]</w:t>
            </w:r>
            <w:r>
              <w:rPr>
                <w:rFonts w:ascii="Arial" w:cs="Arial" w:eastAsia="Arial" w:hAnsi="Arial"/>
                <w:sz w:val="23"/>
                <w:szCs w:val="23"/>
                <w:color w:val="auto"/>
                <w:vertAlign w:val="superscript"/>
              </w:rPr>
              <w:t>A</w:t>
            </w:r>
          </w:p>
        </w:tc>
        <w:tc>
          <w:tcPr>
            <w:tcW w:w="20" w:type="dxa"/>
            <w:vAlign w:val="bottom"/>
          </w:tcPr>
          <w:p>
            <w:pPr>
              <w:spacing w:after="0"/>
              <w:rPr>
                <w:sz w:val="18"/>
                <w:szCs w:val="18"/>
                <w:color w:val="auto"/>
              </w:rPr>
            </w:pPr>
          </w:p>
        </w:tc>
        <w:tc>
          <w:tcPr>
            <w:tcW w:w="5680" w:type="dxa"/>
            <w:vAlign w:val="bottom"/>
            <w:gridSpan w:val="2"/>
          </w:tcPr>
          <w:p>
            <w:pPr>
              <w:ind w:left="40"/>
              <w:spacing w:after="0"/>
              <w:rPr>
                <w:sz w:val="20"/>
                <w:szCs w:val="20"/>
                <w:color w:val="auto"/>
              </w:rPr>
            </w:pPr>
            <w:r>
              <w:rPr>
                <w:rFonts w:ascii="Arial" w:cs="Arial" w:eastAsia="Arial" w:hAnsi="Arial"/>
                <w:sz w:val="18"/>
                <w:szCs w:val="18"/>
                <w:color w:val="auto"/>
              </w:rPr>
              <w:t>[200 Wood Avenue South</w:t>
            </w: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80" w:type="dxa"/>
            <w:vAlign w:val="bottom"/>
            <w:gridSpan w:val="2"/>
          </w:tcPr>
          <w:p>
            <w:pPr>
              <w:ind w:left="40"/>
              <w:spacing w:after="0"/>
              <w:rPr>
                <w:sz w:val="20"/>
                <w:szCs w:val="20"/>
                <w:color w:val="auto"/>
              </w:rPr>
            </w:pPr>
            <w:r>
              <w:rPr>
                <w:rFonts w:ascii="Arial" w:cs="Arial" w:eastAsia="Arial" w:hAnsi="Arial"/>
                <w:sz w:val="18"/>
                <w:szCs w:val="18"/>
                <w:color w:val="auto"/>
              </w:rPr>
              <w:t>Iselin, New Jersey 08830]</w:t>
            </w:r>
            <w:r>
              <w:rPr>
                <w:rFonts w:ascii="Arial" w:cs="Arial" w:eastAsia="Arial" w:hAnsi="Arial"/>
                <w:sz w:val="23"/>
                <w:szCs w:val="23"/>
                <w:color w:val="auto"/>
                <w:vertAlign w:val="superscript"/>
              </w:rPr>
              <w:t>B</w:t>
            </w:r>
          </w:p>
        </w:tc>
        <w:tc>
          <w:tcPr>
            <w:tcW w:w="0" w:type="dxa"/>
            <w:vAlign w:val="bottom"/>
          </w:tcPr>
          <w:p>
            <w:pPr>
              <w:spacing w:after="0"/>
              <w:rPr>
                <w:sz w:val="1"/>
                <w:szCs w:val="1"/>
                <w:color w:val="auto"/>
              </w:rPr>
            </w:pPr>
          </w:p>
        </w:tc>
      </w:tr>
      <w:tr>
        <w:trPr>
          <w:trHeight w:val="463"/>
        </w:trPr>
        <w:tc>
          <w:tcPr>
            <w:tcW w:w="2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80" w:type="dxa"/>
            <w:vAlign w:val="bottom"/>
            <w:gridSpan w:val="2"/>
          </w:tcPr>
          <w:p>
            <w:pPr>
              <w:ind w:left="40"/>
              <w:spacing w:after="0"/>
              <w:rPr>
                <w:sz w:val="20"/>
                <w:szCs w:val="20"/>
                <w:color w:val="auto"/>
              </w:rPr>
            </w:pPr>
            <w:r>
              <w:rPr>
                <w:rFonts w:ascii="Arial" w:cs="Arial" w:eastAsia="Arial" w:hAnsi="Arial"/>
                <w:sz w:val="18"/>
                <w:szCs w:val="18"/>
                <w:color w:val="auto"/>
              </w:rPr>
              <w:t>[Chairman and Chief Executive Officer]</w:t>
            </w:r>
            <w:r>
              <w:rPr>
                <w:rFonts w:ascii="Arial" w:cs="Arial" w:eastAsia="Arial" w:hAnsi="Arial"/>
                <w:sz w:val="23"/>
                <w:szCs w:val="23"/>
                <w:color w:val="auto"/>
                <w:vertAlign w:val="superscript"/>
              </w:rPr>
              <w:t>B</w:t>
            </w:r>
          </w:p>
        </w:tc>
        <w:tc>
          <w:tcPr>
            <w:tcW w:w="0" w:type="dxa"/>
            <w:vAlign w:val="bottom"/>
          </w:tcPr>
          <w:p>
            <w:pPr>
              <w:spacing w:after="0"/>
              <w:rPr>
                <w:sz w:val="1"/>
                <w:szCs w:val="1"/>
                <w:color w:val="auto"/>
              </w:rPr>
            </w:pPr>
          </w:p>
        </w:tc>
      </w:tr>
      <w:tr>
        <w:trPr>
          <w:trHeight w:val="519"/>
        </w:trPr>
        <w:tc>
          <w:tcPr>
            <w:tcW w:w="5620" w:type="dxa"/>
            <w:vAlign w:val="bottom"/>
            <w:gridSpan w:val="2"/>
          </w:tcPr>
          <w:p>
            <w:pPr>
              <w:spacing w:after="0"/>
              <w:rPr>
                <w:sz w:val="20"/>
                <w:szCs w:val="20"/>
                <w:color w:val="auto"/>
              </w:rPr>
            </w:pPr>
            <w:r>
              <w:rPr>
                <w:rFonts w:ascii="Arial" w:cs="Arial" w:eastAsia="Arial" w:hAnsi="Arial"/>
                <w:sz w:val="18"/>
                <w:szCs w:val="18"/>
                <w:color w:val="auto"/>
              </w:rPr>
              <w:t>[By:_______________________________</w:t>
            </w:r>
          </w:p>
        </w:tc>
        <w:tc>
          <w:tcPr>
            <w:tcW w:w="20" w:type="dxa"/>
            <w:vAlign w:val="bottom"/>
          </w:tcPr>
          <w:p>
            <w:pPr>
              <w:spacing w:after="0"/>
              <w:rPr>
                <w:sz w:val="24"/>
                <w:szCs w:val="24"/>
                <w:color w:val="auto"/>
              </w:rPr>
            </w:pPr>
          </w:p>
        </w:tc>
        <w:tc>
          <w:tcPr>
            <w:tcW w:w="5680" w:type="dxa"/>
            <w:vAlign w:val="bottom"/>
            <w:gridSpan w:val="2"/>
          </w:tcPr>
          <w:p>
            <w:pPr>
              <w:ind w:left="40"/>
              <w:spacing w:after="0"/>
              <w:rPr>
                <w:sz w:val="20"/>
                <w:szCs w:val="20"/>
                <w:color w:val="auto"/>
              </w:rPr>
            </w:pPr>
            <w:r>
              <w:rPr>
                <w:rFonts w:ascii="Arial" w:cs="Arial" w:eastAsia="Arial" w:hAnsi="Arial"/>
                <w:sz w:val="18"/>
                <w:szCs w:val="18"/>
                <w:color w:val="auto"/>
              </w:rPr>
              <w:t>[Secretary]</w:t>
            </w:r>
            <w:r>
              <w:rPr>
                <w:rFonts w:ascii="Arial" w:cs="Arial" w:eastAsia="Arial" w:hAnsi="Arial"/>
                <w:sz w:val="23"/>
                <w:szCs w:val="23"/>
                <w:color w:val="auto"/>
                <w:vertAlign w:val="superscript"/>
              </w:rPr>
              <w:t>B</w:t>
            </w:r>
          </w:p>
        </w:tc>
        <w:tc>
          <w:tcPr>
            <w:tcW w:w="0" w:type="dxa"/>
            <w:vAlign w:val="bottom"/>
          </w:tcPr>
          <w:p>
            <w:pPr>
              <w:spacing w:after="0"/>
              <w:rPr>
                <w:sz w:val="1"/>
                <w:szCs w:val="1"/>
                <w:color w:val="auto"/>
              </w:rPr>
            </w:pPr>
          </w:p>
        </w:tc>
      </w:tr>
      <w:tr>
        <w:trPr>
          <w:trHeight w:val="233"/>
        </w:trPr>
        <w:tc>
          <w:tcPr>
            <w:tcW w:w="5620" w:type="dxa"/>
            <w:vAlign w:val="bottom"/>
            <w:gridSpan w:val="2"/>
          </w:tcPr>
          <w:p>
            <w:pPr>
              <w:spacing w:after="0"/>
              <w:rPr>
                <w:sz w:val="20"/>
                <w:szCs w:val="20"/>
                <w:color w:val="auto"/>
              </w:rPr>
            </w:pPr>
            <w:r>
              <w:rPr>
                <w:rFonts w:ascii="Arial" w:cs="Arial" w:eastAsia="Arial" w:hAnsi="Arial"/>
                <w:sz w:val="18"/>
                <w:szCs w:val="18"/>
                <w:color w:val="auto"/>
              </w:rPr>
              <w:t>Title:</w:t>
            </w:r>
          </w:p>
        </w:tc>
        <w:tc>
          <w:tcPr>
            <w:tcW w:w="20" w:type="dxa"/>
            <w:vAlign w:val="bottom"/>
          </w:tcPr>
          <w:p>
            <w:pPr>
              <w:spacing w:after="0"/>
              <w:rPr>
                <w:sz w:val="20"/>
                <w:szCs w:val="20"/>
                <w:color w:val="auto"/>
              </w:rPr>
            </w:pPr>
          </w:p>
        </w:tc>
        <w:tc>
          <w:tcPr>
            <w:tcW w:w="5680" w:type="dxa"/>
            <w:vAlign w:val="bottom"/>
            <w:gridSpan w:val="2"/>
            <w:vMerge w:val="restart"/>
          </w:tcPr>
          <w:p>
            <w:pPr>
              <w:ind w:left="40"/>
              <w:spacing w:after="0"/>
              <w:rPr>
                <w:sz w:val="20"/>
                <w:szCs w:val="20"/>
                <w:color w:val="auto"/>
              </w:rPr>
            </w:pPr>
            <w:r>
              <w:rPr>
                <w:rFonts w:ascii="Arial" w:cs="Arial" w:eastAsia="Arial" w:hAnsi="Arial"/>
                <w:sz w:val="18"/>
                <w:szCs w:val="18"/>
                <w:color w:val="auto"/>
              </w:rPr>
              <w:t>Attest: _______________________________</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bl>
    <w:p>
      <w:pPr>
        <w:ind w:left="100"/>
        <w:spacing w:after="0" w:line="184" w:lineRule="auto"/>
        <w:rPr>
          <w:sz w:val="20"/>
          <w:szCs w:val="20"/>
          <w:color w:val="auto"/>
        </w:rPr>
      </w:pPr>
      <w:r>
        <w:rPr>
          <w:rFonts w:ascii="Arial" w:cs="Arial" w:eastAsia="Arial" w:hAnsi="Arial"/>
          <w:sz w:val="18"/>
          <w:szCs w:val="18"/>
          <w:color w:val="auto"/>
        </w:rPr>
        <w:t>Date:]</w:t>
      </w:r>
      <w:r>
        <w:rPr>
          <w:rFonts w:ascii="Arial" w:cs="Arial" w:eastAsia="Arial" w:hAnsi="Arial"/>
          <w:sz w:val="23"/>
          <w:szCs w:val="23"/>
          <w:color w:val="auto"/>
          <w:vertAlign w:val="superscript"/>
        </w:rPr>
        <w:t>A</w:t>
      </w:r>
    </w:p>
    <w:p>
      <w:pPr>
        <w:spacing w:after="0" w:line="1" w:lineRule="exact"/>
        <w:rPr>
          <w:sz w:val="20"/>
          <w:szCs w:val="20"/>
          <w:color w:val="auto"/>
        </w:rPr>
      </w:pPr>
    </w:p>
    <w:p>
      <w:pPr>
        <w:jc w:val="center"/>
        <w:ind w:left="540"/>
        <w:spacing w:after="0"/>
        <w:rPr>
          <w:sz w:val="20"/>
          <w:szCs w:val="20"/>
          <w:color w:val="auto"/>
        </w:rPr>
      </w:pPr>
      <w:r>
        <w:rPr>
          <w:rFonts w:ascii="Arial" w:cs="Arial" w:eastAsia="Arial" w:hAnsi="Arial"/>
          <w:sz w:val="18"/>
          <w:szCs w:val="18"/>
          <w:color w:val="auto"/>
        </w:rPr>
        <w:t>Date:</w:t>
      </w:r>
    </w:p>
    <w:p>
      <w:pPr>
        <w:spacing w:after="0" w:line="215" w:lineRule="exact"/>
        <w:rPr>
          <w:sz w:val="20"/>
          <w:szCs w:val="20"/>
          <w:color w:val="auto"/>
        </w:rPr>
      </w:pPr>
    </w:p>
    <w:p>
      <w:pPr>
        <w:jc w:val="both"/>
        <w:ind w:right="60"/>
        <w:spacing w:after="0" w:line="262" w:lineRule="auto"/>
        <w:rPr>
          <w:sz w:val="20"/>
          <w:szCs w:val="20"/>
          <w:color w:val="auto"/>
        </w:rPr>
      </w:pPr>
      <w:r>
        <w:rPr>
          <w:rFonts w:ascii="Arial" w:cs="Arial" w:eastAsia="Arial" w:hAnsi="Arial"/>
          <w:sz w:val="18"/>
          <w:szCs w:val="18"/>
          <w:color w:val="auto"/>
        </w:rPr>
        <w:t>Single-Premium Group Annuity Contract [ *** ], as provided herein, and providing for an irrevocable commitment to make Annuity Payments, subject to the provisions of this Contract. The Annuity Payments hereunder do not vary based on any gains or losses of the assets held in the Separate Account or the General Account.</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Appendix 1.1A - 1</w:t>
      </w:r>
    </w:p>
    <w:p>
      <w:pPr>
        <w:sectPr>
          <w:pgSz w:w="11900" w:h="16838" w:orient="portrait"/>
          <w:cols w:equalWidth="0" w:num="1">
            <w:col w:w="11420"/>
          </w:cols>
          <w:pgMar w:left="240" w:top="551" w:right="239"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217"/>
        </w:trPr>
        <w:tc>
          <w:tcPr>
            <w:tcW w:w="1540" w:type="dxa"/>
            <w:vAlign w:val="bottom"/>
          </w:tcPr>
          <w:p>
            <w:pPr>
              <w:spacing w:after="0"/>
              <w:rPr>
                <w:sz w:val="20"/>
                <w:szCs w:val="20"/>
                <w:color w:val="auto"/>
              </w:rPr>
            </w:pPr>
            <w:r>
              <w:rPr>
                <w:rFonts w:ascii="Arial" w:cs="Arial" w:eastAsia="Arial" w:hAnsi="Arial"/>
                <w:sz w:val="17"/>
                <w:szCs w:val="17"/>
                <w:b w:val="1"/>
                <w:bCs w:val="1"/>
                <w:color w:val="auto"/>
              </w:rPr>
              <w:t>[ Provision I</w:t>
            </w:r>
          </w:p>
        </w:tc>
        <w:tc>
          <w:tcPr>
            <w:tcW w:w="8640" w:type="dxa"/>
            <w:vAlign w:val="bottom"/>
          </w:tcPr>
          <w:p>
            <w:pPr>
              <w:ind w:left="80"/>
              <w:spacing w:after="0"/>
              <w:rPr>
                <w:sz w:val="20"/>
                <w:szCs w:val="20"/>
                <w:color w:val="auto"/>
              </w:rPr>
            </w:pPr>
            <w:r>
              <w:rPr>
                <w:rFonts w:ascii="Arial" w:cs="Arial" w:eastAsia="Arial" w:hAnsi="Arial"/>
                <w:sz w:val="17"/>
                <w:szCs w:val="17"/>
                <w:b w:val="1"/>
                <w:bCs w:val="1"/>
                <w:color w:val="auto"/>
              </w:rPr>
              <w:t>DEFINITIONS; SEPARATE ACCOUNT OPERATIONS; PAYMENT OPERATIONS</w:t>
            </w:r>
          </w:p>
        </w:tc>
        <w:tc>
          <w:tcPr>
            <w:tcW w:w="80" w:type="dxa"/>
            <w:vAlign w:val="bottom"/>
          </w:tcPr>
          <w:p>
            <w:pPr>
              <w:spacing w:after="0"/>
              <w:rPr>
                <w:sz w:val="18"/>
                <w:szCs w:val="18"/>
                <w:color w:val="auto"/>
              </w:rPr>
            </w:pPr>
          </w:p>
        </w:tc>
      </w:tr>
      <w:tr>
        <w:trPr>
          <w:trHeight w:val="250"/>
        </w:trPr>
        <w:tc>
          <w:tcPr>
            <w:tcW w:w="1540" w:type="dxa"/>
            <w:vAlign w:val="bottom"/>
          </w:tcPr>
          <w:p>
            <w:pPr>
              <w:spacing w:after="0"/>
              <w:rPr>
                <w:sz w:val="20"/>
                <w:szCs w:val="20"/>
                <w:color w:val="auto"/>
              </w:rPr>
            </w:pPr>
            <w:r>
              <w:rPr>
                <w:rFonts w:ascii="Arial" w:cs="Arial" w:eastAsia="Arial" w:hAnsi="Arial"/>
                <w:sz w:val="17"/>
                <w:szCs w:val="17"/>
                <w:color w:val="auto"/>
              </w:rPr>
              <w:t>[ *** ]</w:t>
            </w:r>
          </w:p>
        </w:tc>
        <w:tc>
          <w:tcPr>
            <w:tcW w:w="864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13"/>
        </w:trPr>
        <w:tc>
          <w:tcPr>
            <w:tcW w:w="1540" w:type="dxa"/>
            <w:vAlign w:val="bottom"/>
          </w:tcPr>
          <w:p>
            <w:pPr>
              <w:jc w:val="right"/>
              <w:spacing w:after="0"/>
              <w:rPr>
                <w:sz w:val="20"/>
                <w:szCs w:val="20"/>
                <w:color w:val="auto"/>
              </w:rPr>
            </w:pPr>
            <w:r>
              <w:rPr>
                <w:rFonts w:ascii="Arial" w:cs="Arial" w:eastAsia="Arial" w:hAnsi="Arial"/>
                <w:sz w:val="17"/>
                <w:szCs w:val="17"/>
                <w:color w:val="auto"/>
              </w:rPr>
              <w:t>1.1</w:t>
            </w:r>
          </w:p>
        </w:tc>
        <w:tc>
          <w:tcPr>
            <w:tcW w:w="8640" w:type="dxa"/>
            <w:vAlign w:val="bottom"/>
          </w:tcPr>
          <w:p>
            <w:pPr>
              <w:ind w:left="80"/>
              <w:spacing w:after="0"/>
              <w:rPr>
                <w:sz w:val="20"/>
                <w:szCs w:val="20"/>
                <w:color w:val="auto"/>
              </w:rPr>
            </w:pPr>
            <w:r>
              <w:rPr>
                <w:rFonts w:ascii="Arial" w:cs="Arial" w:eastAsia="Arial" w:hAnsi="Arial"/>
                <w:sz w:val="17"/>
                <w:szCs w:val="17"/>
                <w:color w:val="auto"/>
              </w:rPr>
              <w:t>Definitions</w:t>
            </w:r>
          </w:p>
        </w:tc>
        <w:tc>
          <w:tcPr>
            <w:tcW w:w="80" w:type="dxa"/>
            <w:vAlign w:val="bottom"/>
            <w:tcBorders>
              <w:bottom w:val="single" w:sz="8" w:color="0000FF"/>
            </w:tcBorders>
          </w:tcPr>
          <w:p>
            <w:pPr>
              <w:jc w:val="right"/>
              <w:spacing w:after="0"/>
              <w:rPr>
                <w:rFonts w:ascii="Arial" w:cs="Arial" w:eastAsia="Arial" w:hAnsi="Arial"/>
                <w:sz w:val="15"/>
                <w:szCs w:val="15"/>
                <w:color w:val="0000FF"/>
                <w:w w:val="71"/>
              </w:rPr>
            </w:pPr>
            <w:hyperlink w:anchor="page84">
              <w:r>
                <w:rPr>
                  <w:rFonts w:ascii="Arial" w:cs="Arial" w:eastAsia="Arial" w:hAnsi="Arial"/>
                  <w:sz w:val="15"/>
                  <w:szCs w:val="15"/>
                  <w:color w:val="0000FF"/>
                  <w:w w:val="71"/>
                </w:rPr>
                <w:t>2</w:t>
              </w:r>
            </w:hyperlink>
          </w:p>
        </w:tc>
      </w:tr>
      <w:tr>
        <w:trPr>
          <w:trHeight w:val="230"/>
        </w:trPr>
        <w:tc>
          <w:tcPr>
            <w:tcW w:w="1540" w:type="dxa"/>
            <w:vAlign w:val="bottom"/>
          </w:tcPr>
          <w:p>
            <w:pPr>
              <w:jc w:val="right"/>
              <w:spacing w:after="0"/>
              <w:rPr>
                <w:sz w:val="20"/>
                <w:szCs w:val="20"/>
                <w:color w:val="auto"/>
              </w:rPr>
            </w:pPr>
            <w:r>
              <w:rPr>
                <w:rFonts w:ascii="Arial" w:cs="Arial" w:eastAsia="Arial" w:hAnsi="Arial"/>
                <w:sz w:val="17"/>
                <w:szCs w:val="17"/>
                <w:color w:val="auto"/>
              </w:rPr>
              <w:t>1.2</w:t>
            </w:r>
          </w:p>
        </w:tc>
        <w:tc>
          <w:tcPr>
            <w:tcW w:w="8640" w:type="dxa"/>
            <w:vAlign w:val="bottom"/>
          </w:tcPr>
          <w:p>
            <w:pPr>
              <w:ind w:left="80"/>
              <w:spacing w:after="0"/>
              <w:rPr>
                <w:sz w:val="20"/>
                <w:szCs w:val="20"/>
                <w:color w:val="auto"/>
              </w:rPr>
            </w:pPr>
            <w:r>
              <w:rPr>
                <w:rFonts w:ascii="Arial" w:cs="Arial" w:eastAsia="Arial" w:hAnsi="Arial"/>
                <w:sz w:val="17"/>
                <w:szCs w:val="17"/>
                <w:color w:val="auto"/>
              </w:rPr>
              <w:t>Adjusted Contribution Amount; [ *** ]</w:t>
            </w:r>
          </w:p>
        </w:tc>
        <w:tc>
          <w:tcPr>
            <w:tcW w:w="80" w:type="dxa"/>
            <w:vAlign w:val="bottom"/>
            <w:tcBorders>
              <w:bottom w:val="single" w:sz="8" w:color="0000FF"/>
            </w:tcBorders>
          </w:tcPr>
          <w:p>
            <w:pPr>
              <w:jc w:val="right"/>
              <w:spacing w:after="0"/>
              <w:rPr>
                <w:rFonts w:ascii="Arial" w:cs="Arial" w:eastAsia="Arial" w:hAnsi="Arial"/>
                <w:sz w:val="15"/>
                <w:szCs w:val="15"/>
                <w:color w:val="0000FF"/>
                <w:w w:val="71"/>
              </w:rPr>
            </w:pPr>
            <w:hyperlink w:anchor="page87">
              <w:r>
                <w:rPr>
                  <w:rFonts w:ascii="Arial" w:cs="Arial" w:eastAsia="Arial" w:hAnsi="Arial"/>
                  <w:sz w:val="15"/>
                  <w:szCs w:val="15"/>
                  <w:color w:val="0000FF"/>
                  <w:w w:val="71"/>
                </w:rPr>
                <w:t>4</w:t>
              </w:r>
            </w:hyperlink>
          </w:p>
        </w:tc>
      </w:tr>
      <w:tr>
        <w:trPr>
          <w:trHeight w:val="230"/>
        </w:trPr>
        <w:tc>
          <w:tcPr>
            <w:tcW w:w="1540" w:type="dxa"/>
            <w:vAlign w:val="bottom"/>
          </w:tcPr>
          <w:p>
            <w:pPr>
              <w:jc w:val="right"/>
              <w:spacing w:after="0"/>
              <w:rPr>
                <w:sz w:val="20"/>
                <w:szCs w:val="20"/>
                <w:color w:val="auto"/>
              </w:rPr>
            </w:pPr>
            <w:r>
              <w:rPr>
                <w:rFonts w:ascii="Arial" w:cs="Arial" w:eastAsia="Arial" w:hAnsi="Arial"/>
                <w:sz w:val="17"/>
                <w:szCs w:val="17"/>
                <w:color w:val="auto"/>
              </w:rPr>
              <w:t>1.3</w:t>
            </w:r>
          </w:p>
        </w:tc>
        <w:tc>
          <w:tcPr>
            <w:tcW w:w="8640" w:type="dxa"/>
            <w:vAlign w:val="bottom"/>
          </w:tcPr>
          <w:p>
            <w:pPr>
              <w:ind w:left="80"/>
              <w:spacing w:after="0"/>
              <w:rPr>
                <w:sz w:val="20"/>
                <w:szCs w:val="20"/>
                <w:color w:val="auto"/>
              </w:rPr>
            </w:pPr>
            <w:r>
              <w:rPr>
                <w:rFonts w:ascii="Arial" w:cs="Arial" w:eastAsia="Arial" w:hAnsi="Arial"/>
                <w:sz w:val="17"/>
                <w:szCs w:val="17"/>
                <w:color w:val="auto"/>
              </w:rPr>
              <w:t>Annuity Payments; Annuity Payment Support; Associated Withdrawals from Accounts; Termination</w:t>
            </w:r>
          </w:p>
        </w:tc>
        <w:tc>
          <w:tcPr>
            <w:tcW w:w="80" w:type="dxa"/>
            <w:vAlign w:val="bottom"/>
            <w:tcBorders>
              <w:bottom w:val="single" w:sz="8" w:color="0000FF"/>
            </w:tcBorders>
          </w:tcPr>
          <w:p>
            <w:pPr>
              <w:jc w:val="right"/>
              <w:spacing w:after="0"/>
              <w:rPr>
                <w:rFonts w:ascii="Arial" w:cs="Arial" w:eastAsia="Arial" w:hAnsi="Arial"/>
                <w:sz w:val="15"/>
                <w:szCs w:val="15"/>
                <w:color w:val="0000FF"/>
                <w:w w:val="71"/>
              </w:rPr>
            </w:pPr>
            <w:hyperlink w:anchor="page88">
              <w:r>
                <w:rPr>
                  <w:rFonts w:ascii="Arial" w:cs="Arial" w:eastAsia="Arial" w:hAnsi="Arial"/>
                  <w:sz w:val="15"/>
                  <w:szCs w:val="15"/>
                  <w:color w:val="0000FF"/>
                  <w:w w:val="71"/>
                </w:rPr>
                <w:t>5</w:t>
              </w:r>
            </w:hyperlink>
          </w:p>
        </w:tc>
      </w:tr>
      <w:tr>
        <w:trPr>
          <w:trHeight w:val="230"/>
        </w:trPr>
        <w:tc>
          <w:tcPr>
            <w:tcW w:w="1540" w:type="dxa"/>
            <w:vAlign w:val="bottom"/>
          </w:tcPr>
          <w:p>
            <w:pPr>
              <w:jc w:val="right"/>
              <w:spacing w:after="0"/>
              <w:rPr>
                <w:sz w:val="20"/>
                <w:szCs w:val="20"/>
                <w:color w:val="auto"/>
              </w:rPr>
            </w:pPr>
            <w:r>
              <w:rPr>
                <w:rFonts w:ascii="Arial" w:cs="Arial" w:eastAsia="Arial" w:hAnsi="Arial"/>
                <w:sz w:val="17"/>
                <w:szCs w:val="17"/>
                <w:color w:val="auto"/>
              </w:rPr>
              <w:t>1.4</w:t>
            </w:r>
          </w:p>
        </w:tc>
        <w:tc>
          <w:tcPr>
            <w:tcW w:w="8640" w:type="dxa"/>
            <w:vAlign w:val="bottom"/>
          </w:tcPr>
          <w:p>
            <w:pPr>
              <w:ind w:left="80"/>
              <w:spacing w:after="0"/>
              <w:rPr>
                <w:sz w:val="20"/>
                <w:szCs w:val="20"/>
                <w:color w:val="auto"/>
              </w:rPr>
            </w:pPr>
            <w:r>
              <w:rPr>
                <w:rFonts w:ascii="Arial" w:cs="Arial" w:eastAsia="Arial" w:hAnsi="Arial"/>
                <w:sz w:val="17"/>
                <w:szCs w:val="17"/>
                <w:color w:val="auto"/>
              </w:rPr>
              <w:t>The Separate Accounts that Support this Contract</w:t>
            </w:r>
          </w:p>
        </w:tc>
        <w:tc>
          <w:tcPr>
            <w:tcW w:w="80" w:type="dxa"/>
            <w:vAlign w:val="bottom"/>
            <w:tcBorders>
              <w:bottom w:val="single" w:sz="8" w:color="0000FF"/>
            </w:tcBorders>
          </w:tcPr>
          <w:p>
            <w:pPr>
              <w:jc w:val="right"/>
              <w:spacing w:after="0"/>
              <w:rPr>
                <w:rFonts w:ascii="Arial" w:cs="Arial" w:eastAsia="Arial" w:hAnsi="Arial"/>
                <w:sz w:val="15"/>
                <w:szCs w:val="15"/>
                <w:color w:val="0000FF"/>
                <w:w w:val="71"/>
              </w:rPr>
            </w:pPr>
            <w:hyperlink w:anchor="page88">
              <w:r>
                <w:rPr>
                  <w:rFonts w:ascii="Arial" w:cs="Arial" w:eastAsia="Arial" w:hAnsi="Arial"/>
                  <w:sz w:val="15"/>
                  <w:szCs w:val="15"/>
                  <w:color w:val="0000FF"/>
                  <w:w w:val="71"/>
                </w:rPr>
                <w:t>5</w:t>
              </w:r>
            </w:hyperlink>
          </w:p>
        </w:tc>
      </w:tr>
      <w:tr>
        <w:trPr>
          <w:trHeight w:val="230"/>
        </w:trPr>
        <w:tc>
          <w:tcPr>
            <w:tcW w:w="1540" w:type="dxa"/>
            <w:vAlign w:val="bottom"/>
          </w:tcPr>
          <w:p>
            <w:pPr>
              <w:jc w:val="right"/>
              <w:spacing w:after="0"/>
              <w:rPr>
                <w:sz w:val="20"/>
                <w:szCs w:val="20"/>
                <w:color w:val="auto"/>
              </w:rPr>
            </w:pPr>
            <w:r>
              <w:rPr>
                <w:rFonts w:ascii="Arial" w:cs="Arial" w:eastAsia="Arial" w:hAnsi="Arial"/>
                <w:sz w:val="17"/>
                <w:szCs w:val="17"/>
                <w:color w:val="auto"/>
              </w:rPr>
              <w:t>1.5</w:t>
            </w:r>
          </w:p>
        </w:tc>
        <w:tc>
          <w:tcPr>
            <w:tcW w:w="8640" w:type="dxa"/>
            <w:vAlign w:val="bottom"/>
          </w:tcPr>
          <w:p>
            <w:pPr>
              <w:ind w:left="80"/>
              <w:spacing w:after="0"/>
              <w:rPr>
                <w:sz w:val="20"/>
                <w:szCs w:val="20"/>
                <w:color w:val="auto"/>
              </w:rPr>
            </w:pPr>
            <w:r>
              <w:rPr>
                <w:rFonts w:ascii="Arial" w:cs="Arial" w:eastAsia="Arial" w:hAnsi="Arial"/>
                <w:sz w:val="17"/>
                <w:szCs w:val="17"/>
                <w:color w:val="auto"/>
              </w:rPr>
              <w:t>Investments Held in Separate Account; Insulation of Separate Account Assets</w:t>
            </w:r>
          </w:p>
        </w:tc>
        <w:tc>
          <w:tcPr>
            <w:tcW w:w="80" w:type="dxa"/>
            <w:vAlign w:val="bottom"/>
            <w:tcBorders>
              <w:bottom w:val="single" w:sz="8" w:color="0000FF"/>
            </w:tcBorders>
          </w:tcPr>
          <w:p>
            <w:pPr>
              <w:jc w:val="right"/>
              <w:spacing w:after="0"/>
              <w:rPr>
                <w:rFonts w:ascii="Arial" w:cs="Arial" w:eastAsia="Arial" w:hAnsi="Arial"/>
                <w:sz w:val="15"/>
                <w:szCs w:val="15"/>
                <w:color w:val="0000FF"/>
                <w:w w:val="71"/>
              </w:rPr>
            </w:pPr>
            <w:hyperlink w:anchor="page88">
              <w:r>
                <w:rPr>
                  <w:rFonts w:ascii="Arial" w:cs="Arial" w:eastAsia="Arial" w:hAnsi="Arial"/>
                  <w:sz w:val="15"/>
                  <w:szCs w:val="15"/>
                  <w:color w:val="0000FF"/>
                  <w:w w:val="71"/>
                </w:rPr>
                <w:t>5</w:t>
              </w:r>
            </w:hyperlink>
          </w:p>
        </w:tc>
      </w:tr>
      <w:tr>
        <w:trPr>
          <w:trHeight w:val="230"/>
        </w:trPr>
        <w:tc>
          <w:tcPr>
            <w:tcW w:w="1540" w:type="dxa"/>
            <w:vAlign w:val="bottom"/>
          </w:tcPr>
          <w:p>
            <w:pPr>
              <w:jc w:val="right"/>
              <w:spacing w:after="0"/>
              <w:rPr>
                <w:sz w:val="20"/>
                <w:szCs w:val="20"/>
                <w:color w:val="auto"/>
              </w:rPr>
            </w:pPr>
            <w:r>
              <w:rPr>
                <w:rFonts w:ascii="Arial" w:cs="Arial" w:eastAsia="Arial" w:hAnsi="Arial"/>
                <w:sz w:val="17"/>
                <w:szCs w:val="17"/>
                <w:color w:val="auto"/>
              </w:rPr>
              <w:t>1.6</w:t>
            </w:r>
          </w:p>
        </w:tc>
        <w:tc>
          <w:tcPr>
            <w:tcW w:w="8640" w:type="dxa"/>
            <w:vAlign w:val="bottom"/>
          </w:tcPr>
          <w:p>
            <w:pPr>
              <w:ind w:left="80"/>
              <w:spacing w:after="0"/>
              <w:rPr>
                <w:sz w:val="20"/>
                <w:szCs w:val="20"/>
                <w:color w:val="auto"/>
              </w:rPr>
            </w:pPr>
            <w:r>
              <w:rPr>
                <w:rFonts w:ascii="Arial" w:cs="Arial" w:eastAsia="Arial" w:hAnsi="Arial"/>
                <w:sz w:val="17"/>
                <w:szCs w:val="17"/>
                <w:color w:val="auto"/>
              </w:rPr>
              <w:t>Payment Obligation of Prudential</w:t>
            </w:r>
          </w:p>
        </w:tc>
        <w:tc>
          <w:tcPr>
            <w:tcW w:w="80" w:type="dxa"/>
            <w:vAlign w:val="bottom"/>
            <w:tcBorders>
              <w:bottom w:val="single" w:sz="8" w:color="0000FF"/>
            </w:tcBorders>
          </w:tcPr>
          <w:p>
            <w:pPr>
              <w:jc w:val="right"/>
              <w:spacing w:after="0"/>
              <w:rPr>
                <w:rFonts w:ascii="Arial" w:cs="Arial" w:eastAsia="Arial" w:hAnsi="Arial"/>
                <w:sz w:val="15"/>
                <w:szCs w:val="15"/>
                <w:color w:val="0000FF"/>
                <w:w w:val="71"/>
              </w:rPr>
            </w:pPr>
            <w:hyperlink w:anchor="page88">
              <w:r>
                <w:rPr>
                  <w:rFonts w:ascii="Arial" w:cs="Arial" w:eastAsia="Arial" w:hAnsi="Arial"/>
                  <w:sz w:val="15"/>
                  <w:szCs w:val="15"/>
                  <w:color w:val="0000FF"/>
                  <w:w w:val="71"/>
                </w:rPr>
                <w:t>5</w:t>
              </w:r>
            </w:hyperlink>
          </w:p>
        </w:tc>
      </w:tr>
      <w:tr>
        <w:trPr>
          <w:trHeight w:val="230"/>
        </w:trPr>
        <w:tc>
          <w:tcPr>
            <w:tcW w:w="1540" w:type="dxa"/>
            <w:vAlign w:val="bottom"/>
          </w:tcPr>
          <w:p>
            <w:pPr>
              <w:jc w:val="right"/>
              <w:spacing w:after="0"/>
              <w:rPr>
                <w:sz w:val="20"/>
                <w:szCs w:val="20"/>
                <w:color w:val="auto"/>
              </w:rPr>
            </w:pPr>
            <w:r>
              <w:rPr>
                <w:rFonts w:ascii="Arial" w:cs="Arial" w:eastAsia="Arial" w:hAnsi="Arial"/>
                <w:sz w:val="17"/>
                <w:szCs w:val="17"/>
                <w:color w:val="auto"/>
              </w:rPr>
              <w:t>1.7</w:t>
            </w:r>
          </w:p>
        </w:tc>
        <w:tc>
          <w:tcPr>
            <w:tcW w:w="8640" w:type="dxa"/>
            <w:vAlign w:val="bottom"/>
          </w:tcPr>
          <w:p>
            <w:pPr>
              <w:ind w:left="80"/>
              <w:spacing w:after="0"/>
              <w:rPr>
                <w:sz w:val="20"/>
                <w:szCs w:val="20"/>
                <w:color w:val="auto"/>
              </w:rPr>
            </w:pPr>
            <w:r>
              <w:rPr>
                <w:rFonts w:ascii="Arial" w:cs="Arial" w:eastAsia="Arial" w:hAnsi="Arial"/>
                <w:sz w:val="17"/>
                <w:szCs w:val="17"/>
                <w:color w:val="auto"/>
              </w:rPr>
              <w:t>Establishing Reserves; Withdrawal of Assets from the Separate Account</w:t>
            </w:r>
          </w:p>
        </w:tc>
        <w:tc>
          <w:tcPr>
            <w:tcW w:w="80" w:type="dxa"/>
            <w:vAlign w:val="bottom"/>
            <w:tcBorders>
              <w:bottom w:val="single" w:sz="8" w:color="0000FF"/>
            </w:tcBorders>
          </w:tcPr>
          <w:p>
            <w:pPr>
              <w:jc w:val="right"/>
              <w:spacing w:after="0"/>
              <w:rPr>
                <w:rFonts w:ascii="Arial" w:cs="Arial" w:eastAsia="Arial" w:hAnsi="Arial"/>
                <w:sz w:val="15"/>
                <w:szCs w:val="15"/>
                <w:color w:val="0000FF"/>
                <w:w w:val="71"/>
              </w:rPr>
            </w:pPr>
            <w:hyperlink w:anchor="page88">
              <w:r>
                <w:rPr>
                  <w:rFonts w:ascii="Arial" w:cs="Arial" w:eastAsia="Arial" w:hAnsi="Arial"/>
                  <w:sz w:val="15"/>
                  <w:szCs w:val="15"/>
                  <w:color w:val="0000FF"/>
                  <w:w w:val="71"/>
                </w:rPr>
                <w:t>5</w:t>
              </w:r>
            </w:hyperlink>
          </w:p>
        </w:tc>
      </w:tr>
      <w:tr>
        <w:trPr>
          <w:trHeight w:val="230"/>
        </w:trPr>
        <w:tc>
          <w:tcPr>
            <w:tcW w:w="1540" w:type="dxa"/>
            <w:vAlign w:val="bottom"/>
          </w:tcPr>
          <w:p>
            <w:pPr>
              <w:jc w:val="right"/>
              <w:spacing w:after="0"/>
              <w:rPr>
                <w:sz w:val="20"/>
                <w:szCs w:val="20"/>
                <w:color w:val="auto"/>
              </w:rPr>
            </w:pPr>
            <w:r>
              <w:rPr>
                <w:rFonts w:ascii="Arial" w:cs="Arial" w:eastAsia="Arial" w:hAnsi="Arial"/>
                <w:sz w:val="17"/>
                <w:szCs w:val="17"/>
                <w:color w:val="auto"/>
              </w:rPr>
              <w:t>1.8</w:t>
            </w:r>
          </w:p>
        </w:tc>
        <w:tc>
          <w:tcPr>
            <w:tcW w:w="8640" w:type="dxa"/>
            <w:vAlign w:val="bottom"/>
          </w:tcPr>
          <w:p>
            <w:pPr>
              <w:ind w:left="80"/>
              <w:spacing w:after="0"/>
              <w:rPr>
                <w:sz w:val="20"/>
                <w:szCs w:val="20"/>
                <w:color w:val="auto"/>
              </w:rPr>
            </w:pPr>
            <w:r>
              <w:rPr>
                <w:rFonts w:ascii="Arial" w:cs="Arial" w:eastAsia="Arial" w:hAnsi="Arial"/>
                <w:sz w:val="17"/>
                <w:szCs w:val="17"/>
                <w:color w:val="auto"/>
              </w:rPr>
              <w:t>Process for making Monthly Annuity Payments</w:t>
            </w:r>
          </w:p>
        </w:tc>
        <w:tc>
          <w:tcPr>
            <w:tcW w:w="80" w:type="dxa"/>
            <w:vAlign w:val="bottom"/>
            <w:tcBorders>
              <w:bottom w:val="single" w:sz="8" w:color="0000FF"/>
            </w:tcBorders>
          </w:tcPr>
          <w:p>
            <w:pPr>
              <w:jc w:val="right"/>
              <w:spacing w:after="0"/>
              <w:rPr>
                <w:rFonts w:ascii="Arial" w:cs="Arial" w:eastAsia="Arial" w:hAnsi="Arial"/>
                <w:sz w:val="15"/>
                <w:szCs w:val="15"/>
                <w:color w:val="0000FF"/>
                <w:w w:val="71"/>
              </w:rPr>
            </w:pPr>
            <w:hyperlink w:anchor="page89">
              <w:r>
                <w:rPr>
                  <w:rFonts w:ascii="Arial" w:cs="Arial" w:eastAsia="Arial" w:hAnsi="Arial"/>
                  <w:sz w:val="15"/>
                  <w:szCs w:val="15"/>
                  <w:color w:val="0000FF"/>
                  <w:w w:val="71"/>
                </w:rPr>
                <w:t>6</w:t>
              </w:r>
            </w:hyperlink>
          </w:p>
        </w:tc>
      </w:tr>
      <w:tr>
        <w:trPr>
          <w:trHeight w:val="230"/>
        </w:trPr>
        <w:tc>
          <w:tcPr>
            <w:tcW w:w="1540" w:type="dxa"/>
            <w:vAlign w:val="bottom"/>
          </w:tcPr>
          <w:p>
            <w:pPr>
              <w:jc w:val="right"/>
              <w:spacing w:after="0"/>
              <w:rPr>
                <w:sz w:val="20"/>
                <w:szCs w:val="20"/>
                <w:color w:val="auto"/>
              </w:rPr>
            </w:pPr>
            <w:r>
              <w:rPr>
                <w:rFonts w:ascii="Arial" w:cs="Arial" w:eastAsia="Arial" w:hAnsi="Arial"/>
                <w:sz w:val="17"/>
                <w:szCs w:val="17"/>
                <w:color w:val="auto"/>
              </w:rPr>
              <w:t>1.9</w:t>
            </w:r>
          </w:p>
        </w:tc>
        <w:tc>
          <w:tcPr>
            <w:tcW w:w="8640" w:type="dxa"/>
            <w:vAlign w:val="bottom"/>
          </w:tcPr>
          <w:p>
            <w:pPr>
              <w:ind w:left="80"/>
              <w:spacing w:after="0"/>
              <w:rPr>
                <w:sz w:val="20"/>
                <w:szCs w:val="20"/>
                <w:color w:val="auto"/>
              </w:rPr>
            </w:pPr>
            <w:r>
              <w:rPr>
                <w:rFonts w:ascii="Arial" w:cs="Arial" w:eastAsia="Arial" w:hAnsi="Arial"/>
                <w:sz w:val="17"/>
                <w:szCs w:val="17"/>
                <w:color w:val="auto"/>
              </w:rPr>
              <w:t>Persons Entitled to Enforce this Contract against Prudential</w:t>
            </w:r>
          </w:p>
        </w:tc>
        <w:tc>
          <w:tcPr>
            <w:tcW w:w="80" w:type="dxa"/>
            <w:vAlign w:val="bottom"/>
            <w:tcBorders>
              <w:bottom w:val="single" w:sz="8" w:color="0000FF"/>
            </w:tcBorders>
          </w:tcPr>
          <w:p>
            <w:pPr>
              <w:jc w:val="right"/>
              <w:spacing w:after="0"/>
              <w:rPr>
                <w:rFonts w:ascii="Arial" w:cs="Arial" w:eastAsia="Arial" w:hAnsi="Arial"/>
                <w:sz w:val="15"/>
                <w:szCs w:val="15"/>
                <w:color w:val="0000FF"/>
                <w:w w:val="71"/>
              </w:rPr>
            </w:pPr>
            <w:hyperlink w:anchor="page89">
              <w:r>
                <w:rPr>
                  <w:rFonts w:ascii="Arial" w:cs="Arial" w:eastAsia="Arial" w:hAnsi="Arial"/>
                  <w:sz w:val="15"/>
                  <w:szCs w:val="15"/>
                  <w:color w:val="0000FF"/>
                  <w:w w:val="71"/>
                </w:rPr>
                <w:t>6</w:t>
              </w:r>
            </w:hyperlink>
          </w:p>
        </w:tc>
      </w:tr>
      <w:tr>
        <w:trPr>
          <w:trHeight w:val="230"/>
        </w:trPr>
        <w:tc>
          <w:tcPr>
            <w:tcW w:w="1540" w:type="dxa"/>
            <w:vAlign w:val="bottom"/>
          </w:tcPr>
          <w:p>
            <w:pPr>
              <w:jc w:val="right"/>
              <w:spacing w:after="0"/>
              <w:rPr>
                <w:sz w:val="20"/>
                <w:szCs w:val="20"/>
                <w:color w:val="auto"/>
              </w:rPr>
            </w:pPr>
            <w:r>
              <w:rPr>
                <w:rFonts w:ascii="Arial" w:cs="Arial" w:eastAsia="Arial" w:hAnsi="Arial"/>
                <w:sz w:val="17"/>
                <w:szCs w:val="17"/>
                <w:color w:val="auto"/>
              </w:rPr>
              <w:t>1.10</w:t>
            </w:r>
          </w:p>
        </w:tc>
        <w:tc>
          <w:tcPr>
            <w:tcW w:w="8640" w:type="dxa"/>
            <w:vAlign w:val="bottom"/>
          </w:tcPr>
          <w:p>
            <w:pPr>
              <w:ind w:left="80"/>
              <w:spacing w:after="0"/>
              <w:rPr>
                <w:sz w:val="20"/>
                <w:szCs w:val="20"/>
                <w:color w:val="auto"/>
              </w:rPr>
            </w:pPr>
            <w:r>
              <w:rPr>
                <w:rFonts w:ascii="Arial" w:cs="Arial" w:eastAsia="Arial" w:hAnsi="Arial"/>
                <w:sz w:val="17"/>
                <w:szCs w:val="17"/>
                <w:color w:val="auto"/>
              </w:rPr>
              <w:t>Small Account Conversions</w:t>
            </w:r>
          </w:p>
        </w:tc>
        <w:tc>
          <w:tcPr>
            <w:tcW w:w="80" w:type="dxa"/>
            <w:vAlign w:val="bottom"/>
            <w:tcBorders>
              <w:bottom w:val="single" w:sz="8" w:color="0000FF"/>
            </w:tcBorders>
          </w:tcPr>
          <w:p>
            <w:pPr>
              <w:jc w:val="right"/>
              <w:spacing w:after="0"/>
              <w:rPr>
                <w:rFonts w:ascii="Arial" w:cs="Arial" w:eastAsia="Arial" w:hAnsi="Arial"/>
                <w:sz w:val="15"/>
                <w:szCs w:val="15"/>
                <w:color w:val="0000FF"/>
                <w:w w:val="71"/>
              </w:rPr>
            </w:pPr>
            <w:hyperlink w:anchor="page89">
              <w:r>
                <w:rPr>
                  <w:rFonts w:ascii="Arial" w:cs="Arial" w:eastAsia="Arial" w:hAnsi="Arial"/>
                  <w:sz w:val="15"/>
                  <w:szCs w:val="15"/>
                  <w:color w:val="0000FF"/>
                  <w:w w:val="71"/>
                </w:rPr>
                <w:t>6</w:t>
              </w:r>
            </w:hyperlink>
          </w:p>
        </w:tc>
      </w:tr>
    </w:tbl>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540" w:type="dxa"/>
            <w:vAlign w:val="bottom"/>
          </w:tcPr>
          <w:p>
            <w:pPr>
              <w:spacing w:after="0"/>
              <w:rPr>
                <w:sz w:val="20"/>
                <w:szCs w:val="20"/>
                <w:color w:val="auto"/>
              </w:rPr>
            </w:pPr>
            <w:r>
              <w:rPr>
                <w:rFonts w:ascii="Arial" w:cs="Arial" w:eastAsia="Arial" w:hAnsi="Arial"/>
                <w:sz w:val="17"/>
                <w:szCs w:val="17"/>
                <w:b w:val="1"/>
                <w:bCs w:val="1"/>
                <w:color w:val="auto"/>
              </w:rPr>
              <w:t>Provision II</w:t>
            </w:r>
          </w:p>
        </w:tc>
        <w:tc>
          <w:tcPr>
            <w:tcW w:w="8640" w:type="dxa"/>
            <w:vAlign w:val="bottom"/>
          </w:tcPr>
          <w:p>
            <w:pPr>
              <w:ind w:left="80"/>
              <w:spacing w:after="0"/>
              <w:rPr>
                <w:sz w:val="20"/>
                <w:szCs w:val="20"/>
                <w:color w:val="auto"/>
              </w:rPr>
            </w:pPr>
            <w:r>
              <w:rPr>
                <w:rFonts w:ascii="Arial" w:cs="Arial" w:eastAsia="Arial" w:hAnsi="Arial"/>
                <w:sz w:val="17"/>
                <w:szCs w:val="17"/>
                <w:b w:val="1"/>
                <w:bCs w:val="1"/>
                <w:color w:val="auto"/>
              </w:rPr>
              <w:t>PAYMENT TERMS AND CONDITIONS FOR FORMS OF ANNUITIES</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513"/>
        </w:trPr>
        <w:tc>
          <w:tcPr>
            <w:tcW w:w="1540" w:type="dxa"/>
            <w:vAlign w:val="bottom"/>
          </w:tcPr>
          <w:p>
            <w:pPr>
              <w:jc w:val="right"/>
              <w:spacing w:after="0"/>
              <w:rPr>
                <w:sz w:val="20"/>
                <w:szCs w:val="20"/>
                <w:color w:val="auto"/>
              </w:rPr>
            </w:pPr>
            <w:r>
              <w:rPr>
                <w:rFonts w:ascii="Arial" w:cs="Arial" w:eastAsia="Arial" w:hAnsi="Arial"/>
                <w:sz w:val="17"/>
                <w:szCs w:val="17"/>
                <w:color w:val="auto"/>
              </w:rPr>
              <w:t>2.1</w:t>
            </w:r>
          </w:p>
        </w:tc>
        <w:tc>
          <w:tcPr>
            <w:tcW w:w="8640" w:type="dxa"/>
            <w:vAlign w:val="bottom"/>
          </w:tcPr>
          <w:p>
            <w:pPr>
              <w:ind w:left="80"/>
              <w:spacing w:after="0"/>
              <w:rPr>
                <w:sz w:val="20"/>
                <w:szCs w:val="20"/>
                <w:color w:val="auto"/>
              </w:rPr>
            </w:pPr>
            <w:r>
              <w:rPr>
                <w:rFonts w:ascii="Arial" w:cs="Arial" w:eastAsia="Arial" w:hAnsi="Arial"/>
                <w:sz w:val="17"/>
                <w:szCs w:val="17"/>
                <w:color w:val="auto"/>
              </w:rPr>
              <w:t>General</w:t>
            </w:r>
          </w:p>
        </w:tc>
        <w:tc>
          <w:tcPr>
            <w:tcW w:w="80" w:type="dxa"/>
            <w:vAlign w:val="bottom"/>
            <w:tcBorders>
              <w:bottom w:val="single" w:sz="8" w:color="0000FF"/>
            </w:tcBorders>
          </w:tcPr>
          <w:p>
            <w:pPr>
              <w:spacing w:after="0"/>
              <w:rPr>
                <w:rFonts w:ascii="Arial" w:cs="Arial" w:eastAsia="Arial" w:hAnsi="Arial"/>
                <w:sz w:val="15"/>
                <w:szCs w:val="15"/>
                <w:color w:val="0000FF"/>
                <w:w w:val="71"/>
              </w:rPr>
            </w:pPr>
            <w:hyperlink w:anchor="page90">
              <w:r>
                <w:rPr>
                  <w:rFonts w:ascii="Arial" w:cs="Arial" w:eastAsia="Arial" w:hAnsi="Arial"/>
                  <w:sz w:val="15"/>
                  <w:szCs w:val="15"/>
                  <w:color w:val="0000FF"/>
                  <w:w w:val="71"/>
                </w:rPr>
                <w:t>7</w:t>
              </w:r>
            </w:hyperlink>
          </w:p>
        </w:tc>
        <w:tc>
          <w:tcPr>
            <w:tcW w:w="80" w:type="dxa"/>
            <w:vAlign w:val="bottom"/>
          </w:tcPr>
          <w:p>
            <w:pPr>
              <w:spacing w:after="0"/>
              <w:rPr>
                <w:sz w:val="24"/>
                <w:szCs w:val="24"/>
                <w:color w:val="auto"/>
              </w:rPr>
            </w:pPr>
          </w:p>
        </w:tc>
      </w:tr>
      <w:tr>
        <w:trPr>
          <w:trHeight w:val="230"/>
        </w:trPr>
        <w:tc>
          <w:tcPr>
            <w:tcW w:w="1540" w:type="dxa"/>
            <w:vAlign w:val="bottom"/>
          </w:tcPr>
          <w:p>
            <w:pPr>
              <w:jc w:val="right"/>
              <w:spacing w:after="0"/>
              <w:rPr>
                <w:sz w:val="20"/>
                <w:szCs w:val="20"/>
                <w:color w:val="auto"/>
              </w:rPr>
            </w:pPr>
            <w:r>
              <w:rPr>
                <w:rFonts w:ascii="Arial" w:cs="Arial" w:eastAsia="Arial" w:hAnsi="Arial"/>
                <w:sz w:val="17"/>
                <w:szCs w:val="17"/>
                <w:color w:val="auto"/>
              </w:rPr>
              <w:t>2.2</w:t>
            </w:r>
          </w:p>
        </w:tc>
        <w:tc>
          <w:tcPr>
            <w:tcW w:w="8640" w:type="dxa"/>
            <w:vAlign w:val="bottom"/>
          </w:tcPr>
          <w:p>
            <w:pPr>
              <w:ind w:left="80"/>
              <w:spacing w:after="0"/>
              <w:rPr>
                <w:sz w:val="20"/>
                <w:szCs w:val="20"/>
                <w:color w:val="auto"/>
              </w:rPr>
            </w:pPr>
            <w:r>
              <w:rPr>
                <w:rFonts w:ascii="Arial" w:cs="Arial" w:eastAsia="Arial" w:hAnsi="Arial"/>
                <w:sz w:val="17"/>
                <w:szCs w:val="17"/>
                <w:color w:val="auto"/>
              </w:rPr>
              <w:t>Definitions</w:t>
            </w:r>
          </w:p>
        </w:tc>
        <w:tc>
          <w:tcPr>
            <w:tcW w:w="80" w:type="dxa"/>
            <w:vAlign w:val="bottom"/>
            <w:tcBorders>
              <w:bottom w:val="single" w:sz="8" w:color="0000FF"/>
            </w:tcBorders>
          </w:tcPr>
          <w:p>
            <w:pPr>
              <w:spacing w:after="0"/>
              <w:rPr>
                <w:rFonts w:ascii="Arial" w:cs="Arial" w:eastAsia="Arial" w:hAnsi="Arial"/>
                <w:sz w:val="15"/>
                <w:szCs w:val="15"/>
                <w:color w:val="0000FF"/>
                <w:w w:val="71"/>
              </w:rPr>
            </w:pPr>
            <w:hyperlink w:anchor="page90">
              <w:r>
                <w:rPr>
                  <w:rFonts w:ascii="Arial" w:cs="Arial" w:eastAsia="Arial" w:hAnsi="Arial"/>
                  <w:sz w:val="15"/>
                  <w:szCs w:val="15"/>
                  <w:color w:val="0000FF"/>
                  <w:w w:val="71"/>
                </w:rPr>
                <w:t>7</w:t>
              </w:r>
            </w:hyperlink>
          </w:p>
        </w:tc>
        <w:tc>
          <w:tcPr>
            <w:tcW w:w="80" w:type="dxa"/>
            <w:vAlign w:val="bottom"/>
          </w:tcPr>
          <w:p>
            <w:pPr>
              <w:spacing w:after="0"/>
              <w:rPr>
                <w:sz w:val="20"/>
                <w:szCs w:val="20"/>
                <w:color w:val="auto"/>
              </w:rPr>
            </w:pPr>
          </w:p>
        </w:tc>
      </w:tr>
      <w:tr>
        <w:trPr>
          <w:trHeight w:val="230"/>
        </w:trPr>
        <w:tc>
          <w:tcPr>
            <w:tcW w:w="1540" w:type="dxa"/>
            <w:vAlign w:val="bottom"/>
          </w:tcPr>
          <w:p>
            <w:pPr>
              <w:jc w:val="right"/>
              <w:spacing w:after="0"/>
              <w:rPr>
                <w:sz w:val="20"/>
                <w:szCs w:val="20"/>
                <w:color w:val="auto"/>
              </w:rPr>
            </w:pPr>
            <w:r>
              <w:rPr>
                <w:rFonts w:ascii="Arial" w:cs="Arial" w:eastAsia="Arial" w:hAnsi="Arial"/>
                <w:sz w:val="17"/>
                <w:szCs w:val="17"/>
                <w:color w:val="auto"/>
              </w:rPr>
              <w:t>2.3</w:t>
            </w:r>
          </w:p>
        </w:tc>
        <w:tc>
          <w:tcPr>
            <w:tcW w:w="8640" w:type="dxa"/>
            <w:vAlign w:val="bottom"/>
          </w:tcPr>
          <w:p>
            <w:pPr>
              <w:ind w:left="80"/>
              <w:spacing w:after="0"/>
              <w:rPr>
                <w:sz w:val="20"/>
                <w:szCs w:val="20"/>
                <w:color w:val="auto"/>
              </w:rPr>
            </w:pPr>
            <w:r>
              <w:rPr>
                <w:rFonts w:ascii="Arial" w:cs="Arial" w:eastAsia="Arial" w:hAnsi="Arial"/>
                <w:sz w:val="17"/>
                <w:szCs w:val="17"/>
                <w:color w:val="auto"/>
              </w:rPr>
              <w:t>Annuity Forms</w:t>
            </w:r>
          </w:p>
        </w:tc>
        <w:tc>
          <w:tcPr>
            <w:tcW w:w="160" w:type="dxa"/>
            <w:vAlign w:val="bottom"/>
            <w:tcBorders>
              <w:bottom w:val="single" w:sz="8" w:color="0000FF"/>
            </w:tcBorders>
            <w:gridSpan w:val="2"/>
          </w:tcPr>
          <w:p>
            <w:pPr>
              <w:spacing w:after="0"/>
              <w:rPr>
                <w:rFonts w:ascii="Arial" w:cs="Arial" w:eastAsia="Arial" w:hAnsi="Arial"/>
                <w:sz w:val="17"/>
                <w:szCs w:val="17"/>
                <w:color w:val="0000FF"/>
                <w:w w:val="73"/>
              </w:rPr>
            </w:pPr>
            <w:hyperlink w:anchor="page97">
              <w:r>
                <w:rPr>
                  <w:rFonts w:ascii="Arial" w:cs="Arial" w:eastAsia="Arial" w:hAnsi="Arial"/>
                  <w:sz w:val="17"/>
                  <w:szCs w:val="17"/>
                  <w:color w:val="0000FF"/>
                  <w:w w:val="73"/>
                </w:rPr>
                <w:t>14</w:t>
              </w:r>
            </w:hyperlink>
          </w:p>
        </w:tc>
      </w:tr>
      <w:tr>
        <w:trPr>
          <w:trHeight w:val="230"/>
        </w:trPr>
        <w:tc>
          <w:tcPr>
            <w:tcW w:w="1540" w:type="dxa"/>
            <w:vAlign w:val="bottom"/>
          </w:tcPr>
          <w:p>
            <w:pPr>
              <w:jc w:val="right"/>
              <w:spacing w:after="0"/>
              <w:rPr>
                <w:sz w:val="20"/>
                <w:szCs w:val="20"/>
                <w:color w:val="auto"/>
              </w:rPr>
            </w:pPr>
            <w:r>
              <w:rPr>
                <w:rFonts w:ascii="Arial" w:cs="Arial" w:eastAsia="Arial" w:hAnsi="Arial"/>
                <w:sz w:val="17"/>
                <w:szCs w:val="17"/>
                <w:color w:val="auto"/>
              </w:rPr>
              <w:t>2.4</w:t>
            </w:r>
          </w:p>
        </w:tc>
        <w:tc>
          <w:tcPr>
            <w:tcW w:w="8640" w:type="dxa"/>
            <w:vAlign w:val="bottom"/>
          </w:tcPr>
          <w:p>
            <w:pPr>
              <w:ind w:left="80"/>
              <w:spacing w:after="0"/>
              <w:rPr>
                <w:sz w:val="20"/>
                <w:szCs w:val="20"/>
                <w:color w:val="auto"/>
              </w:rPr>
            </w:pPr>
            <w:r>
              <w:rPr>
                <w:rFonts w:ascii="Arial" w:cs="Arial" w:eastAsia="Arial" w:hAnsi="Arial"/>
                <w:sz w:val="17"/>
                <w:szCs w:val="17"/>
                <w:color w:val="auto"/>
              </w:rPr>
              <w:t>Limitation on Assignment</w:t>
            </w:r>
          </w:p>
        </w:tc>
        <w:tc>
          <w:tcPr>
            <w:tcW w:w="160" w:type="dxa"/>
            <w:vAlign w:val="bottom"/>
            <w:tcBorders>
              <w:bottom w:val="single" w:sz="8" w:color="0000FF"/>
            </w:tcBorders>
            <w:gridSpan w:val="2"/>
          </w:tcPr>
          <w:p>
            <w:pPr>
              <w:spacing w:after="0"/>
              <w:rPr>
                <w:rFonts w:ascii="Arial" w:cs="Arial" w:eastAsia="Arial" w:hAnsi="Arial"/>
                <w:sz w:val="17"/>
                <w:szCs w:val="17"/>
                <w:color w:val="0000FF"/>
                <w:w w:val="73"/>
              </w:rPr>
            </w:pPr>
            <w:hyperlink w:anchor="page104">
              <w:r>
                <w:rPr>
                  <w:rFonts w:ascii="Arial" w:cs="Arial" w:eastAsia="Arial" w:hAnsi="Arial"/>
                  <w:sz w:val="17"/>
                  <w:szCs w:val="17"/>
                  <w:color w:val="0000FF"/>
                  <w:w w:val="73"/>
                </w:rPr>
                <w:t>21</w:t>
              </w:r>
            </w:hyperlink>
          </w:p>
        </w:tc>
      </w:tr>
      <w:tr>
        <w:trPr>
          <w:trHeight w:val="230"/>
        </w:trPr>
        <w:tc>
          <w:tcPr>
            <w:tcW w:w="1540" w:type="dxa"/>
            <w:vAlign w:val="bottom"/>
          </w:tcPr>
          <w:p>
            <w:pPr>
              <w:jc w:val="right"/>
              <w:spacing w:after="0"/>
              <w:rPr>
                <w:sz w:val="20"/>
                <w:szCs w:val="20"/>
                <w:color w:val="auto"/>
              </w:rPr>
            </w:pPr>
            <w:r>
              <w:rPr>
                <w:rFonts w:ascii="Arial" w:cs="Arial" w:eastAsia="Arial" w:hAnsi="Arial"/>
                <w:sz w:val="17"/>
                <w:szCs w:val="17"/>
                <w:color w:val="auto"/>
              </w:rPr>
              <w:t>2.5</w:t>
            </w:r>
          </w:p>
        </w:tc>
        <w:tc>
          <w:tcPr>
            <w:tcW w:w="8640" w:type="dxa"/>
            <w:vAlign w:val="bottom"/>
          </w:tcPr>
          <w:p>
            <w:pPr>
              <w:ind w:left="80"/>
              <w:spacing w:after="0"/>
              <w:rPr>
                <w:sz w:val="20"/>
                <w:szCs w:val="20"/>
                <w:color w:val="auto"/>
              </w:rPr>
            </w:pPr>
            <w:r>
              <w:rPr>
                <w:rFonts w:ascii="Arial" w:cs="Arial" w:eastAsia="Arial" w:hAnsi="Arial"/>
                <w:sz w:val="17"/>
                <w:szCs w:val="17"/>
                <w:color w:val="auto"/>
              </w:rPr>
              <w:t>Proof of Continued Existence; Escheatment of Unpaid Amounts</w:t>
            </w:r>
          </w:p>
        </w:tc>
        <w:tc>
          <w:tcPr>
            <w:tcW w:w="160" w:type="dxa"/>
            <w:vAlign w:val="bottom"/>
            <w:tcBorders>
              <w:bottom w:val="single" w:sz="8" w:color="0000FF"/>
            </w:tcBorders>
            <w:gridSpan w:val="2"/>
          </w:tcPr>
          <w:p>
            <w:pPr>
              <w:spacing w:after="0"/>
              <w:rPr>
                <w:rFonts w:ascii="Arial" w:cs="Arial" w:eastAsia="Arial" w:hAnsi="Arial"/>
                <w:sz w:val="17"/>
                <w:szCs w:val="17"/>
                <w:color w:val="0000FF"/>
                <w:w w:val="73"/>
              </w:rPr>
            </w:pPr>
            <w:hyperlink w:anchor="page104">
              <w:r>
                <w:rPr>
                  <w:rFonts w:ascii="Arial" w:cs="Arial" w:eastAsia="Arial" w:hAnsi="Arial"/>
                  <w:sz w:val="17"/>
                  <w:szCs w:val="17"/>
                  <w:color w:val="0000FF"/>
                  <w:w w:val="73"/>
                </w:rPr>
                <w:t>21</w:t>
              </w:r>
            </w:hyperlink>
          </w:p>
        </w:tc>
      </w:tr>
      <w:tr>
        <w:trPr>
          <w:trHeight w:val="230"/>
        </w:trPr>
        <w:tc>
          <w:tcPr>
            <w:tcW w:w="1540" w:type="dxa"/>
            <w:vAlign w:val="bottom"/>
          </w:tcPr>
          <w:p>
            <w:pPr>
              <w:jc w:val="right"/>
              <w:spacing w:after="0"/>
              <w:rPr>
                <w:sz w:val="20"/>
                <w:szCs w:val="20"/>
                <w:color w:val="auto"/>
              </w:rPr>
            </w:pPr>
            <w:r>
              <w:rPr>
                <w:rFonts w:ascii="Arial" w:cs="Arial" w:eastAsia="Arial" w:hAnsi="Arial"/>
                <w:sz w:val="17"/>
                <w:szCs w:val="17"/>
                <w:color w:val="auto"/>
              </w:rPr>
              <w:t>2.6</w:t>
            </w:r>
          </w:p>
        </w:tc>
        <w:tc>
          <w:tcPr>
            <w:tcW w:w="8640" w:type="dxa"/>
            <w:vAlign w:val="bottom"/>
          </w:tcPr>
          <w:p>
            <w:pPr>
              <w:ind w:left="80"/>
              <w:spacing w:after="0"/>
              <w:rPr>
                <w:sz w:val="20"/>
                <w:szCs w:val="20"/>
                <w:color w:val="auto"/>
              </w:rPr>
            </w:pPr>
            <w:r>
              <w:rPr>
                <w:rFonts w:ascii="Arial" w:cs="Arial" w:eastAsia="Arial" w:hAnsi="Arial"/>
                <w:sz w:val="17"/>
                <w:szCs w:val="17"/>
                <w:color w:val="auto"/>
              </w:rPr>
              <w:t>Misstatements</w:t>
            </w:r>
          </w:p>
        </w:tc>
        <w:tc>
          <w:tcPr>
            <w:tcW w:w="160" w:type="dxa"/>
            <w:vAlign w:val="bottom"/>
            <w:tcBorders>
              <w:bottom w:val="single" w:sz="8" w:color="0000FF"/>
            </w:tcBorders>
            <w:gridSpan w:val="2"/>
          </w:tcPr>
          <w:p>
            <w:pPr>
              <w:spacing w:after="0"/>
              <w:rPr>
                <w:rFonts w:ascii="Arial" w:cs="Arial" w:eastAsia="Arial" w:hAnsi="Arial"/>
                <w:sz w:val="17"/>
                <w:szCs w:val="17"/>
                <w:color w:val="0000FF"/>
                <w:w w:val="73"/>
              </w:rPr>
            </w:pPr>
            <w:hyperlink w:anchor="page104">
              <w:r>
                <w:rPr>
                  <w:rFonts w:ascii="Arial" w:cs="Arial" w:eastAsia="Arial" w:hAnsi="Arial"/>
                  <w:sz w:val="17"/>
                  <w:szCs w:val="17"/>
                  <w:color w:val="0000FF"/>
                  <w:w w:val="73"/>
                </w:rPr>
                <w:t>21</w:t>
              </w:r>
            </w:hyperlink>
          </w:p>
        </w:tc>
      </w:tr>
      <w:tr>
        <w:trPr>
          <w:trHeight w:val="230"/>
        </w:trPr>
        <w:tc>
          <w:tcPr>
            <w:tcW w:w="1540" w:type="dxa"/>
            <w:vAlign w:val="bottom"/>
          </w:tcPr>
          <w:p>
            <w:pPr>
              <w:jc w:val="right"/>
              <w:spacing w:after="0"/>
              <w:rPr>
                <w:sz w:val="20"/>
                <w:szCs w:val="20"/>
                <w:color w:val="auto"/>
              </w:rPr>
            </w:pPr>
            <w:r>
              <w:rPr>
                <w:rFonts w:ascii="Arial" w:cs="Arial" w:eastAsia="Arial" w:hAnsi="Arial"/>
                <w:sz w:val="17"/>
                <w:szCs w:val="17"/>
                <w:color w:val="auto"/>
              </w:rPr>
              <w:t>2.7</w:t>
            </w:r>
          </w:p>
        </w:tc>
        <w:tc>
          <w:tcPr>
            <w:tcW w:w="8640" w:type="dxa"/>
            <w:vAlign w:val="bottom"/>
          </w:tcPr>
          <w:p>
            <w:pPr>
              <w:ind w:left="80"/>
              <w:spacing w:after="0"/>
              <w:rPr>
                <w:sz w:val="20"/>
                <w:szCs w:val="20"/>
                <w:color w:val="auto"/>
              </w:rPr>
            </w:pPr>
            <w:r>
              <w:rPr>
                <w:rFonts w:ascii="Arial" w:cs="Arial" w:eastAsia="Arial" w:hAnsi="Arial"/>
                <w:sz w:val="17"/>
                <w:szCs w:val="17"/>
                <w:color w:val="auto"/>
              </w:rPr>
              <w:t>Concerning Beneficiaries and Contingent Annuitants</w:t>
            </w:r>
          </w:p>
        </w:tc>
        <w:tc>
          <w:tcPr>
            <w:tcW w:w="160" w:type="dxa"/>
            <w:vAlign w:val="bottom"/>
            <w:tcBorders>
              <w:bottom w:val="single" w:sz="8" w:color="0000FF"/>
            </w:tcBorders>
            <w:gridSpan w:val="2"/>
          </w:tcPr>
          <w:p>
            <w:pPr>
              <w:spacing w:after="0"/>
              <w:rPr>
                <w:rFonts w:ascii="Arial" w:cs="Arial" w:eastAsia="Arial" w:hAnsi="Arial"/>
                <w:sz w:val="17"/>
                <w:szCs w:val="17"/>
                <w:color w:val="0000FF"/>
                <w:w w:val="73"/>
              </w:rPr>
            </w:pPr>
            <w:hyperlink w:anchor="page105">
              <w:r>
                <w:rPr>
                  <w:rFonts w:ascii="Arial" w:cs="Arial" w:eastAsia="Arial" w:hAnsi="Arial"/>
                  <w:sz w:val="17"/>
                  <w:szCs w:val="17"/>
                  <w:color w:val="0000FF"/>
                  <w:w w:val="73"/>
                </w:rPr>
                <w:t>22</w:t>
              </w:r>
            </w:hyperlink>
          </w:p>
        </w:tc>
      </w:tr>
      <w:tr>
        <w:trPr>
          <w:trHeight w:val="230"/>
        </w:trPr>
        <w:tc>
          <w:tcPr>
            <w:tcW w:w="1540" w:type="dxa"/>
            <w:vAlign w:val="bottom"/>
          </w:tcPr>
          <w:p>
            <w:pPr>
              <w:jc w:val="right"/>
              <w:spacing w:after="0"/>
              <w:rPr>
                <w:sz w:val="20"/>
                <w:szCs w:val="20"/>
                <w:color w:val="auto"/>
              </w:rPr>
            </w:pPr>
            <w:r>
              <w:rPr>
                <w:rFonts w:ascii="Arial" w:cs="Arial" w:eastAsia="Arial" w:hAnsi="Arial"/>
                <w:sz w:val="17"/>
                <w:szCs w:val="17"/>
                <w:color w:val="auto"/>
              </w:rPr>
              <w:t>2.8</w:t>
            </w:r>
          </w:p>
        </w:tc>
        <w:tc>
          <w:tcPr>
            <w:tcW w:w="8640" w:type="dxa"/>
            <w:vAlign w:val="bottom"/>
          </w:tcPr>
          <w:p>
            <w:pPr>
              <w:ind w:left="80"/>
              <w:spacing w:after="0"/>
              <w:rPr>
                <w:sz w:val="20"/>
                <w:szCs w:val="20"/>
                <w:color w:val="auto"/>
              </w:rPr>
            </w:pPr>
            <w:r>
              <w:rPr>
                <w:rFonts w:ascii="Arial" w:cs="Arial" w:eastAsia="Arial" w:hAnsi="Arial"/>
                <w:sz w:val="17"/>
                <w:szCs w:val="17"/>
                <w:color w:val="auto"/>
              </w:rPr>
              <w:t>Concerning Domestic Relations Orders</w:t>
            </w:r>
          </w:p>
        </w:tc>
        <w:tc>
          <w:tcPr>
            <w:tcW w:w="160" w:type="dxa"/>
            <w:vAlign w:val="bottom"/>
            <w:tcBorders>
              <w:bottom w:val="single" w:sz="8" w:color="0000FF"/>
            </w:tcBorders>
            <w:gridSpan w:val="2"/>
          </w:tcPr>
          <w:p>
            <w:pPr>
              <w:spacing w:after="0"/>
              <w:rPr>
                <w:rFonts w:ascii="Arial" w:cs="Arial" w:eastAsia="Arial" w:hAnsi="Arial"/>
                <w:sz w:val="17"/>
                <w:szCs w:val="17"/>
                <w:color w:val="0000FF"/>
                <w:w w:val="73"/>
              </w:rPr>
            </w:pPr>
            <w:hyperlink w:anchor="page106">
              <w:r>
                <w:rPr>
                  <w:rFonts w:ascii="Arial" w:cs="Arial" w:eastAsia="Arial" w:hAnsi="Arial"/>
                  <w:sz w:val="17"/>
                  <w:szCs w:val="17"/>
                  <w:color w:val="0000FF"/>
                  <w:w w:val="73"/>
                </w:rPr>
                <w:t>23</w:t>
              </w:r>
            </w:hyperlink>
          </w:p>
        </w:tc>
      </w:tr>
      <w:tr>
        <w:trPr>
          <w:trHeight w:val="230"/>
        </w:trPr>
        <w:tc>
          <w:tcPr>
            <w:tcW w:w="1540" w:type="dxa"/>
            <w:vAlign w:val="bottom"/>
          </w:tcPr>
          <w:p>
            <w:pPr>
              <w:jc w:val="right"/>
              <w:spacing w:after="0"/>
              <w:rPr>
                <w:sz w:val="20"/>
                <w:szCs w:val="20"/>
                <w:color w:val="auto"/>
              </w:rPr>
            </w:pPr>
            <w:r>
              <w:rPr>
                <w:rFonts w:ascii="Arial" w:cs="Arial" w:eastAsia="Arial" w:hAnsi="Arial"/>
                <w:sz w:val="17"/>
                <w:szCs w:val="17"/>
                <w:color w:val="auto"/>
              </w:rPr>
              <w:t>2.9</w:t>
            </w:r>
          </w:p>
        </w:tc>
        <w:tc>
          <w:tcPr>
            <w:tcW w:w="8640" w:type="dxa"/>
            <w:vAlign w:val="bottom"/>
          </w:tcPr>
          <w:p>
            <w:pPr>
              <w:ind w:left="80"/>
              <w:spacing w:after="0"/>
              <w:rPr>
                <w:sz w:val="20"/>
                <w:szCs w:val="20"/>
                <w:color w:val="auto"/>
              </w:rPr>
            </w:pPr>
            <w:r>
              <w:rPr>
                <w:rFonts w:ascii="Arial" w:cs="Arial" w:eastAsia="Arial" w:hAnsi="Arial"/>
                <w:sz w:val="17"/>
                <w:szCs w:val="17"/>
                <w:color w:val="auto"/>
              </w:rPr>
              <w:t>Substitute Payee</w:t>
            </w:r>
          </w:p>
        </w:tc>
        <w:tc>
          <w:tcPr>
            <w:tcW w:w="160" w:type="dxa"/>
            <w:vAlign w:val="bottom"/>
            <w:tcBorders>
              <w:bottom w:val="single" w:sz="8" w:color="0000FF"/>
            </w:tcBorders>
            <w:gridSpan w:val="2"/>
          </w:tcPr>
          <w:p>
            <w:pPr>
              <w:spacing w:after="0"/>
              <w:rPr>
                <w:rFonts w:ascii="Arial" w:cs="Arial" w:eastAsia="Arial" w:hAnsi="Arial"/>
                <w:sz w:val="17"/>
                <w:szCs w:val="17"/>
                <w:color w:val="0000FF"/>
                <w:w w:val="73"/>
              </w:rPr>
            </w:pPr>
            <w:hyperlink w:anchor="page106">
              <w:r>
                <w:rPr>
                  <w:rFonts w:ascii="Arial" w:cs="Arial" w:eastAsia="Arial" w:hAnsi="Arial"/>
                  <w:sz w:val="17"/>
                  <w:szCs w:val="17"/>
                  <w:color w:val="0000FF"/>
                  <w:w w:val="73"/>
                </w:rPr>
                <w:t>23</w:t>
              </w:r>
            </w:hyperlink>
          </w:p>
        </w:tc>
      </w:tr>
      <w:tr>
        <w:trPr>
          <w:trHeight w:val="230"/>
        </w:trPr>
        <w:tc>
          <w:tcPr>
            <w:tcW w:w="1540" w:type="dxa"/>
            <w:vAlign w:val="bottom"/>
          </w:tcPr>
          <w:p>
            <w:pPr>
              <w:jc w:val="right"/>
              <w:spacing w:after="0"/>
              <w:rPr>
                <w:sz w:val="20"/>
                <w:szCs w:val="20"/>
                <w:color w:val="auto"/>
              </w:rPr>
            </w:pPr>
            <w:r>
              <w:rPr>
                <w:rFonts w:ascii="Arial" w:cs="Arial" w:eastAsia="Arial" w:hAnsi="Arial"/>
                <w:sz w:val="17"/>
                <w:szCs w:val="17"/>
                <w:color w:val="auto"/>
              </w:rPr>
              <w:t>2.10</w:t>
            </w:r>
          </w:p>
        </w:tc>
        <w:tc>
          <w:tcPr>
            <w:tcW w:w="8640" w:type="dxa"/>
            <w:vAlign w:val="bottom"/>
          </w:tcPr>
          <w:p>
            <w:pPr>
              <w:ind w:left="80"/>
              <w:spacing w:after="0"/>
              <w:rPr>
                <w:sz w:val="20"/>
                <w:szCs w:val="20"/>
                <w:color w:val="auto"/>
              </w:rPr>
            </w:pPr>
            <w:r>
              <w:rPr>
                <w:rFonts w:ascii="Arial" w:cs="Arial" w:eastAsia="Arial" w:hAnsi="Arial"/>
                <w:sz w:val="17"/>
                <w:szCs w:val="17"/>
                <w:color w:val="auto"/>
              </w:rPr>
              <w:t>Certificates</w:t>
            </w:r>
          </w:p>
        </w:tc>
        <w:tc>
          <w:tcPr>
            <w:tcW w:w="160" w:type="dxa"/>
            <w:vAlign w:val="bottom"/>
            <w:tcBorders>
              <w:bottom w:val="single" w:sz="8" w:color="0000FF"/>
            </w:tcBorders>
            <w:gridSpan w:val="2"/>
          </w:tcPr>
          <w:p>
            <w:pPr>
              <w:spacing w:after="0"/>
              <w:rPr>
                <w:rFonts w:ascii="Arial" w:cs="Arial" w:eastAsia="Arial" w:hAnsi="Arial"/>
                <w:sz w:val="17"/>
                <w:szCs w:val="17"/>
                <w:color w:val="0000FF"/>
                <w:w w:val="73"/>
              </w:rPr>
            </w:pPr>
            <w:hyperlink w:anchor="page106">
              <w:r>
                <w:rPr>
                  <w:rFonts w:ascii="Arial" w:cs="Arial" w:eastAsia="Arial" w:hAnsi="Arial"/>
                  <w:sz w:val="17"/>
                  <w:szCs w:val="17"/>
                  <w:color w:val="0000FF"/>
                  <w:w w:val="73"/>
                </w:rPr>
                <w:t>23</w:t>
              </w:r>
            </w:hyperlink>
          </w:p>
        </w:tc>
      </w:tr>
      <w:tr>
        <w:trPr>
          <w:trHeight w:val="230"/>
        </w:trPr>
        <w:tc>
          <w:tcPr>
            <w:tcW w:w="1540" w:type="dxa"/>
            <w:vAlign w:val="bottom"/>
          </w:tcPr>
          <w:p>
            <w:pPr>
              <w:jc w:val="right"/>
              <w:spacing w:after="0"/>
              <w:rPr>
                <w:sz w:val="20"/>
                <w:szCs w:val="20"/>
                <w:color w:val="auto"/>
              </w:rPr>
            </w:pPr>
            <w:r>
              <w:rPr>
                <w:rFonts w:ascii="Arial" w:cs="Arial" w:eastAsia="Arial" w:hAnsi="Arial"/>
                <w:sz w:val="17"/>
                <w:szCs w:val="17"/>
                <w:color w:val="auto"/>
              </w:rPr>
              <w:t>2.11</w:t>
            </w:r>
          </w:p>
        </w:tc>
        <w:tc>
          <w:tcPr>
            <w:tcW w:w="8640" w:type="dxa"/>
            <w:vAlign w:val="bottom"/>
          </w:tcPr>
          <w:p>
            <w:pPr>
              <w:ind w:left="80"/>
              <w:spacing w:after="0"/>
              <w:rPr>
                <w:sz w:val="20"/>
                <w:szCs w:val="20"/>
                <w:color w:val="auto"/>
              </w:rPr>
            </w:pPr>
            <w:r>
              <w:rPr>
                <w:rFonts w:ascii="Arial" w:cs="Arial" w:eastAsia="Arial" w:hAnsi="Arial"/>
                <w:sz w:val="17"/>
                <w:szCs w:val="17"/>
                <w:color w:val="auto"/>
              </w:rPr>
              <w:t>Reliance on Records; Correction of Errors</w:t>
            </w:r>
          </w:p>
        </w:tc>
        <w:tc>
          <w:tcPr>
            <w:tcW w:w="160" w:type="dxa"/>
            <w:vAlign w:val="bottom"/>
            <w:tcBorders>
              <w:bottom w:val="single" w:sz="8" w:color="0000FF"/>
            </w:tcBorders>
            <w:gridSpan w:val="2"/>
          </w:tcPr>
          <w:p>
            <w:pPr>
              <w:spacing w:after="0"/>
              <w:rPr>
                <w:rFonts w:ascii="Arial" w:cs="Arial" w:eastAsia="Arial" w:hAnsi="Arial"/>
                <w:sz w:val="17"/>
                <w:szCs w:val="17"/>
                <w:color w:val="0000FF"/>
                <w:w w:val="73"/>
              </w:rPr>
            </w:pPr>
            <w:hyperlink w:anchor="page107">
              <w:r>
                <w:rPr>
                  <w:rFonts w:ascii="Arial" w:cs="Arial" w:eastAsia="Arial" w:hAnsi="Arial"/>
                  <w:sz w:val="17"/>
                  <w:szCs w:val="17"/>
                  <w:color w:val="0000FF"/>
                  <w:w w:val="73"/>
                </w:rPr>
                <w:t>24</w:t>
              </w:r>
            </w:hyperlink>
          </w:p>
        </w:tc>
      </w:tr>
      <w:tr>
        <w:trPr>
          <w:trHeight w:val="230"/>
        </w:trPr>
        <w:tc>
          <w:tcPr>
            <w:tcW w:w="1540" w:type="dxa"/>
            <w:vAlign w:val="bottom"/>
          </w:tcPr>
          <w:p>
            <w:pPr>
              <w:jc w:val="right"/>
              <w:spacing w:after="0"/>
              <w:rPr>
                <w:sz w:val="20"/>
                <w:szCs w:val="20"/>
                <w:color w:val="auto"/>
              </w:rPr>
            </w:pPr>
            <w:r>
              <w:rPr>
                <w:rFonts w:ascii="Arial" w:cs="Arial" w:eastAsia="Arial" w:hAnsi="Arial"/>
                <w:sz w:val="17"/>
                <w:szCs w:val="17"/>
                <w:color w:val="auto"/>
              </w:rPr>
              <w:t>2.12</w:t>
            </w:r>
          </w:p>
        </w:tc>
        <w:tc>
          <w:tcPr>
            <w:tcW w:w="8640" w:type="dxa"/>
            <w:vAlign w:val="bottom"/>
          </w:tcPr>
          <w:p>
            <w:pPr>
              <w:ind w:left="80"/>
              <w:spacing w:after="0" w:line="231" w:lineRule="exact"/>
              <w:rPr>
                <w:sz w:val="20"/>
                <w:szCs w:val="20"/>
                <w:color w:val="auto"/>
              </w:rPr>
            </w:pPr>
            <w:r>
              <w:rPr>
                <w:rFonts w:ascii="Arial" w:cs="Arial" w:eastAsia="Arial" w:hAnsi="Arial"/>
                <w:sz w:val="17"/>
                <w:szCs w:val="17"/>
                <w:color w:val="auto"/>
              </w:rPr>
              <w:t>[Deductions from Annuity Payments]</w:t>
            </w:r>
            <w:r>
              <w:rPr>
                <w:rFonts w:ascii="Arial" w:cs="Arial" w:eastAsia="Arial" w:hAnsi="Arial"/>
                <w:sz w:val="23"/>
                <w:szCs w:val="23"/>
                <w:color w:val="auto"/>
                <w:vertAlign w:val="superscript"/>
              </w:rPr>
              <w:t>D</w:t>
            </w:r>
          </w:p>
        </w:tc>
        <w:tc>
          <w:tcPr>
            <w:tcW w:w="160" w:type="dxa"/>
            <w:vAlign w:val="bottom"/>
            <w:tcBorders>
              <w:bottom w:val="single" w:sz="8" w:color="0000FF"/>
            </w:tcBorders>
            <w:gridSpan w:val="2"/>
          </w:tcPr>
          <w:p>
            <w:pPr>
              <w:spacing w:after="0"/>
              <w:rPr>
                <w:rFonts w:ascii="Arial" w:cs="Arial" w:eastAsia="Arial" w:hAnsi="Arial"/>
                <w:sz w:val="17"/>
                <w:szCs w:val="17"/>
                <w:color w:val="0000FF"/>
                <w:w w:val="73"/>
              </w:rPr>
            </w:pPr>
            <w:hyperlink w:anchor="page107">
              <w:r>
                <w:rPr>
                  <w:rFonts w:ascii="Arial" w:cs="Arial" w:eastAsia="Arial" w:hAnsi="Arial"/>
                  <w:sz w:val="17"/>
                  <w:szCs w:val="17"/>
                  <w:color w:val="0000FF"/>
                  <w:w w:val="73"/>
                </w:rPr>
                <w:t>24</w:t>
              </w:r>
            </w:hyperlink>
          </w:p>
        </w:tc>
      </w:tr>
      <w:tr>
        <w:trPr>
          <w:trHeight w:val="568"/>
        </w:trPr>
        <w:tc>
          <w:tcPr>
            <w:tcW w:w="1540" w:type="dxa"/>
            <w:vAlign w:val="bottom"/>
          </w:tcPr>
          <w:p>
            <w:pPr>
              <w:spacing w:after="0"/>
              <w:rPr>
                <w:sz w:val="20"/>
                <w:szCs w:val="20"/>
                <w:color w:val="auto"/>
              </w:rPr>
            </w:pPr>
            <w:r>
              <w:rPr>
                <w:rFonts w:ascii="Arial" w:cs="Arial" w:eastAsia="Arial" w:hAnsi="Arial"/>
                <w:sz w:val="17"/>
                <w:szCs w:val="17"/>
                <w:b w:val="1"/>
                <w:bCs w:val="1"/>
                <w:color w:val="auto"/>
              </w:rPr>
              <w:t>Provision III</w:t>
            </w:r>
          </w:p>
        </w:tc>
        <w:tc>
          <w:tcPr>
            <w:tcW w:w="8640" w:type="dxa"/>
            <w:vAlign w:val="bottom"/>
          </w:tcPr>
          <w:p>
            <w:pPr>
              <w:ind w:left="80"/>
              <w:spacing w:after="0"/>
              <w:rPr>
                <w:sz w:val="20"/>
                <w:szCs w:val="20"/>
                <w:color w:val="auto"/>
              </w:rPr>
            </w:pPr>
            <w:r>
              <w:rPr>
                <w:rFonts w:ascii="Arial" w:cs="Arial" w:eastAsia="Arial" w:hAnsi="Arial"/>
                <w:sz w:val="17"/>
                <w:szCs w:val="17"/>
                <w:b w:val="1"/>
                <w:bCs w:val="1"/>
                <w:color w:val="auto"/>
              </w:rPr>
              <w:t>GENERAL TERMS</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513"/>
        </w:trPr>
        <w:tc>
          <w:tcPr>
            <w:tcW w:w="1540" w:type="dxa"/>
            <w:vAlign w:val="bottom"/>
          </w:tcPr>
          <w:p>
            <w:pPr>
              <w:jc w:val="right"/>
              <w:spacing w:after="0"/>
              <w:rPr>
                <w:sz w:val="20"/>
                <w:szCs w:val="20"/>
                <w:color w:val="auto"/>
              </w:rPr>
            </w:pPr>
            <w:r>
              <w:rPr>
                <w:rFonts w:ascii="Arial" w:cs="Arial" w:eastAsia="Arial" w:hAnsi="Arial"/>
                <w:sz w:val="17"/>
                <w:szCs w:val="17"/>
                <w:color w:val="auto"/>
              </w:rPr>
              <w:t>3.1</w:t>
            </w:r>
          </w:p>
        </w:tc>
        <w:tc>
          <w:tcPr>
            <w:tcW w:w="8640" w:type="dxa"/>
            <w:vAlign w:val="bottom"/>
          </w:tcPr>
          <w:p>
            <w:pPr>
              <w:ind w:left="80"/>
              <w:spacing w:after="0"/>
              <w:rPr>
                <w:sz w:val="20"/>
                <w:szCs w:val="20"/>
                <w:color w:val="auto"/>
              </w:rPr>
            </w:pPr>
            <w:r>
              <w:rPr>
                <w:rFonts w:ascii="Arial" w:cs="Arial" w:eastAsia="Arial" w:hAnsi="Arial"/>
                <w:sz w:val="17"/>
                <w:szCs w:val="17"/>
                <w:color w:val="auto"/>
              </w:rPr>
              <w:t>Communications</w:t>
            </w:r>
          </w:p>
        </w:tc>
        <w:tc>
          <w:tcPr>
            <w:tcW w:w="160" w:type="dxa"/>
            <w:vAlign w:val="bottom"/>
            <w:tcBorders>
              <w:bottom w:val="single" w:sz="8" w:color="0000FF"/>
            </w:tcBorders>
            <w:gridSpan w:val="2"/>
          </w:tcPr>
          <w:p>
            <w:pPr>
              <w:spacing w:after="0"/>
              <w:rPr>
                <w:rFonts w:ascii="Arial" w:cs="Arial" w:eastAsia="Arial" w:hAnsi="Arial"/>
                <w:sz w:val="17"/>
                <w:szCs w:val="17"/>
                <w:color w:val="0000FF"/>
                <w:w w:val="73"/>
              </w:rPr>
            </w:pPr>
            <w:hyperlink w:anchor="page107">
              <w:r>
                <w:rPr>
                  <w:rFonts w:ascii="Arial" w:cs="Arial" w:eastAsia="Arial" w:hAnsi="Arial"/>
                  <w:sz w:val="17"/>
                  <w:szCs w:val="17"/>
                  <w:color w:val="0000FF"/>
                  <w:w w:val="73"/>
                </w:rPr>
                <w:t>24</w:t>
              </w:r>
            </w:hyperlink>
          </w:p>
        </w:tc>
      </w:tr>
      <w:tr>
        <w:trPr>
          <w:trHeight w:val="230"/>
        </w:trPr>
        <w:tc>
          <w:tcPr>
            <w:tcW w:w="1540" w:type="dxa"/>
            <w:vAlign w:val="bottom"/>
          </w:tcPr>
          <w:p>
            <w:pPr>
              <w:jc w:val="right"/>
              <w:spacing w:after="0"/>
              <w:rPr>
                <w:sz w:val="20"/>
                <w:szCs w:val="20"/>
                <w:color w:val="auto"/>
              </w:rPr>
            </w:pPr>
            <w:r>
              <w:rPr>
                <w:rFonts w:ascii="Arial" w:cs="Arial" w:eastAsia="Arial" w:hAnsi="Arial"/>
                <w:sz w:val="17"/>
                <w:szCs w:val="17"/>
                <w:color w:val="auto"/>
              </w:rPr>
              <w:t>3.2</w:t>
            </w:r>
          </w:p>
        </w:tc>
        <w:tc>
          <w:tcPr>
            <w:tcW w:w="8640" w:type="dxa"/>
            <w:vAlign w:val="bottom"/>
          </w:tcPr>
          <w:p>
            <w:pPr>
              <w:ind w:left="80"/>
              <w:spacing w:after="0"/>
              <w:rPr>
                <w:sz w:val="20"/>
                <w:szCs w:val="20"/>
                <w:color w:val="auto"/>
              </w:rPr>
            </w:pPr>
            <w:r>
              <w:rPr>
                <w:rFonts w:ascii="Arial" w:cs="Arial" w:eastAsia="Arial" w:hAnsi="Arial"/>
                <w:sz w:val="17"/>
                <w:szCs w:val="17"/>
                <w:color w:val="auto"/>
              </w:rPr>
              <w:t>Currency; Payments</w:t>
            </w:r>
          </w:p>
        </w:tc>
        <w:tc>
          <w:tcPr>
            <w:tcW w:w="160" w:type="dxa"/>
            <w:vAlign w:val="bottom"/>
            <w:tcBorders>
              <w:bottom w:val="single" w:sz="8" w:color="0000FF"/>
            </w:tcBorders>
            <w:gridSpan w:val="2"/>
          </w:tcPr>
          <w:p>
            <w:pPr>
              <w:spacing w:after="0"/>
              <w:rPr>
                <w:rFonts w:ascii="Arial" w:cs="Arial" w:eastAsia="Arial" w:hAnsi="Arial"/>
                <w:sz w:val="17"/>
                <w:szCs w:val="17"/>
                <w:color w:val="0000FF"/>
                <w:w w:val="73"/>
              </w:rPr>
            </w:pPr>
            <w:hyperlink w:anchor="page107">
              <w:r>
                <w:rPr>
                  <w:rFonts w:ascii="Arial" w:cs="Arial" w:eastAsia="Arial" w:hAnsi="Arial"/>
                  <w:sz w:val="17"/>
                  <w:szCs w:val="17"/>
                  <w:color w:val="0000FF"/>
                  <w:w w:val="73"/>
                </w:rPr>
                <w:t>24</w:t>
              </w:r>
            </w:hyperlink>
          </w:p>
        </w:tc>
      </w:tr>
      <w:tr>
        <w:trPr>
          <w:trHeight w:val="230"/>
        </w:trPr>
        <w:tc>
          <w:tcPr>
            <w:tcW w:w="1540" w:type="dxa"/>
            <w:vAlign w:val="bottom"/>
          </w:tcPr>
          <w:p>
            <w:pPr>
              <w:jc w:val="right"/>
              <w:spacing w:after="0"/>
              <w:rPr>
                <w:sz w:val="20"/>
                <w:szCs w:val="20"/>
                <w:color w:val="auto"/>
              </w:rPr>
            </w:pPr>
            <w:r>
              <w:rPr>
                <w:rFonts w:ascii="Arial" w:cs="Arial" w:eastAsia="Arial" w:hAnsi="Arial"/>
                <w:sz w:val="17"/>
                <w:szCs w:val="17"/>
                <w:color w:val="auto"/>
              </w:rPr>
              <w:t>3.3</w:t>
            </w:r>
          </w:p>
        </w:tc>
        <w:tc>
          <w:tcPr>
            <w:tcW w:w="8640" w:type="dxa"/>
            <w:vAlign w:val="bottom"/>
          </w:tcPr>
          <w:p>
            <w:pPr>
              <w:ind w:left="80"/>
              <w:spacing w:after="0"/>
              <w:rPr>
                <w:sz w:val="20"/>
                <w:szCs w:val="20"/>
                <w:color w:val="auto"/>
              </w:rPr>
            </w:pPr>
            <w:r>
              <w:rPr>
                <w:rFonts w:ascii="Arial" w:cs="Arial" w:eastAsia="Arial" w:hAnsi="Arial"/>
                <w:sz w:val="17"/>
                <w:szCs w:val="17"/>
                <w:color w:val="auto"/>
              </w:rPr>
              <w:t>Contract-Holder</w:t>
            </w:r>
          </w:p>
        </w:tc>
        <w:tc>
          <w:tcPr>
            <w:tcW w:w="160" w:type="dxa"/>
            <w:vAlign w:val="bottom"/>
            <w:tcBorders>
              <w:bottom w:val="single" w:sz="8" w:color="0000FF"/>
            </w:tcBorders>
            <w:gridSpan w:val="2"/>
          </w:tcPr>
          <w:p>
            <w:pPr>
              <w:spacing w:after="0"/>
              <w:rPr>
                <w:rFonts w:ascii="Arial" w:cs="Arial" w:eastAsia="Arial" w:hAnsi="Arial"/>
                <w:sz w:val="17"/>
                <w:szCs w:val="17"/>
                <w:color w:val="0000FF"/>
                <w:w w:val="73"/>
              </w:rPr>
            </w:pPr>
            <w:hyperlink w:anchor="page108">
              <w:r>
                <w:rPr>
                  <w:rFonts w:ascii="Arial" w:cs="Arial" w:eastAsia="Arial" w:hAnsi="Arial"/>
                  <w:sz w:val="17"/>
                  <w:szCs w:val="17"/>
                  <w:color w:val="0000FF"/>
                  <w:w w:val="73"/>
                </w:rPr>
                <w:t>25</w:t>
              </w:r>
            </w:hyperlink>
          </w:p>
        </w:tc>
      </w:tr>
      <w:tr>
        <w:trPr>
          <w:trHeight w:val="230"/>
        </w:trPr>
        <w:tc>
          <w:tcPr>
            <w:tcW w:w="1540" w:type="dxa"/>
            <w:vAlign w:val="bottom"/>
          </w:tcPr>
          <w:p>
            <w:pPr>
              <w:jc w:val="right"/>
              <w:spacing w:after="0"/>
              <w:rPr>
                <w:sz w:val="20"/>
                <w:szCs w:val="20"/>
                <w:color w:val="auto"/>
              </w:rPr>
            </w:pPr>
            <w:r>
              <w:rPr>
                <w:rFonts w:ascii="Arial" w:cs="Arial" w:eastAsia="Arial" w:hAnsi="Arial"/>
                <w:sz w:val="17"/>
                <w:szCs w:val="17"/>
                <w:color w:val="auto"/>
              </w:rPr>
              <w:t>3.4</w:t>
            </w:r>
          </w:p>
        </w:tc>
        <w:tc>
          <w:tcPr>
            <w:tcW w:w="8640" w:type="dxa"/>
            <w:vAlign w:val="bottom"/>
          </w:tcPr>
          <w:p>
            <w:pPr>
              <w:ind w:left="80"/>
              <w:spacing w:after="0"/>
              <w:rPr>
                <w:sz w:val="20"/>
                <w:szCs w:val="20"/>
                <w:color w:val="auto"/>
              </w:rPr>
            </w:pPr>
            <w:r>
              <w:rPr>
                <w:rFonts w:ascii="Arial" w:cs="Arial" w:eastAsia="Arial" w:hAnsi="Arial"/>
                <w:sz w:val="17"/>
                <w:szCs w:val="17"/>
                <w:color w:val="auto"/>
              </w:rPr>
              <w:t>No Implied Waiver</w:t>
            </w:r>
          </w:p>
        </w:tc>
        <w:tc>
          <w:tcPr>
            <w:tcW w:w="160" w:type="dxa"/>
            <w:vAlign w:val="bottom"/>
            <w:tcBorders>
              <w:bottom w:val="single" w:sz="8" w:color="0000FF"/>
            </w:tcBorders>
            <w:gridSpan w:val="2"/>
          </w:tcPr>
          <w:p>
            <w:pPr>
              <w:spacing w:after="0"/>
              <w:rPr>
                <w:rFonts w:ascii="Arial" w:cs="Arial" w:eastAsia="Arial" w:hAnsi="Arial"/>
                <w:sz w:val="17"/>
                <w:szCs w:val="17"/>
                <w:color w:val="0000FF"/>
                <w:w w:val="73"/>
              </w:rPr>
            </w:pPr>
            <w:hyperlink w:anchor="page108">
              <w:r>
                <w:rPr>
                  <w:rFonts w:ascii="Arial" w:cs="Arial" w:eastAsia="Arial" w:hAnsi="Arial"/>
                  <w:sz w:val="17"/>
                  <w:szCs w:val="17"/>
                  <w:color w:val="0000FF"/>
                  <w:w w:val="73"/>
                </w:rPr>
                <w:t>25</w:t>
              </w:r>
            </w:hyperlink>
          </w:p>
        </w:tc>
      </w:tr>
      <w:tr>
        <w:trPr>
          <w:trHeight w:val="230"/>
        </w:trPr>
        <w:tc>
          <w:tcPr>
            <w:tcW w:w="1540" w:type="dxa"/>
            <w:vAlign w:val="bottom"/>
          </w:tcPr>
          <w:p>
            <w:pPr>
              <w:jc w:val="right"/>
              <w:spacing w:after="0"/>
              <w:rPr>
                <w:sz w:val="20"/>
                <w:szCs w:val="20"/>
                <w:color w:val="auto"/>
              </w:rPr>
            </w:pPr>
            <w:r>
              <w:rPr>
                <w:rFonts w:ascii="Arial" w:cs="Arial" w:eastAsia="Arial" w:hAnsi="Arial"/>
                <w:sz w:val="17"/>
                <w:szCs w:val="17"/>
                <w:color w:val="auto"/>
              </w:rPr>
              <w:t>3.5</w:t>
            </w:r>
          </w:p>
        </w:tc>
        <w:tc>
          <w:tcPr>
            <w:tcW w:w="8640" w:type="dxa"/>
            <w:vAlign w:val="bottom"/>
          </w:tcPr>
          <w:p>
            <w:pPr>
              <w:ind w:left="80"/>
              <w:spacing w:after="0"/>
              <w:rPr>
                <w:sz w:val="20"/>
                <w:szCs w:val="20"/>
                <w:color w:val="auto"/>
              </w:rPr>
            </w:pPr>
            <w:r>
              <w:rPr>
                <w:rFonts w:ascii="Arial" w:cs="Arial" w:eastAsia="Arial" w:hAnsi="Arial"/>
                <w:sz w:val="17"/>
                <w:szCs w:val="17"/>
                <w:color w:val="auto"/>
              </w:rPr>
              <w:t>Changes</w:t>
            </w:r>
          </w:p>
        </w:tc>
        <w:tc>
          <w:tcPr>
            <w:tcW w:w="160" w:type="dxa"/>
            <w:vAlign w:val="bottom"/>
            <w:tcBorders>
              <w:bottom w:val="single" w:sz="8" w:color="0000FF"/>
            </w:tcBorders>
            <w:gridSpan w:val="2"/>
          </w:tcPr>
          <w:p>
            <w:pPr>
              <w:spacing w:after="0"/>
              <w:rPr>
                <w:rFonts w:ascii="Arial" w:cs="Arial" w:eastAsia="Arial" w:hAnsi="Arial"/>
                <w:sz w:val="17"/>
                <w:szCs w:val="17"/>
                <w:color w:val="0000FF"/>
                <w:w w:val="73"/>
              </w:rPr>
            </w:pPr>
            <w:hyperlink w:anchor="page108">
              <w:r>
                <w:rPr>
                  <w:rFonts w:ascii="Arial" w:cs="Arial" w:eastAsia="Arial" w:hAnsi="Arial"/>
                  <w:sz w:val="17"/>
                  <w:szCs w:val="17"/>
                  <w:color w:val="0000FF"/>
                  <w:w w:val="73"/>
                </w:rPr>
                <w:t>25</w:t>
              </w:r>
            </w:hyperlink>
          </w:p>
        </w:tc>
      </w:tr>
      <w:tr>
        <w:trPr>
          <w:trHeight w:val="230"/>
        </w:trPr>
        <w:tc>
          <w:tcPr>
            <w:tcW w:w="1540" w:type="dxa"/>
            <w:vAlign w:val="bottom"/>
          </w:tcPr>
          <w:p>
            <w:pPr>
              <w:jc w:val="right"/>
              <w:spacing w:after="0"/>
              <w:rPr>
                <w:sz w:val="20"/>
                <w:szCs w:val="20"/>
                <w:color w:val="auto"/>
              </w:rPr>
            </w:pPr>
            <w:r>
              <w:rPr>
                <w:rFonts w:ascii="Arial" w:cs="Arial" w:eastAsia="Arial" w:hAnsi="Arial"/>
                <w:sz w:val="17"/>
                <w:szCs w:val="17"/>
                <w:color w:val="auto"/>
              </w:rPr>
              <w:t>3.6</w:t>
            </w:r>
          </w:p>
        </w:tc>
        <w:tc>
          <w:tcPr>
            <w:tcW w:w="8640" w:type="dxa"/>
            <w:vAlign w:val="bottom"/>
          </w:tcPr>
          <w:p>
            <w:pPr>
              <w:ind w:left="80"/>
              <w:spacing w:after="0"/>
              <w:rPr>
                <w:sz w:val="20"/>
                <w:szCs w:val="20"/>
                <w:color w:val="auto"/>
              </w:rPr>
            </w:pPr>
            <w:r>
              <w:rPr>
                <w:rFonts w:ascii="Arial" w:cs="Arial" w:eastAsia="Arial" w:hAnsi="Arial"/>
                <w:sz w:val="17"/>
                <w:szCs w:val="17"/>
                <w:color w:val="auto"/>
              </w:rPr>
              <w:t>Entire Contract - Construction</w:t>
            </w:r>
          </w:p>
        </w:tc>
        <w:tc>
          <w:tcPr>
            <w:tcW w:w="160" w:type="dxa"/>
            <w:vAlign w:val="bottom"/>
            <w:tcBorders>
              <w:bottom w:val="single" w:sz="8" w:color="0000FF"/>
            </w:tcBorders>
            <w:gridSpan w:val="2"/>
          </w:tcPr>
          <w:p>
            <w:pPr>
              <w:spacing w:after="0"/>
              <w:rPr>
                <w:rFonts w:ascii="Arial" w:cs="Arial" w:eastAsia="Arial" w:hAnsi="Arial"/>
                <w:sz w:val="17"/>
                <w:szCs w:val="17"/>
                <w:color w:val="0000FF"/>
                <w:w w:val="73"/>
              </w:rPr>
            </w:pPr>
            <w:hyperlink w:anchor="page108">
              <w:r>
                <w:rPr>
                  <w:rFonts w:ascii="Arial" w:cs="Arial" w:eastAsia="Arial" w:hAnsi="Arial"/>
                  <w:sz w:val="17"/>
                  <w:szCs w:val="17"/>
                  <w:color w:val="0000FF"/>
                  <w:w w:val="73"/>
                </w:rPr>
                <w:t>25</w:t>
              </w:r>
            </w:hyperlink>
          </w:p>
        </w:tc>
      </w:tr>
      <w:tr>
        <w:trPr>
          <w:trHeight w:val="230"/>
        </w:trPr>
        <w:tc>
          <w:tcPr>
            <w:tcW w:w="1540" w:type="dxa"/>
            <w:vAlign w:val="bottom"/>
          </w:tcPr>
          <w:p>
            <w:pPr>
              <w:jc w:val="right"/>
              <w:spacing w:after="0"/>
              <w:rPr>
                <w:sz w:val="20"/>
                <w:szCs w:val="20"/>
                <w:color w:val="auto"/>
              </w:rPr>
            </w:pPr>
            <w:r>
              <w:rPr>
                <w:rFonts w:ascii="Arial" w:cs="Arial" w:eastAsia="Arial" w:hAnsi="Arial"/>
                <w:sz w:val="17"/>
                <w:szCs w:val="17"/>
                <w:color w:val="auto"/>
              </w:rPr>
              <w:t>3.7</w:t>
            </w:r>
          </w:p>
        </w:tc>
        <w:tc>
          <w:tcPr>
            <w:tcW w:w="8640" w:type="dxa"/>
            <w:vAlign w:val="bottom"/>
          </w:tcPr>
          <w:p>
            <w:pPr>
              <w:ind w:left="80"/>
              <w:spacing w:after="0"/>
              <w:rPr>
                <w:sz w:val="20"/>
                <w:szCs w:val="20"/>
                <w:color w:val="auto"/>
              </w:rPr>
            </w:pPr>
            <w:r>
              <w:rPr>
                <w:rFonts w:ascii="Arial" w:cs="Arial" w:eastAsia="Arial" w:hAnsi="Arial"/>
                <w:sz w:val="17"/>
                <w:szCs w:val="17"/>
                <w:color w:val="auto"/>
              </w:rPr>
              <w:t>Third Party Beneficiaries:</w:t>
            </w:r>
          </w:p>
        </w:tc>
        <w:tc>
          <w:tcPr>
            <w:tcW w:w="160" w:type="dxa"/>
            <w:vAlign w:val="bottom"/>
            <w:tcBorders>
              <w:bottom w:val="single" w:sz="8" w:color="0000FF"/>
            </w:tcBorders>
            <w:gridSpan w:val="2"/>
          </w:tcPr>
          <w:p>
            <w:pPr>
              <w:spacing w:after="0"/>
              <w:rPr>
                <w:rFonts w:ascii="Arial" w:cs="Arial" w:eastAsia="Arial" w:hAnsi="Arial"/>
                <w:sz w:val="17"/>
                <w:szCs w:val="17"/>
                <w:color w:val="0000FF"/>
                <w:w w:val="73"/>
              </w:rPr>
            </w:pPr>
            <w:hyperlink w:anchor="page108">
              <w:r>
                <w:rPr>
                  <w:rFonts w:ascii="Arial" w:cs="Arial" w:eastAsia="Arial" w:hAnsi="Arial"/>
                  <w:sz w:val="17"/>
                  <w:szCs w:val="17"/>
                  <w:color w:val="0000FF"/>
                  <w:w w:val="73"/>
                </w:rPr>
                <w:t>25</w:t>
              </w:r>
            </w:hyperlink>
          </w:p>
        </w:tc>
      </w:tr>
    </w:tbl>
    <w:p>
      <w:pPr>
        <w:spacing w:after="0" w:line="3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TRANSFERRED ASSETS EXHIBIT(S)</w:t>
      </w:r>
    </w:p>
    <w:p>
      <w:pPr>
        <w:spacing w:after="0" w:line="3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ANNUITY EXHIBIT(S) ]</w:t>
      </w:r>
      <w:r>
        <w:rPr>
          <w:rFonts w:ascii="Arial" w:cs="Arial" w:eastAsia="Arial" w:hAnsi="Arial"/>
          <w:sz w:val="23"/>
          <w:szCs w:val="23"/>
          <w:b w:val="1"/>
          <w:bCs w:val="1"/>
          <w:color w:val="auto"/>
          <w:vertAlign w:val="superscript"/>
        </w:rPr>
        <w:t>C</w:t>
      </w:r>
    </w:p>
    <w:p>
      <w:pPr>
        <w:spacing w:after="0" w:line="390"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0340"/>
          </w:cols>
          <w:pgMar w:left="260" w:top="899" w:right="1299" w:bottom="1440" w:gutter="0" w:footer="0" w:header="0"/>
        </w:sectPr>
      </w:pPr>
    </w:p>
    <w:bookmarkStart w:id="84" w:name="page85"/>
    <w:bookmarkEnd w:id="84"/>
    <w:p>
      <w:pPr>
        <w:spacing w:after="0"/>
        <w:tabs>
          <w:tab w:leader="none" w:pos="1020" w:val="left"/>
        </w:tabs>
        <w:rPr>
          <w:sz w:val="20"/>
          <w:szCs w:val="20"/>
          <w:color w:val="auto"/>
        </w:rPr>
      </w:pPr>
      <w:r>
        <w:rPr>
          <w:rFonts w:ascii="Arial" w:cs="Arial" w:eastAsia="Arial" w:hAnsi="Arial"/>
          <w:sz w:val="18"/>
          <w:szCs w:val="18"/>
          <w:b w:val="1"/>
          <w:bCs w:val="1"/>
          <w:color w:val="auto"/>
        </w:rPr>
        <w:t>Provision I</w:t>
      </w:r>
      <w:r>
        <w:rPr>
          <w:sz w:val="20"/>
          <w:szCs w:val="20"/>
          <w:color w:val="auto"/>
        </w:rPr>
        <w:tab/>
      </w:r>
      <w:r>
        <w:rPr>
          <w:rFonts w:ascii="Arial" w:cs="Arial" w:eastAsia="Arial" w:hAnsi="Arial"/>
          <w:sz w:val="16"/>
          <w:szCs w:val="16"/>
          <w:b w:val="1"/>
          <w:bCs w:val="1"/>
          <w:color w:val="auto"/>
        </w:rPr>
        <w:t>Definitions; Separate Account Operations; Payment Operations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 *** ]</w:t>
      </w:r>
    </w:p>
    <w:p>
      <w:pPr>
        <w:spacing w:after="0" w:line="206" w:lineRule="exact"/>
        <w:rPr>
          <w:sz w:val="20"/>
          <w:szCs w:val="20"/>
          <w:color w:val="auto"/>
        </w:rPr>
      </w:pPr>
    </w:p>
    <w:p>
      <w:pPr>
        <w:ind w:left="600"/>
        <w:spacing w:after="0"/>
        <w:rPr>
          <w:sz w:val="20"/>
          <w:szCs w:val="20"/>
          <w:color w:val="auto"/>
        </w:rPr>
      </w:pPr>
      <w:r>
        <w:rPr>
          <w:rFonts w:ascii="Arial" w:cs="Arial" w:eastAsia="Arial" w:hAnsi="Arial"/>
          <w:sz w:val="18"/>
          <w:szCs w:val="18"/>
          <w:color w:val="auto"/>
        </w:rPr>
        <w:t>[ *** ]</w:t>
      </w:r>
    </w:p>
    <w:p>
      <w:pPr>
        <w:spacing w:after="0" w:line="200" w:lineRule="exact"/>
        <w:rPr>
          <w:sz w:val="20"/>
          <w:szCs w:val="20"/>
          <w:color w:val="auto"/>
        </w:rPr>
      </w:pPr>
    </w:p>
    <w:p>
      <w:pPr>
        <w:spacing w:after="0" w:line="206"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u w:val="single" w:color="auto"/>
          <w:color w:val="auto"/>
        </w:rPr>
        <w:t>1.1</w:t>
      </w:r>
      <w:r>
        <w:rPr>
          <w:sz w:val="20"/>
          <w:szCs w:val="20"/>
          <w:color w:val="auto"/>
        </w:rPr>
        <w:tab/>
      </w:r>
      <w:r>
        <w:rPr>
          <w:rFonts w:ascii="Arial" w:cs="Arial" w:eastAsia="Arial" w:hAnsi="Arial"/>
          <w:sz w:val="17"/>
          <w:szCs w:val="17"/>
          <w:u w:val="single" w:color="auto"/>
          <w:color w:val="auto"/>
        </w:rPr>
        <w:t>Definitions</w:t>
      </w:r>
    </w:p>
    <w:p>
      <w:pPr>
        <w:spacing w:after="0" w:line="206" w:lineRule="exact"/>
        <w:rPr>
          <w:sz w:val="20"/>
          <w:szCs w:val="20"/>
          <w:color w:val="auto"/>
        </w:rPr>
      </w:pPr>
    </w:p>
    <w:p>
      <w:pPr>
        <w:ind w:left="600"/>
        <w:spacing w:after="0"/>
        <w:rPr>
          <w:sz w:val="20"/>
          <w:szCs w:val="20"/>
          <w:color w:val="auto"/>
        </w:rPr>
      </w:pPr>
      <w:r>
        <w:rPr>
          <w:rFonts w:ascii="Arial" w:cs="Arial" w:eastAsia="Arial" w:hAnsi="Arial"/>
          <w:sz w:val="18"/>
          <w:szCs w:val="18"/>
          <w:color w:val="auto"/>
        </w:rPr>
        <w:t>In addition to other capitalized terms defined in this Contract, the following capitalized terms shall have the meanings indicated:</w:t>
      </w:r>
    </w:p>
    <w:p>
      <w:pPr>
        <w:spacing w:after="0" w:line="206"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"Additional General Account Reserve" has the meaning assigned in Section 1.7.</w:t>
      </w:r>
    </w:p>
    <w:p>
      <w:pPr>
        <w:spacing w:after="0" w:line="206" w:lineRule="exact"/>
        <w:rPr>
          <w:sz w:val="20"/>
          <w:szCs w:val="20"/>
          <w:color w:val="auto"/>
        </w:rPr>
      </w:pPr>
    </w:p>
    <w:p>
      <w:pPr>
        <w:ind w:left="600" w:right="100"/>
        <w:spacing w:after="0" w:line="277" w:lineRule="auto"/>
        <w:rPr>
          <w:sz w:val="20"/>
          <w:szCs w:val="20"/>
          <w:color w:val="auto"/>
        </w:rPr>
      </w:pPr>
      <w:r>
        <w:rPr>
          <w:rFonts w:ascii="Arial" w:cs="Arial" w:eastAsia="Arial" w:hAnsi="Arial"/>
          <w:sz w:val="18"/>
          <w:szCs w:val="18"/>
          <w:color w:val="auto"/>
        </w:rPr>
        <w:t>“Adjusted Contribution Amount” means the net amount specified as such on the Cover Page of this Contract, payable on the Effective Date or on an Amendment Date specified on the related Cover Page.</w:t>
      </w:r>
    </w:p>
    <w:p>
      <w:pPr>
        <w:spacing w:after="0" w:line="148" w:lineRule="exact"/>
        <w:rPr>
          <w:sz w:val="20"/>
          <w:szCs w:val="20"/>
          <w:color w:val="auto"/>
        </w:rPr>
      </w:pPr>
    </w:p>
    <w:p>
      <w:pPr>
        <w:ind w:left="600"/>
        <w:spacing w:after="0" w:line="277" w:lineRule="auto"/>
        <w:rPr>
          <w:sz w:val="20"/>
          <w:szCs w:val="20"/>
          <w:color w:val="auto"/>
        </w:rPr>
      </w:pPr>
      <w:r>
        <w:rPr>
          <w:rFonts w:ascii="Arial" w:cs="Arial" w:eastAsia="Arial" w:hAnsi="Arial"/>
          <w:sz w:val="18"/>
          <w:szCs w:val="18"/>
          <w:color w:val="auto"/>
        </w:rPr>
        <w:t>“Aggregate Monthly Payment” means, for each month, the aggregate amount of Annuity Payments payable in respect of all Covered Lives (and, if applicable, Contingent Lives and Beneficiaries) for such month.</w:t>
      </w:r>
    </w:p>
    <w:p>
      <w:pPr>
        <w:spacing w:after="0" w:line="14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“Amendment Date” means the date shown on the Cover Page, and which is other than the Effective Date.</w:t>
      </w:r>
    </w:p>
    <w:p>
      <w:pPr>
        <w:spacing w:after="0" w:line="206" w:lineRule="exact"/>
        <w:rPr>
          <w:sz w:val="20"/>
          <w:szCs w:val="20"/>
          <w:color w:val="auto"/>
        </w:rPr>
      </w:pPr>
    </w:p>
    <w:p>
      <w:pPr>
        <w:ind w:left="600" w:right="200"/>
        <w:spacing w:after="0" w:line="235" w:lineRule="auto"/>
        <w:rPr>
          <w:sz w:val="20"/>
          <w:szCs w:val="20"/>
          <w:color w:val="auto"/>
        </w:rPr>
      </w:pPr>
      <w:r>
        <w:rPr>
          <w:rFonts w:ascii="Arial" w:cs="Arial" w:eastAsia="Arial" w:hAnsi="Arial"/>
          <w:sz w:val="18"/>
          <w:szCs w:val="18"/>
          <w:color w:val="auto"/>
        </w:rPr>
        <w:t>“Annuity Commencement Date” means the date the Annuity Payments commence, which shall be [MM DD, YYYY]</w:t>
      </w:r>
      <w:r>
        <w:rPr>
          <w:rFonts w:ascii="Arial" w:cs="Arial" w:eastAsia="Arial" w:hAnsi="Arial"/>
          <w:sz w:val="23"/>
          <w:szCs w:val="23"/>
          <w:color w:val="auto"/>
          <w:vertAlign w:val="superscript"/>
        </w:rPr>
        <w:t>E</w:t>
      </w:r>
      <w:r>
        <w:rPr>
          <w:rFonts w:ascii="Arial" w:cs="Arial" w:eastAsia="Arial" w:hAnsi="Arial"/>
          <w:sz w:val="18"/>
          <w:szCs w:val="18"/>
          <w:color w:val="auto"/>
        </w:rPr>
        <w:t>[specified on the Annuity Exhibits]</w:t>
      </w:r>
      <w:r>
        <w:rPr>
          <w:rFonts w:ascii="Arial" w:cs="Arial" w:eastAsia="Arial" w:hAnsi="Arial"/>
          <w:sz w:val="23"/>
          <w:szCs w:val="23"/>
          <w:color w:val="auto"/>
          <w:vertAlign w:val="superscript"/>
        </w:rPr>
        <w:t>E</w:t>
      </w:r>
      <w:r>
        <w:rPr>
          <w:rFonts w:ascii="Arial" w:cs="Arial" w:eastAsia="Arial" w:hAnsi="Arial"/>
          <w:sz w:val="18"/>
          <w:szCs w:val="18"/>
          <w:color w:val="auto"/>
        </w:rPr>
        <w:t>.</w:t>
      </w:r>
    </w:p>
    <w:p>
      <w:pPr>
        <w:spacing w:after="0" w:line="108" w:lineRule="exact"/>
        <w:rPr>
          <w:sz w:val="20"/>
          <w:szCs w:val="20"/>
          <w:color w:val="auto"/>
        </w:rPr>
      </w:pPr>
    </w:p>
    <w:p>
      <w:pPr>
        <w:ind w:left="600" w:right="420"/>
        <w:spacing w:after="0" w:line="277" w:lineRule="auto"/>
        <w:rPr>
          <w:sz w:val="20"/>
          <w:szCs w:val="20"/>
          <w:color w:val="auto"/>
        </w:rPr>
      </w:pPr>
      <w:r>
        <w:rPr>
          <w:rFonts w:ascii="Arial" w:cs="Arial" w:eastAsia="Arial" w:hAnsi="Arial"/>
          <w:sz w:val="18"/>
          <w:szCs w:val="18"/>
          <w:color w:val="auto"/>
        </w:rPr>
        <w:t>“Annuity Exhibits” means the Annuity Exhibits attached hereto setting forth the features of the Annuity Payments for each Covered Life and Contingent Life.</w:t>
      </w:r>
    </w:p>
    <w:p>
      <w:pPr>
        <w:spacing w:after="0" w:line="14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“Annuity Forms” means the types of annuities (and payment obligations arising thereunder) specified in Provision II.</w:t>
      </w:r>
    </w:p>
    <w:p>
      <w:pPr>
        <w:spacing w:after="0" w:line="206" w:lineRule="exact"/>
        <w:rPr>
          <w:sz w:val="20"/>
          <w:szCs w:val="20"/>
          <w:color w:val="auto"/>
        </w:rPr>
      </w:pPr>
    </w:p>
    <w:p>
      <w:pPr>
        <w:ind w:left="600" w:right="60"/>
        <w:spacing w:after="0" w:line="256" w:lineRule="auto"/>
        <w:rPr>
          <w:sz w:val="20"/>
          <w:szCs w:val="20"/>
          <w:color w:val="auto"/>
        </w:rPr>
      </w:pPr>
      <w:r>
        <w:rPr>
          <w:rFonts w:ascii="Arial" w:cs="Arial" w:eastAsia="Arial" w:hAnsi="Arial"/>
          <w:sz w:val="18"/>
          <w:szCs w:val="18"/>
          <w:color w:val="auto"/>
        </w:rPr>
        <w:t>“Annuity Payments” means, with respect to each Covered Life (and, if applicable to such Covered Life, each Contingent Life), the amount of periodic and single payments determined in accordance with Provision II of this Contract, and, with respect to any Beneficiary, the amount of any periodic and single payments owed after the death of a Covered Life or, if applicable, a Contingent Life, in each case as determined in accordance with Provision II of this Contract.</w:t>
      </w:r>
    </w:p>
    <w:p>
      <w:pPr>
        <w:spacing w:after="0" w:line="16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“Beneficiary” means,</w:t>
      </w:r>
    </w:p>
    <w:p>
      <w:pPr>
        <w:spacing w:after="0" w:line="206" w:lineRule="exact"/>
        <w:rPr>
          <w:sz w:val="20"/>
          <w:szCs w:val="20"/>
          <w:color w:val="auto"/>
        </w:rPr>
      </w:pPr>
    </w:p>
    <w:p>
      <w:pPr>
        <w:ind w:left="1520" w:right="20" w:hanging="293"/>
        <w:spacing w:after="0" w:line="284" w:lineRule="auto"/>
        <w:tabs>
          <w:tab w:leader="none" w:pos="152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during the lifetime of a Covered Life, the person shown in Prudential's records as having been designated by the Covered Life to receive (after the death of such Covered Life) any payment owing under Provision II of this Contract other than payments owed to the related Contingent Life (such related Contingent Life is not a “Beneficiary” as such term is used in this Contract); and</w:t>
      </w:r>
    </w:p>
    <w:p>
      <w:pPr>
        <w:spacing w:after="0" w:line="144" w:lineRule="exact"/>
        <w:rPr>
          <w:rFonts w:ascii="Arial" w:cs="Arial" w:eastAsia="Arial" w:hAnsi="Arial"/>
          <w:sz w:val="17"/>
          <w:szCs w:val="17"/>
          <w:color w:val="auto"/>
        </w:rPr>
      </w:pPr>
    </w:p>
    <w:p>
      <w:pPr>
        <w:ind w:left="1520" w:right="40" w:hanging="293"/>
        <w:spacing w:after="0" w:line="254" w:lineRule="auto"/>
        <w:tabs>
          <w:tab w:leader="none" w:pos="152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during the period after the death of the Covered Life and before the death of the Contingent Life, the person shown in Prudential's records as having been designated by the Contingent Life (or, in the absence of such designation, the person previously designated by the Covered Life) to receive, after the death of such Contingent Life, any payment owing under Provision II of this Contract. A Beneficiary is owed payments under this Contract after the death of a Covered Life or Contingent Life only if so provided for under the Annuity Form applicable to the Covered Life.</w:t>
      </w: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380"/>
          </w:cols>
          <w:pgMar w:left="240" w:top="745" w:right="279" w:bottom="1440" w:gutter="0" w:footer="0" w:header="0"/>
        </w:sectPr>
      </w:pPr>
    </w:p>
    <w:bookmarkStart w:id="85" w:name="page86"/>
    <w:bookmarkEnd w:id="85"/>
    <w:p>
      <w:pPr>
        <w:ind w:left="600" w:right="360"/>
        <w:spacing w:after="0" w:line="256" w:lineRule="auto"/>
        <w:rPr>
          <w:sz w:val="20"/>
          <w:szCs w:val="20"/>
          <w:color w:val="auto"/>
        </w:rPr>
      </w:pPr>
      <w:r>
        <w:rPr>
          <w:rFonts w:ascii="Arial" w:cs="Arial" w:eastAsia="Arial" w:hAnsi="Arial"/>
          <w:sz w:val="18"/>
          <w:szCs w:val="18"/>
          <w:color w:val="auto"/>
        </w:rPr>
        <w:t>Until the death of the Covered Life (and, if the Annuity Form specifies a Contingent Life, until the death of both the Covered Life and Contingent Life) a Beneficiary is not a third-party beneficiary of this Contract and has no rights hereunder, and after such death(s) a Beneficiary has the rights of a third-party beneficiary as set forth herein. A Representative of a Beneficiary shall have the rights of a Beneficiary hereunder.</w:t>
      </w:r>
    </w:p>
    <w:p>
      <w:pPr>
        <w:spacing w:after="0" w:line="168" w:lineRule="exact"/>
        <w:rPr>
          <w:sz w:val="20"/>
          <w:szCs w:val="20"/>
          <w:color w:val="auto"/>
        </w:rPr>
      </w:pPr>
    </w:p>
    <w:p>
      <w:pPr>
        <w:jc w:val="both"/>
        <w:ind w:right="80"/>
        <w:spacing w:after="0" w:line="284" w:lineRule="auto"/>
        <w:rPr>
          <w:sz w:val="20"/>
          <w:szCs w:val="20"/>
          <w:color w:val="auto"/>
        </w:rPr>
      </w:pPr>
      <w:r>
        <w:rPr>
          <w:rFonts w:ascii="Arial" w:cs="Arial" w:eastAsia="Arial" w:hAnsi="Arial"/>
          <w:sz w:val="17"/>
          <w:szCs w:val="17"/>
          <w:color w:val="auto"/>
        </w:rPr>
        <w:t>"Business Day" means any weekday on which the banks in New York City, New York are open for business. If any payment under this Contract is due and payable on a day which is not a Business Day, or if any notice or report is required to be given on a day which is not a Business Day, such payment shall be due and payable or such notice or report shall be given on the next succeeding Business Day</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“Code” means the Internal Revenue Code of 1986, as amended from time to time, or any successor statute.</w:t>
      </w:r>
    </w:p>
    <w:p>
      <w:pPr>
        <w:spacing w:after="0" w:line="206"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“Commingled Account” means the Portfolio Protected Buyout Separate Account, an insurance company separate account the assets of which are owned by Prudential. The assets of this separate account will be held by Prudential in one or more custody accounts at entities independent of Prudential that only hold assets allocated to this separate account. Following consummation of a small account conversion in accordance with Section 1.10 (“Small Account Conversion”), this commingled separate account shall hold assets supporting the payment obligations of Prudential under this Contract. Such separate account also supports Prudential's payment obligations under other group annuity contracts issued by Prudential. Each such contract obligates Prudential to make payments to the contract-holder and/or to individual covered lives, contingent covered lives and beneficiaries in amounts measured and adjusted by the life-span of such covered lives, by any lump sum amounts due and/or by the remaining portion of any period certain annuities.</w:t>
      </w:r>
    </w:p>
    <w:p>
      <w:pPr>
        <w:spacing w:after="0" w:line="171"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“Contingent Life” means a person listed on the Annuity Exhibits as entitled to a periodic payment following the death of the Covered Life in accordance with the related Annuity Form, or such other person who a Covered Life designates after the Annuity Commencement Date as a Contingent Life, if such designation is permitted by the related Annuity Form. A Contingent Life is not a Beneficiary as such term is used in this Contract. A Contingent Life is a third-party beneficiary of this Contract and has the rights set forth herein. A Representative of a Contingent Life shall have the rights of a Contingent Life hereunder.</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 *** ]</w:t>
      </w:r>
    </w:p>
    <w:p>
      <w:pPr>
        <w:spacing w:after="0" w:line="206" w:lineRule="exact"/>
        <w:rPr>
          <w:sz w:val="20"/>
          <w:szCs w:val="20"/>
          <w:color w:val="auto"/>
        </w:rPr>
      </w:pPr>
    </w:p>
    <w:p>
      <w:pPr>
        <w:jc w:val="both"/>
        <w:ind w:right="220"/>
        <w:spacing w:after="0" w:line="277" w:lineRule="auto"/>
        <w:rPr>
          <w:sz w:val="20"/>
          <w:szCs w:val="20"/>
          <w:color w:val="auto"/>
        </w:rPr>
      </w:pPr>
      <w:r>
        <w:rPr>
          <w:rFonts w:ascii="Arial" w:cs="Arial" w:eastAsia="Arial" w:hAnsi="Arial"/>
          <w:sz w:val="18"/>
          <w:szCs w:val="18"/>
          <w:color w:val="auto"/>
        </w:rPr>
        <w:t>“Contract-Holder” means the entity named as such on the Cover Page of this Contract, and any successors or assigns of such Contract-Holder as provided in Provision III.</w:t>
      </w:r>
    </w:p>
    <w:p>
      <w:pPr>
        <w:spacing w:after="0" w:line="148" w:lineRule="exact"/>
        <w:rPr>
          <w:sz w:val="20"/>
          <w:szCs w:val="20"/>
          <w:color w:val="auto"/>
        </w:rPr>
      </w:pPr>
    </w:p>
    <w:p>
      <w:pPr>
        <w:jc w:val="both"/>
        <w:ind w:right="200"/>
        <w:spacing w:after="0" w:line="284" w:lineRule="auto"/>
        <w:rPr>
          <w:sz w:val="20"/>
          <w:szCs w:val="20"/>
          <w:color w:val="auto"/>
        </w:rPr>
      </w:pPr>
      <w:r>
        <w:rPr>
          <w:rFonts w:ascii="Arial" w:cs="Arial" w:eastAsia="Arial" w:hAnsi="Arial"/>
          <w:sz w:val="17"/>
          <w:szCs w:val="17"/>
          <w:color w:val="auto"/>
        </w:rPr>
        <w:t>“Covered Life” means each person listed on the Annuity Exhibits as entitled to a periodic payment specified in the Annuity Exhibits. A Covered Life is not a Contingent Life or a Beneficiary as such terms are used in this Contract. A Covered Life is a third-party beneficiary of this Contract and has the rights set forth herein. A Representative of a Covered Life shall have the rights of a Covered Life hereunder.</w:t>
      </w:r>
    </w:p>
    <w:p>
      <w:pPr>
        <w:spacing w:after="0" w:line="145"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“Dedicated Account” means the [ *** ]</w:t>
      </w:r>
      <w:r>
        <w:rPr>
          <w:rFonts w:ascii="Arial" w:cs="Arial" w:eastAsia="Arial" w:hAnsi="Arial"/>
          <w:sz w:val="23"/>
          <w:szCs w:val="23"/>
          <w:color w:val="auto"/>
          <w:vertAlign w:val="superscript"/>
        </w:rPr>
        <w:t>F</w:t>
      </w:r>
      <w:r>
        <w:rPr>
          <w:rFonts w:ascii="Arial" w:cs="Arial" w:eastAsia="Arial" w:hAnsi="Arial"/>
          <w:sz w:val="18"/>
          <w:szCs w:val="18"/>
          <w:color w:val="auto"/>
        </w:rPr>
        <w:t>, an insurance company separate account the assets of which are owned by Prudential. This separate account may only hold assets supporting the payment obligations of Prudential under this Contract. The assets of this separate account will be held by Prudential in one or more custody accounts at entities independent of Prudential that only hold assets allocated to this separate account. After consummation of a small account conversion in accordance with Section 1.10 (“Small Account Conversion”), the assets of this separate account shall be transferred to the Commingled Account.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“Effective Date” means the date specified in Section 1.2.</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“ERISA” means the Employee Retirement Income Security Act of 1974, as amended, or any successor statute.</w:t>
      </w:r>
    </w:p>
    <w:p>
      <w:pPr>
        <w:spacing w:after="0" w:line="200" w:lineRule="exact"/>
        <w:rPr>
          <w:sz w:val="20"/>
          <w:szCs w:val="20"/>
          <w:color w:val="auto"/>
        </w:rPr>
      </w:pPr>
    </w:p>
    <w:p>
      <w:pPr>
        <w:spacing w:after="0" w:line="236"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0820"/>
          </w:cols>
          <w:pgMar w:left="840" w:top="548" w:right="239" w:bottom="1440" w:gutter="0" w:footer="0" w:header="0"/>
        </w:sectPr>
      </w:pPr>
    </w:p>
    <w:bookmarkStart w:id="86" w:name="page87"/>
    <w:bookmarkEnd w:id="86"/>
    <w:p>
      <w:pPr>
        <w:ind w:left="600"/>
        <w:spacing w:after="0"/>
        <w:rPr>
          <w:sz w:val="20"/>
          <w:szCs w:val="20"/>
          <w:color w:val="auto"/>
        </w:rPr>
      </w:pPr>
      <w:r>
        <w:rPr>
          <w:rFonts w:ascii="Arial" w:cs="Arial" w:eastAsia="Arial" w:hAnsi="Arial"/>
          <w:sz w:val="18"/>
          <w:szCs w:val="18"/>
          <w:color w:val="auto"/>
        </w:rPr>
        <w:t>“Existing Contract” has the meaning assigned in Section 1.0.</w:t>
      </w:r>
    </w:p>
    <w:p>
      <w:pPr>
        <w:spacing w:after="0" w:line="206" w:lineRule="exact"/>
        <w:rPr>
          <w:sz w:val="20"/>
          <w:szCs w:val="20"/>
          <w:color w:val="auto"/>
        </w:rPr>
      </w:pPr>
    </w:p>
    <w:p>
      <w:pPr>
        <w:ind w:left="600"/>
        <w:spacing w:after="0"/>
        <w:rPr>
          <w:sz w:val="20"/>
          <w:szCs w:val="20"/>
          <w:color w:val="auto"/>
        </w:rPr>
      </w:pPr>
      <w:r>
        <w:rPr>
          <w:rFonts w:ascii="Arial" w:cs="Arial" w:eastAsia="Arial" w:hAnsi="Arial"/>
          <w:sz w:val="18"/>
          <w:szCs w:val="18"/>
          <w:color w:val="auto"/>
        </w:rPr>
        <w:t>“Existing Separate Account” has the meaning assigned in Section 1.0.</w:t>
      </w:r>
    </w:p>
    <w:p>
      <w:pPr>
        <w:spacing w:after="0" w:line="206" w:lineRule="exact"/>
        <w:rPr>
          <w:sz w:val="20"/>
          <w:szCs w:val="20"/>
          <w:color w:val="auto"/>
        </w:rPr>
      </w:pPr>
    </w:p>
    <w:p>
      <w:pPr>
        <w:ind w:left="600"/>
        <w:spacing w:after="0"/>
        <w:rPr>
          <w:sz w:val="20"/>
          <w:szCs w:val="20"/>
          <w:color w:val="auto"/>
        </w:rPr>
      </w:pPr>
      <w:r>
        <w:rPr>
          <w:rFonts w:ascii="Arial" w:cs="Arial" w:eastAsia="Arial" w:hAnsi="Arial"/>
          <w:sz w:val="18"/>
          <w:szCs w:val="18"/>
          <w:color w:val="auto"/>
        </w:rPr>
        <w:t>“Expected Data Finalization Date” means the date determined by mutual consent of the Contract-Holder and Prudential.</w:t>
      </w:r>
    </w:p>
    <w:p>
      <w:pPr>
        <w:spacing w:after="0" w:line="206" w:lineRule="exact"/>
        <w:rPr>
          <w:sz w:val="20"/>
          <w:szCs w:val="20"/>
          <w:color w:val="auto"/>
        </w:rPr>
      </w:pPr>
    </w:p>
    <w:p>
      <w:pPr>
        <w:ind w:left="600"/>
        <w:spacing w:after="0"/>
        <w:rPr>
          <w:sz w:val="20"/>
          <w:szCs w:val="20"/>
          <w:color w:val="auto"/>
        </w:rPr>
      </w:pPr>
      <w:r>
        <w:rPr>
          <w:rFonts w:ascii="Arial" w:cs="Arial" w:eastAsia="Arial" w:hAnsi="Arial"/>
          <w:sz w:val="18"/>
          <w:szCs w:val="18"/>
          <w:color w:val="auto"/>
        </w:rPr>
        <w:t>“General Account” means the General Account of Prudential.</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 *** ]</w:t>
      </w:r>
    </w:p>
    <w:p>
      <w:pPr>
        <w:spacing w:after="0" w:line="206" w:lineRule="exact"/>
        <w:rPr>
          <w:sz w:val="20"/>
          <w:szCs w:val="20"/>
          <w:color w:val="auto"/>
        </w:rPr>
      </w:pPr>
    </w:p>
    <w:p>
      <w:pPr>
        <w:ind w:left="600"/>
        <w:spacing w:after="0" w:line="272" w:lineRule="auto"/>
        <w:rPr>
          <w:sz w:val="20"/>
          <w:szCs w:val="20"/>
          <w:color w:val="auto"/>
        </w:rPr>
      </w:pPr>
      <w:r>
        <w:rPr>
          <w:rFonts w:ascii="Arial" w:cs="Arial" w:eastAsia="Arial" w:hAnsi="Arial"/>
          <w:sz w:val="17"/>
          <w:szCs w:val="17"/>
          <w:color w:val="auto"/>
        </w:rPr>
        <w:t>“Market Value,” (A) in respect of assets of a Separate Account, means the fair market value of such assets, as such fair market value is determined by Prudential in accordance with its standard procedures for establishing the market value of its assets, and (B) in respect of any portion of the Total Contribution Amount retained in the Existing Separate Account as of the Effective Date or paid to Prudential by delivery of non-cash assets acceptable to Prudential pursuant to Section 1.2 [ *** ] means the fair market value of each such asset in an amount and as of a date agreed to by Prudential and Contract-holder, as such amounts and dates are shown on the Transferred Assets Exhibit attached hereto.</w:t>
      </w:r>
    </w:p>
    <w:p>
      <w:pPr>
        <w:spacing w:after="0" w:line="15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“Plan” means the plan specified on the Cover Page of this Contract.</w:t>
      </w:r>
    </w:p>
    <w:p>
      <w:pPr>
        <w:spacing w:after="0" w:line="206" w:lineRule="exact"/>
        <w:rPr>
          <w:sz w:val="20"/>
          <w:szCs w:val="20"/>
          <w:color w:val="auto"/>
        </w:rPr>
      </w:pPr>
    </w:p>
    <w:p>
      <w:pPr>
        <w:ind w:left="600"/>
        <w:spacing w:after="0"/>
        <w:rPr>
          <w:sz w:val="20"/>
          <w:szCs w:val="20"/>
          <w:color w:val="auto"/>
        </w:rPr>
      </w:pPr>
      <w:r>
        <w:rPr>
          <w:rFonts w:ascii="Arial" w:cs="Arial" w:eastAsia="Arial" w:hAnsi="Arial"/>
          <w:sz w:val="18"/>
          <w:szCs w:val="18"/>
          <w:color w:val="auto"/>
        </w:rPr>
        <w:t>“Prudential” means The Prudential Insurance Company of America.</w:t>
      </w:r>
    </w:p>
    <w:p>
      <w:pPr>
        <w:spacing w:after="0" w:line="206" w:lineRule="exact"/>
        <w:rPr>
          <w:sz w:val="20"/>
          <w:szCs w:val="20"/>
          <w:color w:val="auto"/>
        </w:rPr>
      </w:pPr>
    </w:p>
    <w:p>
      <w:pPr>
        <w:ind w:left="600" w:right="320"/>
        <w:spacing w:after="0" w:line="277" w:lineRule="auto"/>
        <w:rPr>
          <w:sz w:val="20"/>
          <w:szCs w:val="20"/>
          <w:color w:val="auto"/>
        </w:rPr>
      </w:pPr>
      <w:r>
        <w:rPr>
          <w:rFonts w:ascii="Arial" w:cs="Arial" w:eastAsia="Arial" w:hAnsi="Arial"/>
          <w:sz w:val="18"/>
          <w:szCs w:val="18"/>
          <w:color w:val="auto"/>
        </w:rPr>
        <w:t>“Prudential's Office” means the following office of Prudential, unless Prudential provides a notice specifying another address for certain or all communications:</w:t>
      </w:r>
    </w:p>
    <w:p>
      <w:pPr>
        <w:spacing w:after="0" w:line="148"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The Prudential Insurance Company of America</w:t>
      </w:r>
    </w:p>
    <w:p>
      <w:pPr>
        <w:spacing w:after="0" w:line="22"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200 Wood Avenue South</w:t>
      </w:r>
    </w:p>
    <w:p>
      <w:pPr>
        <w:spacing w:after="0" w:line="6"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Iselin, New Jersey 08830-2706</w:t>
      </w:r>
    </w:p>
    <w:p>
      <w:pPr>
        <w:spacing w:after="0" w:line="6"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Attention: Annuity Operations</w:t>
      </w:r>
    </w:p>
    <w:p>
      <w:pPr>
        <w:spacing w:after="0" w:line="190" w:lineRule="exact"/>
        <w:rPr>
          <w:sz w:val="20"/>
          <w:szCs w:val="20"/>
          <w:color w:val="auto"/>
        </w:rPr>
      </w:pPr>
    </w:p>
    <w:p>
      <w:pPr>
        <w:ind w:left="600" w:right="60"/>
        <w:spacing w:after="0" w:line="270" w:lineRule="auto"/>
        <w:rPr>
          <w:sz w:val="20"/>
          <w:szCs w:val="20"/>
          <w:color w:val="auto"/>
        </w:rPr>
      </w:pPr>
      <w:r>
        <w:rPr>
          <w:rFonts w:ascii="Arial" w:cs="Arial" w:eastAsia="Arial" w:hAnsi="Arial"/>
          <w:sz w:val="17"/>
          <w:szCs w:val="17"/>
          <w:color w:val="auto"/>
        </w:rPr>
        <w:t xml:space="preserve">“Representative” means, with respect to persons who are a Covered Life, Contingent Life or Beneficiary, an individual or entity demonstrating to the reasonable satisfaction of Prudential that such individual or entity is duly appointed (a) as a guardian of such person (b) as a holder of powers of attorney from such person, (c) as a trustee of such person, (d) as an testamentary executor of such person's estate,(e) as being entitled to statutory subrogation rights granted to any entity created by statute or sponsored by a governmental body providing guarantees in respect of such person's right's under this Contract arising from any insolvency of Prudential;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that</w:t>
      </w:r>
      <w:r>
        <w:rPr>
          <w:rFonts w:ascii="Arial" w:cs="Arial" w:eastAsia="Arial" w:hAnsi="Arial"/>
          <w:sz w:val="17"/>
          <w:szCs w:val="17"/>
          <w:color w:val="auto"/>
        </w:rPr>
        <w:t>, a “Representative” does not include an assignee of the rights of such person hereunder in contravention of Provision II.</w:t>
      </w:r>
    </w:p>
    <w:p>
      <w:pPr>
        <w:spacing w:after="0" w:line="158" w:lineRule="exact"/>
        <w:rPr>
          <w:sz w:val="20"/>
          <w:szCs w:val="20"/>
          <w:color w:val="auto"/>
        </w:rPr>
      </w:pPr>
    </w:p>
    <w:p>
      <w:pPr>
        <w:ind w:left="600" w:right="200"/>
        <w:spacing w:after="0" w:line="262" w:lineRule="auto"/>
        <w:rPr>
          <w:sz w:val="20"/>
          <w:szCs w:val="20"/>
          <w:color w:val="auto"/>
        </w:rPr>
      </w:pPr>
      <w:r>
        <w:rPr>
          <w:rFonts w:ascii="Arial" w:cs="Arial" w:eastAsia="Arial" w:hAnsi="Arial"/>
          <w:sz w:val="18"/>
          <w:szCs w:val="18"/>
          <w:color w:val="auto"/>
        </w:rPr>
        <w:t>“Separate Account” means the Dedicated Account, provided that if the Commingled Account is substituted for the Dedicated Account in accordance with Section 1.10 (“Small Account Conversion”), then thereafter Separate Account means the Commingled Account. This Contract does not participate in the investment or other experience of either Separate Account.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 *** ]</w:t>
      </w:r>
    </w:p>
    <w:p>
      <w:pPr>
        <w:spacing w:after="0" w:line="200" w:lineRule="exact"/>
        <w:rPr>
          <w:sz w:val="20"/>
          <w:szCs w:val="20"/>
          <w:color w:val="auto"/>
        </w:rPr>
      </w:pPr>
    </w:p>
    <w:p>
      <w:pPr>
        <w:spacing w:after="0" w:line="206"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“Total Contribution Amount” means the amount specified as such on the Cover Page of this Contract.</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 *** ]</w:t>
      </w:r>
    </w:p>
    <w:p>
      <w:pPr>
        <w:spacing w:after="0" w:line="200" w:lineRule="exact"/>
        <w:rPr>
          <w:sz w:val="20"/>
          <w:szCs w:val="20"/>
          <w:color w:val="auto"/>
        </w:rPr>
      </w:pPr>
    </w:p>
    <w:p>
      <w:pPr>
        <w:spacing w:after="0" w:line="206"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u w:val="single" w:color="auto"/>
          <w:color w:val="auto"/>
        </w:rPr>
        <w:t>1.2</w:t>
      </w:r>
      <w:r>
        <w:rPr>
          <w:sz w:val="20"/>
          <w:szCs w:val="20"/>
          <w:color w:val="auto"/>
        </w:rPr>
        <w:tab/>
      </w:r>
      <w:r>
        <w:rPr>
          <w:rFonts w:ascii="Arial" w:cs="Arial" w:eastAsia="Arial" w:hAnsi="Arial"/>
          <w:sz w:val="17"/>
          <w:szCs w:val="17"/>
          <w:u w:val="single" w:color="auto"/>
          <w:color w:val="auto"/>
        </w:rPr>
        <w:t>Adjusted Contribution Amount</w:t>
      </w:r>
    </w:p>
    <w:p>
      <w:pPr>
        <w:spacing w:after="0" w:line="200" w:lineRule="exact"/>
        <w:rPr>
          <w:sz w:val="20"/>
          <w:szCs w:val="20"/>
          <w:color w:val="auto"/>
        </w:rPr>
      </w:pPr>
    </w:p>
    <w:p>
      <w:pPr>
        <w:spacing w:after="0" w:line="248"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340"/>
          </w:cols>
          <w:pgMar w:left="240" w:top="548" w:right="319" w:bottom="1440" w:gutter="0" w:footer="0" w:header="0"/>
        </w:sectPr>
      </w:pPr>
    </w:p>
    <w:bookmarkStart w:id="87" w:name="page88"/>
    <w:bookmarkEnd w:id="87"/>
    <w:p>
      <w:pPr>
        <w:spacing w:after="0"/>
        <w:rPr>
          <w:sz w:val="20"/>
          <w:szCs w:val="20"/>
          <w:color w:val="auto"/>
        </w:rPr>
      </w:pPr>
      <w:r>
        <w:rPr>
          <w:rFonts w:ascii="Arial" w:cs="Arial" w:eastAsia="Arial" w:hAnsi="Arial"/>
          <w:sz w:val="18"/>
          <w:szCs w:val="18"/>
          <w:color w:val="auto"/>
        </w:rPr>
        <w:t>[ *** ]</w:t>
      </w:r>
    </w:p>
    <w:p>
      <w:pPr>
        <w:spacing w:after="0" w:line="200" w:lineRule="exact"/>
        <w:rPr>
          <w:sz w:val="20"/>
          <w:szCs w:val="20"/>
          <w:color w:val="auto"/>
        </w:rPr>
      </w:pPr>
    </w:p>
    <w:p>
      <w:pPr>
        <w:spacing w:after="0" w:line="206"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u w:val="single" w:color="auto"/>
          <w:color w:val="auto"/>
        </w:rPr>
        <w:t>1.3</w:t>
      </w:r>
      <w:r>
        <w:rPr>
          <w:sz w:val="20"/>
          <w:szCs w:val="20"/>
          <w:color w:val="auto"/>
        </w:rPr>
        <w:tab/>
      </w:r>
      <w:r>
        <w:rPr>
          <w:rFonts w:ascii="Arial" w:cs="Arial" w:eastAsia="Arial" w:hAnsi="Arial"/>
          <w:sz w:val="16"/>
          <w:szCs w:val="16"/>
          <w:u w:val="single" w:color="auto"/>
          <w:color w:val="auto"/>
        </w:rPr>
        <w:t>Annuity Payments; Annuity Payment Support; Associated Withdrawals from Accounts; Termination</w:t>
      </w:r>
    </w:p>
    <w:p>
      <w:pPr>
        <w:spacing w:after="0" w:line="206" w:lineRule="exact"/>
        <w:rPr>
          <w:sz w:val="20"/>
          <w:szCs w:val="20"/>
          <w:color w:val="auto"/>
        </w:rPr>
      </w:pPr>
    </w:p>
    <w:p>
      <w:pPr>
        <w:ind w:left="600" w:right="220"/>
        <w:spacing w:after="0" w:line="262" w:lineRule="auto"/>
        <w:rPr>
          <w:sz w:val="20"/>
          <w:szCs w:val="20"/>
          <w:color w:val="auto"/>
        </w:rPr>
      </w:pPr>
      <w:r>
        <w:rPr>
          <w:rFonts w:ascii="Arial" w:cs="Arial" w:eastAsia="Arial" w:hAnsi="Arial"/>
          <w:sz w:val="18"/>
          <w:szCs w:val="18"/>
          <w:color w:val="auto"/>
        </w:rPr>
        <w:t>Upon receipt of the Adjusted Contribution Amount due on the Effective Date, Prudential agrees to pay the Annuity Payments due under this Contract and further agrees that such obligation shall be irrevocable. Prudential will confirm to the Contract-Holder its receipt of such Adjusted Contribution Amount.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 *** ]</w:t>
      </w:r>
    </w:p>
    <w:p>
      <w:pPr>
        <w:spacing w:after="0" w:line="206"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u w:val="single" w:color="auto"/>
          <w:color w:val="auto"/>
        </w:rPr>
        <w:t>1.4</w:t>
      </w:r>
      <w:r>
        <w:rPr>
          <w:sz w:val="20"/>
          <w:szCs w:val="20"/>
          <w:color w:val="auto"/>
        </w:rPr>
        <w:tab/>
      </w:r>
      <w:r>
        <w:rPr>
          <w:rFonts w:ascii="Arial" w:cs="Arial" w:eastAsia="Arial" w:hAnsi="Arial"/>
          <w:sz w:val="16"/>
          <w:szCs w:val="16"/>
          <w:u w:val="single" w:color="auto"/>
          <w:color w:val="auto"/>
        </w:rPr>
        <w:t>The Separate Accounts that Support this Contract</w:t>
      </w:r>
    </w:p>
    <w:p>
      <w:pPr>
        <w:spacing w:after="0" w:line="206" w:lineRule="exact"/>
        <w:rPr>
          <w:sz w:val="20"/>
          <w:szCs w:val="20"/>
          <w:color w:val="auto"/>
        </w:rPr>
      </w:pPr>
    </w:p>
    <w:p>
      <w:pPr>
        <w:ind w:left="600"/>
        <w:spacing w:after="0" w:line="299" w:lineRule="auto"/>
        <w:rPr>
          <w:sz w:val="20"/>
          <w:szCs w:val="20"/>
          <w:color w:val="auto"/>
        </w:rPr>
      </w:pPr>
      <w:r>
        <w:rPr>
          <w:rFonts w:ascii="Arial" w:cs="Arial" w:eastAsia="Arial" w:hAnsi="Arial"/>
          <w:sz w:val="16"/>
          <w:szCs w:val="16"/>
          <w:color w:val="auto"/>
        </w:rPr>
        <w:t>During the period starting on the Effective Date and ending on the earlier of (a) the consummation of a small account conversion in accordance with Section 1.10 (“Small Account Conversion”) and (b) the payment of the last Annuity Payment due under this Contract, the Dedicated Account shall be the “Separate Account” supporting Annuity Payments hereunder. After consummation of a small account conversion in accordance with Section 1.10 (“Small Account Conversion”), the Commingled Account shall be the “Separate Account” supporting Annuity Payments hereunder.</w:t>
      </w:r>
    </w:p>
    <w:p>
      <w:pPr>
        <w:spacing w:after="0" w:line="13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u w:val="single" w:color="auto"/>
          <w:color w:val="auto"/>
        </w:rPr>
        <w:t>1.5</w:t>
      </w:r>
      <w:r>
        <w:rPr>
          <w:sz w:val="20"/>
          <w:szCs w:val="20"/>
          <w:color w:val="auto"/>
        </w:rPr>
        <w:tab/>
      </w:r>
      <w:r>
        <w:rPr>
          <w:rFonts w:ascii="Arial" w:cs="Arial" w:eastAsia="Arial" w:hAnsi="Arial"/>
          <w:sz w:val="16"/>
          <w:szCs w:val="16"/>
          <w:u w:val="single" w:color="auto"/>
          <w:color w:val="auto"/>
        </w:rPr>
        <w:t>Investments Held in Separate Account; Insulation of Separate Account Assets</w:t>
      </w:r>
    </w:p>
    <w:p>
      <w:pPr>
        <w:spacing w:after="0" w:line="206" w:lineRule="exact"/>
        <w:rPr>
          <w:sz w:val="20"/>
          <w:szCs w:val="20"/>
          <w:color w:val="auto"/>
        </w:rPr>
      </w:pPr>
    </w:p>
    <w:p>
      <w:pPr>
        <w:ind w:left="600" w:right="60"/>
        <w:spacing w:after="0" w:line="269" w:lineRule="auto"/>
        <w:rPr>
          <w:sz w:val="20"/>
          <w:szCs w:val="20"/>
          <w:color w:val="auto"/>
        </w:rPr>
      </w:pPr>
      <w:r>
        <w:rPr>
          <w:rFonts w:ascii="Arial" w:cs="Arial" w:eastAsia="Arial" w:hAnsi="Arial"/>
          <w:sz w:val="17"/>
          <w:szCs w:val="17"/>
          <w:color w:val="auto"/>
        </w:rPr>
        <w:t xml:space="preserve">The Separate Account is intended to be invested primarily in investment-grade fixed income securities, but other investments are permitted,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all investments of the Separate Account shall be invested in accordance with applicable law, regulations and regulatory approvals (for purposes of this Section, “</w:t>
      </w:r>
      <w:r>
        <w:rPr>
          <w:rFonts w:ascii="Arial" w:cs="Arial" w:eastAsia="Arial" w:hAnsi="Arial"/>
          <w:sz w:val="17"/>
          <w:szCs w:val="17"/>
          <w:u w:val="single" w:color="auto"/>
          <w:color w:val="auto"/>
        </w:rPr>
        <w:t>applicable law</w:t>
      </w:r>
      <w:r>
        <w:rPr>
          <w:rFonts w:ascii="Arial" w:cs="Arial" w:eastAsia="Arial" w:hAnsi="Arial"/>
          <w:sz w:val="17"/>
          <w:szCs w:val="17"/>
          <w:color w:val="auto"/>
        </w:rPr>
        <w:t>”). Prudential will invest and reinvest the assets of the Separate Account at the time and in the amounts as Prudential determines in its discretion and in accordance with applicable law. To the extent permitted by applicable law, the investments of the Separate Account may be made without regard to any limitations otherwise imposed on the investment of assets held in the General Account or in its other separate accounts. Prudential may, with respect to any assets held in the Separate Account, delegate Prudential's investment management and/or voting rights to other entities, including institutions not affiliated with Prudential.</w:t>
      </w:r>
    </w:p>
    <w:p>
      <w:pPr>
        <w:spacing w:after="0" w:line="156" w:lineRule="exact"/>
        <w:rPr>
          <w:sz w:val="20"/>
          <w:szCs w:val="20"/>
          <w:color w:val="auto"/>
        </w:rPr>
      </w:pPr>
    </w:p>
    <w:p>
      <w:pPr>
        <w:jc w:val="both"/>
        <w:ind w:left="600" w:right="180"/>
        <w:spacing w:after="0" w:line="262" w:lineRule="auto"/>
        <w:rPr>
          <w:sz w:val="20"/>
          <w:szCs w:val="20"/>
          <w:color w:val="auto"/>
        </w:rPr>
      </w:pPr>
      <w:r>
        <w:rPr>
          <w:rFonts w:ascii="Arial" w:cs="Arial" w:eastAsia="Arial" w:hAnsi="Arial"/>
          <w:sz w:val="18"/>
          <w:szCs w:val="18"/>
          <w:color w:val="auto"/>
        </w:rPr>
        <w:t>Prudential owns all the assets in the Separate Account. As authorized by Section 17B:28-9(c) of the New Jersey Insurance Statutes and Section 4240(a)(12) of the New York Insurance Law, (A) none of the assets held in the Dedicated Account, [ *** ] and (B) none of the assets held in the Commingled Account, [ *** ], will be chargeable with liabilities arising out of any other business of Prudential.</w:t>
      </w:r>
    </w:p>
    <w:p>
      <w:pPr>
        <w:spacing w:after="0" w:line="16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u w:val="single" w:color="auto"/>
          <w:color w:val="auto"/>
        </w:rPr>
        <w:t>1.6</w:t>
      </w:r>
      <w:r>
        <w:rPr>
          <w:sz w:val="20"/>
          <w:szCs w:val="20"/>
          <w:color w:val="auto"/>
        </w:rPr>
        <w:tab/>
      </w:r>
      <w:r>
        <w:rPr>
          <w:rFonts w:ascii="Arial" w:cs="Arial" w:eastAsia="Arial" w:hAnsi="Arial"/>
          <w:sz w:val="16"/>
          <w:szCs w:val="16"/>
          <w:u w:val="single" w:color="auto"/>
          <w:color w:val="auto"/>
        </w:rPr>
        <w:t>Payment Obligation of Prudential</w:t>
      </w:r>
    </w:p>
    <w:p>
      <w:pPr>
        <w:spacing w:after="0" w:line="206" w:lineRule="exact"/>
        <w:rPr>
          <w:sz w:val="20"/>
          <w:szCs w:val="20"/>
          <w:color w:val="auto"/>
        </w:rPr>
      </w:pPr>
    </w:p>
    <w:p>
      <w:pPr>
        <w:ind w:left="600" w:right="80"/>
        <w:spacing w:after="0" w:line="277" w:lineRule="auto"/>
        <w:rPr>
          <w:sz w:val="20"/>
          <w:szCs w:val="20"/>
          <w:color w:val="auto"/>
        </w:rPr>
      </w:pPr>
      <w:r>
        <w:rPr>
          <w:rFonts w:ascii="Arial" w:cs="Arial" w:eastAsia="Arial" w:hAnsi="Arial"/>
          <w:sz w:val="18"/>
          <w:szCs w:val="18"/>
          <w:color w:val="auto"/>
        </w:rPr>
        <w:t>Prudential will make the payments owed by it under this Contract when such payments are due. Prudential irrevocably guarantees payment of the Annuity Payments as of the Annuity Commencement Date.</w:t>
      </w:r>
    </w:p>
    <w:p>
      <w:pPr>
        <w:spacing w:after="0" w:line="14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u w:val="single" w:color="auto"/>
          <w:color w:val="auto"/>
        </w:rPr>
        <w:t>1.7</w:t>
      </w:r>
      <w:r>
        <w:rPr>
          <w:sz w:val="20"/>
          <w:szCs w:val="20"/>
          <w:color w:val="auto"/>
        </w:rPr>
        <w:tab/>
      </w:r>
      <w:r>
        <w:rPr>
          <w:rFonts w:ascii="Arial" w:cs="Arial" w:eastAsia="Arial" w:hAnsi="Arial"/>
          <w:sz w:val="16"/>
          <w:szCs w:val="16"/>
          <w:u w:val="single" w:color="auto"/>
          <w:color w:val="auto"/>
        </w:rPr>
        <w:t>Establishing Reserves; Withdrawal of Assets from the Separate Account</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 *** ]</w:t>
      </w:r>
    </w:p>
    <w:p>
      <w:pPr>
        <w:spacing w:after="0" w:line="200" w:lineRule="exact"/>
        <w:rPr>
          <w:sz w:val="20"/>
          <w:szCs w:val="20"/>
          <w:color w:val="auto"/>
        </w:rPr>
      </w:pPr>
    </w:p>
    <w:p>
      <w:pPr>
        <w:spacing w:after="0" w:line="206" w:lineRule="exact"/>
        <w:rPr>
          <w:sz w:val="20"/>
          <w:szCs w:val="20"/>
          <w:color w:val="auto"/>
        </w:rPr>
      </w:pPr>
    </w:p>
    <w:p>
      <w:pPr>
        <w:ind w:left="600"/>
        <w:spacing w:after="0"/>
        <w:rPr>
          <w:sz w:val="20"/>
          <w:szCs w:val="20"/>
          <w:color w:val="auto"/>
        </w:rPr>
      </w:pPr>
      <w:r>
        <w:rPr>
          <w:rFonts w:ascii="Arial" w:cs="Arial" w:eastAsia="Arial" w:hAnsi="Arial"/>
          <w:sz w:val="18"/>
          <w:szCs w:val="18"/>
          <w:color w:val="auto"/>
        </w:rPr>
        <w:t>From time to time in accordance with applicable law or regulation, Prudential will determine whether</w:t>
      </w:r>
    </w:p>
    <w:p>
      <w:pPr>
        <w:spacing w:after="0" w:line="206" w:lineRule="exact"/>
        <w:rPr>
          <w:sz w:val="20"/>
          <w:szCs w:val="20"/>
          <w:color w:val="auto"/>
        </w:rPr>
      </w:pPr>
    </w:p>
    <w:p>
      <w:pPr>
        <w:ind w:left="600" w:right="340" w:firstLine="602"/>
        <w:spacing w:after="0" w:line="509" w:lineRule="auto"/>
        <w:tabs>
          <w:tab w:leader="none" w:pos="1501" w:val="left"/>
        </w:tabs>
        <w:numPr>
          <w:ilvl w:val="0"/>
          <w:numId w:val="112"/>
        </w:numPr>
        <w:rPr>
          <w:rFonts w:ascii="Arial" w:cs="Arial" w:eastAsia="Arial" w:hAnsi="Arial"/>
          <w:sz w:val="17"/>
          <w:szCs w:val="17"/>
          <w:color w:val="auto"/>
        </w:rPr>
      </w:pPr>
      <w:r>
        <w:rPr>
          <w:rFonts w:ascii="Arial" w:cs="Arial" w:eastAsia="Arial" w:hAnsi="Arial"/>
          <w:sz w:val="18"/>
          <w:szCs w:val="18"/>
          <w:color w:val="auto"/>
        </w:rPr>
        <w:t>the statutory liability that Prudential is required to hold in respect of the contractual benefits supported by such Separate Account, is equal to or less than</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360"/>
          </w:cols>
          <w:pgMar w:left="240" w:top="548" w:right="299" w:bottom="1440" w:gutter="0" w:footer="0" w:header="0"/>
        </w:sectPr>
      </w:pPr>
    </w:p>
    <w:bookmarkStart w:id="88" w:name="page89"/>
    <w:bookmarkEnd w:id="88"/>
    <w:p>
      <w:pPr>
        <w:ind w:left="1500" w:right="260" w:hanging="298"/>
        <w:spacing w:after="0" w:line="236" w:lineRule="auto"/>
        <w:tabs>
          <w:tab w:leader="none" w:pos="1500" w:val="left"/>
        </w:tabs>
        <w:numPr>
          <w:ilvl w:val="0"/>
          <w:numId w:val="113"/>
        </w:numPr>
        <w:rPr>
          <w:rFonts w:ascii="Arial" w:cs="Arial" w:eastAsia="Arial" w:hAnsi="Arial"/>
          <w:sz w:val="17"/>
          <w:szCs w:val="17"/>
          <w:color w:val="auto"/>
        </w:rPr>
      </w:pPr>
      <w:r>
        <w:rPr>
          <w:rFonts w:ascii="Arial" w:cs="Arial" w:eastAsia="Arial" w:hAnsi="Arial"/>
          <w:sz w:val="18"/>
          <w:szCs w:val="18"/>
          <w:color w:val="auto"/>
        </w:rPr>
        <w:t>the sum of (x) the statutory carrying value of the assets held in the Separate Account, plus (y) the reserves, if any, related to the [Separate Account Portion of the contractual benefits that have been established in the General Account and]</w:t>
      </w:r>
      <w:r>
        <w:rPr>
          <w:rFonts w:ascii="Arial" w:cs="Arial" w:eastAsia="Arial" w:hAnsi="Arial"/>
          <w:sz w:val="23"/>
          <w:szCs w:val="23"/>
          <w:color w:val="auto"/>
          <w:vertAlign w:val="superscript"/>
        </w:rPr>
        <w:t>H</w:t>
      </w:r>
      <w:r>
        <w:rPr>
          <w:rFonts w:ascii="Arial" w:cs="Arial" w:eastAsia="Arial" w:hAnsi="Arial"/>
          <w:sz w:val="18"/>
          <w:szCs w:val="18"/>
          <w:color w:val="auto"/>
        </w:rPr>
        <w:t xml:space="preserve"> that are supported by assets held in the General Account. The reserves described in (y) of the preceding sentence shall herein be referred to as the “Additional General Account Reserve”.</w:t>
      </w:r>
    </w:p>
    <w:p>
      <w:pPr>
        <w:spacing w:after="0" w:line="181" w:lineRule="exact"/>
        <w:rPr>
          <w:sz w:val="20"/>
          <w:szCs w:val="20"/>
          <w:color w:val="auto"/>
        </w:rPr>
      </w:pPr>
    </w:p>
    <w:p>
      <w:pPr>
        <w:ind w:left="600" w:right="20"/>
        <w:spacing w:after="0" w:line="277" w:lineRule="auto"/>
        <w:rPr>
          <w:sz w:val="20"/>
          <w:szCs w:val="20"/>
          <w:color w:val="auto"/>
        </w:rPr>
      </w:pPr>
      <w:r>
        <w:rPr>
          <w:rFonts w:ascii="Arial" w:cs="Arial" w:eastAsia="Arial" w:hAnsi="Arial"/>
          <w:sz w:val="18"/>
          <w:szCs w:val="18"/>
          <w:color w:val="auto"/>
        </w:rPr>
        <w:t>If, on the date of determination, the amount described in clause (A) is greater than the amount described in clause (B), Prudential will establish and fund additional reserves in the General Account.</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 *** ]</w:t>
      </w:r>
    </w:p>
    <w:p>
      <w:pPr>
        <w:spacing w:after="0" w:line="200" w:lineRule="exact"/>
        <w:rPr>
          <w:sz w:val="20"/>
          <w:szCs w:val="20"/>
          <w:color w:val="auto"/>
        </w:rPr>
      </w:pPr>
    </w:p>
    <w:p>
      <w:pPr>
        <w:spacing w:after="0" w:line="219" w:lineRule="exact"/>
        <w:rPr>
          <w:sz w:val="20"/>
          <w:szCs w:val="20"/>
          <w:color w:val="auto"/>
        </w:rPr>
      </w:pPr>
    </w:p>
    <w:p>
      <w:pPr>
        <w:ind w:left="600" w:right="340"/>
        <w:spacing w:after="0" w:line="277" w:lineRule="auto"/>
        <w:rPr>
          <w:sz w:val="20"/>
          <w:szCs w:val="20"/>
          <w:color w:val="auto"/>
        </w:rPr>
      </w:pPr>
      <w:r>
        <w:rPr>
          <w:rFonts w:ascii="Arial" w:cs="Arial" w:eastAsia="Arial" w:hAnsi="Arial"/>
          <w:sz w:val="18"/>
          <w:szCs w:val="18"/>
          <w:color w:val="auto"/>
        </w:rPr>
        <w:t>A withdrawal from the Separate Account will be made on a Business Day, and the assets withdrawn will no longer be allocated to the Separate Account.</w:t>
      </w:r>
    </w:p>
    <w:p>
      <w:pPr>
        <w:spacing w:after="0" w:line="16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u w:val="single" w:color="auto"/>
          <w:color w:val="auto"/>
        </w:rPr>
        <w:t>1.8</w:t>
      </w:r>
      <w:r>
        <w:rPr>
          <w:sz w:val="20"/>
          <w:szCs w:val="20"/>
          <w:color w:val="auto"/>
        </w:rPr>
        <w:tab/>
      </w:r>
      <w:r>
        <w:rPr>
          <w:rFonts w:ascii="Arial" w:cs="Arial" w:eastAsia="Arial" w:hAnsi="Arial"/>
          <w:sz w:val="17"/>
          <w:szCs w:val="17"/>
          <w:u w:val="single" w:color="auto"/>
          <w:color w:val="auto"/>
        </w:rPr>
        <w:t>Process for Making Monthly Annuity Payments</w:t>
      </w:r>
    </w:p>
    <w:p>
      <w:pPr>
        <w:spacing w:after="0" w:line="206" w:lineRule="exact"/>
        <w:rPr>
          <w:sz w:val="20"/>
          <w:szCs w:val="20"/>
          <w:color w:val="auto"/>
        </w:rPr>
      </w:pPr>
    </w:p>
    <w:p>
      <w:pPr>
        <w:ind w:left="600" w:right="520"/>
        <w:spacing w:after="0" w:line="277" w:lineRule="auto"/>
        <w:rPr>
          <w:sz w:val="20"/>
          <w:szCs w:val="20"/>
          <w:color w:val="auto"/>
        </w:rPr>
      </w:pPr>
      <w:r>
        <w:rPr>
          <w:rFonts w:ascii="Arial" w:cs="Arial" w:eastAsia="Arial" w:hAnsi="Arial"/>
          <w:sz w:val="18"/>
          <w:szCs w:val="18"/>
          <w:color w:val="auto"/>
        </w:rPr>
        <w:t>Prudential, or its agent, will make Annuity Payments directly to each Covered Life, Contingent Life and Beneficiary starting on the Annuity Commencement Date.</w:t>
      </w:r>
    </w:p>
    <w:p>
      <w:pPr>
        <w:spacing w:after="0" w:line="14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u w:val="single" w:color="auto"/>
          <w:color w:val="auto"/>
        </w:rPr>
        <w:t>1.9</w:t>
      </w:r>
      <w:r>
        <w:rPr>
          <w:sz w:val="20"/>
          <w:szCs w:val="20"/>
          <w:color w:val="auto"/>
        </w:rPr>
        <w:tab/>
      </w:r>
      <w:r>
        <w:rPr>
          <w:rFonts w:ascii="Arial" w:cs="Arial" w:eastAsia="Arial" w:hAnsi="Arial"/>
          <w:sz w:val="16"/>
          <w:szCs w:val="16"/>
          <w:u w:val="single" w:color="auto"/>
          <w:color w:val="auto"/>
        </w:rPr>
        <w:t>Persons Entitled to Enforce this Contract against Prudential</w:t>
      </w:r>
    </w:p>
    <w:p>
      <w:pPr>
        <w:spacing w:after="0" w:line="206"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Notwithstanding any other provision of this Contract to the contrary,</w:t>
      </w:r>
    </w:p>
    <w:p>
      <w:pPr>
        <w:spacing w:after="0" w:line="106" w:lineRule="exact"/>
        <w:rPr>
          <w:sz w:val="20"/>
          <w:szCs w:val="20"/>
          <w:color w:val="auto"/>
        </w:rPr>
      </w:pPr>
    </w:p>
    <w:p>
      <w:pPr>
        <w:ind w:left="1260" w:right="120" w:hanging="384"/>
        <w:spacing w:after="0" w:line="272" w:lineRule="auto"/>
        <w:tabs>
          <w:tab w:leader="none" w:pos="1260" w:val="left"/>
        </w:tabs>
        <w:numPr>
          <w:ilvl w:val="0"/>
          <w:numId w:val="114"/>
        </w:numPr>
        <w:rPr>
          <w:rFonts w:ascii="Arial" w:cs="Arial" w:eastAsia="Arial" w:hAnsi="Arial"/>
          <w:sz w:val="17"/>
          <w:szCs w:val="17"/>
          <w:color w:val="auto"/>
        </w:rPr>
      </w:pPr>
      <w:r>
        <w:rPr>
          <w:rFonts w:ascii="Arial" w:cs="Arial" w:eastAsia="Arial" w:hAnsi="Arial"/>
          <w:sz w:val="17"/>
          <w:szCs w:val="17"/>
          <w:i w:val="1"/>
          <w:iCs w:val="1"/>
          <w:color w:val="auto"/>
        </w:rPr>
        <w:t xml:space="preserve">Rights of Annuitants. </w:t>
      </w:r>
      <w:r>
        <w:rPr>
          <w:rFonts w:ascii="Arial" w:cs="Arial" w:eastAsia="Arial" w:hAnsi="Arial"/>
          <w:sz w:val="17"/>
          <w:szCs w:val="17"/>
          <w:color w:val="auto"/>
        </w:rPr>
        <w:t>(a) After the Effective Date, the right of each Covered Life, Contingent Life and Beneficiary to receive an Annuity</w:t>
      </w:r>
      <w:r>
        <w:rPr>
          <w:rFonts w:ascii="Arial" w:cs="Arial" w:eastAsia="Arial" w:hAnsi="Arial"/>
          <w:sz w:val="17"/>
          <w:szCs w:val="17"/>
          <w:i w:val="1"/>
          <w:iCs w:val="1"/>
          <w:color w:val="auto"/>
        </w:rPr>
        <w:t xml:space="preserve"> </w:t>
      </w:r>
      <w:r>
        <w:rPr>
          <w:rFonts w:ascii="Arial" w:cs="Arial" w:eastAsia="Arial" w:hAnsi="Arial"/>
          <w:sz w:val="17"/>
          <w:szCs w:val="17"/>
          <w:color w:val="auto"/>
        </w:rPr>
        <w:t>Payment determined pursuant to Provision II is enforceable by such person against Prudential, (b) after the Expected Data Finalization Date, each Covered Life, Contingent Life and Beneficiary has the right to enforce any provision of this Contract (as does the Contract-Holder) against Prudential, and (c) the rights of each Covered Life, Contingent Life and Beneficiary under the preceding subclause (b) is not diminished if the Contract-Holder ceases to exist and no successor is appointed;</w:t>
      </w:r>
    </w:p>
    <w:p>
      <w:pPr>
        <w:spacing w:after="0" w:line="56" w:lineRule="exact"/>
        <w:rPr>
          <w:rFonts w:ascii="Arial" w:cs="Arial" w:eastAsia="Arial" w:hAnsi="Arial"/>
          <w:sz w:val="17"/>
          <w:szCs w:val="17"/>
          <w:color w:val="auto"/>
        </w:rPr>
      </w:pPr>
    </w:p>
    <w:p>
      <w:pPr>
        <w:ind w:left="1260" w:hanging="384"/>
        <w:spacing w:after="0" w:line="309" w:lineRule="auto"/>
        <w:tabs>
          <w:tab w:leader="none" w:pos="1260" w:val="left"/>
        </w:tabs>
        <w:numPr>
          <w:ilvl w:val="0"/>
          <w:numId w:val="114"/>
        </w:numPr>
        <w:rPr>
          <w:rFonts w:ascii="Arial" w:cs="Arial" w:eastAsia="Arial" w:hAnsi="Arial"/>
          <w:sz w:val="16"/>
          <w:szCs w:val="16"/>
          <w:color w:val="auto"/>
        </w:rPr>
      </w:pPr>
      <w:r>
        <w:rPr>
          <w:rFonts w:ascii="Arial" w:cs="Arial" w:eastAsia="Arial" w:hAnsi="Arial"/>
          <w:sz w:val="16"/>
          <w:szCs w:val="16"/>
          <w:i w:val="1"/>
          <w:iCs w:val="1"/>
          <w:color w:val="auto"/>
        </w:rPr>
        <w:t xml:space="preserve">Annuitants hold Rights Exclusively. </w:t>
      </w:r>
      <w:r>
        <w:rPr>
          <w:rFonts w:ascii="Arial" w:cs="Arial" w:eastAsia="Arial" w:hAnsi="Arial"/>
          <w:sz w:val="16"/>
          <w:szCs w:val="16"/>
          <w:color w:val="auto"/>
        </w:rPr>
        <w:t>After the Expected Data Finalization Date, and except as provided in clause (iii) below, the only</w:t>
      </w:r>
      <w:r>
        <w:rPr>
          <w:rFonts w:ascii="Arial" w:cs="Arial" w:eastAsia="Arial" w:hAnsi="Arial"/>
          <w:sz w:val="16"/>
          <w:szCs w:val="16"/>
          <w:i w:val="1"/>
          <w:iCs w:val="1"/>
          <w:color w:val="auto"/>
        </w:rPr>
        <w:t xml:space="preserve"> </w:t>
      </w:r>
      <w:r>
        <w:rPr>
          <w:rFonts w:ascii="Arial" w:cs="Arial" w:eastAsia="Arial" w:hAnsi="Arial"/>
          <w:sz w:val="16"/>
          <w:szCs w:val="16"/>
          <w:color w:val="auto"/>
        </w:rPr>
        <w:t>parties having the right to enforce any provision of this Contract against Prudential shall be each Covered Life, Contingent Life, or Beneficiary, in each case solely in the capacity of an intended third party beneficiary of the provisions specified in clause (i)(b) above; and</w:t>
      </w:r>
    </w:p>
    <w:p>
      <w:pPr>
        <w:spacing w:after="0" w:line="27" w:lineRule="exact"/>
        <w:rPr>
          <w:rFonts w:ascii="Arial" w:cs="Arial" w:eastAsia="Arial" w:hAnsi="Arial"/>
          <w:sz w:val="16"/>
          <w:szCs w:val="16"/>
          <w:color w:val="auto"/>
        </w:rPr>
      </w:pPr>
    </w:p>
    <w:p>
      <w:pPr>
        <w:ind w:left="1260" w:hanging="384"/>
        <w:spacing w:after="0" w:line="270" w:lineRule="auto"/>
        <w:tabs>
          <w:tab w:leader="none" w:pos="1193" w:val="left"/>
        </w:tabs>
        <w:numPr>
          <w:ilvl w:val="0"/>
          <w:numId w:val="114"/>
        </w:numPr>
        <w:rPr>
          <w:rFonts w:ascii="Arial" w:cs="Arial" w:eastAsia="Arial" w:hAnsi="Arial"/>
          <w:sz w:val="17"/>
          <w:szCs w:val="17"/>
          <w:color w:val="auto"/>
        </w:rPr>
      </w:pPr>
      <w:r>
        <w:rPr>
          <w:rFonts w:ascii="Arial" w:cs="Arial" w:eastAsia="Arial" w:hAnsi="Arial"/>
          <w:sz w:val="17"/>
          <w:szCs w:val="17"/>
          <w:i w:val="1"/>
          <w:iCs w:val="1"/>
          <w:color w:val="auto"/>
        </w:rPr>
        <w:t xml:space="preserve">Rights and Duties of Contract-Holder and Prudential. </w:t>
      </w:r>
      <w:r>
        <w:rPr>
          <w:rFonts w:ascii="Arial" w:cs="Arial" w:eastAsia="Arial" w:hAnsi="Arial"/>
          <w:sz w:val="17"/>
          <w:szCs w:val="17"/>
          <w:color w:val="auto"/>
        </w:rPr>
        <w:t>(a) After the Effective Date, Contract-Holder shall have no obligation to any</w:t>
      </w:r>
      <w:r>
        <w:rPr>
          <w:rFonts w:ascii="Arial" w:cs="Arial" w:eastAsia="Arial" w:hAnsi="Arial"/>
          <w:sz w:val="17"/>
          <w:szCs w:val="17"/>
          <w:i w:val="1"/>
          <w:iCs w:val="1"/>
          <w:color w:val="auto"/>
        </w:rPr>
        <w:t xml:space="preserve"> </w:t>
      </w:r>
      <w:r>
        <w:rPr>
          <w:rFonts w:ascii="Arial" w:cs="Arial" w:eastAsia="Arial" w:hAnsi="Arial"/>
          <w:sz w:val="17"/>
          <w:szCs w:val="17"/>
          <w:color w:val="auto"/>
        </w:rPr>
        <w:t>Covered Life, Contingent Life or Beneficiary with respect to the annuities as determined in Provision II; (b) between the Effective Date and the Expected Data Finalization Date, the Contract-Holder and Prudential shall each have the rights against and obligations to the other specified in this Contract; and (c) after the Expected Data Finalization Date, the Contract-Holder shall have the right to enforce any provision of this Contract against Prudential until the Contract-Holder ceases to exist, and Prudential shall have the right to enforce any provision of this Contract against the Contract-Holder until the Contract-Holder ceases to exist.</w:t>
      </w:r>
    </w:p>
    <w:p>
      <w:pPr>
        <w:spacing w:after="0" w:line="270"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u w:val="single" w:color="auto"/>
          <w:color w:val="auto"/>
        </w:rPr>
        <w:t>1.10</w:t>
      </w:r>
      <w:r>
        <w:rPr>
          <w:sz w:val="20"/>
          <w:szCs w:val="20"/>
          <w:color w:val="auto"/>
        </w:rPr>
        <w:tab/>
      </w:r>
      <w:r>
        <w:rPr>
          <w:rFonts w:ascii="Arial" w:cs="Arial" w:eastAsia="Arial" w:hAnsi="Arial"/>
          <w:sz w:val="17"/>
          <w:szCs w:val="17"/>
          <w:u w:val="single" w:color="auto"/>
          <w:color w:val="auto"/>
        </w:rPr>
        <w:t>Small Account Conversion</w:t>
      </w:r>
    </w:p>
    <w:p>
      <w:pPr>
        <w:spacing w:after="0" w:line="206" w:lineRule="exact"/>
        <w:rPr>
          <w:sz w:val="20"/>
          <w:szCs w:val="20"/>
          <w:color w:val="auto"/>
        </w:rPr>
      </w:pPr>
    </w:p>
    <w:p>
      <w:pPr>
        <w:ind w:left="600" w:right="100"/>
        <w:spacing w:after="0" w:line="236" w:lineRule="auto"/>
        <w:rPr>
          <w:sz w:val="20"/>
          <w:szCs w:val="20"/>
          <w:color w:val="auto"/>
        </w:rPr>
      </w:pPr>
      <w:r>
        <w:rPr>
          <w:rFonts w:ascii="Arial" w:cs="Arial" w:eastAsia="Arial" w:hAnsi="Arial"/>
          <w:sz w:val="18"/>
          <w:szCs w:val="18"/>
          <w:color w:val="auto"/>
        </w:rPr>
        <w:t>If at any time the Market Value of the assets held in the Dedicated Account does not equal at least [$100 million]</w:t>
      </w:r>
      <w:r>
        <w:rPr>
          <w:rFonts w:ascii="Arial" w:cs="Arial" w:eastAsia="Arial" w:hAnsi="Arial"/>
          <w:sz w:val="23"/>
          <w:szCs w:val="23"/>
          <w:color w:val="auto"/>
          <w:vertAlign w:val="superscript"/>
        </w:rPr>
        <w:t>G</w:t>
      </w:r>
      <w:r>
        <w:rPr>
          <w:rFonts w:ascii="Arial" w:cs="Arial" w:eastAsia="Arial" w:hAnsi="Arial"/>
          <w:sz w:val="18"/>
          <w:szCs w:val="18"/>
          <w:color w:val="auto"/>
        </w:rPr>
        <w:t>, Prudential reserves the right to discontinue the Dedicated Account (such discontinuance referred to in this Section as a “</w:t>
      </w:r>
      <w:r>
        <w:rPr>
          <w:rFonts w:ascii="Arial" w:cs="Arial" w:eastAsia="Arial" w:hAnsi="Arial"/>
          <w:sz w:val="18"/>
          <w:szCs w:val="18"/>
          <w:u w:val="single" w:color="auto"/>
          <w:color w:val="auto"/>
        </w:rPr>
        <w:t>Threshold Transfer</w:t>
      </w:r>
      <w:r>
        <w:rPr>
          <w:rFonts w:ascii="Arial" w:cs="Arial" w:eastAsia="Arial" w:hAnsi="Arial"/>
          <w:sz w:val="18"/>
          <w:szCs w:val="18"/>
          <w:color w:val="auto"/>
        </w:rPr>
        <w:t>”). In the event of a Threshold Transfer, without the consent of Contract-Holder, any Covered Life, Contingent Life or Beneficiary, Prudential may transfer the assets held in the Dedicated Account to the Commingled Account, subject to the receipt of all necessary consents and</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548" w:right="239" w:bottom="1440" w:gutter="0" w:footer="0" w:header="0"/>
        </w:sectPr>
      </w:pPr>
    </w:p>
    <w:bookmarkStart w:id="89" w:name="page90"/>
    <w:bookmarkEnd w:id="89"/>
    <w:p>
      <w:pPr>
        <w:ind w:left="600" w:right="140"/>
        <w:spacing w:after="0" w:line="277" w:lineRule="auto"/>
        <w:rPr>
          <w:sz w:val="20"/>
          <w:szCs w:val="20"/>
          <w:color w:val="auto"/>
        </w:rPr>
      </w:pPr>
      <w:r>
        <w:rPr>
          <w:rFonts w:ascii="Arial" w:cs="Arial" w:eastAsia="Arial" w:hAnsi="Arial"/>
          <w:sz w:val="18"/>
          <w:szCs w:val="18"/>
          <w:color w:val="auto"/>
        </w:rPr>
        <w:t>approvals, including regulatory approvals (such as those relating to the transfer of assets in-kind from the Dedicated Account to the Commingled Account).</w:t>
      </w:r>
    </w:p>
    <w:p>
      <w:pPr>
        <w:spacing w:after="0" w:line="14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Provision I Payment Terms and Conditions for Forms of Annuities</w:t>
      </w:r>
    </w:p>
    <w:p>
      <w:pPr>
        <w:spacing w:after="0" w:line="210"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u w:val="single" w:color="auto"/>
          <w:color w:val="auto"/>
        </w:rPr>
        <w:t>2.1</w:t>
      </w:r>
      <w:r>
        <w:rPr>
          <w:sz w:val="20"/>
          <w:szCs w:val="20"/>
          <w:color w:val="auto"/>
        </w:rPr>
        <w:tab/>
      </w:r>
      <w:r>
        <w:rPr>
          <w:rFonts w:ascii="Arial" w:cs="Arial" w:eastAsia="Arial" w:hAnsi="Arial"/>
          <w:sz w:val="16"/>
          <w:szCs w:val="16"/>
          <w:u w:val="single" w:color="auto"/>
          <w:color w:val="auto"/>
        </w:rPr>
        <w:t>General</w:t>
      </w:r>
    </w:p>
    <w:p>
      <w:pPr>
        <w:spacing w:after="0" w:line="106" w:lineRule="exact"/>
        <w:rPr>
          <w:sz w:val="20"/>
          <w:szCs w:val="20"/>
          <w:color w:val="auto"/>
        </w:rPr>
      </w:pPr>
    </w:p>
    <w:p>
      <w:pPr>
        <w:ind w:left="520" w:right="260"/>
        <w:spacing w:after="0" w:line="277" w:lineRule="auto"/>
        <w:rPr>
          <w:sz w:val="20"/>
          <w:szCs w:val="20"/>
          <w:color w:val="auto"/>
        </w:rPr>
      </w:pPr>
      <w:r>
        <w:rPr>
          <w:rFonts w:ascii="Arial" w:cs="Arial" w:eastAsia="Arial" w:hAnsi="Arial"/>
          <w:sz w:val="18"/>
          <w:szCs w:val="18"/>
          <w:color w:val="auto"/>
        </w:rPr>
        <w:t>The amount owed by Prudential under this Contract in respect of each Covered Life (and, if applicable, Contingent Life and Beneficiary) will be determined by Prudential in accordance with the terms of this Provision II.</w:t>
      </w:r>
    </w:p>
    <w:p>
      <w:pPr>
        <w:spacing w:after="0" w:line="48" w:lineRule="exact"/>
        <w:rPr>
          <w:sz w:val="20"/>
          <w:szCs w:val="20"/>
          <w:color w:val="auto"/>
        </w:rPr>
      </w:pPr>
    </w:p>
    <w:p>
      <w:pPr>
        <w:ind w:left="520" w:right="240"/>
        <w:spacing w:after="0" w:line="262" w:lineRule="auto"/>
        <w:rPr>
          <w:sz w:val="20"/>
          <w:szCs w:val="20"/>
          <w:color w:val="auto"/>
        </w:rPr>
      </w:pPr>
      <w:r>
        <w:rPr>
          <w:rFonts w:ascii="Arial" w:cs="Arial" w:eastAsia="Arial" w:hAnsi="Arial"/>
          <w:sz w:val="18"/>
          <w:szCs w:val="18"/>
          <w:color w:val="auto"/>
        </w:rPr>
        <w:t>Prudential will apply the terms of this Provision II using the information contained in the Annuity Exhibits with respect to such Covered Life, Contingent Life, and Beneficiary, as such information is updated or corrected pursuant to this Contract. Capitalized terms used but not defined in Section 1.1 have the meanings assigned in this Provision II.</w:t>
      </w:r>
    </w:p>
    <w:p>
      <w:pPr>
        <w:spacing w:after="0" w:line="73" w:lineRule="exact"/>
        <w:rPr>
          <w:sz w:val="20"/>
          <w:szCs w:val="20"/>
          <w:color w:val="auto"/>
        </w:rPr>
      </w:pPr>
    </w:p>
    <w:p>
      <w:pPr>
        <w:ind w:left="520"/>
        <w:spacing w:after="0" w:line="274" w:lineRule="auto"/>
        <w:rPr>
          <w:sz w:val="20"/>
          <w:szCs w:val="20"/>
          <w:color w:val="auto"/>
        </w:rPr>
      </w:pPr>
      <w:r>
        <w:rPr>
          <w:rFonts w:ascii="Arial" w:cs="Arial" w:eastAsia="Arial" w:hAnsi="Arial"/>
          <w:sz w:val="18"/>
          <w:szCs w:val="18"/>
          <w:color w:val="auto"/>
        </w:rPr>
        <w:t>[For any Covered Life, Contingent Life or Beneficiary who is shown on the attached Annuity Exhibit as having been paid, prior to the Annuity Commencement Date, Plan benefits in excess of the amount owed under the Plan, such overpayments shall be deducted from the Annuity Payments otherwise owed to such persons pursuant to this Provision II. Nothing in the preceding sentence shall relate to misstatements of data on the Annuity Exhibits. Such misstatements are governed by Section 2.6.]</w:t>
      </w:r>
      <w:r>
        <w:rPr>
          <w:rFonts w:ascii="Arial" w:cs="Arial" w:eastAsia="Arial" w:hAnsi="Arial"/>
          <w:sz w:val="26"/>
          <w:szCs w:val="26"/>
          <w:color w:val="auto"/>
          <w:vertAlign w:val="superscript"/>
        </w:rPr>
        <w:t>D</w:t>
      </w:r>
    </w:p>
    <w:p>
      <w:pPr>
        <w:spacing w:after="0" w:line="1" w:lineRule="exact"/>
        <w:rPr>
          <w:sz w:val="20"/>
          <w:szCs w:val="20"/>
          <w:color w:val="auto"/>
        </w:rPr>
      </w:pPr>
    </w:p>
    <w:p>
      <w:pPr>
        <w:ind w:left="520" w:right="180"/>
        <w:spacing w:after="0" w:line="261" w:lineRule="auto"/>
        <w:rPr>
          <w:sz w:val="20"/>
          <w:szCs w:val="20"/>
          <w:color w:val="auto"/>
        </w:rPr>
      </w:pPr>
      <w:r>
        <w:rPr>
          <w:rFonts w:ascii="Arial" w:cs="Arial" w:eastAsia="Arial" w:hAnsi="Arial"/>
          <w:sz w:val="18"/>
          <w:szCs w:val="18"/>
          <w:color w:val="auto"/>
        </w:rPr>
        <w:t>[For any Covered Life, Contingent Life or Beneficiary who is shown on the attached Annuity Exhibit as having been paid, prior to the Annuity Commencement Date, Plan benefits that were less than the amount owed under the Plan, such underpayments shall be added to the Annuity Payments otherwise owed to such persons pursuant to this Provision II. Nothing in the preceding sentence shall relate to misstatements of data on the Annuity Exhibits. Such misstatements are governed by Section 2.6.]</w:t>
      </w:r>
      <w:r>
        <w:rPr>
          <w:rFonts w:ascii="Arial" w:cs="Arial" w:eastAsia="Arial" w:hAnsi="Arial"/>
          <w:sz w:val="23"/>
          <w:szCs w:val="23"/>
          <w:color w:val="auto"/>
          <w:vertAlign w:val="superscript"/>
        </w:rPr>
        <w:t>D</w:t>
      </w:r>
    </w:p>
    <w:p>
      <w:pPr>
        <w:spacing w:after="0" w:line="8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u w:val="single" w:color="auto"/>
          <w:color w:val="auto"/>
        </w:rPr>
        <w:t>2.2</w:t>
      </w:r>
      <w:r>
        <w:rPr>
          <w:sz w:val="20"/>
          <w:szCs w:val="20"/>
          <w:color w:val="auto"/>
        </w:rPr>
        <w:tab/>
      </w:r>
      <w:r>
        <w:rPr>
          <w:rFonts w:ascii="Arial" w:cs="Arial" w:eastAsia="Arial" w:hAnsi="Arial"/>
          <w:sz w:val="17"/>
          <w:szCs w:val="17"/>
          <w:u w:val="single" w:color="auto"/>
          <w:color w:val="auto"/>
        </w:rPr>
        <w:t>Definitions</w:t>
      </w:r>
    </w:p>
    <w:p>
      <w:pPr>
        <w:spacing w:after="0" w:line="206"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definitions apply to this Section.</w:t>
      </w:r>
    </w:p>
    <w:p>
      <w:pPr>
        <w:spacing w:after="0" w:line="206"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Annuity Forms</w:t>
      </w:r>
      <w:r>
        <w:rPr>
          <w:rFonts w:ascii="Arial" w:cs="Arial" w:eastAsia="Arial" w:hAnsi="Arial"/>
          <w:sz w:val="18"/>
          <w:szCs w:val="18"/>
          <w:color w:val="auto"/>
        </w:rPr>
        <w:t>” means one of the following types of annuities:</w:t>
      </w:r>
    </w:p>
    <w:p>
      <w:pPr>
        <w:spacing w:after="0" w:line="219" w:lineRule="exact"/>
        <w:rPr>
          <w:sz w:val="20"/>
          <w:szCs w:val="20"/>
          <w:color w:val="auto"/>
        </w:rPr>
      </w:pPr>
    </w:p>
    <w:p>
      <w:pPr>
        <w:ind w:left="1500" w:right="20" w:firstLine="2"/>
        <w:spacing w:after="0" w:line="291" w:lineRule="auto"/>
        <w:tabs>
          <w:tab w:leader="none" w:pos="2019" w:val="left"/>
        </w:tabs>
        <w:numPr>
          <w:ilvl w:val="0"/>
          <w:numId w:val="1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Contingent Joint and Survivor Life Annuity</w:t>
      </w:r>
      <w:r>
        <w:rPr>
          <w:rFonts w:ascii="Arial" w:cs="Arial" w:eastAsia="Arial" w:hAnsi="Arial"/>
          <w:sz w:val="18"/>
          <w:szCs w:val="18"/>
          <w:color w:val="auto"/>
        </w:rPr>
        <w:t>” means, in respect of a Covered Life, the Annuity Form having such payment terms as are specified in Section 2.3 for such Annuity Form, together with any of the following Riders in respect of such Covered Life as are specified in Annuity Exhibits:</w:t>
      </w:r>
    </w:p>
    <w:p>
      <w:pPr>
        <w:spacing w:after="0" w:line="148"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Special Benefit Rider</w:t>
      </w:r>
    </w:p>
    <w:p>
      <w:pPr>
        <w:spacing w:after="0" w:line="22"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Level Benefit Rider</w:t>
      </w:r>
    </w:p>
    <w:p>
      <w:pPr>
        <w:spacing w:after="0" w:line="6"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Refund Death Benefit Rider</w:t>
      </w:r>
    </w:p>
    <w:p>
      <w:pPr>
        <w:spacing w:after="0" w:line="6"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and</w:t>
      </w:r>
    </w:p>
    <w:p>
      <w:pPr>
        <w:spacing w:after="0" w:line="190" w:lineRule="exact"/>
        <w:rPr>
          <w:sz w:val="20"/>
          <w:szCs w:val="20"/>
          <w:color w:val="auto"/>
        </w:rPr>
      </w:pPr>
    </w:p>
    <w:p>
      <w:pPr>
        <w:ind w:left="1800" w:right="160"/>
        <w:spacing w:after="0" w:line="277" w:lineRule="auto"/>
        <w:rPr>
          <w:sz w:val="20"/>
          <w:szCs w:val="20"/>
          <w:color w:val="auto"/>
        </w:rPr>
      </w:pPr>
      <w:r>
        <w:rPr>
          <w:rFonts w:ascii="Arial" w:cs="Arial" w:eastAsia="Arial" w:hAnsi="Arial"/>
          <w:sz w:val="18"/>
          <w:szCs w:val="18"/>
          <w:color w:val="auto"/>
        </w:rPr>
        <w:t>together with, in respect of such Covered Life, any of the following Option(s) in respect of such Covered Life as are specified in the Annuity Exhibits with respect to such Covered Life:</w:t>
      </w:r>
    </w:p>
    <w:p>
      <w:pPr>
        <w:spacing w:after="0" w:line="148"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General Conversion Option</w:t>
      </w:r>
    </w:p>
    <w:p>
      <w:pPr>
        <w:spacing w:after="0" w:line="219" w:lineRule="exact"/>
        <w:rPr>
          <w:sz w:val="20"/>
          <w:szCs w:val="20"/>
          <w:color w:val="auto"/>
        </w:rPr>
      </w:pPr>
    </w:p>
    <w:p>
      <w:pPr>
        <w:ind w:left="1500" w:right="140" w:firstLine="2"/>
        <w:spacing w:after="0" w:line="306" w:lineRule="auto"/>
        <w:tabs>
          <w:tab w:leader="none" w:pos="2024" w:val="left"/>
        </w:tabs>
        <w:numPr>
          <w:ilvl w:val="0"/>
          <w:numId w:val="11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Period Certain Annuity</w:t>
      </w:r>
      <w:r>
        <w:rPr>
          <w:rFonts w:ascii="Arial" w:cs="Arial" w:eastAsia="Arial" w:hAnsi="Arial"/>
          <w:sz w:val="18"/>
          <w:szCs w:val="18"/>
          <w:color w:val="auto"/>
        </w:rPr>
        <w:t>,” means, in respect of a Covered Life, the Annuity Form having such payment terms as are specified in Section 2.3 for such Annuity Form. No Riders or Options apply to this Annuity Form.</w:t>
      </w:r>
    </w:p>
    <w:p>
      <w:pPr>
        <w:spacing w:after="0" w:line="148" w:lineRule="exact"/>
        <w:rPr>
          <w:rFonts w:ascii="Arial" w:cs="Arial" w:eastAsia="Arial" w:hAnsi="Arial"/>
          <w:sz w:val="18"/>
          <w:szCs w:val="18"/>
          <w:color w:val="auto"/>
        </w:rPr>
      </w:pPr>
    </w:p>
    <w:p>
      <w:pPr>
        <w:ind w:left="1500" w:right="80" w:firstLine="2"/>
        <w:spacing w:after="0" w:line="306" w:lineRule="auto"/>
        <w:tabs>
          <w:tab w:leader="none" w:pos="2075" w:val="left"/>
        </w:tabs>
        <w:numPr>
          <w:ilvl w:val="0"/>
          <w:numId w:val="11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Single Life and Period Certain Annuity</w:t>
      </w:r>
      <w:r>
        <w:rPr>
          <w:rFonts w:ascii="Arial" w:cs="Arial" w:eastAsia="Arial" w:hAnsi="Arial"/>
          <w:sz w:val="18"/>
          <w:szCs w:val="18"/>
          <w:color w:val="auto"/>
        </w:rPr>
        <w:t>,” means, in respect of a Covered Life, the Annuity Form having such payment terms as are specified in Section 2.3 for such Annuity Form. No Riders or Options apply to this Annuity Form.</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380"/>
          </w:cols>
          <w:pgMar w:left="240" w:top="548" w:right="279" w:bottom="1440" w:gutter="0" w:footer="0" w:header="0"/>
        </w:sectPr>
      </w:pPr>
    </w:p>
    <w:bookmarkStart w:id="90" w:name="page91"/>
    <w:bookmarkEnd w:id="90"/>
    <w:p>
      <w:pPr>
        <w:ind w:left="900" w:right="120" w:firstLine="2"/>
        <w:spacing w:after="0" w:line="291" w:lineRule="auto"/>
        <w:tabs>
          <w:tab w:leader="none" w:pos="1465" w:val="left"/>
        </w:tabs>
        <w:numPr>
          <w:ilvl w:val="0"/>
          <w:numId w:val="117"/>
        </w:numPr>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u w:val="single" w:color="auto"/>
          <w:color w:val="auto"/>
        </w:rPr>
        <w:t>Single Life Annuity,</w:t>
      </w:r>
      <w:r>
        <w:rPr>
          <w:rFonts w:ascii="Arial" w:cs="Arial" w:eastAsia="Arial" w:hAnsi="Arial"/>
          <w:sz w:val="18"/>
          <w:szCs w:val="18"/>
          <w:color w:val="auto"/>
        </w:rPr>
        <w:t>” means, in respect of a Covered Life, the Annuity Form having such payment terms as are specified in Section 2.3 for such Annuity Form, together with any of the following Riders in respect of such Covered Life as are specified in Annuity Exhibits:</w:t>
      </w:r>
    </w:p>
    <w:p>
      <w:pPr>
        <w:spacing w:after="0" w:line="148"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Special Benefit Rider</w:t>
      </w:r>
    </w:p>
    <w:p>
      <w:pPr>
        <w:spacing w:after="0" w:line="22"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Level Benefit Rider</w:t>
      </w:r>
    </w:p>
    <w:p>
      <w:pPr>
        <w:spacing w:after="0" w:line="6"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Refund Death Benefit Rider</w:t>
      </w:r>
    </w:p>
    <w:p>
      <w:pPr>
        <w:spacing w:after="0" w:line="190"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and</w:t>
      </w:r>
    </w:p>
    <w:p>
      <w:pPr>
        <w:spacing w:after="0" w:line="206" w:lineRule="exact"/>
        <w:rPr>
          <w:sz w:val="20"/>
          <w:szCs w:val="20"/>
          <w:color w:val="auto"/>
        </w:rPr>
      </w:pPr>
    </w:p>
    <w:p>
      <w:pPr>
        <w:ind w:left="1200" w:right="160"/>
        <w:spacing w:after="0" w:line="277" w:lineRule="auto"/>
        <w:rPr>
          <w:sz w:val="20"/>
          <w:szCs w:val="20"/>
          <w:color w:val="auto"/>
        </w:rPr>
      </w:pPr>
      <w:r>
        <w:rPr>
          <w:rFonts w:ascii="Arial" w:cs="Arial" w:eastAsia="Arial" w:hAnsi="Arial"/>
          <w:sz w:val="18"/>
          <w:szCs w:val="18"/>
          <w:color w:val="auto"/>
        </w:rPr>
        <w:t>together with, in respect of such Covered Life, any of the following Option(s) in respect of such Covered Life as are specified in the Annuity Exhibits with respect to such Covered Life:</w:t>
      </w:r>
    </w:p>
    <w:p>
      <w:pPr>
        <w:spacing w:after="0" w:line="148"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Post-Retirement Marriage Conversion Option</w:t>
      </w:r>
    </w:p>
    <w:p>
      <w:pPr>
        <w:spacing w:after="0" w:line="22"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Disabled Age 55 Conversion Option</w:t>
      </w:r>
    </w:p>
    <w:p>
      <w:pPr>
        <w:spacing w:after="0" w:line="203" w:lineRule="exact"/>
        <w:rPr>
          <w:sz w:val="20"/>
          <w:szCs w:val="20"/>
          <w:color w:val="auto"/>
        </w:rPr>
      </w:pPr>
    </w:p>
    <w:p>
      <w:pPr>
        <w:jc w:val="both"/>
        <w:ind w:left="900" w:firstLine="2"/>
        <w:spacing w:after="0" w:line="291" w:lineRule="auto"/>
        <w:tabs>
          <w:tab w:leader="none" w:pos="1414" w:val="left"/>
        </w:tabs>
        <w:numPr>
          <w:ilvl w:val="0"/>
          <w:numId w:val="11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Spousal Joint and Survivor Life Annuity</w:t>
      </w:r>
      <w:r>
        <w:rPr>
          <w:rFonts w:ascii="Arial" w:cs="Arial" w:eastAsia="Arial" w:hAnsi="Arial"/>
          <w:sz w:val="18"/>
          <w:szCs w:val="18"/>
          <w:color w:val="auto"/>
        </w:rPr>
        <w:t>,” means, in respect of a Covered Life, the Annuity Form having such payment terms as are specified in Section 2.3 for such Annuity Form, together with any of the following Riders in respect of such Covered Life as are specified in Annuity Exhibits:</w:t>
      </w:r>
    </w:p>
    <w:p>
      <w:pPr>
        <w:spacing w:after="0" w:line="148"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Special Benefit Rider</w:t>
      </w:r>
    </w:p>
    <w:p>
      <w:pPr>
        <w:spacing w:after="0" w:line="22"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Level Benefit Rider</w:t>
      </w:r>
    </w:p>
    <w:p>
      <w:pPr>
        <w:spacing w:after="0" w:line="6"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Pop-Up Rider</w:t>
      </w:r>
    </w:p>
    <w:p>
      <w:pPr>
        <w:spacing w:after="0" w:line="6"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Refund Death Benefit Rider</w:t>
      </w:r>
    </w:p>
    <w:p>
      <w:pPr>
        <w:spacing w:after="0" w:line="6"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and</w:t>
      </w:r>
    </w:p>
    <w:p>
      <w:pPr>
        <w:spacing w:after="0" w:line="190" w:lineRule="exact"/>
        <w:rPr>
          <w:sz w:val="20"/>
          <w:szCs w:val="20"/>
          <w:color w:val="auto"/>
        </w:rPr>
      </w:pPr>
    </w:p>
    <w:p>
      <w:pPr>
        <w:ind w:left="1200" w:right="160"/>
        <w:spacing w:after="0" w:line="277" w:lineRule="auto"/>
        <w:rPr>
          <w:sz w:val="20"/>
          <w:szCs w:val="20"/>
          <w:color w:val="auto"/>
        </w:rPr>
      </w:pPr>
      <w:r>
        <w:rPr>
          <w:rFonts w:ascii="Arial" w:cs="Arial" w:eastAsia="Arial" w:hAnsi="Arial"/>
          <w:sz w:val="18"/>
          <w:szCs w:val="18"/>
          <w:color w:val="auto"/>
        </w:rPr>
        <w:t>together with, in respect of such Covered Life, any of the following Option(s) in respect of such Covered Life as are specified in the Annuity Exhibits with respect to such Covered Life:</w:t>
      </w:r>
    </w:p>
    <w:p>
      <w:pPr>
        <w:spacing w:after="0" w:line="148"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General Conversion Option</w:t>
      </w:r>
    </w:p>
    <w:p>
      <w:pPr>
        <w:spacing w:after="0" w:line="22"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Disabled Age 55 Conversion Option</w:t>
      </w:r>
    </w:p>
    <w:p>
      <w:pPr>
        <w:spacing w:after="0" w:line="203" w:lineRule="exact"/>
        <w:rPr>
          <w:sz w:val="20"/>
          <w:szCs w:val="20"/>
          <w:color w:val="auto"/>
        </w:rPr>
      </w:pPr>
    </w:p>
    <w:p>
      <w:pPr>
        <w:jc w:val="both"/>
        <w:ind w:left="900" w:right="140" w:firstLine="2"/>
        <w:spacing w:after="0" w:line="291" w:lineRule="auto"/>
        <w:tabs>
          <w:tab w:leader="none" w:pos="1465" w:val="left"/>
        </w:tabs>
        <w:numPr>
          <w:ilvl w:val="0"/>
          <w:numId w:val="119"/>
        </w:numPr>
        <w:rPr>
          <w:rFonts w:ascii="Arial" w:cs="Arial" w:eastAsia="Arial" w:hAnsi="Arial"/>
          <w:sz w:val="18"/>
          <w:szCs w:val="18"/>
          <w:color w:val="auto"/>
        </w:rPr>
      </w:pPr>
      <w:r>
        <w:rPr>
          <w:rFonts w:ascii="Arial" w:cs="Arial" w:eastAsia="Arial" w:hAnsi="Arial"/>
          <w:sz w:val="18"/>
          <w:szCs w:val="18"/>
          <w:u w:val="single" w:color="auto"/>
          <w:color w:val="auto"/>
        </w:rPr>
        <w:t>Window Spousal Contingent 50% or 75% Joint and Survivor Life Annuity</w:t>
      </w:r>
      <w:r>
        <w:rPr>
          <w:rFonts w:ascii="Arial" w:cs="Arial" w:eastAsia="Arial" w:hAnsi="Arial"/>
          <w:sz w:val="18"/>
          <w:szCs w:val="18"/>
          <w:color w:val="auto"/>
        </w:rPr>
        <w:t>” means, in respect of a Covered Life, the Annuity Form having such payment terms as are specified in Section 2.3 for such Annuity Form, together with any of the following Riders in respect of such Covered Life as are specified in Annuity Exhibits:</w:t>
      </w:r>
    </w:p>
    <w:p>
      <w:pPr>
        <w:spacing w:after="0" w:line="148"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Refund Death Benefit Rider</w:t>
      </w:r>
    </w:p>
    <w:p>
      <w:pPr>
        <w:spacing w:after="0" w:line="206" w:lineRule="exact"/>
        <w:rPr>
          <w:sz w:val="20"/>
          <w:szCs w:val="20"/>
          <w:color w:val="auto"/>
        </w:rPr>
      </w:pPr>
    </w:p>
    <w:p>
      <w:pPr>
        <w:ind w:left="900" w:firstLine="2"/>
        <w:spacing w:after="0" w:line="262" w:lineRule="auto"/>
        <w:tabs>
          <w:tab w:leader="none" w:pos="1262" w:val="left"/>
        </w:tabs>
        <w:numPr>
          <w:ilvl w:val="0"/>
          <w:numId w:val="120"/>
        </w:numPr>
        <w:rPr>
          <w:rFonts w:ascii="Arial" w:cs="Arial" w:eastAsia="Arial" w:hAnsi="Arial"/>
          <w:sz w:val="18"/>
          <w:szCs w:val="18"/>
          <w:color w:val="auto"/>
        </w:rPr>
      </w:pPr>
      <w:r>
        <w:rPr>
          <w:rFonts w:ascii="Arial" w:cs="Arial" w:eastAsia="Arial" w:hAnsi="Arial"/>
          <w:sz w:val="18"/>
          <w:szCs w:val="18"/>
          <w:u w:val="single" w:color="auto"/>
          <w:color w:val="auto"/>
        </w:rPr>
        <w:t>Window Single Life Annuity</w:t>
      </w:r>
      <w:r>
        <w:rPr>
          <w:rFonts w:ascii="Arial" w:cs="Arial" w:eastAsia="Arial" w:hAnsi="Arial"/>
          <w:sz w:val="18"/>
          <w:szCs w:val="18"/>
          <w:color w:val="auto"/>
        </w:rPr>
        <w:t>” means, in respect of a Covered Life, the Annuity Form having such payment terms as are specified in Section 2.3 for such Annuity Form, together with any of the following Riders in respect of such Covered Life as are specified in Annuity Exhibits:</w:t>
      </w:r>
    </w:p>
    <w:p>
      <w:pPr>
        <w:spacing w:after="0" w:line="161"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Refund Death Benefit Rider</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Conversion Conditions</w:t>
      </w:r>
      <w:r>
        <w:rPr>
          <w:rFonts w:ascii="Arial" w:cs="Arial" w:eastAsia="Arial" w:hAnsi="Arial"/>
          <w:sz w:val="18"/>
          <w:szCs w:val="18"/>
          <w:color w:val="auto"/>
        </w:rPr>
        <w:t>” means the following:</w:t>
      </w:r>
    </w:p>
    <w:p>
      <w:pPr>
        <w:spacing w:after="0" w:line="206" w:lineRule="exact"/>
        <w:rPr>
          <w:sz w:val="20"/>
          <w:szCs w:val="20"/>
          <w:color w:val="auto"/>
        </w:rPr>
      </w:pPr>
    </w:p>
    <w:p>
      <w:pPr>
        <w:ind w:left="600"/>
        <w:spacing w:after="0"/>
        <w:rPr>
          <w:sz w:val="20"/>
          <w:szCs w:val="20"/>
          <w:color w:val="auto"/>
        </w:rPr>
      </w:pPr>
      <w:r>
        <w:rPr>
          <w:rFonts w:ascii="Arial" w:cs="Arial" w:eastAsia="Arial" w:hAnsi="Arial"/>
          <w:sz w:val="18"/>
          <w:szCs w:val="18"/>
          <w:color w:val="auto"/>
        </w:rPr>
        <w:t>(i) With respect to Disabled Age 55 Conversion Option,</w:t>
      </w:r>
    </w:p>
    <w:p>
      <w:pPr>
        <w:spacing w:after="0" w:line="200" w:lineRule="exact"/>
        <w:rPr>
          <w:sz w:val="20"/>
          <w:szCs w:val="20"/>
          <w:color w:val="auto"/>
        </w:rPr>
      </w:pPr>
    </w:p>
    <w:p>
      <w:pPr>
        <w:spacing w:after="0" w:line="236" w:lineRule="exact"/>
        <w:rPr>
          <w:sz w:val="20"/>
          <w:szCs w:val="20"/>
          <w:color w:val="auto"/>
        </w:rPr>
      </w:pPr>
    </w:p>
    <w:p>
      <w:pPr>
        <w:jc w:val="center"/>
        <w:ind w:right="560"/>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0780"/>
          </w:cols>
          <w:pgMar w:left="840" w:top="761" w:right="279" w:bottom="1440" w:gutter="0" w:footer="0" w:header="0"/>
        </w:sectPr>
      </w:pPr>
    </w:p>
    <w:bookmarkStart w:id="91" w:name="page92"/>
    <w:bookmarkEnd w:id="91"/>
    <w:p>
      <w:pPr>
        <w:ind w:left="1200" w:firstLine="3"/>
        <w:spacing w:after="0" w:line="277" w:lineRule="auto"/>
        <w:tabs>
          <w:tab w:leader="none" w:pos="150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means that a Covered Life (such Covered Life being “you” or “your”) is shown on the Annuity Exhibits as having a “Disabled Age 55” Conversion Option, and</w:t>
      </w:r>
    </w:p>
    <w:p>
      <w:pPr>
        <w:spacing w:after="0" w:line="148" w:lineRule="exact"/>
        <w:rPr>
          <w:rFonts w:ascii="Arial" w:cs="Arial" w:eastAsia="Arial" w:hAnsi="Arial"/>
          <w:sz w:val="18"/>
          <w:szCs w:val="18"/>
          <w:color w:val="auto"/>
        </w:rPr>
      </w:pPr>
    </w:p>
    <w:p>
      <w:pPr>
        <w:ind w:left="1500" w:hanging="297"/>
        <w:spacing w:after="0"/>
        <w:tabs>
          <w:tab w:leader="none" w:pos="150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you demonstrate that you are age 55</w:t>
      </w:r>
    </w:p>
    <w:p>
      <w:pPr>
        <w:spacing w:after="0" w:line="206" w:lineRule="exact"/>
        <w:rPr>
          <w:rFonts w:ascii="Arial" w:cs="Arial" w:eastAsia="Arial" w:hAnsi="Arial"/>
          <w:sz w:val="18"/>
          <w:szCs w:val="18"/>
          <w:color w:val="auto"/>
        </w:rPr>
      </w:pPr>
    </w:p>
    <w:p>
      <w:pPr>
        <w:ind w:left="880" w:hanging="278"/>
        <w:spacing w:after="0"/>
        <w:tabs>
          <w:tab w:leader="none" w:pos="8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With respect to the General Conversion Option,</w:t>
      </w:r>
    </w:p>
    <w:p>
      <w:pPr>
        <w:spacing w:after="0" w:line="206" w:lineRule="exact"/>
        <w:rPr>
          <w:rFonts w:ascii="Arial" w:cs="Arial" w:eastAsia="Arial" w:hAnsi="Arial"/>
          <w:sz w:val="18"/>
          <w:szCs w:val="18"/>
          <w:color w:val="auto"/>
        </w:rPr>
      </w:pPr>
    </w:p>
    <w:p>
      <w:pPr>
        <w:ind w:left="1200" w:firstLine="3"/>
        <w:spacing w:after="0" w:line="342" w:lineRule="auto"/>
        <w:tabs>
          <w:tab w:leader="none" w:pos="1500" w:val="left"/>
        </w:tabs>
        <w:numPr>
          <w:ilvl w:val="1"/>
          <w:numId w:val="122"/>
        </w:numPr>
        <w:rPr>
          <w:rFonts w:ascii="Arial" w:cs="Arial" w:eastAsia="Arial" w:hAnsi="Arial"/>
          <w:sz w:val="16"/>
          <w:szCs w:val="16"/>
          <w:color w:val="auto"/>
        </w:rPr>
      </w:pPr>
      <w:r>
        <w:rPr>
          <w:rFonts w:ascii="Arial" w:cs="Arial" w:eastAsia="Arial" w:hAnsi="Arial"/>
          <w:sz w:val="16"/>
          <w:szCs w:val="16"/>
          <w:color w:val="auto"/>
        </w:rPr>
        <w:t>means that a Covered Life (such Covered Life being “you” or “your”) is shown on the Annuity Exhibits as having a “General” Conversion Option, then you must demonstrate that you meet one of the following conditions before you can exercise the option:</w:t>
      </w:r>
    </w:p>
    <w:p>
      <w:pPr>
        <w:spacing w:after="0" w:line="101" w:lineRule="exact"/>
        <w:rPr>
          <w:rFonts w:ascii="Arial" w:cs="Arial" w:eastAsia="Arial" w:hAnsi="Arial"/>
          <w:sz w:val="16"/>
          <w:szCs w:val="16"/>
          <w:color w:val="auto"/>
        </w:rPr>
      </w:pPr>
    </w:p>
    <w:p>
      <w:pPr>
        <w:ind w:left="1200" w:right="140" w:firstLine="3"/>
        <w:spacing w:after="0" w:line="254" w:lineRule="auto"/>
        <w:tabs>
          <w:tab w:leader="none" w:pos="149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if your Annuity Form is the Spousal Joint and Survivor Life Annuity or the Contingent Joint and Survivor Life Annuity with your spouse as Contingent Life and if you became divorced after your Original Retirement Date (as specified on the Annuity Exhibits), then you can exercise the option if you comply with the following conditions. You must provide us with a qualified domestic relations order (QDRO) in a form acceptable to us. It must provide that such Contingent Life will not be entitled to any portion of the Contingent Life Amount when you die.</w:t>
      </w:r>
    </w:p>
    <w:p>
      <w:pPr>
        <w:spacing w:after="0" w:line="168" w:lineRule="exact"/>
        <w:rPr>
          <w:rFonts w:ascii="Arial" w:cs="Arial" w:eastAsia="Arial" w:hAnsi="Arial"/>
          <w:sz w:val="18"/>
          <w:szCs w:val="18"/>
          <w:color w:val="auto"/>
        </w:rPr>
      </w:pPr>
    </w:p>
    <w:p>
      <w:pPr>
        <w:ind w:left="1200" w:right="180" w:firstLine="3"/>
        <w:spacing w:after="0" w:line="276" w:lineRule="auto"/>
        <w:tabs>
          <w:tab w:leader="none" w:pos="1490" w:val="left"/>
        </w:tabs>
        <w:numPr>
          <w:ilvl w:val="1"/>
          <w:numId w:val="122"/>
        </w:numPr>
        <w:rPr>
          <w:rFonts w:ascii="Arial" w:cs="Arial" w:eastAsia="Arial" w:hAnsi="Arial"/>
          <w:sz w:val="17"/>
          <w:szCs w:val="17"/>
          <w:color w:val="auto"/>
        </w:rPr>
      </w:pPr>
      <w:r>
        <w:rPr>
          <w:rFonts w:ascii="Arial" w:cs="Arial" w:eastAsia="Arial" w:hAnsi="Arial"/>
          <w:sz w:val="17"/>
          <w:szCs w:val="17"/>
          <w:color w:val="auto"/>
        </w:rPr>
        <w:t>if your Annuity Form is the Contingent Joint and Survivor Life Annuity, and if your Contingent Life is not your spouse, you can exercise this option only in the event of post retirement marriage or re-marriage. No waiver from your Contingent Life is required. If we request, you must provide us with satisfactory proof of the good health of the Contingent Life before the Contingent Life can be removed and a new spouse can be added (see Post-Retirement Marriage Conversion Option, below).</w:t>
      </w:r>
    </w:p>
    <w:p>
      <w:pPr>
        <w:spacing w:after="0" w:line="152" w:lineRule="exact"/>
        <w:rPr>
          <w:sz w:val="20"/>
          <w:szCs w:val="20"/>
          <w:color w:val="auto"/>
        </w:rPr>
      </w:pPr>
    </w:p>
    <w:p>
      <w:pPr>
        <w:ind w:left="1200" w:right="480"/>
        <w:spacing w:after="0" w:line="277" w:lineRule="auto"/>
        <w:rPr>
          <w:sz w:val="20"/>
          <w:szCs w:val="20"/>
          <w:color w:val="auto"/>
        </w:rPr>
      </w:pPr>
      <w:r>
        <w:rPr>
          <w:rFonts w:ascii="Arial" w:cs="Arial" w:eastAsia="Arial" w:hAnsi="Arial"/>
          <w:sz w:val="18"/>
          <w:szCs w:val="18"/>
          <w:color w:val="auto"/>
        </w:rPr>
        <w:t>Note that this option is limited to the situations described above. The following are examples of situations where you cannot exercise this option.</w:t>
      </w:r>
    </w:p>
    <w:p>
      <w:pPr>
        <w:spacing w:after="0" w:line="148" w:lineRule="exact"/>
        <w:rPr>
          <w:sz w:val="20"/>
          <w:szCs w:val="20"/>
          <w:color w:val="auto"/>
        </w:rPr>
      </w:pPr>
    </w:p>
    <w:p>
      <w:pPr>
        <w:ind w:left="1200" w:right="240" w:firstLine="3"/>
        <w:spacing w:after="0" w:line="277" w:lineRule="auto"/>
        <w:tabs>
          <w:tab w:leader="none" w:pos="1500" w:val="left"/>
        </w:tabs>
        <w:numPr>
          <w:ilvl w:val="1"/>
          <w:numId w:val="123"/>
        </w:numPr>
        <w:rPr>
          <w:rFonts w:ascii="Arial" w:cs="Arial" w:eastAsia="Arial" w:hAnsi="Arial"/>
          <w:sz w:val="18"/>
          <w:szCs w:val="18"/>
          <w:color w:val="auto"/>
        </w:rPr>
      </w:pPr>
      <w:r>
        <w:rPr>
          <w:rFonts w:ascii="Arial" w:cs="Arial" w:eastAsia="Arial" w:hAnsi="Arial"/>
          <w:sz w:val="18"/>
          <w:szCs w:val="18"/>
          <w:color w:val="auto"/>
        </w:rPr>
        <w:t>if your Annuity Form is the Spousal Joint and Survivor Life Annuity and if you have not been divorced since your Original Retirement Date, you cannot exercise this option.</w:t>
      </w:r>
    </w:p>
    <w:p>
      <w:pPr>
        <w:spacing w:after="0" w:line="148" w:lineRule="exact"/>
        <w:rPr>
          <w:rFonts w:ascii="Arial" w:cs="Arial" w:eastAsia="Arial" w:hAnsi="Arial"/>
          <w:sz w:val="18"/>
          <w:szCs w:val="18"/>
          <w:color w:val="auto"/>
        </w:rPr>
      </w:pPr>
    </w:p>
    <w:p>
      <w:pPr>
        <w:ind w:left="1200" w:right="300" w:firstLine="3"/>
        <w:spacing w:after="0" w:line="277" w:lineRule="auto"/>
        <w:tabs>
          <w:tab w:leader="none" w:pos="1500" w:val="left"/>
        </w:tabs>
        <w:numPr>
          <w:ilvl w:val="1"/>
          <w:numId w:val="123"/>
        </w:numPr>
        <w:rPr>
          <w:rFonts w:ascii="Arial" w:cs="Arial" w:eastAsia="Arial" w:hAnsi="Arial"/>
          <w:sz w:val="18"/>
          <w:szCs w:val="18"/>
          <w:color w:val="auto"/>
        </w:rPr>
      </w:pPr>
      <w:r>
        <w:rPr>
          <w:rFonts w:ascii="Arial" w:cs="Arial" w:eastAsia="Arial" w:hAnsi="Arial"/>
          <w:sz w:val="18"/>
          <w:szCs w:val="18"/>
          <w:color w:val="auto"/>
        </w:rPr>
        <w:t>if your Annuity Form is the Contingent Joint and Survivor Life Annuity, if your Contingent Life is your spouse, and if you have not been divorced since your Original Retirement Date, you cannot exercise this option.</w:t>
      </w:r>
    </w:p>
    <w:p>
      <w:pPr>
        <w:spacing w:after="0" w:line="148" w:lineRule="exact"/>
        <w:rPr>
          <w:rFonts w:ascii="Arial" w:cs="Arial" w:eastAsia="Arial" w:hAnsi="Arial"/>
          <w:sz w:val="18"/>
          <w:szCs w:val="18"/>
          <w:color w:val="auto"/>
        </w:rPr>
      </w:pPr>
    </w:p>
    <w:p>
      <w:pPr>
        <w:ind w:left="920" w:hanging="318"/>
        <w:spacing w:after="0"/>
        <w:tabs>
          <w:tab w:leader="none" w:pos="92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With respect to the Post-Retirement Marriage Conversion Option,</w:t>
      </w:r>
    </w:p>
    <w:p>
      <w:pPr>
        <w:spacing w:after="0" w:line="206" w:lineRule="exact"/>
        <w:rPr>
          <w:rFonts w:ascii="Arial" w:cs="Arial" w:eastAsia="Arial" w:hAnsi="Arial"/>
          <w:sz w:val="18"/>
          <w:szCs w:val="18"/>
          <w:color w:val="auto"/>
        </w:rPr>
      </w:pPr>
    </w:p>
    <w:p>
      <w:pPr>
        <w:ind w:left="1200" w:right="280" w:firstLine="3"/>
        <w:spacing w:after="0" w:line="277" w:lineRule="auto"/>
        <w:tabs>
          <w:tab w:leader="none" w:pos="1500" w:val="left"/>
        </w:tabs>
        <w:numPr>
          <w:ilvl w:val="1"/>
          <w:numId w:val="124"/>
        </w:numPr>
        <w:rPr>
          <w:rFonts w:ascii="Arial" w:cs="Arial" w:eastAsia="Arial" w:hAnsi="Arial"/>
          <w:sz w:val="18"/>
          <w:szCs w:val="18"/>
          <w:color w:val="auto"/>
        </w:rPr>
      </w:pPr>
      <w:r>
        <w:rPr>
          <w:rFonts w:ascii="Arial" w:cs="Arial" w:eastAsia="Arial" w:hAnsi="Arial"/>
          <w:sz w:val="18"/>
          <w:szCs w:val="18"/>
          <w:color w:val="auto"/>
        </w:rPr>
        <w:t>means that a Covered Life (such Covered Life being “you” or “your”) is shown on the Annuity Exhibits as having a “Post-Retirement Marriage” Conversion Option, and</w:t>
      </w:r>
    </w:p>
    <w:p>
      <w:pPr>
        <w:spacing w:after="0" w:line="148" w:lineRule="exact"/>
        <w:rPr>
          <w:rFonts w:ascii="Arial" w:cs="Arial" w:eastAsia="Arial" w:hAnsi="Arial"/>
          <w:sz w:val="18"/>
          <w:szCs w:val="18"/>
          <w:color w:val="auto"/>
        </w:rPr>
      </w:pPr>
    </w:p>
    <w:p>
      <w:pPr>
        <w:ind w:left="1500" w:hanging="297"/>
        <w:spacing w:after="0"/>
        <w:tabs>
          <w:tab w:leader="none" w:pos="1500" w:val="left"/>
        </w:tabs>
        <w:numPr>
          <w:ilvl w:val="1"/>
          <w:numId w:val="124"/>
        </w:numPr>
        <w:rPr>
          <w:rFonts w:ascii="Arial" w:cs="Arial" w:eastAsia="Arial" w:hAnsi="Arial"/>
          <w:sz w:val="18"/>
          <w:szCs w:val="18"/>
          <w:color w:val="auto"/>
        </w:rPr>
      </w:pPr>
      <w:r>
        <w:rPr>
          <w:rFonts w:ascii="Arial" w:cs="Arial" w:eastAsia="Arial" w:hAnsi="Arial"/>
          <w:sz w:val="18"/>
          <w:szCs w:val="18"/>
          <w:color w:val="auto"/>
        </w:rPr>
        <w:t>You became married for the first time, or became re-married, after [June 30, 2011]</w:t>
      </w:r>
      <w:r>
        <w:rPr>
          <w:rFonts w:ascii="Arial" w:cs="Arial" w:eastAsia="Arial" w:hAnsi="Arial"/>
          <w:sz w:val="23"/>
          <w:szCs w:val="23"/>
          <w:color w:val="auto"/>
          <w:vertAlign w:val="superscript"/>
        </w:rPr>
        <w:t>E</w:t>
      </w:r>
      <w:r>
        <w:rPr>
          <w:rFonts w:ascii="Arial" w:cs="Arial" w:eastAsia="Arial" w:hAnsi="Arial"/>
          <w:sz w:val="18"/>
          <w:szCs w:val="18"/>
          <w:color w:val="auto"/>
        </w:rPr>
        <w:t>, and</w:t>
      </w:r>
    </w:p>
    <w:p>
      <w:pPr>
        <w:spacing w:after="0" w:line="161" w:lineRule="exact"/>
        <w:rPr>
          <w:rFonts w:ascii="Arial" w:cs="Arial" w:eastAsia="Arial" w:hAnsi="Arial"/>
          <w:sz w:val="18"/>
          <w:szCs w:val="18"/>
          <w:color w:val="auto"/>
        </w:rPr>
      </w:pPr>
    </w:p>
    <w:p>
      <w:pPr>
        <w:ind w:left="1500" w:hanging="297"/>
        <w:spacing w:after="0"/>
        <w:tabs>
          <w:tab w:leader="none" w:pos="1500" w:val="left"/>
        </w:tabs>
        <w:numPr>
          <w:ilvl w:val="1"/>
          <w:numId w:val="124"/>
        </w:numPr>
        <w:rPr>
          <w:rFonts w:ascii="Arial" w:cs="Arial" w:eastAsia="Arial" w:hAnsi="Arial"/>
          <w:sz w:val="18"/>
          <w:szCs w:val="18"/>
          <w:color w:val="auto"/>
        </w:rPr>
      </w:pPr>
      <w:r>
        <w:rPr>
          <w:rFonts w:ascii="Arial" w:cs="Arial" w:eastAsia="Arial" w:hAnsi="Arial"/>
          <w:sz w:val="18"/>
          <w:szCs w:val="18"/>
          <w:color w:val="auto"/>
        </w:rPr>
        <w:t>You exercise this option within 18-months after such marriage or re-marriage, and</w:t>
      </w:r>
    </w:p>
    <w:p>
      <w:pPr>
        <w:spacing w:after="0" w:line="206" w:lineRule="exact"/>
        <w:rPr>
          <w:rFonts w:ascii="Arial" w:cs="Arial" w:eastAsia="Arial" w:hAnsi="Arial"/>
          <w:sz w:val="18"/>
          <w:szCs w:val="18"/>
          <w:color w:val="auto"/>
        </w:rPr>
      </w:pPr>
    </w:p>
    <w:p>
      <w:pPr>
        <w:ind w:left="1500" w:hanging="297"/>
        <w:spacing w:after="0"/>
        <w:tabs>
          <w:tab w:leader="none" w:pos="1500" w:val="left"/>
        </w:tabs>
        <w:numPr>
          <w:ilvl w:val="1"/>
          <w:numId w:val="124"/>
        </w:numPr>
        <w:rPr>
          <w:rFonts w:ascii="Arial" w:cs="Arial" w:eastAsia="Arial" w:hAnsi="Arial"/>
          <w:sz w:val="18"/>
          <w:szCs w:val="18"/>
          <w:color w:val="auto"/>
        </w:rPr>
      </w:pPr>
      <w:r>
        <w:rPr>
          <w:rFonts w:ascii="Arial" w:cs="Arial" w:eastAsia="Arial" w:hAnsi="Arial"/>
          <w:sz w:val="18"/>
          <w:szCs w:val="18"/>
          <w:color w:val="auto"/>
        </w:rPr>
        <w:t>You supply us with evidence of such marriage or re-marriage.</w:t>
      </w:r>
    </w:p>
    <w:p>
      <w:pPr>
        <w:spacing w:after="0" w:line="206" w:lineRule="exact"/>
        <w:rPr>
          <w:sz w:val="20"/>
          <w:szCs w:val="20"/>
          <w:color w:val="auto"/>
        </w:rPr>
      </w:pPr>
    </w:p>
    <w:p>
      <w:pPr>
        <w:ind w:right="340"/>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Conversion Options</w:t>
      </w:r>
      <w:r>
        <w:rPr>
          <w:rFonts w:ascii="Arial" w:cs="Arial" w:eastAsia="Arial" w:hAnsi="Arial"/>
          <w:sz w:val="18"/>
          <w:szCs w:val="18"/>
          <w:color w:val="auto"/>
        </w:rPr>
        <w:t>” means, if the “</w:t>
      </w:r>
      <w:r>
        <w:rPr>
          <w:rFonts w:ascii="Arial" w:cs="Arial" w:eastAsia="Arial" w:hAnsi="Arial"/>
          <w:sz w:val="18"/>
          <w:szCs w:val="18"/>
          <w:u w:val="single" w:color="auto"/>
          <w:color w:val="auto"/>
        </w:rPr>
        <w:t>Disabled Age 55 Conversion Option,</w:t>
      </w:r>
      <w:r>
        <w:rPr>
          <w:rFonts w:ascii="Arial" w:cs="Arial" w:eastAsia="Arial" w:hAnsi="Arial"/>
          <w:sz w:val="18"/>
          <w:szCs w:val="18"/>
          <w:color w:val="auto"/>
        </w:rPr>
        <w:t>” the “</w:t>
      </w:r>
      <w:r>
        <w:rPr>
          <w:rFonts w:ascii="Arial" w:cs="Arial" w:eastAsia="Arial" w:hAnsi="Arial"/>
          <w:sz w:val="18"/>
          <w:szCs w:val="18"/>
          <w:u w:val="single" w:color="auto"/>
          <w:color w:val="auto"/>
        </w:rPr>
        <w:t>General Conversion Option</w:t>
      </w:r>
      <w:r>
        <w:rPr>
          <w:rFonts w:ascii="Arial" w:cs="Arial" w:eastAsia="Arial" w:hAnsi="Arial"/>
          <w:sz w:val="18"/>
          <w:szCs w:val="18"/>
          <w:color w:val="auto"/>
        </w:rPr>
        <w:t>,” and/or the “</w:t>
      </w:r>
      <w:r>
        <w:rPr>
          <w:rFonts w:ascii="Arial" w:cs="Arial" w:eastAsia="Arial" w:hAnsi="Arial"/>
          <w:sz w:val="18"/>
          <w:szCs w:val="18"/>
          <w:u w:val="single" w:color="auto"/>
          <w:color w:val="auto"/>
        </w:rPr>
        <w:t>Post-Retirement</w:t>
      </w:r>
      <w:r>
        <w:rPr>
          <w:rFonts w:ascii="Arial" w:cs="Arial" w:eastAsia="Arial" w:hAnsi="Arial"/>
          <w:sz w:val="18"/>
          <w:szCs w:val="18"/>
          <w:color w:val="auto"/>
        </w:rPr>
        <w:t xml:space="preserve"> </w:t>
      </w:r>
      <w:r>
        <w:rPr>
          <w:rFonts w:ascii="Arial" w:cs="Arial" w:eastAsia="Arial" w:hAnsi="Arial"/>
          <w:sz w:val="18"/>
          <w:szCs w:val="18"/>
          <w:u w:val="single" w:color="auto"/>
          <w:color w:val="auto"/>
        </w:rPr>
        <w:t>Marriage Conversion Option</w:t>
      </w:r>
      <w:r>
        <w:rPr>
          <w:rFonts w:ascii="Arial" w:cs="Arial" w:eastAsia="Arial" w:hAnsi="Arial"/>
          <w:sz w:val="18"/>
          <w:szCs w:val="18"/>
          <w:color w:val="auto"/>
        </w:rPr>
        <w:t>” is specified in the Annuity Exhibits as applicable to a Covered Life, and if such option is attached to an Annuity Form eligible for such option, the following options may convert the benefit from one Annuity Form to another Annuity Form. A Conversion Option cannot be exercised by a Contingent Life or a Beneficiary.</w:t>
      </w:r>
    </w:p>
    <w:p>
      <w:pPr>
        <w:spacing w:after="0" w:line="398"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0800"/>
          </w:cols>
          <w:pgMar w:left="840" w:top="548" w:right="259" w:bottom="1440" w:gutter="0" w:footer="0" w:header="0"/>
        </w:sectPr>
      </w:pPr>
    </w:p>
    <w:bookmarkStart w:id="92" w:name="page93"/>
    <w:bookmarkEnd w:id="92"/>
    <w:p>
      <w:pPr>
        <w:ind w:right="60" w:firstLine="2"/>
        <w:spacing w:after="0" w:line="291" w:lineRule="auto"/>
        <w:tabs>
          <w:tab w:leader="none" w:pos="774" w:val="left"/>
        </w:tabs>
        <w:numPr>
          <w:ilvl w:val="0"/>
          <w:numId w:val="12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Disabled Age 55 Conversion Option</w:t>
      </w:r>
      <w:r>
        <w:rPr>
          <w:rFonts w:ascii="Arial" w:cs="Arial" w:eastAsia="Arial" w:hAnsi="Arial"/>
          <w:sz w:val="18"/>
          <w:szCs w:val="18"/>
          <w:color w:val="auto"/>
        </w:rPr>
        <w:t>” means, if a Covered Life is specified in the Annuity Exhibits as having a “Disabled Age 55” Conversion Option (because such person retired from the Plan under a disability retirement prior to age 55) and also as receiving a distribution of one of the following Annuity Forms:</w:t>
      </w:r>
    </w:p>
    <w:p>
      <w:pPr>
        <w:spacing w:after="0" w:line="14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Single Life Annuity</w:t>
      </w:r>
    </w:p>
    <w:p>
      <w:pPr>
        <w:spacing w:after="0" w:line="2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Spousal Joint and Survivor Life Annuity</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then such option is available to such Covered Life (“you” or “your”).</w:t>
      </w:r>
    </w:p>
    <w:p>
      <w:pPr>
        <w:spacing w:after="0" w:line="219"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When you reach age 55, you may exercise this option to convert your current Annuity Form. Before your option exercise can become effective, you must satisfy the applicable Conversion Conditions. You can select your new Annuity Form from the following list. However, if you are married at the time you exercise this option, we will automatically convert your Annuity Form into a Spousal Joint and Survivor Annuity absent a qualified election.</w:t>
      </w:r>
    </w:p>
    <w:p>
      <w:pPr>
        <w:spacing w:after="0" w:line="168" w:lineRule="exact"/>
        <w:rPr>
          <w:sz w:val="20"/>
          <w:szCs w:val="20"/>
          <w:color w:val="auto"/>
        </w:rPr>
      </w:pPr>
    </w:p>
    <w:p>
      <w:pPr>
        <w:ind w:left="1200" w:right="100" w:hanging="600"/>
        <w:spacing w:after="0" w:line="254" w:lineRule="auto"/>
        <w:rPr>
          <w:sz w:val="20"/>
          <w:szCs w:val="20"/>
          <w:color w:val="auto"/>
        </w:rPr>
      </w:pPr>
      <w:r>
        <w:rPr>
          <w:rFonts w:ascii="Arial" w:cs="Arial" w:eastAsia="Arial" w:hAnsi="Arial"/>
          <w:sz w:val="18"/>
          <w:szCs w:val="18"/>
          <w:color w:val="auto"/>
        </w:rPr>
        <w:t>Single Life Annuity: If you elect this Annuity Form, the pre-62+1 Pension Amount payable to you will equal the sum of two numbers. The first number equals your Disability Age 55 Pre-62+1 Pension Amount (as specified in the Annuity Exhibits). The second number equals your Disability Temporary Annuity (if specified on the Annuity Exhibits) where there has been a denial of Social Security Disability benefits. Your post-62+1 Pension Amount will equal your Disability Age 55 Post 62+1 Pension Amount (as specified in the Annuity Exhibits).</w:t>
      </w:r>
    </w:p>
    <w:p>
      <w:pPr>
        <w:spacing w:after="0" w:line="181" w:lineRule="exact"/>
        <w:rPr>
          <w:sz w:val="20"/>
          <w:szCs w:val="20"/>
          <w:color w:val="auto"/>
        </w:rPr>
      </w:pPr>
    </w:p>
    <w:p>
      <w:pPr>
        <w:ind w:left="1200" w:right="20" w:hanging="600"/>
        <w:spacing w:after="0" w:line="250" w:lineRule="auto"/>
        <w:rPr>
          <w:sz w:val="20"/>
          <w:szCs w:val="20"/>
          <w:color w:val="auto"/>
        </w:rPr>
      </w:pPr>
      <w:r>
        <w:rPr>
          <w:rFonts w:ascii="Arial" w:cs="Arial" w:eastAsia="Arial" w:hAnsi="Arial"/>
          <w:sz w:val="18"/>
          <w:szCs w:val="18"/>
          <w:color w:val="auto"/>
        </w:rPr>
        <w:t>Spousal Joint and Survivor Life Annuity: If at the time of your disability, you were married and elected a Contingent Joint and Survivor Life Annuity you are not eligible to make this election at age 55. If you elect this Annuity Form, your pre-62+1 Pension Amount will equal the product obtained by multiplying two numbers and then adding a third number. The first number is your Disability Age 55 Pre-62+1 Pension Amount (as specified in the Annuity Exhibits). The second number is your Spousal Joint and Survivor Life Annuity Pop-Up Decrease Factor. The third number is any Disability Temporary Annuity specified for you on the Annuity Exhibits where there has been a denial of Social Security Disability benefits. Your post-62+1 Pension Amount will equal the product obtained by multiplying two numbers. The first number is your Disability Age 55 Post 62+1 Pension Amount. The second number is your Spousal Joint and Survivor Life Annuity Pop-Up Decrease Factor.</w:t>
      </w:r>
    </w:p>
    <w:p>
      <w:pPr>
        <w:spacing w:after="0" w:line="175" w:lineRule="exact"/>
        <w:rPr>
          <w:sz w:val="20"/>
          <w:szCs w:val="20"/>
          <w:color w:val="auto"/>
        </w:rPr>
      </w:pPr>
    </w:p>
    <w:p>
      <w:pPr>
        <w:ind w:left="1200"/>
        <w:spacing w:after="0" w:line="251" w:lineRule="auto"/>
        <w:rPr>
          <w:sz w:val="20"/>
          <w:szCs w:val="20"/>
          <w:color w:val="auto"/>
        </w:rPr>
      </w:pPr>
      <w:r>
        <w:rPr>
          <w:rFonts w:ascii="Arial" w:cs="Arial" w:eastAsia="Arial" w:hAnsi="Arial"/>
          <w:sz w:val="18"/>
          <w:szCs w:val="18"/>
          <w:color w:val="auto"/>
        </w:rPr>
        <w:t>The amount we will pay your spousal Contingent Life will equal the result of multiplying two numbers. The first number is the Covered Life Amount payable to you pursuant to the foregoing paragraph. The second number is a percentage. The applicable percentage is based on the corresponding Original Retirement Date specified for such Covered Life in the Annuity Exhibits or in our records.: (1) 65% for a Original Retirement Date on/after October 1, 1999, (2) 60 % for a Original Retirement Date on/after November 1, 1976 and prior to October 1, 1999 (3) 55% for a Original Retirement Date on/after September 1, 1964 and prior to November 1, 1976 and (4) 50 % for a Original Retirement Date prior to September 1, 1964.</w:t>
      </w:r>
    </w:p>
    <w:p>
      <w:pPr>
        <w:spacing w:after="0" w:line="174" w:lineRule="exact"/>
        <w:rPr>
          <w:sz w:val="20"/>
          <w:szCs w:val="20"/>
          <w:color w:val="auto"/>
        </w:rPr>
      </w:pPr>
    </w:p>
    <w:p>
      <w:pPr>
        <w:ind w:right="100" w:firstLine="2"/>
        <w:spacing w:after="0" w:line="277" w:lineRule="auto"/>
        <w:tabs>
          <w:tab w:leader="none" w:pos="27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General Conversion Option</w:t>
      </w:r>
      <w:r>
        <w:rPr>
          <w:rFonts w:ascii="Arial" w:cs="Arial" w:eastAsia="Arial" w:hAnsi="Arial"/>
          <w:sz w:val="18"/>
          <w:szCs w:val="18"/>
          <w:color w:val="auto"/>
        </w:rPr>
        <w:t>” means, if a Covered Life is specified in the Annuity Exhibits as having a “General” Conversion Option and also as receiving a distribution of one of the following Annuity Forms:</w:t>
      </w:r>
    </w:p>
    <w:p>
      <w:pPr>
        <w:spacing w:after="0" w:line="14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Spousal Joint and Survivor Life Annuity</w:t>
      </w:r>
    </w:p>
    <w:p>
      <w:pPr>
        <w:spacing w:after="0" w:line="2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Contingent Joint and Survivor Life Annuity</w:t>
      </w:r>
    </w:p>
    <w:p>
      <w:pPr>
        <w:spacing w:after="0" w:line="219" w:lineRule="exact"/>
        <w:rPr>
          <w:sz w:val="20"/>
          <w:szCs w:val="20"/>
          <w:color w:val="auto"/>
        </w:rPr>
      </w:pPr>
    </w:p>
    <w:p>
      <w:pPr>
        <w:ind w:left="4440"/>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0180"/>
          </w:cols>
          <w:pgMar w:left="1440" w:top="561" w:right="279" w:bottom="1440" w:gutter="0" w:footer="0" w:header="0"/>
        </w:sectPr>
      </w:pPr>
    </w:p>
    <w:bookmarkStart w:id="93" w:name="page94"/>
    <w:bookmarkEnd w:id="93"/>
    <w:p>
      <w:pPr>
        <w:spacing w:after="0"/>
        <w:rPr>
          <w:sz w:val="20"/>
          <w:szCs w:val="20"/>
          <w:color w:val="auto"/>
        </w:rPr>
      </w:pPr>
      <w:r>
        <w:rPr>
          <w:rFonts w:ascii="Arial" w:cs="Arial" w:eastAsia="Arial" w:hAnsi="Arial"/>
          <w:sz w:val="18"/>
          <w:szCs w:val="18"/>
          <w:color w:val="auto"/>
        </w:rPr>
        <w:t>then such option is available to the Covered Life (“you” or “your”).</w:t>
      </w:r>
    </w:p>
    <w:p>
      <w:pPr>
        <w:spacing w:after="0" w:line="20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option allows you to convert your Annuity Form into a Single Life Annuity Form. Before your option exercise can become effective, you must meet the applicable Conversion Conditions. You must also notify us using a form provided by us.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Once you exercise your option, we will not owe any money to your Contingent Life after you die.</w:t>
      </w:r>
    </w:p>
    <w:p>
      <w:pPr>
        <w:spacing w:after="0" w:line="206"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Instead, we will increase the Covered Life Amount payable to you. If the Annuity Form is a Spousal Joint and Survivor Life Annuity form of payment, the amount of the increase will equal the Pop-Up Amount in the Annuity Exhibit. If the Annuity Form is a Contingent Joint and Survivor Life Annuity, the amount of the increase will equal the result of multiplying two numbers. The first number is the Part A Basic Amount specified for you in the Annuity Exhibit. The second number is the Contingent Joint and Survivor Life Annuity Pop-Up Increase Factor. We will start paying the increased amount on the first day of the month after the exercise of your option becomes effective.</w:t>
      </w:r>
    </w:p>
    <w:p>
      <w:pPr>
        <w:spacing w:after="0" w:line="173" w:lineRule="exact"/>
        <w:rPr>
          <w:sz w:val="20"/>
          <w:szCs w:val="20"/>
          <w:color w:val="auto"/>
        </w:rPr>
      </w:pPr>
    </w:p>
    <w:p>
      <w:pPr>
        <w:ind w:right="460" w:firstLine="2"/>
        <w:spacing w:after="0" w:line="277" w:lineRule="auto"/>
        <w:tabs>
          <w:tab w:leader="none" w:pos="321" w:val="left"/>
        </w:tabs>
        <w:numPr>
          <w:ilvl w:val="0"/>
          <w:numId w:val="12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Post-Retirement Marriage Conversion Option</w:t>
      </w:r>
      <w:r>
        <w:rPr>
          <w:rFonts w:ascii="Arial" w:cs="Arial" w:eastAsia="Arial" w:hAnsi="Arial"/>
          <w:sz w:val="18"/>
          <w:szCs w:val="18"/>
          <w:color w:val="auto"/>
        </w:rPr>
        <w:t>” means, if a Covered Life is specified in the Annuity Exhibits as having a “Post-Retirement Marriage” Conversion Option and also as receiving a distribution of the following Annuity Form:</w:t>
      </w:r>
    </w:p>
    <w:p>
      <w:pPr>
        <w:spacing w:after="0" w:line="14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Single Life Annuity</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then such option is available to the Covered Life (“you” or “your”).</w:t>
      </w:r>
    </w:p>
    <w:p>
      <w:pPr>
        <w:spacing w:after="0" w:line="206"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The option allows you to convert a portion of your monthly payment under a Single Life Annuity into a Spousal Joint and Survivor Annuity Form. Before your option exercise can become effective, you must meet the applicable Conversion Conditions. Also, you must notify us using a form provided by us. The effective date of the conversion is the first day of the month after the conversion is effective, but not sooner than the one-year anniversary of your marriage or re-marriage, and in any event before the 18-month anniversary of the marriage or re-marriage.</w:t>
      </w:r>
    </w:p>
    <w:p>
      <w:pPr>
        <w:spacing w:after="0" w:line="169"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Only Part A Basic Amount (as specified in the Annuity Exhibits) may be converted. On the effective date of the conversion, we will reduce the Covered Life Amount. The amount of the reduction will equal the result of multiplying two numbers. The first number is the Part A Basic Amount specified for you in the Annuity Exhibit. The second number is the Spousal Joint &amp; Survivor Life Annuity Pop-Up Decrease Factor</w:t>
      </w:r>
      <w:r>
        <w:rPr>
          <w:rFonts w:ascii="Arial" w:cs="Arial" w:eastAsia="Arial" w:hAnsi="Arial"/>
          <w:sz w:val="18"/>
          <w:szCs w:val="18"/>
          <w:u w:val="single" w:color="auto"/>
          <w:color w:val="auto"/>
        </w:rPr>
        <w:t>.</w:t>
      </w:r>
    </w:p>
    <w:p>
      <w:pPr>
        <w:spacing w:after="0" w:line="168"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After the effective date of the conversion, and after you die, we will owe your spouse additional monthly payments. To receive such payments, your spouse must be alive when you die. We will pay the first payment on the first day of the month following your death. We will pay the last payment on the first day of the month in which such spouse dies.</w:t>
      </w:r>
    </w:p>
    <w:p>
      <w:pPr>
        <w:spacing w:after="0" w:line="16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amount we will pay such spouse will equal the result of multiplying two numbers. The first number is the Covered Life Amount payable to you, as reduced pursuant to the preceding paragraph. The second number is a percentage. The applicable percentage is based on the corresponding Original Retirement Date specified for such Covered Life in the Annuity Exhibits or in our records: (1) 65% for a Original Retirement Date on/after October 1, 1999, (2) 60 % for a Original Retirement Date on/after November 1, 1976 and prior to October 1, 1999 (3) 55% for a Original Retirement Date on/after September 1, 1964 and prior to November 1, 1976 and (4) 50 % for a Original Retirement Date prior to September 1, 1964.</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440"/>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0180"/>
          </w:cols>
          <w:pgMar w:left="1440" w:top="749" w:right="279" w:bottom="1440" w:gutter="0" w:footer="0" w:header="0"/>
        </w:sectPr>
      </w:pPr>
    </w:p>
    <w:bookmarkStart w:id="94" w:name="page95"/>
    <w:bookmarkEnd w:id="94"/>
    <w:p>
      <w:pPr>
        <w:ind w:right="3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Spousal Joint &amp; Survivor Life Annuity Pop-Up Increase Factor</w:t>
      </w:r>
      <w:r>
        <w:rPr>
          <w:rFonts w:ascii="Arial" w:cs="Arial" w:eastAsia="Arial" w:hAnsi="Arial"/>
          <w:sz w:val="18"/>
          <w:szCs w:val="18"/>
          <w:color w:val="auto"/>
        </w:rPr>
        <w:t>" is equal to (1 divided by the Spousal Joint &amp; Survivor Life Annuity Pop-Up Decrease Factor) below minus 1</w:t>
      </w:r>
    </w:p>
    <w:p>
      <w:pPr>
        <w:spacing w:after="0" w:line="14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This factor is rounded to three decimal places.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Spousal Joint &amp; Survivor Life Annuity Pop-Up Decrease Factor</w:t>
      </w:r>
      <w:r>
        <w:rPr>
          <w:rFonts w:ascii="Arial" w:cs="Arial" w:eastAsia="Arial" w:hAnsi="Arial"/>
          <w:sz w:val="18"/>
          <w:szCs w:val="18"/>
          <w:color w:val="auto"/>
        </w:rPr>
        <w:t>" is equal to 1 minus the result of the following calculation</w:t>
      </w:r>
    </w:p>
    <w:p>
      <w:pPr>
        <w:spacing w:after="0" w:line="206"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Calculation:</w:t>
      </w:r>
    </w:p>
    <w:p>
      <w:pPr>
        <w:spacing w:after="0" w:line="206" w:lineRule="exact"/>
        <w:rPr>
          <w:sz w:val="20"/>
          <w:szCs w:val="20"/>
          <w:color w:val="auto"/>
        </w:rPr>
      </w:pPr>
    </w:p>
    <w:p>
      <w:pPr>
        <w:ind w:left="920"/>
        <w:spacing w:after="0" w:line="277" w:lineRule="auto"/>
        <w:rPr>
          <w:sz w:val="20"/>
          <w:szCs w:val="20"/>
          <w:color w:val="auto"/>
        </w:rPr>
      </w:pPr>
      <w:r>
        <w:rPr>
          <w:rFonts w:ascii="Arial" w:cs="Arial" w:eastAsia="Arial" w:hAnsi="Arial"/>
          <w:sz w:val="18"/>
          <w:szCs w:val="18"/>
          <w:color w:val="auto"/>
        </w:rPr>
        <w:t>0.950 increased by 0.005 for each full year in excess of 5 years that the Contingent Life's age exceeds the Covered Life's age, with the result not to exceed 1.000</w:t>
      </w:r>
    </w:p>
    <w:p>
      <w:pPr>
        <w:spacing w:after="0" w:line="14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OR</w:t>
      </w:r>
    </w:p>
    <w:p>
      <w:pPr>
        <w:spacing w:after="0" w:line="206" w:lineRule="exact"/>
        <w:rPr>
          <w:sz w:val="20"/>
          <w:szCs w:val="20"/>
          <w:color w:val="auto"/>
        </w:rPr>
      </w:pPr>
    </w:p>
    <w:p>
      <w:pPr>
        <w:ind w:left="920"/>
        <w:spacing w:after="0"/>
        <w:rPr>
          <w:sz w:val="20"/>
          <w:szCs w:val="20"/>
          <w:color w:val="auto"/>
        </w:rPr>
      </w:pPr>
      <w:r>
        <w:rPr>
          <w:rFonts w:ascii="Arial" w:cs="Arial" w:eastAsia="Arial" w:hAnsi="Arial"/>
          <w:sz w:val="17"/>
          <w:szCs w:val="17"/>
          <w:color w:val="auto"/>
        </w:rPr>
        <w:t>0.950 decreased by 0.005 for each full year in excess of 5 years that the Contingent Life's age is less than the Covered Life's age.</w:t>
      </w:r>
    </w:p>
    <w:p>
      <w:pPr>
        <w:spacing w:after="0" w:line="21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This factor is rounded to three decimal places.</w:t>
      </w:r>
    </w:p>
    <w:p>
      <w:pPr>
        <w:spacing w:after="0" w:line="20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“Contingent Joint &amp; Survivor Life Annuity Pop-Up Increase Factor" is equal to (1 divided by the Contingent Joint &amp; Survivor Life Annuity Pop-Up Decrease Factor) minus 1.</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Contingent Joint &amp; Survivor Life Annuity Pop-Up Decrease Factor" is equal to 1 minus the applicable factor below:</w:t>
      </w:r>
    </w:p>
    <w:p>
      <w:pPr>
        <w:spacing w:after="0" w:line="328" w:lineRule="exact"/>
        <w:rPr>
          <w:sz w:val="20"/>
          <w:szCs w:val="20"/>
          <w:color w:val="auto"/>
        </w:rPr>
      </w:pPr>
    </w:p>
    <w:tbl>
      <w:tblPr>
        <w:tblLayout w:type="fixed"/>
        <w:tblInd w:w="1730" w:type="dxa"/>
        <w:tblCellMar>
          <w:top w:w="0" w:type="dxa"/>
          <w:left w:w="0" w:type="dxa"/>
          <w:bottom w:w="0" w:type="dxa"/>
          <w:right w:w="0" w:type="dxa"/>
        </w:tblCellMar>
      </w:tblPr>
      <w:tr>
        <w:trPr>
          <w:trHeight w:val="254"/>
        </w:trPr>
        <w:tc>
          <w:tcPr>
            <w:tcW w:w="1900" w:type="dxa"/>
            <w:vAlign w:val="bottom"/>
            <w:tcBorders>
              <w:top w:val="single" w:sz="8" w:color="auto"/>
              <w:left w:val="single" w:sz="8" w:color="auto"/>
            </w:tcBorders>
          </w:tcPr>
          <w:p>
            <w:pPr>
              <w:spacing w:after="0"/>
              <w:rPr>
                <w:sz w:val="22"/>
                <w:szCs w:val="22"/>
                <w:color w:val="auto"/>
              </w:rPr>
            </w:pPr>
          </w:p>
        </w:tc>
        <w:tc>
          <w:tcPr>
            <w:tcW w:w="3840" w:type="dxa"/>
            <w:vAlign w:val="bottom"/>
            <w:tcBorders>
              <w:top w:val="single" w:sz="8" w:color="auto"/>
            </w:tcBorders>
            <w:gridSpan w:val="5"/>
          </w:tcPr>
          <w:p>
            <w:pPr>
              <w:ind w:left="40"/>
              <w:spacing w:after="0"/>
              <w:rPr>
                <w:sz w:val="20"/>
                <w:szCs w:val="20"/>
                <w:color w:val="auto"/>
              </w:rPr>
            </w:pPr>
            <w:r>
              <w:rPr>
                <w:rFonts w:ascii="Arial" w:cs="Arial" w:eastAsia="Arial" w:hAnsi="Arial"/>
                <w:sz w:val="18"/>
                <w:szCs w:val="18"/>
                <w:color w:val="auto"/>
              </w:rPr>
              <w:t>Contingent Annuitant Option Rate Table</w:t>
            </w:r>
          </w:p>
        </w:tc>
        <w:tc>
          <w:tcPr>
            <w:tcW w:w="112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1900" w:type="dxa"/>
            <w:vAlign w:val="bottom"/>
            <w:tcBorders>
              <w:left w:val="single" w:sz="8" w:color="auto"/>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720" w:type="dxa"/>
            <w:vAlign w:val="bottom"/>
            <w:tcBorders>
              <w:bottom w:val="single" w:sz="8" w:color="auto"/>
              <w:right w:val="single" w:sz="8" w:color="auto"/>
            </w:tcBorders>
            <w:gridSpan w:val="5"/>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7"/>
        </w:trPr>
        <w:tc>
          <w:tcPr>
            <w:tcW w:w="1900" w:type="dxa"/>
            <w:vAlign w:val="bottom"/>
            <w:tcBorders>
              <w:left w:val="single" w:sz="8" w:color="auto"/>
            </w:tcBorders>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4720" w:type="dxa"/>
            <w:vAlign w:val="bottom"/>
            <w:tcBorders>
              <w:right w:val="single" w:sz="8" w:color="auto"/>
            </w:tcBorders>
            <w:gridSpan w:val="5"/>
          </w:tcPr>
          <w:p>
            <w:pPr>
              <w:jc w:val="center"/>
              <w:spacing w:after="0"/>
              <w:rPr>
                <w:sz w:val="20"/>
                <w:szCs w:val="20"/>
                <w:color w:val="auto"/>
              </w:rPr>
            </w:pPr>
            <w:r>
              <w:rPr>
                <w:rFonts w:ascii="Arial" w:cs="Arial" w:eastAsia="Arial" w:hAnsi="Arial"/>
                <w:sz w:val="18"/>
                <w:szCs w:val="18"/>
                <w:color w:val="auto"/>
                <w:w w:val="93"/>
              </w:rPr>
              <w:t>Factors to Convert Normal Form of Retirement</w:t>
            </w:r>
          </w:p>
        </w:tc>
        <w:tc>
          <w:tcPr>
            <w:tcW w:w="0" w:type="dxa"/>
            <w:vAlign w:val="bottom"/>
          </w:tcPr>
          <w:p>
            <w:pPr>
              <w:spacing w:after="0"/>
              <w:rPr>
                <w:sz w:val="1"/>
                <w:szCs w:val="1"/>
                <w:color w:val="auto"/>
              </w:rPr>
            </w:pPr>
          </w:p>
        </w:tc>
      </w:tr>
      <w:tr>
        <w:trPr>
          <w:trHeight w:val="255"/>
        </w:trPr>
        <w:tc>
          <w:tcPr>
            <w:tcW w:w="1900" w:type="dxa"/>
            <w:vAlign w:val="bottom"/>
            <w:tcBorders>
              <w:left w:val="single" w:sz="8" w:color="auto"/>
            </w:tcBorders>
          </w:tcPr>
          <w:p>
            <w:pPr>
              <w:jc w:val="center"/>
              <w:ind w:left="128"/>
              <w:spacing w:after="0"/>
              <w:rPr>
                <w:sz w:val="20"/>
                <w:szCs w:val="20"/>
                <w:color w:val="auto"/>
              </w:rPr>
            </w:pPr>
            <w:r>
              <w:rPr>
                <w:rFonts w:ascii="Arial" w:cs="Arial" w:eastAsia="Arial" w:hAnsi="Arial"/>
                <w:sz w:val="18"/>
                <w:szCs w:val="18"/>
                <w:color w:val="auto"/>
                <w:w w:val="92"/>
              </w:rPr>
              <w:t>Full Years Contingent</w:t>
            </w:r>
          </w:p>
        </w:tc>
        <w:tc>
          <w:tcPr>
            <w:tcW w:w="240" w:type="dxa"/>
            <w:vAlign w:val="bottom"/>
            <w:tcBorders>
              <w:right w:val="single" w:sz="8" w:color="auto"/>
            </w:tcBorders>
          </w:tcPr>
          <w:p>
            <w:pPr>
              <w:spacing w:after="0"/>
              <w:rPr>
                <w:sz w:val="22"/>
                <w:szCs w:val="22"/>
                <w:color w:val="auto"/>
              </w:rPr>
            </w:pPr>
          </w:p>
        </w:tc>
        <w:tc>
          <w:tcPr>
            <w:tcW w:w="1060" w:type="dxa"/>
            <w:vAlign w:val="bottom"/>
          </w:tcPr>
          <w:p>
            <w:pPr>
              <w:spacing w:after="0"/>
              <w:rPr>
                <w:sz w:val="22"/>
                <w:szCs w:val="22"/>
                <w:color w:val="auto"/>
              </w:rPr>
            </w:pPr>
          </w:p>
        </w:tc>
        <w:tc>
          <w:tcPr>
            <w:tcW w:w="2540" w:type="dxa"/>
            <w:vAlign w:val="bottom"/>
            <w:gridSpan w:val="3"/>
            <w:vMerge w:val="restart"/>
          </w:tcPr>
          <w:p>
            <w:pPr>
              <w:jc w:val="center"/>
              <w:spacing w:after="0"/>
              <w:rPr>
                <w:sz w:val="20"/>
                <w:szCs w:val="20"/>
                <w:color w:val="auto"/>
              </w:rPr>
            </w:pPr>
            <w:r>
              <w:rPr>
                <w:rFonts w:ascii="Arial" w:cs="Arial" w:eastAsia="Arial" w:hAnsi="Arial"/>
                <w:sz w:val="18"/>
                <w:szCs w:val="18"/>
                <w:color w:val="auto"/>
                <w:w w:val="95"/>
              </w:rPr>
              <w:t>To Contingent Annuitant Option</w:t>
            </w:r>
          </w:p>
        </w:tc>
        <w:tc>
          <w:tcPr>
            <w:tcW w:w="11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33"/>
        </w:trPr>
        <w:tc>
          <w:tcPr>
            <w:tcW w:w="21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95"/>
              </w:rPr>
              <w:t>Annuitant Is Older (+) or</w:t>
            </w:r>
          </w:p>
        </w:tc>
        <w:tc>
          <w:tcPr>
            <w:tcW w:w="1060" w:type="dxa"/>
            <w:vAlign w:val="bottom"/>
          </w:tcPr>
          <w:p>
            <w:pPr>
              <w:spacing w:after="0"/>
              <w:rPr>
                <w:sz w:val="11"/>
                <w:szCs w:val="11"/>
                <w:color w:val="auto"/>
              </w:rPr>
            </w:pPr>
          </w:p>
        </w:tc>
        <w:tc>
          <w:tcPr>
            <w:tcW w:w="2540" w:type="dxa"/>
            <w:vAlign w:val="bottom"/>
            <w:gridSpan w:val="3"/>
            <w:vMerge w:val="continue"/>
          </w:tcPr>
          <w:p>
            <w:pPr>
              <w:spacing w:after="0"/>
              <w:rPr>
                <w:sz w:val="11"/>
                <w:szCs w:val="11"/>
                <w:color w:val="auto"/>
              </w:rPr>
            </w:pPr>
          </w:p>
        </w:tc>
        <w:tc>
          <w:tcPr>
            <w:tcW w:w="11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2140" w:type="dxa"/>
            <w:vAlign w:val="bottom"/>
            <w:tcBorders>
              <w:left w:val="single" w:sz="8" w:color="auto"/>
              <w:right w:val="single" w:sz="8" w:color="auto"/>
            </w:tcBorders>
            <w:gridSpan w:val="2"/>
            <w:vMerge w:val="continue"/>
          </w:tcPr>
          <w:p>
            <w:pPr>
              <w:spacing w:after="0"/>
              <w:rPr>
                <w:sz w:val="6"/>
                <w:szCs w:val="6"/>
                <w:color w:val="auto"/>
              </w:rPr>
            </w:pPr>
          </w:p>
        </w:tc>
        <w:tc>
          <w:tcPr>
            <w:tcW w:w="1060" w:type="dxa"/>
            <w:vAlign w:val="bottom"/>
          </w:tcPr>
          <w:p>
            <w:pPr>
              <w:spacing w:after="0"/>
              <w:rPr>
                <w:sz w:val="6"/>
                <w:szCs w:val="6"/>
                <w:color w:val="auto"/>
              </w:rPr>
            </w:pPr>
          </w:p>
        </w:tc>
        <w:tc>
          <w:tcPr>
            <w:tcW w:w="500" w:type="dxa"/>
            <w:vAlign w:val="bottom"/>
          </w:tcPr>
          <w:p>
            <w:pPr>
              <w:spacing w:after="0"/>
              <w:rPr>
                <w:sz w:val="6"/>
                <w:szCs w:val="6"/>
                <w:color w:val="auto"/>
              </w:rPr>
            </w:pPr>
          </w:p>
        </w:tc>
        <w:tc>
          <w:tcPr>
            <w:tcW w:w="1580" w:type="dxa"/>
            <w:vAlign w:val="bottom"/>
          </w:tcPr>
          <w:p>
            <w:pPr>
              <w:spacing w:after="0"/>
              <w:rPr>
                <w:sz w:val="6"/>
                <w:szCs w:val="6"/>
                <w:color w:val="auto"/>
              </w:rPr>
            </w:pPr>
          </w:p>
        </w:tc>
        <w:tc>
          <w:tcPr>
            <w:tcW w:w="460" w:type="dxa"/>
            <w:vAlign w:val="bottom"/>
          </w:tcPr>
          <w:p>
            <w:pPr>
              <w:spacing w:after="0"/>
              <w:rPr>
                <w:sz w:val="6"/>
                <w:szCs w:val="6"/>
                <w:color w:val="auto"/>
              </w:rPr>
            </w:pPr>
          </w:p>
        </w:tc>
        <w:tc>
          <w:tcPr>
            <w:tcW w:w="11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3"/>
        </w:trPr>
        <w:tc>
          <w:tcPr>
            <w:tcW w:w="1900" w:type="dxa"/>
            <w:vAlign w:val="bottom"/>
            <w:tcBorders>
              <w:left w:val="single" w:sz="8" w:color="auto"/>
            </w:tcBorders>
          </w:tcPr>
          <w:p>
            <w:pPr>
              <w:jc w:val="center"/>
              <w:ind w:left="128"/>
              <w:spacing w:after="0"/>
              <w:rPr>
                <w:sz w:val="20"/>
                <w:szCs w:val="20"/>
                <w:color w:val="auto"/>
              </w:rPr>
            </w:pPr>
            <w:r>
              <w:rPr>
                <w:rFonts w:ascii="Arial" w:cs="Arial" w:eastAsia="Arial" w:hAnsi="Arial"/>
                <w:sz w:val="18"/>
                <w:szCs w:val="18"/>
                <w:color w:val="auto"/>
                <w:w w:val="93"/>
              </w:rPr>
              <w:t>Younger (-) Than</w:t>
            </w:r>
          </w:p>
        </w:tc>
        <w:tc>
          <w:tcPr>
            <w:tcW w:w="240" w:type="dxa"/>
            <w:vAlign w:val="bottom"/>
            <w:tcBorders>
              <w:right w:val="single" w:sz="8" w:color="auto"/>
            </w:tcBorders>
          </w:tcPr>
          <w:p>
            <w:pPr>
              <w:spacing w:after="0"/>
              <w:rPr>
                <w:sz w:val="18"/>
                <w:szCs w:val="18"/>
                <w:color w:val="auto"/>
              </w:rPr>
            </w:pPr>
          </w:p>
        </w:tc>
        <w:tc>
          <w:tcPr>
            <w:tcW w:w="1060" w:type="dxa"/>
            <w:vAlign w:val="bottom"/>
          </w:tcPr>
          <w:p>
            <w:pPr>
              <w:spacing w:after="0"/>
              <w:rPr>
                <w:sz w:val="18"/>
                <w:szCs w:val="18"/>
                <w:color w:val="auto"/>
              </w:rPr>
            </w:pPr>
          </w:p>
        </w:tc>
        <w:tc>
          <w:tcPr>
            <w:tcW w:w="2540" w:type="dxa"/>
            <w:vAlign w:val="bottom"/>
            <w:gridSpan w:val="3"/>
          </w:tcPr>
          <w:p>
            <w:pPr>
              <w:jc w:val="center"/>
              <w:spacing w:after="0"/>
              <w:rPr>
                <w:sz w:val="20"/>
                <w:szCs w:val="20"/>
                <w:color w:val="auto"/>
              </w:rPr>
            </w:pPr>
            <w:r>
              <w:rPr>
                <w:rFonts w:ascii="Arial" w:cs="Arial" w:eastAsia="Arial" w:hAnsi="Arial"/>
                <w:sz w:val="18"/>
                <w:szCs w:val="18"/>
                <w:color w:val="auto"/>
                <w:w w:val="93"/>
              </w:rPr>
              <w:t>For Indicated Percentage.**</w:t>
            </w:r>
          </w:p>
        </w:tc>
        <w:tc>
          <w:tcPr>
            <w:tcW w:w="1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1900" w:type="dxa"/>
            <w:vAlign w:val="bottom"/>
            <w:tcBorders>
              <w:left w:val="single" w:sz="8" w:color="auto"/>
            </w:tcBorders>
          </w:tcPr>
          <w:p>
            <w:pPr>
              <w:jc w:val="center"/>
              <w:ind w:left="128"/>
              <w:spacing w:after="0"/>
              <w:rPr>
                <w:sz w:val="20"/>
                <w:szCs w:val="20"/>
                <w:color w:val="auto"/>
              </w:rPr>
            </w:pPr>
            <w:r>
              <w:rPr>
                <w:rFonts w:ascii="Arial" w:cs="Arial" w:eastAsia="Arial" w:hAnsi="Arial"/>
                <w:sz w:val="18"/>
                <w:szCs w:val="18"/>
                <w:color w:val="auto"/>
                <w:w w:val="96"/>
              </w:rPr>
              <w:t>Employee*</w:t>
            </w:r>
          </w:p>
        </w:tc>
        <w:tc>
          <w:tcPr>
            <w:tcW w:w="240" w:type="dxa"/>
            <w:vAlign w:val="bottom"/>
            <w:tcBorders>
              <w:right w:val="single" w:sz="8" w:color="auto"/>
            </w:tcBorders>
          </w:tcPr>
          <w:p>
            <w:pPr>
              <w:spacing w:after="0"/>
              <w:rPr>
                <w:sz w:val="20"/>
                <w:szCs w:val="20"/>
                <w:color w:val="auto"/>
              </w:rPr>
            </w:pPr>
          </w:p>
        </w:tc>
        <w:tc>
          <w:tcPr>
            <w:tcW w:w="1060" w:type="dxa"/>
            <w:vAlign w:val="bottom"/>
          </w:tcPr>
          <w:p>
            <w:pPr>
              <w:spacing w:after="0"/>
              <w:rPr>
                <w:sz w:val="20"/>
                <w:szCs w:val="20"/>
                <w:color w:val="auto"/>
              </w:rPr>
            </w:pPr>
          </w:p>
        </w:tc>
        <w:tc>
          <w:tcPr>
            <w:tcW w:w="2540" w:type="dxa"/>
            <w:vAlign w:val="bottom"/>
            <w:gridSpan w:val="3"/>
            <w:vMerge w:val="restart"/>
          </w:tcPr>
          <w:p>
            <w:pPr>
              <w:jc w:val="center"/>
              <w:spacing w:after="0"/>
              <w:rPr>
                <w:sz w:val="20"/>
                <w:szCs w:val="20"/>
                <w:color w:val="auto"/>
              </w:rPr>
            </w:pPr>
            <w:r>
              <w:rPr>
                <w:rFonts w:ascii="Arial" w:cs="Arial" w:eastAsia="Arial" w:hAnsi="Arial"/>
                <w:sz w:val="18"/>
                <w:szCs w:val="18"/>
                <w:color w:val="auto"/>
                <w:w w:val="92"/>
              </w:rPr>
              <w:t>Payable to Contingent Annuitant</w:t>
            </w:r>
          </w:p>
        </w:tc>
        <w:tc>
          <w:tcPr>
            <w:tcW w:w="1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75"/>
        </w:trPr>
        <w:tc>
          <w:tcPr>
            <w:tcW w:w="1900" w:type="dxa"/>
            <w:vAlign w:val="bottom"/>
            <w:tcBorders>
              <w:left w:val="single" w:sz="8" w:color="auto"/>
            </w:tcBorders>
          </w:tcPr>
          <w:p>
            <w:pPr>
              <w:spacing w:after="0"/>
              <w:rPr>
                <w:sz w:val="6"/>
                <w:szCs w:val="6"/>
                <w:color w:val="auto"/>
              </w:rPr>
            </w:pPr>
          </w:p>
        </w:tc>
        <w:tc>
          <w:tcPr>
            <w:tcW w:w="240" w:type="dxa"/>
            <w:vAlign w:val="bottom"/>
            <w:tcBorders>
              <w:right w:val="single" w:sz="8" w:color="auto"/>
            </w:tcBorders>
          </w:tcPr>
          <w:p>
            <w:pPr>
              <w:spacing w:after="0"/>
              <w:rPr>
                <w:sz w:val="6"/>
                <w:szCs w:val="6"/>
                <w:color w:val="auto"/>
              </w:rPr>
            </w:pPr>
          </w:p>
        </w:tc>
        <w:tc>
          <w:tcPr>
            <w:tcW w:w="1060" w:type="dxa"/>
            <w:vAlign w:val="bottom"/>
          </w:tcPr>
          <w:p>
            <w:pPr>
              <w:spacing w:after="0"/>
              <w:rPr>
                <w:sz w:val="6"/>
                <w:szCs w:val="6"/>
                <w:color w:val="auto"/>
              </w:rPr>
            </w:pPr>
          </w:p>
        </w:tc>
        <w:tc>
          <w:tcPr>
            <w:tcW w:w="2540" w:type="dxa"/>
            <w:vAlign w:val="bottom"/>
            <w:gridSpan w:val="3"/>
            <w:vMerge w:val="continue"/>
          </w:tcPr>
          <w:p>
            <w:pPr>
              <w:spacing w:after="0"/>
              <w:rPr>
                <w:sz w:val="6"/>
                <w:szCs w:val="6"/>
                <w:color w:val="auto"/>
              </w:rPr>
            </w:pPr>
          </w:p>
        </w:tc>
        <w:tc>
          <w:tcPr>
            <w:tcW w:w="11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
        </w:trPr>
        <w:tc>
          <w:tcPr>
            <w:tcW w:w="1900" w:type="dxa"/>
            <w:vAlign w:val="bottom"/>
            <w:tcBorders>
              <w:left w:val="single" w:sz="8" w:color="auto"/>
            </w:tcBorders>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4"/>
        </w:trPr>
        <w:tc>
          <w:tcPr>
            <w:tcW w:w="1900" w:type="dxa"/>
            <w:vAlign w:val="bottom"/>
            <w:tcBorders>
              <w:left w:val="single" w:sz="8" w:color="auto"/>
            </w:tcBorders>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1060" w:type="dxa"/>
            <w:vAlign w:val="bottom"/>
          </w:tcPr>
          <w:p>
            <w:pPr>
              <w:jc w:val="center"/>
              <w:ind w:left="388"/>
              <w:spacing w:after="0"/>
              <w:rPr>
                <w:sz w:val="20"/>
                <w:szCs w:val="20"/>
                <w:color w:val="auto"/>
              </w:rPr>
            </w:pPr>
            <w:r>
              <w:rPr>
                <w:rFonts w:ascii="Arial" w:cs="Arial" w:eastAsia="Arial" w:hAnsi="Arial"/>
                <w:sz w:val="18"/>
                <w:szCs w:val="18"/>
                <w:color w:val="auto"/>
                <w:w w:val="91"/>
              </w:rPr>
              <w:t>100%</w:t>
            </w:r>
          </w:p>
        </w:tc>
        <w:tc>
          <w:tcPr>
            <w:tcW w:w="500" w:type="dxa"/>
            <w:vAlign w:val="bottom"/>
            <w:tcBorders>
              <w:right w:val="single" w:sz="8" w:color="auto"/>
            </w:tcBorders>
          </w:tcPr>
          <w:p>
            <w:pPr>
              <w:spacing w:after="0"/>
              <w:rPr>
                <w:sz w:val="20"/>
                <w:szCs w:val="20"/>
                <w:color w:val="auto"/>
              </w:rPr>
            </w:pP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75%</w:t>
            </w:r>
          </w:p>
        </w:tc>
        <w:tc>
          <w:tcPr>
            <w:tcW w:w="460" w:type="dxa"/>
            <w:vAlign w:val="bottom"/>
          </w:tcPr>
          <w:p>
            <w:pPr>
              <w:spacing w:after="0"/>
              <w:rPr>
                <w:sz w:val="20"/>
                <w:szCs w:val="20"/>
                <w:color w:val="auto"/>
              </w:rPr>
            </w:pPr>
          </w:p>
        </w:tc>
        <w:tc>
          <w:tcPr>
            <w:tcW w:w="1120" w:type="dxa"/>
            <w:vAlign w:val="bottom"/>
            <w:tcBorders>
              <w:right w:val="single" w:sz="8" w:color="auto"/>
            </w:tcBorders>
          </w:tcPr>
          <w:p>
            <w:pPr>
              <w:jc w:val="center"/>
              <w:ind w:right="388"/>
              <w:spacing w:after="0"/>
              <w:rPr>
                <w:sz w:val="20"/>
                <w:szCs w:val="20"/>
                <w:color w:val="auto"/>
              </w:rPr>
            </w:pPr>
            <w:r>
              <w:rPr>
                <w:rFonts w:ascii="Arial" w:cs="Arial" w:eastAsia="Arial" w:hAnsi="Arial"/>
                <w:sz w:val="18"/>
                <w:szCs w:val="18"/>
                <w:color w:val="auto"/>
                <w:w w:val="88"/>
              </w:rPr>
              <w:t>50%</w:t>
            </w:r>
          </w:p>
        </w:tc>
        <w:tc>
          <w:tcPr>
            <w:tcW w:w="0" w:type="dxa"/>
            <w:vAlign w:val="bottom"/>
          </w:tcPr>
          <w:p>
            <w:pPr>
              <w:spacing w:after="0"/>
              <w:rPr>
                <w:sz w:val="1"/>
                <w:szCs w:val="1"/>
                <w:color w:val="auto"/>
              </w:rPr>
            </w:pPr>
          </w:p>
        </w:tc>
      </w:tr>
      <w:tr>
        <w:trPr>
          <w:trHeight w:val="21"/>
        </w:trPr>
        <w:tc>
          <w:tcPr>
            <w:tcW w:w="1900" w:type="dxa"/>
            <w:vAlign w:val="bottom"/>
            <w:tcBorders>
              <w:left w:val="single" w:sz="8" w:color="auto"/>
              <w:bottom w:val="single" w:sz="8" w:color="auto"/>
            </w:tcBorders>
          </w:tcPr>
          <w:p>
            <w:pPr>
              <w:spacing w:after="0" w:line="20" w:lineRule="exact"/>
              <w:rPr>
                <w:sz w:val="1"/>
                <w:szCs w:val="1"/>
                <w:color w:val="auto"/>
              </w:rPr>
            </w:pPr>
          </w:p>
        </w:tc>
        <w:tc>
          <w:tcPr>
            <w:tcW w:w="240" w:type="dxa"/>
            <w:vAlign w:val="bottom"/>
            <w:tcBorders>
              <w:bottom w:val="single" w:sz="8" w:color="auto"/>
              <w:right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right w:val="single" w:sz="8" w:color="auto"/>
            </w:tcBorders>
          </w:tcPr>
          <w:p>
            <w:pPr>
              <w:spacing w:after="0" w:line="20" w:lineRule="exact"/>
              <w:rPr>
                <w:sz w:val="1"/>
                <w:szCs w:val="1"/>
                <w:color w:val="auto"/>
              </w:rPr>
            </w:pPr>
          </w:p>
        </w:tc>
        <w:tc>
          <w:tcPr>
            <w:tcW w:w="158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4"/>
        </w:trPr>
        <w:tc>
          <w:tcPr>
            <w:tcW w:w="1900" w:type="dxa"/>
            <w:vAlign w:val="bottom"/>
            <w:tcBorders>
              <w:left w:val="single" w:sz="8" w:color="auto"/>
            </w:tcBorders>
          </w:tcPr>
          <w:p>
            <w:pPr>
              <w:jc w:val="right"/>
              <w:ind w:right="568"/>
              <w:spacing w:after="0"/>
              <w:rPr>
                <w:sz w:val="20"/>
                <w:szCs w:val="20"/>
                <w:color w:val="auto"/>
              </w:rPr>
            </w:pPr>
            <w:r>
              <w:rPr>
                <w:rFonts w:ascii="Arial" w:cs="Arial" w:eastAsia="Arial" w:hAnsi="Arial"/>
                <w:sz w:val="18"/>
                <w:szCs w:val="18"/>
                <w:color w:val="auto"/>
              </w:rPr>
              <w:t>20 +</w:t>
            </w:r>
          </w:p>
        </w:tc>
        <w:tc>
          <w:tcPr>
            <w:tcW w:w="240" w:type="dxa"/>
            <w:vAlign w:val="bottom"/>
            <w:tcBorders>
              <w:right w:val="single" w:sz="8" w:color="auto"/>
            </w:tcBorders>
          </w:tcPr>
          <w:p>
            <w:pPr>
              <w:spacing w:after="0"/>
              <w:rPr>
                <w:sz w:val="20"/>
                <w:szCs w:val="20"/>
                <w:color w:val="auto"/>
              </w:rPr>
            </w:pPr>
          </w:p>
        </w:tc>
        <w:tc>
          <w:tcPr>
            <w:tcW w:w="1060" w:type="dxa"/>
            <w:vAlign w:val="bottom"/>
          </w:tcPr>
          <w:p>
            <w:pPr>
              <w:jc w:val="center"/>
              <w:ind w:left="388"/>
              <w:spacing w:after="0"/>
              <w:rPr>
                <w:sz w:val="20"/>
                <w:szCs w:val="20"/>
                <w:color w:val="auto"/>
              </w:rPr>
            </w:pPr>
            <w:r>
              <w:rPr>
                <w:rFonts w:ascii="Arial" w:cs="Arial" w:eastAsia="Arial" w:hAnsi="Arial"/>
                <w:sz w:val="18"/>
                <w:szCs w:val="18"/>
                <w:color w:val="auto"/>
                <w:w w:val="93"/>
              </w:rPr>
              <w:t>95.50</w:t>
            </w:r>
          </w:p>
        </w:tc>
        <w:tc>
          <w:tcPr>
            <w:tcW w:w="500" w:type="dxa"/>
            <w:vAlign w:val="bottom"/>
            <w:tcBorders>
              <w:right w:val="single" w:sz="8" w:color="auto"/>
            </w:tcBorders>
          </w:tcPr>
          <w:p>
            <w:pPr>
              <w:spacing w:after="0"/>
              <w:rPr>
                <w:sz w:val="20"/>
                <w:szCs w:val="20"/>
                <w:color w:val="auto"/>
              </w:rPr>
            </w:pP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96.00</w:t>
            </w:r>
          </w:p>
        </w:tc>
        <w:tc>
          <w:tcPr>
            <w:tcW w:w="460" w:type="dxa"/>
            <w:vAlign w:val="bottom"/>
          </w:tcPr>
          <w:p>
            <w:pPr>
              <w:spacing w:after="0"/>
              <w:rPr>
                <w:sz w:val="20"/>
                <w:szCs w:val="20"/>
                <w:color w:val="auto"/>
              </w:rPr>
            </w:pPr>
          </w:p>
        </w:tc>
        <w:tc>
          <w:tcPr>
            <w:tcW w:w="1120" w:type="dxa"/>
            <w:vAlign w:val="bottom"/>
            <w:tcBorders>
              <w:right w:val="single" w:sz="8" w:color="auto"/>
            </w:tcBorders>
          </w:tcPr>
          <w:p>
            <w:pPr>
              <w:jc w:val="center"/>
              <w:ind w:right="388"/>
              <w:spacing w:after="0"/>
              <w:rPr>
                <w:sz w:val="20"/>
                <w:szCs w:val="20"/>
                <w:color w:val="auto"/>
              </w:rPr>
            </w:pPr>
            <w:r>
              <w:rPr>
                <w:rFonts w:ascii="Arial" w:cs="Arial" w:eastAsia="Arial" w:hAnsi="Arial"/>
                <w:sz w:val="18"/>
                <w:szCs w:val="18"/>
                <w:color w:val="auto"/>
                <w:w w:val="94"/>
              </w:rPr>
              <w:t>100.00</w:t>
            </w:r>
          </w:p>
        </w:tc>
        <w:tc>
          <w:tcPr>
            <w:tcW w:w="0" w:type="dxa"/>
            <w:vAlign w:val="bottom"/>
          </w:tcPr>
          <w:p>
            <w:pPr>
              <w:spacing w:after="0"/>
              <w:rPr>
                <w:sz w:val="1"/>
                <w:szCs w:val="1"/>
                <w:color w:val="auto"/>
              </w:rPr>
            </w:pPr>
          </w:p>
        </w:tc>
      </w:tr>
      <w:tr>
        <w:trPr>
          <w:trHeight w:val="263"/>
        </w:trPr>
        <w:tc>
          <w:tcPr>
            <w:tcW w:w="1900" w:type="dxa"/>
            <w:vAlign w:val="bottom"/>
            <w:tcBorders>
              <w:left w:val="single" w:sz="8" w:color="auto"/>
            </w:tcBorders>
          </w:tcPr>
          <w:p>
            <w:pPr>
              <w:jc w:val="center"/>
              <w:ind w:left="128"/>
              <w:spacing w:after="0"/>
              <w:rPr>
                <w:sz w:val="20"/>
                <w:szCs w:val="20"/>
                <w:color w:val="auto"/>
              </w:rPr>
            </w:pPr>
            <w:r>
              <w:rPr>
                <w:rFonts w:ascii="Arial" w:cs="Arial" w:eastAsia="Arial" w:hAnsi="Arial"/>
                <w:sz w:val="18"/>
                <w:szCs w:val="18"/>
                <w:color w:val="auto"/>
                <w:w w:val="89"/>
              </w:rPr>
              <w:t>19 +</w:t>
            </w:r>
          </w:p>
        </w:tc>
        <w:tc>
          <w:tcPr>
            <w:tcW w:w="240" w:type="dxa"/>
            <w:vAlign w:val="bottom"/>
            <w:tcBorders>
              <w:right w:val="single" w:sz="8" w:color="auto"/>
            </w:tcBorders>
          </w:tcPr>
          <w:p>
            <w:pPr>
              <w:spacing w:after="0"/>
              <w:rPr>
                <w:sz w:val="22"/>
                <w:szCs w:val="22"/>
                <w:color w:val="auto"/>
              </w:rPr>
            </w:pPr>
          </w:p>
        </w:tc>
        <w:tc>
          <w:tcPr>
            <w:tcW w:w="1060" w:type="dxa"/>
            <w:vAlign w:val="bottom"/>
          </w:tcPr>
          <w:p>
            <w:pPr>
              <w:jc w:val="center"/>
              <w:ind w:left="388"/>
              <w:spacing w:after="0"/>
              <w:rPr>
                <w:sz w:val="20"/>
                <w:szCs w:val="20"/>
                <w:color w:val="auto"/>
              </w:rPr>
            </w:pPr>
            <w:r>
              <w:rPr>
                <w:rFonts w:ascii="Arial" w:cs="Arial" w:eastAsia="Arial" w:hAnsi="Arial"/>
                <w:sz w:val="18"/>
                <w:szCs w:val="18"/>
                <w:color w:val="auto"/>
                <w:w w:val="93"/>
              </w:rPr>
              <w:t>95.00</w:t>
            </w:r>
          </w:p>
        </w:tc>
        <w:tc>
          <w:tcPr>
            <w:tcW w:w="500" w:type="dxa"/>
            <w:vAlign w:val="bottom"/>
            <w:tcBorders>
              <w:right w:val="single" w:sz="8" w:color="auto"/>
            </w:tcBorders>
          </w:tcPr>
          <w:p>
            <w:pPr>
              <w:spacing w:after="0"/>
              <w:rPr>
                <w:sz w:val="22"/>
                <w:szCs w:val="22"/>
                <w:color w:val="auto"/>
              </w:rPr>
            </w:pP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95.50</w:t>
            </w:r>
          </w:p>
        </w:tc>
        <w:tc>
          <w:tcPr>
            <w:tcW w:w="460" w:type="dxa"/>
            <w:vAlign w:val="bottom"/>
          </w:tcPr>
          <w:p>
            <w:pPr>
              <w:spacing w:after="0"/>
              <w:rPr>
                <w:sz w:val="22"/>
                <w:szCs w:val="22"/>
                <w:color w:val="auto"/>
              </w:rPr>
            </w:pPr>
          </w:p>
        </w:tc>
        <w:tc>
          <w:tcPr>
            <w:tcW w:w="1120" w:type="dxa"/>
            <w:vAlign w:val="bottom"/>
            <w:tcBorders>
              <w:right w:val="single" w:sz="8" w:color="auto"/>
            </w:tcBorders>
          </w:tcPr>
          <w:p>
            <w:pPr>
              <w:jc w:val="center"/>
              <w:ind w:right="388"/>
              <w:spacing w:after="0"/>
              <w:rPr>
                <w:sz w:val="20"/>
                <w:szCs w:val="20"/>
                <w:color w:val="auto"/>
              </w:rPr>
            </w:pPr>
            <w:r>
              <w:rPr>
                <w:rFonts w:ascii="Arial" w:cs="Arial" w:eastAsia="Arial" w:hAnsi="Arial"/>
                <w:sz w:val="18"/>
                <w:szCs w:val="18"/>
                <w:color w:val="auto"/>
                <w:w w:val="88"/>
              </w:rPr>
              <w:t>99.50</w:t>
            </w:r>
          </w:p>
        </w:tc>
        <w:tc>
          <w:tcPr>
            <w:tcW w:w="0" w:type="dxa"/>
            <w:vAlign w:val="bottom"/>
          </w:tcPr>
          <w:p>
            <w:pPr>
              <w:spacing w:after="0"/>
              <w:rPr>
                <w:sz w:val="1"/>
                <w:szCs w:val="1"/>
                <w:color w:val="auto"/>
              </w:rPr>
            </w:pPr>
          </w:p>
        </w:tc>
      </w:tr>
      <w:tr>
        <w:trPr>
          <w:trHeight w:val="263"/>
        </w:trPr>
        <w:tc>
          <w:tcPr>
            <w:tcW w:w="1900" w:type="dxa"/>
            <w:vAlign w:val="bottom"/>
            <w:tcBorders>
              <w:left w:val="single" w:sz="8" w:color="auto"/>
            </w:tcBorders>
          </w:tcPr>
          <w:p>
            <w:pPr>
              <w:jc w:val="center"/>
              <w:ind w:left="128"/>
              <w:spacing w:after="0"/>
              <w:rPr>
                <w:sz w:val="20"/>
                <w:szCs w:val="20"/>
                <w:color w:val="auto"/>
              </w:rPr>
            </w:pPr>
            <w:r>
              <w:rPr>
                <w:rFonts w:ascii="Arial" w:cs="Arial" w:eastAsia="Arial" w:hAnsi="Arial"/>
                <w:sz w:val="18"/>
                <w:szCs w:val="18"/>
                <w:color w:val="auto"/>
                <w:w w:val="89"/>
              </w:rPr>
              <w:t>18 +</w:t>
            </w:r>
          </w:p>
        </w:tc>
        <w:tc>
          <w:tcPr>
            <w:tcW w:w="240" w:type="dxa"/>
            <w:vAlign w:val="bottom"/>
            <w:tcBorders>
              <w:right w:val="single" w:sz="8" w:color="auto"/>
            </w:tcBorders>
          </w:tcPr>
          <w:p>
            <w:pPr>
              <w:spacing w:after="0"/>
              <w:rPr>
                <w:sz w:val="22"/>
                <w:szCs w:val="22"/>
                <w:color w:val="auto"/>
              </w:rPr>
            </w:pPr>
          </w:p>
        </w:tc>
        <w:tc>
          <w:tcPr>
            <w:tcW w:w="1060" w:type="dxa"/>
            <w:vAlign w:val="bottom"/>
          </w:tcPr>
          <w:p>
            <w:pPr>
              <w:jc w:val="center"/>
              <w:ind w:left="388"/>
              <w:spacing w:after="0"/>
              <w:rPr>
                <w:sz w:val="20"/>
                <w:szCs w:val="20"/>
                <w:color w:val="auto"/>
              </w:rPr>
            </w:pPr>
            <w:r>
              <w:rPr>
                <w:rFonts w:ascii="Arial" w:cs="Arial" w:eastAsia="Arial" w:hAnsi="Arial"/>
                <w:sz w:val="18"/>
                <w:szCs w:val="18"/>
                <w:color w:val="auto"/>
                <w:w w:val="93"/>
              </w:rPr>
              <w:t>94.50</w:t>
            </w:r>
          </w:p>
        </w:tc>
        <w:tc>
          <w:tcPr>
            <w:tcW w:w="500" w:type="dxa"/>
            <w:vAlign w:val="bottom"/>
            <w:tcBorders>
              <w:right w:val="single" w:sz="8" w:color="auto"/>
            </w:tcBorders>
          </w:tcPr>
          <w:p>
            <w:pPr>
              <w:spacing w:after="0"/>
              <w:rPr>
                <w:sz w:val="22"/>
                <w:szCs w:val="22"/>
                <w:color w:val="auto"/>
              </w:rPr>
            </w:pP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95.00</w:t>
            </w:r>
          </w:p>
        </w:tc>
        <w:tc>
          <w:tcPr>
            <w:tcW w:w="460" w:type="dxa"/>
            <w:vAlign w:val="bottom"/>
          </w:tcPr>
          <w:p>
            <w:pPr>
              <w:spacing w:after="0"/>
              <w:rPr>
                <w:sz w:val="22"/>
                <w:szCs w:val="22"/>
                <w:color w:val="auto"/>
              </w:rPr>
            </w:pPr>
          </w:p>
        </w:tc>
        <w:tc>
          <w:tcPr>
            <w:tcW w:w="1120" w:type="dxa"/>
            <w:vAlign w:val="bottom"/>
            <w:tcBorders>
              <w:right w:val="single" w:sz="8" w:color="auto"/>
            </w:tcBorders>
          </w:tcPr>
          <w:p>
            <w:pPr>
              <w:jc w:val="center"/>
              <w:ind w:right="388"/>
              <w:spacing w:after="0"/>
              <w:rPr>
                <w:sz w:val="20"/>
                <w:szCs w:val="20"/>
                <w:color w:val="auto"/>
              </w:rPr>
            </w:pPr>
            <w:r>
              <w:rPr>
                <w:rFonts w:ascii="Arial" w:cs="Arial" w:eastAsia="Arial" w:hAnsi="Arial"/>
                <w:sz w:val="18"/>
                <w:szCs w:val="18"/>
                <w:color w:val="auto"/>
                <w:w w:val="88"/>
              </w:rPr>
              <w:t>99.00</w:t>
            </w:r>
          </w:p>
        </w:tc>
        <w:tc>
          <w:tcPr>
            <w:tcW w:w="0" w:type="dxa"/>
            <w:vAlign w:val="bottom"/>
          </w:tcPr>
          <w:p>
            <w:pPr>
              <w:spacing w:after="0"/>
              <w:rPr>
                <w:sz w:val="1"/>
                <w:szCs w:val="1"/>
                <w:color w:val="auto"/>
              </w:rPr>
            </w:pPr>
          </w:p>
        </w:tc>
      </w:tr>
      <w:tr>
        <w:trPr>
          <w:trHeight w:val="263"/>
        </w:trPr>
        <w:tc>
          <w:tcPr>
            <w:tcW w:w="1900" w:type="dxa"/>
            <w:vAlign w:val="bottom"/>
            <w:tcBorders>
              <w:left w:val="single" w:sz="8" w:color="auto"/>
            </w:tcBorders>
          </w:tcPr>
          <w:p>
            <w:pPr>
              <w:jc w:val="center"/>
              <w:ind w:left="128"/>
              <w:spacing w:after="0"/>
              <w:rPr>
                <w:sz w:val="20"/>
                <w:szCs w:val="20"/>
                <w:color w:val="auto"/>
              </w:rPr>
            </w:pPr>
            <w:r>
              <w:rPr>
                <w:rFonts w:ascii="Arial" w:cs="Arial" w:eastAsia="Arial" w:hAnsi="Arial"/>
                <w:sz w:val="18"/>
                <w:szCs w:val="18"/>
                <w:color w:val="auto"/>
                <w:w w:val="89"/>
              </w:rPr>
              <w:t>17 +</w:t>
            </w:r>
          </w:p>
        </w:tc>
        <w:tc>
          <w:tcPr>
            <w:tcW w:w="240" w:type="dxa"/>
            <w:vAlign w:val="bottom"/>
            <w:tcBorders>
              <w:right w:val="single" w:sz="8" w:color="auto"/>
            </w:tcBorders>
          </w:tcPr>
          <w:p>
            <w:pPr>
              <w:spacing w:after="0"/>
              <w:rPr>
                <w:sz w:val="22"/>
                <w:szCs w:val="22"/>
                <w:color w:val="auto"/>
              </w:rPr>
            </w:pPr>
          </w:p>
        </w:tc>
        <w:tc>
          <w:tcPr>
            <w:tcW w:w="1060" w:type="dxa"/>
            <w:vAlign w:val="bottom"/>
          </w:tcPr>
          <w:p>
            <w:pPr>
              <w:jc w:val="center"/>
              <w:ind w:left="388"/>
              <w:spacing w:after="0"/>
              <w:rPr>
                <w:sz w:val="20"/>
                <w:szCs w:val="20"/>
                <w:color w:val="auto"/>
              </w:rPr>
            </w:pPr>
            <w:r>
              <w:rPr>
                <w:rFonts w:ascii="Arial" w:cs="Arial" w:eastAsia="Arial" w:hAnsi="Arial"/>
                <w:sz w:val="18"/>
                <w:szCs w:val="18"/>
                <w:color w:val="auto"/>
                <w:w w:val="93"/>
              </w:rPr>
              <w:t>94.00</w:t>
            </w:r>
          </w:p>
        </w:tc>
        <w:tc>
          <w:tcPr>
            <w:tcW w:w="500" w:type="dxa"/>
            <w:vAlign w:val="bottom"/>
            <w:tcBorders>
              <w:right w:val="single" w:sz="8" w:color="auto"/>
            </w:tcBorders>
          </w:tcPr>
          <w:p>
            <w:pPr>
              <w:spacing w:after="0"/>
              <w:rPr>
                <w:sz w:val="22"/>
                <w:szCs w:val="22"/>
                <w:color w:val="auto"/>
              </w:rPr>
            </w:pP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94.50</w:t>
            </w:r>
          </w:p>
        </w:tc>
        <w:tc>
          <w:tcPr>
            <w:tcW w:w="460" w:type="dxa"/>
            <w:vAlign w:val="bottom"/>
          </w:tcPr>
          <w:p>
            <w:pPr>
              <w:spacing w:after="0"/>
              <w:rPr>
                <w:sz w:val="22"/>
                <w:szCs w:val="22"/>
                <w:color w:val="auto"/>
              </w:rPr>
            </w:pPr>
          </w:p>
        </w:tc>
        <w:tc>
          <w:tcPr>
            <w:tcW w:w="1120" w:type="dxa"/>
            <w:vAlign w:val="bottom"/>
            <w:tcBorders>
              <w:right w:val="single" w:sz="8" w:color="auto"/>
            </w:tcBorders>
          </w:tcPr>
          <w:p>
            <w:pPr>
              <w:jc w:val="center"/>
              <w:ind w:right="388"/>
              <w:spacing w:after="0"/>
              <w:rPr>
                <w:sz w:val="20"/>
                <w:szCs w:val="20"/>
                <w:color w:val="auto"/>
              </w:rPr>
            </w:pPr>
            <w:r>
              <w:rPr>
                <w:rFonts w:ascii="Arial" w:cs="Arial" w:eastAsia="Arial" w:hAnsi="Arial"/>
                <w:sz w:val="18"/>
                <w:szCs w:val="18"/>
                <w:color w:val="auto"/>
                <w:w w:val="88"/>
              </w:rPr>
              <w:t>98.80</w:t>
            </w:r>
          </w:p>
        </w:tc>
        <w:tc>
          <w:tcPr>
            <w:tcW w:w="0" w:type="dxa"/>
            <w:vAlign w:val="bottom"/>
          </w:tcPr>
          <w:p>
            <w:pPr>
              <w:spacing w:after="0"/>
              <w:rPr>
                <w:sz w:val="1"/>
                <w:szCs w:val="1"/>
                <w:color w:val="auto"/>
              </w:rPr>
            </w:pPr>
          </w:p>
        </w:tc>
      </w:tr>
      <w:tr>
        <w:trPr>
          <w:trHeight w:val="263"/>
        </w:trPr>
        <w:tc>
          <w:tcPr>
            <w:tcW w:w="1900" w:type="dxa"/>
            <w:vAlign w:val="bottom"/>
            <w:tcBorders>
              <w:left w:val="single" w:sz="8" w:color="auto"/>
            </w:tcBorders>
          </w:tcPr>
          <w:p>
            <w:pPr>
              <w:jc w:val="center"/>
              <w:ind w:left="128"/>
              <w:spacing w:after="0"/>
              <w:rPr>
                <w:sz w:val="20"/>
                <w:szCs w:val="20"/>
                <w:color w:val="auto"/>
              </w:rPr>
            </w:pPr>
            <w:r>
              <w:rPr>
                <w:rFonts w:ascii="Arial" w:cs="Arial" w:eastAsia="Arial" w:hAnsi="Arial"/>
                <w:sz w:val="18"/>
                <w:szCs w:val="18"/>
                <w:color w:val="auto"/>
                <w:w w:val="89"/>
              </w:rPr>
              <w:t>16 +</w:t>
            </w:r>
          </w:p>
        </w:tc>
        <w:tc>
          <w:tcPr>
            <w:tcW w:w="240" w:type="dxa"/>
            <w:vAlign w:val="bottom"/>
            <w:tcBorders>
              <w:right w:val="single" w:sz="8" w:color="auto"/>
            </w:tcBorders>
          </w:tcPr>
          <w:p>
            <w:pPr>
              <w:spacing w:after="0"/>
              <w:rPr>
                <w:sz w:val="22"/>
                <w:szCs w:val="22"/>
                <w:color w:val="auto"/>
              </w:rPr>
            </w:pPr>
          </w:p>
        </w:tc>
        <w:tc>
          <w:tcPr>
            <w:tcW w:w="1060" w:type="dxa"/>
            <w:vAlign w:val="bottom"/>
          </w:tcPr>
          <w:p>
            <w:pPr>
              <w:jc w:val="center"/>
              <w:ind w:left="388"/>
              <w:spacing w:after="0"/>
              <w:rPr>
                <w:sz w:val="20"/>
                <w:szCs w:val="20"/>
                <w:color w:val="auto"/>
              </w:rPr>
            </w:pPr>
            <w:r>
              <w:rPr>
                <w:rFonts w:ascii="Arial" w:cs="Arial" w:eastAsia="Arial" w:hAnsi="Arial"/>
                <w:sz w:val="18"/>
                <w:szCs w:val="18"/>
                <w:color w:val="auto"/>
                <w:w w:val="93"/>
              </w:rPr>
              <w:t>93.50</w:t>
            </w:r>
          </w:p>
        </w:tc>
        <w:tc>
          <w:tcPr>
            <w:tcW w:w="500" w:type="dxa"/>
            <w:vAlign w:val="bottom"/>
            <w:tcBorders>
              <w:right w:val="single" w:sz="8" w:color="auto"/>
            </w:tcBorders>
          </w:tcPr>
          <w:p>
            <w:pPr>
              <w:spacing w:after="0"/>
              <w:rPr>
                <w:sz w:val="22"/>
                <w:szCs w:val="22"/>
                <w:color w:val="auto"/>
              </w:rPr>
            </w:pP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94.00</w:t>
            </w:r>
          </w:p>
        </w:tc>
        <w:tc>
          <w:tcPr>
            <w:tcW w:w="460" w:type="dxa"/>
            <w:vAlign w:val="bottom"/>
          </w:tcPr>
          <w:p>
            <w:pPr>
              <w:spacing w:after="0"/>
              <w:rPr>
                <w:sz w:val="22"/>
                <w:szCs w:val="22"/>
                <w:color w:val="auto"/>
              </w:rPr>
            </w:pPr>
          </w:p>
        </w:tc>
        <w:tc>
          <w:tcPr>
            <w:tcW w:w="1120" w:type="dxa"/>
            <w:vAlign w:val="bottom"/>
            <w:tcBorders>
              <w:right w:val="single" w:sz="8" w:color="auto"/>
            </w:tcBorders>
          </w:tcPr>
          <w:p>
            <w:pPr>
              <w:jc w:val="center"/>
              <w:ind w:right="388"/>
              <w:spacing w:after="0"/>
              <w:rPr>
                <w:sz w:val="20"/>
                <w:szCs w:val="20"/>
                <w:color w:val="auto"/>
              </w:rPr>
            </w:pPr>
            <w:r>
              <w:rPr>
                <w:rFonts w:ascii="Arial" w:cs="Arial" w:eastAsia="Arial" w:hAnsi="Arial"/>
                <w:sz w:val="18"/>
                <w:szCs w:val="18"/>
                <w:color w:val="auto"/>
                <w:w w:val="88"/>
              </w:rPr>
              <w:t>98.00</w:t>
            </w:r>
          </w:p>
        </w:tc>
        <w:tc>
          <w:tcPr>
            <w:tcW w:w="0" w:type="dxa"/>
            <w:vAlign w:val="bottom"/>
          </w:tcPr>
          <w:p>
            <w:pPr>
              <w:spacing w:after="0"/>
              <w:rPr>
                <w:sz w:val="1"/>
                <w:szCs w:val="1"/>
                <w:color w:val="auto"/>
              </w:rPr>
            </w:pPr>
          </w:p>
        </w:tc>
      </w:tr>
      <w:tr>
        <w:trPr>
          <w:trHeight w:val="263"/>
        </w:trPr>
        <w:tc>
          <w:tcPr>
            <w:tcW w:w="1900" w:type="dxa"/>
            <w:vAlign w:val="bottom"/>
            <w:tcBorders>
              <w:left w:val="single" w:sz="8" w:color="auto"/>
            </w:tcBorders>
          </w:tcPr>
          <w:p>
            <w:pPr>
              <w:jc w:val="center"/>
              <w:ind w:left="128"/>
              <w:spacing w:after="0"/>
              <w:rPr>
                <w:sz w:val="20"/>
                <w:szCs w:val="20"/>
                <w:color w:val="auto"/>
              </w:rPr>
            </w:pPr>
            <w:r>
              <w:rPr>
                <w:rFonts w:ascii="Arial" w:cs="Arial" w:eastAsia="Arial" w:hAnsi="Arial"/>
                <w:sz w:val="18"/>
                <w:szCs w:val="18"/>
                <w:color w:val="auto"/>
                <w:w w:val="89"/>
              </w:rPr>
              <w:t>15 +</w:t>
            </w:r>
          </w:p>
        </w:tc>
        <w:tc>
          <w:tcPr>
            <w:tcW w:w="240" w:type="dxa"/>
            <w:vAlign w:val="bottom"/>
            <w:tcBorders>
              <w:right w:val="single" w:sz="8" w:color="auto"/>
            </w:tcBorders>
          </w:tcPr>
          <w:p>
            <w:pPr>
              <w:spacing w:after="0"/>
              <w:rPr>
                <w:sz w:val="22"/>
                <w:szCs w:val="22"/>
                <w:color w:val="auto"/>
              </w:rPr>
            </w:pPr>
          </w:p>
        </w:tc>
        <w:tc>
          <w:tcPr>
            <w:tcW w:w="1060" w:type="dxa"/>
            <w:vAlign w:val="bottom"/>
          </w:tcPr>
          <w:p>
            <w:pPr>
              <w:jc w:val="center"/>
              <w:ind w:left="388"/>
              <w:spacing w:after="0"/>
              <w:rPr>
                <w:sz w:val="20"/>
                <w:szCs w:val="20"/>
                <w:color w:val="auto"/>
              </w:rPr>
            </w:pPr>
            <w:r>
              <w:rPr>
                <w:rFonts w:ascii="Arial" w:cs="Arial" w:eastAsia="Arial" w:hAnsi="Arial"/>
                <w:sz w:val="18"/>
                <w:szCs w:val="18"/>
                <w:color w:val="auto"/>
                <w:w w:val="93"/>
              </w:rPr>
              <w:t>93.00</w:t>
            </w:r>
          </w:p>
        </w:tc>
        <w:tc>
          <w:tcPr>
            <w:tcW w:w="500" w:type="dxa"/>
            <w:vAlign w:val="bottom"/>
            <w:tcBorders>
              <w:right w:val="single" w:sz="8" w:color="auto"/>
            </w:tcBorders>
          </w:tcPr>
          <w:p>
            <w:pPr>
              <w:spacing w:after="0"/>
              <w:rPr>
                <w:sz w:val="22"/>
                <w:szCs w:val="22"/>
                <w:color w:val="auto"/>
              </w:rPr>
            </w:pP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93.50</w:t>
            </w:r>
          </w:p>
        </w:tc>
        <w:tc>
          <w:tcPr>
            <w:tcW w:w="460" w:type="dxa"/>
            <w:vAlign w:val="bottom"/>
          </w:tcPr>
          <w:p>
            <w:pPr>
              <w:spacing w:after="0"/>
              <w:rPr>
                <w:sz w:val="22"/>
                <w:szCs w:val="22"/>
                <w:color w:val="auto"/>
              </w:rPr>
            </w:pPr>
          </w:p>
        </w:tc>
        <w:tc>
          <w:tcPr>
            <w:tcW w:w="1120" w:type="dxa"/>
            <w:vAlign w:val="bottom"/>
            <w:tcBorders>
              <w:right w:val="single" w:sz="8" w:color="auto"/>
            </w:tcBorders>
          </w:tcPr>
          <w:p>
            <w:pPr>
              <w:jc w:val="center"/>
              <w:ind w:right="388"/>
              <w:spacing w:after="0"/>
              <w:rPr>
                <w:sz w:val="20"/>
                <w:szCs w:val="20"/>
                <w:color w:val="auto"/>
              </w:rPr>
            </w:pPr>
            <w:r>
              <w:rPr>
                <w:rFonts w:ascii="Arial" w:cs="Arial" w:eastAsia="Arial" w:hAnsi="Arial"/>
                <w:sz w:val="18"/>
                <w:szCs w:val="18"/>
                <w:color w:val="auto"/>
                <w:w w:val="88"/>
              </w:rPr>
              <w:t>97.50</w:t>
            </w:r>
          </w:p>
        </w:tc>
        <w:tc>
          <w:tcPr>
            <w:tcW w:w="0" w:type="dxa"/>
            <w:vAlign w:val="bottom"/>
          </w:tcPr>
          <w:p>
            <w:pPr>
              <w:spacing w:after="0"/>
              <w:rPr>
                <w:sz w:val="1"/>
                <w:szCs w:val="1"/>
                <w:color w:val="auto"/>
              </w:rPr>
            </w:pPr>
          </w:p>
        </w:tc>
      </w:tr>
      <w:tr>
        <w:trPr>
          <w:trHeight w:val="263"/>
        </w:trPr>
        <w:tc>
          <w:tcPr>
            <w:tcW w:w="1900" w:type="dxa"/>
            <w:vAlign w:val="bottom"/>
            <w:tcBorders>
              <w:left w:val="single" w:sz="8" w:color="auto"/>
            </w:tcBorders>
          </w:tcPr>
          <w:p>
            <w:pPr>
              <w:jc w:val="center"/>
              <w:ind w:left="128"/>
              <w:spacing w:after="0"/>
              <w:rPr>
                <w:sz w:val="20"/>
                <w:szCs w:val="20"/>
                <w:color w:val="auto"/>
              </w:rPr>
            </w:pPr>
            <w:r>
              <w:rPr>
                <w:rFonts w:ascii="Arial" w:cs="Arial" w:eastAsia="Arial" w:hAnsi="Arial"/>
                <w:sz w:val="18"/>
                <w:szCs w:val="18"/>
                <w:color w:val="auto"/>
                <w:w w:val="89"/>
              </w:rPr>
              <w:t>14 +</w:t>
            </w:r>
          </w:p>
        </w:tc>
        <w:tc>
          <w:tcPr>
            <w:tcW w:w="240" w:type="dxa"/>
            <w:vAlign w:val="bottom"/>
            <w:tcBorders>
              <w:right w:val="single" w:sz="8" w:color="auto"/>
            </w:tcBorders>
          </w:tcPr>
          <w:p>
            <w:pPr>
              <w:spacing w:after="0"/>
              <w:rPr>
                <w:sz w:val="22"/>
                <w:szCs w:val="22"/>
                <w:color w:val="auto"/>
              </w:rPr>
            </w:pPr>
          </w:p>
        </w:tc>
        <w:tc>
          <w:tcPr>
            <w:tcW w:w="1060" w:type="dxa"/>
            <w:vAlign w:val="bottom"/>
          </w:tcPr>
          <w:p>
            <w:pPr>
              <w:jc w:val="center"/>
              <w:ind w:left="388"/>
              <w:spacing w:after="0"/>
              <w:rPr>
                <w:sz w:val="20"/>
                <w:szCs w:val="20"/>
                <w:color w:val="auto"/>
              </w:rPr>
            </w:pPr>
            <w:r>
              <w:rPr>
                <w:rFonts w:ascii="Arial" w:cs="Arial" w:eastAsia="Arial" w:hAnsi="Arial"/>
                <w:sz w:val="18"/>
                <w:szCs w:val="18"/>
                <w:color w:val="auto"/>
                <w:w w:val="93"/>
              </w:rPr>
              <w:t>92.50</w:t>
            </w:r>
          </w:p>
        </w:tc>
        <w:tc>
          <w:tcPr>
            <w:tcW w:w="500" w:type="dxa"/>
            <w:vAlign w:val="bottom"/>
            <w:tcBorders>
              <w:right w:val="single" w:sz="8" w:color="auto"/>
            </w:tcBorders>
          </w:tcPr>
          <w:p>
            <w:pPr>
              <w:spacing w:after="0"/>
              <w:rPr>
                <w:sz w:val="22"/>
                <w:szCs w:val="22"/>
                <w:color w:val="auto"/>
              </w:rPr>
            </w:pP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93.00</w:t>
            </w:r>
          </w:p>
        </w:tc>
        <w:tc>
          <w:tcPr>
            <w:tcW w:w="460" w:type="dxa"/>
            <w:vAlign w:val="bottom"/>
          </w:tcPr>
          <w:p>
            <w:pPr>
              <w:spacing w:after="0"/>
              <w:rPr>
                <w:sz w:val="22"/>
                <w:szCs w:val="22"/>
                <w:color w:val="auto"/>
              </w:rPr>
            </w:pPr>
          </w:p>
        </w:tc>
        <w:tc>
          <w:tcPr>
            <w:tcW w:w="1120" w:type="dxa"/>
            <w:vAlign w:val="bottom"/>
            <w:tcBorders>
              <w:right w:val="single" w:sz="8" w:color="auto"/>
            </w:tcBorders>
          </w:tcPr>
          <w:p>
            <w:pPr>
              <w:jc w:val="center"/>
              <w:ind w:right="388"/>
              <w:spacing w:after="0"/>
              <w:rPr>
                <w:sz w:val="20"/>
                <w:szCs w:val="20"/>
                <w:color w:val="auto"/>
              </w:rPr>
            </w:pPr>
            <w:r>
              <w:rPr>
                <w:rFonts w:ascii="Arial" w:cs="Arial" w:eastAsia="Arial" w:hAnsi="Arial"/>
                <w:sz w:val="18"/>
                <w:szCs w:val="18"/>
                <w:color w:val="auto"/>
                <w:w w:val="88"/>
              </w:rPr>
              <w:t>97.00</w:t>
            </w:r>
          </w:p>
        </w:tc>
        <w:tc>
          <w:tcPr>
            <w:tcW w:w="0" w:type="dxa"/>
            <w:vAlign w:val="bottom"/>
          </w:tcPr>
          <w:p>
            <w:pPr>
              <w:spacing w:after="0"/>
              <w:rPr>
                <w:sz w:val="1"/>
                <w:szCs w:val="1"/>
                <w:color w:val="auto"/>
              </w:rPr>
            </w:pPr>
          </w:p>
        </w:tc>
      </w:tr>
      <w:tr>
        <w:trPr>
          <w:trHeight w:val="263"/>
        </w:trPr>
        <w:tc>
          <w:tcPr>
            <w:tcW w:w="1900" w:type="dxa"/>
            <w:vAlign w:val="bottom"/>
            <w:tcBorders>
              <w:left w:val="single" w:sz="8" w:color="auto"/>
            </w:tcBorders>
          </w:tcPr>
          <w:p>
            <w:pPr>
              <w:jc w:val="center"/>
              <w:ind w:left="128"/>
              <w:spacing w:after="0"/>
              <w:rPr>
                <w:sz w:val="20"/>
                <w:szCs w:val="20"/>
                <w:color w:val="auto"/>
              </w:rPr>
            </w:pPr>
            <w:r>
              <w:rPr>
                <w:rFonts w:ascii="Arial" w:cs="Arial" w:eastAsia="Arial" w:hAnsi="Arial"/>
                <w:sz w:val="18"/>
                <w:szCs w:val="18"/>
                <w:color w:val="auto"/>
                <w:w w:val="89"/>
              </w:rPr>
              <w:t>13 +</w:t>
            </w:r>
          </w:p>
        </w:tc>
        <w:tc>
          <w:tcPr>
            <w:tcW w:w="240" w:type="dxa"/>
            <w:vAlign w:val="bottom"/>
            <w:tcBorders>
              <w:right w:val="single" w:sz="8" w:color="auto"/>
            </w:tcBorders>
          </w:tcPr>
          <w:p>
            <w:pPr>
              <w:spacing w:after="0"/>
              <w:rPr>
                <w:sz w:val="22"/>
                <w:szCs w:val="22"/>
                <w:color w:val="auto"/>
              </w:rPr>
            </w:pPr>
          </w:p>
        </w:tc>
        <w:tc>
          <w:tcPr>
            <w:tcW w:w="1060" w:type="dxa"/>
            <w:vAlign w:val="bottom"/>
          </w:tcPr>
          <w:p>
            <w:pPr>
              <w:jc w:val="center"/>
              <w:ind w:left="388"/>
              <w:spacing w:after="0"/>
              <w:rPr>
                <w:sz w:val="20"/>
                <w:szCs w:val="20"/>
                <w:color w:val="auto"/>
              </w:rPr>
            </w:pPr>
            <w:r>
              <w:rPr>
                <w:rFonts w:ascii="Arial" w:cs="Arial" w:eastAsia="Arial" w:hAnsi="Arial"/>
                <w:sz w:val="18"/>
                <w:szCs w:val="18"/>
                <w:color w:val="auto"/>
                <w:w w:val="93"/>
              </w:rPr>
              <w:t>92.00</w:t>
            </w:r>
          </w:p>
        </w:tc>
        <w:tc>
          <w:tcPr>
            <w:tcW w:w="500" w:type="dxa"/>
            <w:vAlign w:val="bottom"/>
            <w:tcBorders>
              <w:right w:val="single" w:sz="8" w:color="auto"/>
            </w:tcBorders>
          </w:tcPr>
          <w:p>
            <w:pPr>
              <w:spacing w:after="0"/>
              <w:rPr>
                <w:sz w:val="22"/>
                <w:szCs w:val="22"/>
                <w:color w:val="auto"/>
              </w:rPr>
            </w:pP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92.50</w:t>
            </w:r>
          </w:p>
        </w:tc>
        <w:tc>
          <w:tcPr>
            <w:tcW w:w="460" w:type="dxa"/>
            <w:vAlign w:val="bottom"/>
          </w:tcPr>
          <w:p>
            <w:pPr>
              <w:spacing w:after="0"/>
              <w:rPr>
                <w:sz w:val="22"/>
                <w:szCs w:val="22"/>
                <w:color w:val="auto"/>
              </w:rPr>
            </w:pPr>
          </w:p>
        </w:tc>
        <w:tc>
          <w:tcPr>
            <w:tcW w:w="1120" w:type="dxa"/>
            <w:vAlign w:val="bottom"/>
            <w:tcBorders>
              <w:right w:val="single" w:sz="8" w:color="auto"/>
            </w:tcBorders>
          </w:tcPr>
          <w:p>
            <w:pPr>
              <w:jc w:val="center"/>
              <w:ind w:right="388"/>
              <w:spacing w:after="0"/>
              <w:rPr>
                <w:sz w:val="20"/>
                <w:szCs w:val="20"/>
                <w:color w:val="auto"/>
              </w:rPr>
            </w:pPr>
            <w:r>
              <w:rPr>
                <w:rFonts w:ascii="Arial" w:cs="Arial" w:eastAsia="Arial" w:hAnsi="Arial"/>
                <w:sz w:val="18"/>
                <w:szCs w:val="18"/>
                <w:color w:val="auto"/>
                <w:w w:val="88"/>
              </w:rPr>
              <w:t>96.50</w:t>
            </w:r>
          </w:p>
        </w:tc>
        <w:tc>
          <w:tcPr>
            <w:tcW w:w="0" w:type="dxa"/>
            <w:vAlign w:val="bottom"/>
          </w:tcPr>
          <w:p>
            <w:pPr>
              <w:spacing w:after="0"/>
              <w:rPr>
                <w:sz w:val="1"/>
                <w:szCs w:val="1"/>
                <w:color w:val="auto"/>
              </w:rPr>
            </w:pPr>
          </w:p>
        </w:tc>
      </w:tr>
      <w:tr>
        <w:trPr>
          <w:trHeight w:val="263"/>
        </w:trPr>
        <w:tc>
          <w:tcPr>
            <w:tcW w:w="1900" w:type="dxa"/>
            <w:vAlign w:val="bottom"/>
            <w:tcBorders>
              <w:left w:val="single" w:sz="8" w:color="auto"/>
            </w:tcBorders>
          </w:tcPr>
          <w:p>
            <w:pPr>
              <w:jc w:val="center"/>
              <w:ind w:left="128"/>
              <w:spacing w:after="0"/>
              <w:rPr>
                <w:sz w:val="20"/>
                <w:szCs w:val="20"/>
                <w:color w:val="auto"/>
              </w:rPr>
            </w:pPr>
            <w:r>
              <w:rPr>
                <w:rFonts w:ascii="Arial" w:cs="Arial" w:eastAsia="Arial" w:hAnsi="Arial"/>
                <w:sz w:val="18"/>
                <w:szCs w:val="18"/>
                <w:color w:val="auto"/>
                <w:w w:val="89"/>
              </w:rPr>
              <w:t>12 +</w:t>
            </w:r>
          </w:p>
        </w:tc>
        <w:tc>
          <w:tcPr>
            <w:tcW w:w="240" w:type="dxa"/>
            <w:vAlign w:val="bottom"/>
            <w:tcBorders>
              <w:right w:val="single" w:sz="8" w:color="auto"/>
            </w:tcBorders>
          </w:tcPr>
          <w:p>
            <w:pPr>
              <w:spacing w:after="0"/>
              <w:rPr>
                <w:sz w:val="22"/>
                <w:szCs w:val="22"/>
                <w:color w:val="auto"/>
              </w:rPr>
            </w:pPr>
          </w:p>
        </w:tc>
        <w:tc>
          <w:tcPr>
            <w:tcW w:w="1060" w:type="dxa"/>
            <w:vAlign w:val="bottom"/>
          </w:tcPr>
          <w:p>
            <w:pPr>
              <w:jc w:val="center"/>
              <w:ind w:left="388"/>
              <w:spacing w:after="0"/>
              <w:rPr>
                <w:sz w:val="20"/>
                <w:szCs w:val="20"/>
                <w:color w:val="auto"/>
              </w:rPr>
            </w:pPr>
            <w:r>
              <w:rPr>
                <w:rFonts w:ascii="Arial" w:cs="Arial" w:eastAsia="Arial" w:hAnsi="Arial"/>
                <w:sz w:val="18"/>
                <w:szCs w:val="18"/>
                <w:color w:val="auto"/>
                <w:w w:val="93"/>
              </w:rPr>
              <w:t>91.50</w:t>
            </w:r>
          </w:p>
        </w:tc>
        <w:tc>
          <w:tcPr>
            <w:tcW w:w="500" w:type="dxa"/>
            <w:vAlign w:val="bottom"/>
            <w:tcBorders>
              <w:right w:val="single" w:sz="8" w:color="auto"/>
            </w:tcBorders>
          </w:tcPr>
          <w:p>
            <w:pPr>
              <w:spacing w:after="0"/>
              <w:rPr>
                <w:sz w:val="22"/>
                <w:szCs w:val="22"/>
                <w:color w:val="auto"/>
              </w:rPr>
            </w:pP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92.00</w:t>
            </w:r>
          </w:p>
        </w:tc>
        <w:tc>
          <w:tcPr>
            <w:tcW w:w="460" w:type="dxa"/>
            <w:vAlign w:val="bottom"/>
          </w:tcPr>
          <w:p>
            <w:pPr>
              <w:spacing w:after="0"/>
              <w:rPr>
                <w:sz w:val="22"/>
                <w:szCs w:val="22"/>
                <w:color w:val="auto"/>
              </w:rPr>
            </w:pPr>
          </w:p>
        </w:tc>
        <w:tc>
          <w:tcPr>
            <w:tcW w:w="1120" w:type="dxa"/>
            <w:vAlign w:val="bottom"/>
            <w:tcBorders>
              <w:right w:val="single" w:sz="8" w:color="auto"/>
            </w:tcBorders>
          </w:tcPr>
          <w:p>
            <w:pPr>
              <w:jc w:val="center"/>
              <w:ind w:right="388"/>
              <w:spacing w:after="0"/>
              <w:rPr>
                <w:sz w:val="20"/>
                <w:szCs w:val="20"/>
                <w:color w:val="auto"/>
              </w:rPr>
            </w:pPr>
            <w:r>
              <w:rPr>
                <w:rFonts w:ascii="Arial" w:cs="Arial" w:eastAsia="Arial" w:hAnsi="Arial"/>
                <w:sz w:val="18"/>
                <w:szCs w:val="18"/>
                <w:color w:val="auto"/>
                <w:w w:val="88"/>
              </w:rPr>
              <w:t>96.00</w:t>
            </w:r>
          </w:p>
        </w:tc>
        <w:tc>
          <w:tcPr>
            <w:tcW w:w="0" w:type="dxa"/>
            <w:vAlign w:val="bottom"/>
          </w:tcPr>
          <w:p>
            <w:pPr>
              <w:spacing w:after="0"/>
              <w:rPr>
                <w:sz w:val="1"/>
                <w:szCs w:val="1"/>
                <w:color w:val="auto"/>
              </w:rPr>
            </w:pPr>
          </w:p>
        </w:tc>
      </w:tr>
      <w:tr>
        <w:trPr>
          <w:trHeight w:val="263"/>
        </w:trPr>
        <w:tc>
          <w:tcPr>
            <w:tcW w:w="1900" w:type="dxa"/>
            <w:vAlign w:val="bottom"/>
            <w:tcBorders>
              <w:left w:val="single" w:sz="8" w:color="auto"/>
            </w:tcBorders>
          </w:tcPr>
          <w:p>
            <w:pPr>
              <w:jc w:val="center"/>
              <w:ind w:left="128"/>
              <w:spacing w:after="0"/>
              <w:rPr>
                <w:sz w:val="20"/>
                <w:szCs w:val="20"/>
                <w:color w:val="auto"/>
              </w:rPr>
            </w:pPr>
            <w:r>
              <w:rPr>
                <w:rFonts w:ascii="Arial" w:cs="Arial" w:eastAsia="Arial" w:hAnsi="Arial"/>
                <w:sz w:val="18"/>
                <w:szCs w:val="18"/>
                <w:color w:val="auto"/>
                <w:w w:val="89"/>
              </w:rPr>
              <w:t>11 +</w:t>
            </w:r>
          </w:p>
        </w:tc>
        <w:tc>
          <w:tcPr>
            <w:tcW w:w="240" w:type="dxa"/>
            <w:vAlign w:val="bottom"/>
            <w:tcBorders>
              <w:right w:val="single" w:sz="8" w:color="auto"/>
            </w:tcBorders>
          </w:tcPr>
          <w:p>
            <w:pPr>
              <w:spacing w:after="0"/>
              <w:rPr>
                <w:sz w:val="22"/>
                <w:szCs w:val="22"/>
                <w:color w:val="auto"/>
              </w:rPr>
            </w:pPr>
          </w:p>
        </w:tc>
        <w:tc>
          <w:tcPr>
            <w:tcW w:w="1060" w:type="dxa"/>
            <w:vAlign w:val="bottom"/>
          </w:tcPr>
          <w:p>
            <w:pPr>
              <w:jc w:val="center"/>
              <w:ind w:left="388"/>
              <w:spacing w:after="0"/>
              <w:rPr>
                <w:sz w:val="20"/>
                <w:szCs w:val="20"/>
                <w:color w:val="auto"/>
              </w:rPr>
            </w:pPr>
            <w:r>
              <w:rPr>
                <w:rFonts w:ascii="Arial" w:cs="Arial" w:eastAsia="Arial" w:hAnsi="Arial"/>
                <w:sz w:val="18"/>
                <w:szCs w:val="18"/>
                <w:color w:val="auto"/>
                <w:w w:val="93"/>
              </w:rPr>
              <w:t>91.00</w:t>
            </w:r>
          </w:p>
        </w:tc>
        <w:tc>
          <w:tcPr>
            <w:tcW w:w="500" w:type="dxa"/>
            <w:vAlign w:val="bottom"/>
            <w:tcBorders>
              <w:right w:val="single" w:sz="8" w:color="auto"/>
            </w:tcBorders>
          </w:tcPr>
          <w:p>
            <w:pPr>
              <w:spacing w:after="0"/>
              <w:rPr>
                <w:sz w:val="22"/>
                <w:szCs w:val="22"/>
                <w:color w:val="auto"/>
              </w:rPr>
            </w:pP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91.50</w:t>
            </w:r>
          </w:p>
        </w:tc>
        <w:tc>
          <w:tcPr>
            <w:tcW w:w="460" w:type="dxa"/>
            <w:vAlign w:val="bottom"/>
          </w:tcPr>
          <w:p>
            <w:pPr>
              <w:spacing w:after="0"/>
              <w:rPr>
                <w:sz w:val="22"/>
                <w:szCs w:val="22"/>
                <w:color w:val="auto"/>
              </w:rPr>
            </w:pPr>
          </w:p>
        </w:tc>
        <w:tc>
          <w:tcPr>
            <w:tcW w:w="1120" w:type="dxa"/>
            <w:vAlign w:val="bottom"/>
            <w:tcBorders>
              <w:right w:val="single" w:sz="8" w:color="auto"/>
            </w:tcBorders>
          </w:tcPr>
          <w:p>
            <w:pPr>
              <w:jc w:val="center"/>
              <w:ind w:right="388"/>
              <w:spacing w:after="0"/>
              <w:rPr>
                <w:sz w:val="20"/>
                <w:szCs w:val="20"/>
                <w:color w:val="auto"/>
              </w:rPr>
            </w:pPr>
            <w:r>
              <w:rPr>
                <w:rFonts w:ascii="Arial" w:cs="Arial" w:eastAsia="Arial" w:hAnsi="Arial"/>
                <w:sz w:val="18"/>
                <w:szCs w:val="18"/>
                <w:color w:val="auto"/>
                <w:w w:val="88"/>
              </w:rPr>
              <w:t>95.50</w:t>
            </w:r>
          </w:p>
        </w:tc>
        <w:tc>
          <w:tcPr>
            <w:tcW w:w="0" w:type="dxa"/>
            <w:vAlign w:val="bottom"/>
          </w:tcPr>
          <w:p>
            <w:pPr>
              <w:spacing w:after="0"/>
              <w:rPr>
                <w:sz w:val="1"/>
                <w:szCs w:val="1"/>
                <w:color w:val="auto"/>
              </w:rPr>
            </w:pPr>
          </w:p>
        </w:tc>
      </w:tr>
      <w:tr>
        <w:trPr>
          <w:trHeight w:val="263"/>
        </w:trPr>
        <w:tc>
          <w:tcPr>
            <w:tcW w:w="1900" w:type="dxa"/>
            <w:vAlign w:val="bottom"/>
            <w:tcBorders>
              <w:left w:val="single" w:sz="8" w:color="auto"/>
            </w:tcBorders>
          </w:tcPr>
          <w:p>
            <w:pPr>
              <w:jc w:val="center"/>
              <w:ind w:left="128"/>
              <w:spacing w:after="0"/>
              <w:rPr>
                <w:sz w:val="20"/>
                <w:szCs w:val="20"/>
                <w:color w:val="auto"/>
              </w:rPr>
            </w:pPr>
            <w:r>
              <w:rPr>
                <w:rFonts w:ascii="Arial" w:cs="Arial" w:eastAsia="Arial" w:hAnsi="Arial"/>
                <w:sz w:val="18"/>
                <w:szCs w:val="18"/>
                <w:color w:val="auto"/>
                <w:w w:val="89"/>
              </w:rPr>
              <w:t>10 +</w:t>
            </w:r>
          </w:p>
        </w:tc>
        <w:tc>
          <w:tcPr>
            <w:tcW w:w="240" w:type="dxa"/>
            <w:vAlign w:val="bottom"/>
            <w:tcBorders>
              <w:right w:val="single" w:sz="8" w:color="auto"/>
            </w:tcBorders>
          </w:tcPr>
          <w:p>
            <w:pPr>
              <w:spacing w:after="0"/>
              <w:rPr>
                <w:sz w:val="22"/>
                <w:szCs w:val="22"/>
                <w:color w:val="auto"/>
              </w:rPr>
            </w:pPr>
          </w:p>
        </w:tc>
        <w:tc>
          <w:tcPr>
            <w:tcW w:w="1060" w:type="dxa"/>
            <w:vAlign w:val="bottom"/>
          </w:tcPr>
          <w:p>
            <w:pPr>
              <w:jc w:val="center"/>
              <w:ind w:left="388"/>
              <w:spacing w:after="0"/>
              <w:rPr>
                <w:sz w:val="20"/>
                <w:szCs w:val="20"/>
                <w:color w:val="auto"/>
              </w:rPr>
            </w:pPr>
            <w:r>
              <w:rPr>
                <w:rFonts w:ascii="Arial" w:cs="Arial" w:eastAsia="Arial" w:hAnsi="Arial"/>
                <w:sz w:val="18"/>
                <w:szCs w:val="18"/>
                <w:color w:val="auto"/>
                <w:w w:val="93"/>
              </w:rPr>
              <w:t>90.50</w:t>
            </w:r>
          </w:p>
        </w:tc>
        <w:tc>
          <w:tcPr>
            <w:tcW w:w="500" w:type="dxa"/>
            <w:vAlign w:val="bottom"/>
            <w:tcBorders>
              <w:right w:val="single" w:sz="8" w:color="auto"/>
            </w:tcBorders>
          </w:tcPr>
          <w:p>
            <w:pPr>
              <w:spacing w:after="0"/>
              <w:rPr>
                <w:sz w:val="22"/>
                <w:szCs w:val="22"/>
                <w:color w:val="auto"/>
              </w:rPr>
            </w:pP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91.00</w:t>
            </w:r>
          </w:p>
        </w:tc>
        <w:tc>
          <w:tcPr>
            <w:tcW w:w="460" w:type="dxa"/>
            <w:vAlign w:val="bottom"/>
          </w:tcPr>
          <w:p>
            <w:pPr>
              <w:spacing w:after="0"/>
              <w:rPr>
                <w:sz w:val="22"/>
                <w:szCs w:val="22"/>
                <w:color w:val="auto"/>
              </w:rPr>
            </w:pPr>
          </w:p>
        </w:tc>
        <w:tc>
          <w:tcPr>
            <w:tcW w:w="1120" w:type="dxa"/>
            <w:vAlign w:val="bottom"/>
            <w:tcBorders>
              <w:right w:val="single" w:sz="8" w:color="auto"/>
            </w:tcBorders>
          </w:tcPr>
          <w:p>
            <w:pPr>
              <w:jc w:val="center"/>
              <w:ind w:right="388"/>
              <w:spacing w:after="0"/>
              <w:rPr>
                <w:sz w:val="20"/>
                <w:szCs w:val="20"/>
                <w:color w:val="auto"/>
              </w:rPr>
            </w:pPr>
            <w:r>
              <w:rPr>
                <w:rFonts w:ascii="Arial" w:cs="Arial" w:eastAsia="Arial" w:hAnsi="Arial"/>
                <w:sz w:val="18"/>
                <w:szCs w:val="18"/>
                <w:color w:val="auto"/>
                <w:w w:val="88"/>
              </w:rPr>
              <w:t>95.00</w:t>
            </w:r>
          </w:p>
        </w:tc>
        <w:tc>
          <w:tcPr>
            <w:tcW w:w="0" w:type="dxa"/>
            <w:vAlign w:val="bottom"/>
          </w:tcPr>
          <w:p>
            <w:pPr>
              <w:spacing w:after="0"/>
              <w:rPr>
                <w:sz w:val="1"/>
                <w:szCs w:val="1"/>
                <w:color w:val="auto"/>
              </w:rPr>
            </w:pPr>
          </w:p>
        </w:tc>
      </w:tr>
      <w:tr>
        <w:trPr>
          <w:trHeight w:val="263"/>
        </w:trPr>
        <w:tc>
          <w:tcPr>
            <w:tcW w:w="1900" w:type="dxa"/>
            <w:vAlign w:val="bottom"/>
            <w:tcBorders>
              <w:left w:val="single" w:sz="8" w:color="auto"/>
            </w:tcBorders>
          </w:tcPr>
          <w:p>
            <w:pPr>
              <w:jc w:val="center"/>
              <w:ind w:left="128"/>
              <w:spacing w:after="0"/>
              <w:rPr>
                <w:sz w:val="20"/>
                <w:szCs w:val="20"/>
                <w:color w:val="auto"/>
              </w:rPr>
            </w:pPr>
            <w:r>
              <w:rPr>
                <w:rFonts w:ascii="Arial" w:cs="Arial" w:eastAsia="Arial" w:hAnsi="Arial"/>
                <w:sz w:val="18"/>
                <w:szCs w:val="18"/>
                <w:color w:val="auto"/>
                <w:w w:val="93"/>
              </w:rPr>
              <w:t>9 +</w:t>
            </w:r>
          </w:p>
        </w:tc>
        <w:tc>
          <w:tcPr>
            <w:tcW w:w="240" w:type="dxa"/>
            <w:vAlign w:val="bottom"/>
            <w:tcBorders>
              <w:right w:val="single" w:sz="8" w:color="auto"/>
            </w:tcBorders>
          </w:tcPr>
          <w:p>
            <w:pPr>
              <w:spacing w:after="0"/>
              <w:rPr>
                <w:sz w:val="22"/>
                <w:szCs w:val="22"/>
                <w:color w:val="auto"/>
              </w:rPr>
            </w:pPr>
          </w:p>
        </w:tc>
        <w:tc>
          <w:tcPr>
            <w:tcW w:w="1060" w:type="dxa"/>
            <w:vAlign w:val="bottom"/>
          </w:tcPr>
          <w:p>
            <w:pPr>
              <w:jc w:val="center"/>
              <w:ind w:left="388"/>
              <w:spacing w:after="0"/>
              <w:rPr>
                <w:sz w:val="20"/>
                <w:szCs w:val="20"/>
                <w:color w:val="auto"/>
              </w:rPr>
            </w:pPr>
            <w:r>
              <w:rPr>
                <w:rFonts w:ascii="Arial" w:cs="Arial" w:eastAsia="Arial" w:hAnsi="Arial"/>
                <w:sz w:val="18"/>
                <w:szCs w:val="18"/>
                <w:color w:val="auto"/>
                <w:w w:val="93"/>
              </w:rPr>
              <w:t>89.75</w:t>
            </w:r>
          </w:p>
        </w:tc>
        <w:tc>
          <w:tcPr>
            <w:tcW w:w="500" w:type="dxa"/>
            <w:vAlign w:val="bottom"/>
            <w:tcBorders>
              <w:right w:val="single" w:sz="8" w:color="auto"/>
            </w:tcBorders>
          </w:tcPr>
          <w:p>
            <w:pPr>
              <w:spacing w:after="0"/>
              <w:rPr>
                <w:sz w:val="22"/>
                <w:szCs w:val="22"/>
                <w:color w:val="auto"/>
              </w:rPr>
            </w:pP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90.50</w:t>
            </w:r>
          </w:p>
        </w:tc>
        <w:tc>
          <w:tcPr>
            <w:tcW w:w="460" w:type="dxa"/>
            <w:vAlign w:val="bottom"/>
          </w:tcPr>
          <w:p>
            <w:pPr>
              <w:spacing w:after="0"/>
              <w:rPr>
                <w:sz w:val="22"/>
                <w:szCs w:val="22"/>
                <w:color w:val="auto"/>
              </w:rPr>
            </w:pPr>
          </w:p>
        </w:tc>
        <w:tc>
          <w:tcPr>
            <w:tcW w:w="1120" w:type="dxa"/>
            <w:vAlign w:val="bottom"/>
            <w:tcBorders>
              <w:right w:val="single" w:sz="8" w:color="auto"/>
            </w:tcBorders>
          </w:tcPr>
          <w:p>
            <w:pPr>
              <w:jc w:val="center"/>
              <w:ind w:right="388"/>
              <w:spacing w:after="0"/>
              <w:rPr>
                <w:sz w:val="20"/>
                <w:szCs w:val="20"/>
                <w:color w:val="auto"/>
              </w:rPr>
            </w:pPr>
            <w:r>
              <w:rPr>
                <w:rFonts w:ascii="Arial" w:cs="Arial" w:eastAsia="Arial" w:hAnsi="Arial"/>
                <w:sz w:val="18"/>
                <w:szCs w:val="18"/>
                <w:color w:val="auto"/>
                <w:w w:val="88"/>
              </w:rPr>
              <w:t>94.50</w:t>
            </w:r>
          </w:p>
        </w:tc>
        <w:tc>
          <w:tcPr>
            <w:tcW w:w="0" w:type="dxa"/>
            <w:vAlign w:val="bottom"/>
          </w:tcPr>
          <w:p>
            <w:pPr>
              <w:spacing w:after="0"/>
              <w:rPr>
                <w:sz w:val="1"/>
                <w:szCs w:val="1"/>
                <w:color w:val="auto"/>
              </w:rPr>
            </w:pPr>
          </w:p>
        </w:tc>
      </w:tr>
      <w:tr>
        <w:trPr>
          <w:trHeight w:val="263"/>
        </w:trPr>
        <w:tc>
          <w:tcPr>
            <w:tcW w:w="1900" w:type="dxa"/>
            <w:vAlign w:val="bottom"/>
            <w:tcBorders>
              <w:left w:val="single" w:sz="8" w:color="auto"/>
            </w:tcBorders>
          </w:tcPr>
          <w:p>
            <w:pPr>
              <w:jc w:val="center"/>
              <w:ind w:left="128"/>
              <w:spacing w:after="0"/>
              <w:rPr>
                <w:sz w:val="20"/>
                <w:szCs w:val="20"/>
                <w:color w:val="auto"/>
              </w:rPr>
            </w:pPr>
            <w:r>
              <w:rPr>
                <w:rFonts w:ascii="Arial" w:cs="Arial" w:eastAsia="Arial" w:hAnsi="Arial"/>
                <w:sz w:val="18"/>
                <w:szCs w:val="18"/>
                <w:color w:val="auto"/>
                <w:w w:val="93"/>
              </w:rPr>
              <w:t>8 +</w:t>
            </w:r>
          </w:p>
        </w:tc>
        <w:tc>
          <w:tcPr>
            <w:tcW w:w="240" w:type="dxa"/>
            <w:vAlign w:val="bottom"/>
            <w:tcBorders>
              <w:right w:val="single" w:sz="8" w:color="auto"/>
            </w:tcBorders>
          </w:tcPr>
          <w:p>
            <w:pPr>
              <w:spacing w:after="0"/>
              <w:rPr>
                <w:sz w:val="22"/>
                <w:szCs w:val="22"/>
                <w:color w:val="auto"/>
              </w:rPr>
            </w:pPr>
          </w:p>
        </w:tc>
        <w:tc>
          <w:tcPr>
            <w:tcW w:w="1060" w:type="dxa"/>
            <w:vAlign w:val="bottom"/>
          </w:tcPr>
          <w:p>
            <w:pPr>
              <w:jc w:val="center"/>
              <w:ind w:left="388"/>
              <w:spacing w:after="0"/>
              <w:rPr>
                <w:sz w:val="20"/>
                <w:szCs w:val="20"/>
                <w:color w:val="auto"/>
              </w:rPr>
            </w:pPr>
            <w:r>
              <w:rPr>
                <w:rFonts w:ascii="Arial" w:cs="Arial" w:eastAsia="Arial" w:hAnsi="Arial"/>
                <w:sz w:val="18"/>
                <w:szCs w:val="18"/>
                <w:color w:val="auto"/>
                <w:w w:val="93"/>
              </w:rPr>
              <w:t>89.00</w:t>
            </w:r>
          </w:p>
        </w:tc>
        <w:tc>
          <w:tcPr>
            <w:tcW w:w="500" w:type="dxa"/>
            <w:vAlign w:val="bottom"/>
            <w:tcBorders>
              <w:right w:val="single" w:sz="8" w:color="auto"/>
            </w:tcBorders>
          </w:tcPr>
          <w:p>
            <w:pPr>
              <w:spacing w:after="0"/>
              <w:rPr>
                <w:sz w:val="22"/>
                <w:szCs w:val="22"/>
                <w:color w:val="auto"/>
              </w:rPr>
            </w:pP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90.00</w:t>
            </w:r>
          </w:p>
        </w:tc>
        <w:tc>
          <w:tcPr>
            <w:tcW w:w="460" w:type="dxa"/>
            <w:vAlign w:val="bottom"/>
          </w:tcPr>
          <w:p>
            <w:pPr>
              <w:spacing w:after="0"/>
              <w:rPr>
                <w:sz w:val="22"/>
                <w:szCs w:val="22"/>
                <w:color w:val="auto"/>
              </w:rPr>
            </w:pPr>
          </w:p>
        </w:tc>
        <w:tc>
          <w:tcPr>
            <w:tcW w:w="1120" w:type="dxa"/>
            <w:vAlign w:val="bottom"/>
            <w:tcBorders>
              <w:right w:val="single" w:sz="8" w:color="auto"/>
            </w:tcBorders>
          </w:tcPr>
          <w:p>
            <w:pPr>
              <w:jc w:val="center"/>
              <w:ind w:right="388"/>
              <w:spacing w:after="0"/>
              <w:rPr>
                <w:sz w:val="20"/>
                <w:szCs w:val="20"/>
                <w:color w:val="auto"/>
              </w:rPr>
            </w:pPr>
            <w:r>
              <w:rPr>
                <w:rFonts w:ascii="Arial" w:cs="Arial" w:eastAsia="Arial" w:hAnsi="Arial"/>
                <w:sz w:val="18"/>
                <w:szCs w:val="18"/>
                <w:color w:val="auto"/>
                <w:w w:val="88"/>
              </w:rPr>
              <w:t>94.00</w:t>
            </w:r>
          </w:p>
        </w:tc>
        <w:tc>
          <w:tcPr>
            <w:tcW w:w="0" w:type="dxa"/>
            <w:vAlign w:val="bottom"/>
          </w:tcPr>
          <w:p>
            <w:pPr>
              <w:spacing w:after="0"/>
              <w:rPr>
                <w:sz w:val="1"/>
                <w:szCs w:val="1"/>
                <w:color w:val="auto"/>
              </w:rPr>
            </w:pPr>
          </w:p>
        </w:tc>
      </w:tr>
      <w:tr>
        <w:trPr>
          <w:trHeight w:val="263"/>
        </w:trPr>
        <w:tc>
          <w:tcPr>
            <w:tcW w:w="1900" w:type="dxa"/>
            <w:vAlign w:val="bottom"/>
            <w:tcBorders>
              <w:left w:val="single" w:sz="8" w:color="auto"/>
            </w:tcBorders>
          </w:tcPr>
          <w:p>
            <w:pPr>
              <w:jc w:val="center"/>
              <w:ind w:left="128"/>
              <w:spacing w:after="0"/>
              <w:rPr>
                <w:sz w:val="20"/>
                <w:szCs w:val="20"/>
                <w:color w:val="auto"/>
              </w:rPr>
            </w:pPr>
            <w:r>
              <w:rPr>
                <w:rFonts w:ascii="Arial" w:cs="Arial" w:eastAsia="Arial" w:hAnsi="Arial"/>
                <w:sz w:val="18"/>
                <w:szCs w:val="18"/>
                <w:color w:val="auto"/>
                <w:w w:val="93"/>
              </w:rPr>
              <w:t>7 +</w:t>
            </w:r>
          </w:p>
        </w:tc>
        <w:tc>
          <w:tcPr>
            <w:tcW w:w="240" w:type="dxa"/>
            <w:vAlign w:val="bottom"/>
            <w:tcBorders>
              <w:right w:val="single" w:sz="8" w:color="auto"/>
            </w:tcBorders>
          </w:tcPr>
          <w:p>
            <w:pPr>
              <w:spacing w:after="0"/>
              <w:rPr>
                <w:sz w:val="22"/>
                <w:szCs w:val="22"/>
                <w:color w:val="auto"/>
              </w:rPr>
            </w:pPr>
          </w:p>
        </w:tc>
        <w:tc>
          <w:tcPr>
            <w:tcW w:w="1060" w:type="dxa"/>
            <w:vAlign w:val="bottom"/>
          </w:tcPr>
          <w:p>
            <w:pPr>
              <w:jc w:val="center"/>
              <w:ind w:left="388"/>
              <w:spacing w:after="0"/>
              <w:rPr>
                <w:sz w:val="20"/>
                <w:szCs w:val="20"/>
                <w:color w:val="auto"/>
              </w:rPr>
            </w:pPr>
            <w:r>
              <w:rPr>
                <w:rFonts w:ascii="Arial" w:cs="Arial" w:eastAsia="Arial" w:hAnsi="Arial"/>
                <w:sz w:val="18"/>
                <w:szCs w:val="18"/>
                <w:color w:val="auto"/>
                <w:w w:val="93"/>
              </w:rPr>
              <w:t>88.25</w:t>
            </w:r>
          </w:p>
        </w:tc>
        <w:tc>
          <w:tcPr>
            <w:tcW w:w="500" w:type="dxa"/>
            <w:vAlign w:val="bottom"/>
            <w:tcBorders>
              <w:right w:val="single" w:sz="8" w:color="auto"/>
            </w:tcBorders>
          </w:tcPr>
          <w:p>
            <w:pPr>
              <w:spacing w:after="0"/>
              <w:rPr>
                <w:sz w:val="22"/>
                <w:szCs w:val="22"/>
                <w:color w:val="auto"/>
              </w:rPr>
            </w:pP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89.50</w:t>
            </w:r>
          </w:p>
        </w:tc>
        <w:tc>
          <w:tcPr>
            <w:tcW w:w="460" w:type="dxa"/>
            <w:vAlign w:val="bottom"/>
          </w:tcPr>
          <w:p>
            <w:pPr>
              <w:spacing w:after="0"/>
              <w:rPr>
                <w:sz w:val="22"/>
                <w:szCs w:val="22"/>
                <w:color w:val="auto"/>
              </w:rPr>
            </w:pPr>
          </w:p>
        </w:tc>
        <w:tc>
          <w:tcPr>
            <w:tcW w:w="1120" w:type="dxa"/>
            <w:vAlign w:val="bottom"/>
            <w:tcBorders>
              <w:right w:val="single" w:sz="8" w:color="auto"/>
            </w:tcBorders>
          </w:tcPr>
          <w:p>
            <w:pPr>
              <w:jc w:val="center"/>
              <w:ind w:right="388"/>
              <w:spacing w:after="0"/>
              <w:rPr>
                <w:sz w:val="20"/>
                <w:szCs w:val="20"/>
                <w:color w:val="auto"/>
              </w:rPr>
            </w:pPr>
            <w:r>
              <w:rPr>
                <w:rFonts w:ascii="Arial" w:cs="Arial" w:eastAsia="Arial" w:hAnsi="Arial"/>
                <w:sz w:val="18"/>
                <w:szCs w:val="18"/>
                <w:color w:val="auto"/>
                <w:w w:val="88"/>
              </w:rPr>
              <w:t>93.50</w:t>
            </w:r>
          </w:p>
        </w:tc>
        <w:tc>
          <w:tcPr>
            <w:tcW w:w="0" w:type="dxa"/>
            <w:vAlign w:val="bottom"/>
          </w:tcPr>
          <w:p>
            <w:pPr>
              <w:spacing w:after="0"/>
              <w:rPr>
                <w:sz w:val="1"/>
                <w:szCs w:val="1"/>
                <w:color w:val="auto"/>
              </w:rPr>
            </w:pPr>
          </w:p>
        </w:tc>
      </w:tr>
      <w:tr>
        <w:trPr>
          <w:trHeight w:val="263"/>
        </w:trPr>
        <w:tc>
          <w:tcPr>
            <w:tcW w:w="1900" w:type="dxa"/>
            <w:vAlign w:val="bottom"/>
            <w:tcBorders>
              <w:left w:val="single" w:sz="8" w:color="auto"/>
            </w:tcBorders>
          </w:tcPr>
          <w:p>
            <w:pPr>
              <w:jc w:val="center"/>
              <w:ind w:left="128"/>
              <w:spacing w:after="0"/>
              <w:rPr>
                <w:sz w:val="20"/>
                <w:szCs w:val="20"/>
                <w:color w:val="auto"/>
              </w:rPr>
            </w:pPr>
            <w:r>
              <w:rPr>
                <w:rFonts w:ascii="Arial" w:cs="Arial" w:eastAsia="Arial" w:hAnsi="Arial"/>
                <w:sz w:val="18"/>
                <w:szCs w:val="18"/>
                <w:color w:val="auto"/>
                <w:w w:val="93"/>
              </w:rPr>
              <w:t>6 +</w:t>
            </w:r>
          </w:p>
        </w:tc>
        <w:tc>
          <w:tcPr>
            <w:tcW w:w="240" w:type="dxa"/>
            <w:vAlign w:val="bottom"/>
            <w:tcBorders>
              <w:right w:val="single" w:sz="8" w:color="auto"/>
            </w:tcBorders>
          </w:tcPr>
          <w:p>
            <w:pPr>
              <w:spacing w:after="0"/>
              <w:rPr>
                <w:sz w:val="22"/>
                <w:szCs w:val="22"/>
                <w:color w:val="auto"/>
              </w:rPr>
            </w:pPr>
          </w:p>
        </w:tc>
        <w:tc>
          <w:tcPr>
            <w:tcW w:w="1060" w:type="dxa"/>
            <w:vAlign w:val="bottom"/>
          </w:tcPr>
          <w:p>
            <w:pPr>
              <w:jc w:val="center"/>
              <w:ind w:left="388"/>
              <w:spacing w:after="0"/>
              <w:rPr>
                <w:sz w:val="20"/>
                <w:szCs w:val="20"/>
                <w:color w:val="auto"/>
              </w:rPr>
            </w:pPr>
            <w:r>
              <w:rPr>
                <w:rFonts w:ascii="Arial" w:cs="Arial" w:eastAsia="Arial" w:hAnsi="Arial"/>
                <w:sz w:val="18"/>
                <w:szCs w:val="18"/>
                <w:color w:val="auto"/>
                <w:w w:val="93"/>
              </w:rPr>
              <w:t>87.50</w:t>
            </w:r>
          </w:p>
        </w:tc>
        <w:tc>
          <w:tcPr>
            <w:tcW w:w="500" w:type="dxa"/>
            <w:vAlign w:val="bottom"/>
            <w:tcBorders>
              <w:right w:val="single" w:sz="8" w:color="auto"/>
            </w:tcBorders>
          </w:tcPr>
          <w:p>
            <w:pPr>
              <w:spacing w:after="0"/>
              <w:rPr>
                <w:sz w:val="22"/>
                <w:szCs w:val="22"/>
                <w:color w:val="auto"/>
              </w:rPr>
            </w:pP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89.00</w:t>
            </w:r>
          </w:p>
        </w:tc>
        <w:tc>
          <w:tcPr>
            <w:tcW w:w="460" w:type="dxa"/>
            <w:vAlign w:val="bottom"/>
          </w:tcPr>
          <w:p>
            <w:pPr>
              <w:spacing w:after="0"/>
              <w:rPr>
                <w:sz w:val="22"/>
                <w:szCs w:val="22"/>
                <w:color w:val="auto"/>
              </w:rPr>
            </w:pPr>
          </w:p>
        </w:tc>
        <w:tc>
          <w:tcPr>
            <w:tcW w:w="1120" w:type="dxa"/>
            <w:vAlign w:val="bottom"/>
            <w:tcBorders>
              <w:right w:val="single" w:sz="8" w:color="auto"/>
            </w:tcBorders>
          </w:tcPr>
          <w:p>
            <w:pPr>
              <w:jc w:val="center"/>
              <w:ind w:right="388"/>
              <w:spacing w:after="0"/>
              <w:rPr>
                <w:sz w:val="20"/>
                <w:szCs w:val="20"/>
                <w:color w:val="auto"/>
              </w:rPr>
            </w:pPr>
            <w:r>
              <w:rPr>
                <w:rFonts w:ascii="Arial" w:cs="Arial" w:eastAsia="Arial" w:hAnsi="Arial"/>
                <w:sz w:val="18"/>
                <w:szCs w:val="18"/>
                <w:color w:val="auto"/>
                <w:w w:val="88"/>
              </w:rPr>
              <w:t>93.00</w:t>
            </w:r>
          </w:p>
        </w:tc>
        <w:tc>
          <w:tcPr>
            <w:tcW w:w="0" w:type="dxa"/>
            <w:vAlign w:val="bottom"/>
          </w:tcPr>
          <w:p>
            <w:pPr>
              <w:spacing w:after="0"/>
              <w:rPr>
                <w:sz w:val="1"/>
                <w:szCs w:val="1"/>
                <w:color w:val="auto"/>
              </w:rPr>
            </w:pPr>
          </w:p>
        </w:tc>
      </w:tr>
      <w:tr>
        <w:trPr>
          <w:trHeight w:val="284"/>
        </w:trPr>
        <w:tc>
          <w:tcPr>
            <w:tcW w:w="1900" w:type="dxa"/>
            <w:vAlign w:val="bottom"/>
            <w:tcBorders>
              <w:left w:val="single" w:sz="8" w:color="auto"/>
            </w:tcBorders>
          </w:tcPr>
          <w:p>
            <w:pPr>
              <w:jc w:val="center"/>
              <w:ind w:left="128"/>
              <w:spacing w:after="0"/>
              <w:rPr>
                <w:sz w:val="20"/>
                <w:szCs w:val="20"/>
                <w:color w:val="auto"/>
              </w:rPr>
            </w:pPr>
            <w:r>
              <w:rPr>
                <w:rFonts w:ascii="Arial" w:cs="Arial" w:eastAsia="Arial" w:hAnsi="Arial"/>
                <w:sz w:val="18"/>
                <w:szCs w:val="18"/>
                <w:color w:val="auto"/>
                <w:w w:val="93"/>
              </w:rPr>
              <w:t>5 +</w:t>
            </w:r>
          </w:p>
        </w:tc>
        <w:tc>
          <w:tcPr>
            <w:tcW w:w="240" w:type="dxa"/>
            <w:vAlign w:val="bottom"/>
            <w:tcBorders>
              <w:right w:val="single" w:sz="8" w:color="auto"/>
            </w:tcBorders>
          </w:tcPr>
          <w:p>
            <w:pPr>
              <w:spacing w:after="0"/>
              <w:rPr>
                <w:sz w:val="24"/>
                <w:szCs w:val="24"/>
                <w:color w:val="auto"/>
              </w:rPr>
            </w:pPr>
          </w:p>
        </w:tc>
        <w:tc>
          <w:tcPr>
            <w:tcW w:w="1060" w:type="dxa"/>
            <w:vAlign w:val="bottom"/>
          </w:tcPr>
          <w:p>
            <w:pPr>
              <w:jc w:val="center"/>
              <w:ind w:left="388"/>
              <w:spacing w:after="0"/>
              <w:rPr>
                <w:sz w:val="20"/>
                <w:szCs w:val="20"/>
                <w:color w:val="auto"/>
              </w:rPr>
            </w:pPr>
            <w:r>
              <w:rPr>
                <w:rFonts w:ascii="Arial" w:cs="Arial" w:eastAsia="Arial" w:hAnsi="Arial"/>
                <w:sz w:val="18"/>
                <w:szCs w:val="18"/>
                <w:color w:val="auto"/>
                <w:w w:val="93"/>
              </w:rPr>
              <w:t>86.75</w:t>
            </w:r>
          </w:p>
        </w:tc>
        <w:tc>
          <w:tcPr>
            <w:tcW w:w="500" w:type="dxa"/>
            <w:vAlign w:val="bottom"/>
            <w:tcBorders>
              <w:right w:val="single" w:sz="8" w:color="auto"/>
            </w:tcBorders>
          </w:tcPr>
          <w:p>
            <w:pPr>
              <w:spacing w:after="0"/>
              <w:rPr>
                <w:sz w:val="24"/>
                <w:szCs w:val="24"/>
                <w:color w:val="auto"/>
              </w:rPr>
            </w:pP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88.50</w:t>
            </w:r>
          </w:p>
        </w:tc>
        <w:tc>
          <w:tcPr>
            <w:tcW w:w="460" w:type="dxa"/>
            <w:vAlign w:val="bottom"/>
          </w:tcPr>
          <w:p>
            <w:pPr>
              <w:spacing w:after="0"/>
              <w:rPr>
                <w:sz w:val="24"/>
                <w:szCs w:val="24"/>
                <w:color w:val="auto"/>
              </w:rPr>
            </w:pPr>
          </w:p>
        </w:tc>
        <w:tc>
          <w:tcPr>
            <w:tcW w:w="1120" w:type="dxa"/>
            <w:vAlign w:val="bottom"/>
            <w:tcBorders>
              <w:right w:val="single" w:sz="8" w:color="auto"/>
            </w:tcBorders>
          </w:tcPr>
          <w:p>
            <w:pPr>
              <w:jc w:val="center"/>
              <w:ind w:right="388"/>
              <w:spacing w:after="0"/>
              <w:rPr>
                <w:sz w:val="20"/>
                <w:szCs w:val="20"/>
                <w:color w:val="auto"/>
              </w:rPr>
            </w:pPr>
            <w:r>
              <w:rPr>
                <w:rFonts w:ascii="Arial" w:cs="Arial" w:eastAsia="Arial" w:hAnsi="Arial"/>
                <w:sz w:val="18"/>
                <w:szCs w:val="18"/>
                <w:color w:val="auto"/>
                <w:w w:val="88"/>
              </w:rPr>
              <w:t>92.50</w:t>
            </w:r>
          </w:p>
        </w:tc>
        <w:tc>
          <w:tcPr>
            <w:tcW w:w="0" w:type="dxa"/>
            <w:vAlign w:val="bottom"/>
          </w:tcPr>
          <w:p>
            <w:pPr>
              <w:spacing w:after="0"/>
              <w:rPr>
                <w:sz w:val="1"/>
                <w:szCs w:val="1"/>
                <w:color w:val="auto"/>
              </w:rPr>
            </w:pPr>
          </w:p>
        </w:tc>
      </w:tr>
      <w:tr>
        <w:trPr>
          <w:trHeight w:val="426"/>
        </w:trPr>
        <w:tc>
          <w:tcPr>
            <w:tcW w:w="1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00" w:type="dxa"/>
            <w:vAlign w:val="bottom"/>
          </w:tcPr>
          <w:p>
            <w:pPr>
              <w:jc w:val="right"/>
              <w:ind w:right="130"/>
              <w:spacing w:after="0"/>
              <w:rPr>
                <w:sz w:val="20"/>
                <w:szCs w:val="20"/>
                <w:color w:val="auto"/>
              </w:rPr>
            </w:pPr>
            <w:r>
              <w:rPr>
                <w:rFonts w:ascii="Arial" w:cs="Arial" w:eastAsia="Arial" w:hAnsi="Arial"/>
                <w:sz w:val="17"/>
                <w:szCs w:val="17"/>
                <w:color w:val="auto"/>
              </w:rPr>
              <w:t>12</w:t>
            </w:r>
          </w:p>
        </w:tc>
        <w:tc>
          <w:tcPr>
            <w:tcW w:w="1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760"/>
          </w:cols>
          <w:pgMar w:left="840" w:top="548" w:right="299" w:bottom="1440" w:gutter="0" w:footer="0" w:header="0"/>
        </w:sectPr>
      </w:pPr>
    </w:p>
    <w:bookmarkStart w:id="95" w:name="page96"/>
    <w:bookmarkEnd w:id="95"/>
    <w:p>
      <w:pPr>
        <w:spacing w:after="0" w:line="1" w:lineRule="exact"/>
        <w:rPr>
          <w:sz w:val="20"/>
          <w:szCs w:val="20"/>
          <w:color w:val="auto"/>
        </w:rPr>
      </w:pPr>
    </w:p>
    <w:tbl>
      <w:tblPr>
        <w:tblLayout w:type="fixed"/>
        <w:tblInd w:w="1730" w:type="dxa"/>
        <w:tblCellMar>
          <w:top w:w="0" w:type="dxa"/>
          <w:left w:w="0" w:type="dxa"/>
          <w:bottom w:w="0" w:type="dxa"/>
          <w:right w:w="0" w:type="dxa"/>
        </w:tblCellMar>
      </w:tblPr>
      <w:tr>
        <w:trPr>
          <w:trHeight w:val="253"/>
        </w:trPr>
        <w:tc>
          <w:tcPr>
            <w:tcW w:w="21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4 +</w:t>
            </w:r>
          </w:p>
        </w:tc>
        <w:tc>
          <w:tcPr>
            <w:tcW w:w="1560" w:type="dxa"/>
            <w:vAlign w:val="bottom"/>
            <w:tcBorders>
              <w:right w:val="single" w:sz="8" w:color="auto"/>
            </w:tcBorders>
          </w:tcPr>
          <w:p>
            <w:pPr>
              <w:jc w:val="right"/>
              <w:ind w:right="488"/>
              <w:spacing w:after="0"/>
              <w:rPr>
                <w:sz w:val="20"/>
                <w:szCs w:val="20"/>
                <w:color w:val="auto"/>
              </w:rPr>
            </w:pPr>
            <w:r>
              <w:rPr>
                <w:rFonts w:ascii="Arial" w:cs="Arial" w:eastAsia="Arial" w:hAnsi="Arial"/>
                <w:sz w:val="18"/>
                <w:szCs w:val="18"/>
                <w:color w:val="auto"/>
              </w:rPr>
              <w:t>86.00</w:t>
            </w:r>
          </w:p>
        </w:tc>
        <w:tc>
          <w:tcPr>
            <w:tcW w:w="1580" w:type="dxa"/>
            <w:vAlign w:val="bottom"/>
            <w:tcBorders>
              <w:right w:val="single" w:sz="8" w:color="auto"/>
            </w:tcBorders>
          </w:tcPr>
          <w:p>
            <w:pPr>
              <w:jc w:val="right"/>
              <w:ind w:right="508"/>
              <w:spacing w:after="0"/>
              <w:rPr>
                <w:sz w:val="20"/>
                <w:szCs w:val="20"/>
                <w:color w:val="auto"/>
              </w:rPr>
            </w:pPr>
            <w:r>
              <w:rPr>
                <w:rFonts w:ascii="Arial" w:cs="Arial" w:eastAsia="Arial" w:hAnsi="Arial"/>
                <w:sz w:val="18"/>
                <w:szCs w:val="18"/>
                <w:color w:val="auto"/>
              </w:rPr>
              <w:t>88.00</w:t>
            </w:r>
          </w:p>
        </w:tc>
        <w:tc>
          <w:tcPr>
            <w:tcW w:w="1580" w:type="dxa"/>
            <w:vAlign w:val="bottom"/>
            <w:tcBorders>
              <w:right w:val="single" w:sz="8" w:color="auto"/>
            </w:tcBorders>
          </w:tcPr>
          <w:p>
            <w:pPr>
              <w:jc w:val="right"/>
              <w:ind w:right="508"/>
              <w:spacing w:after="0"/>
              <w:rPr>
                <w:sz w:val="20"/>
                <w:szCs w:val="20"/>
                <w:color w:val="auto"/>
              </w:rPr>
            </w:pPr>
            <w:r>
              <w:rPr>
                <w:rFonts w:ascii="Arial" w:cs="Arial" w:eastAsia="Arial" w:hAnsi="Arial"/>
                <w:sz w:val="18"/>
                <w:szCs w:val="18"/>
                <w:color w:val="auto"/>
              </w:rPr>
              <w:t>92.00</w:t>
            </w:r>
          </w:p>
        </w:tc>
      </w:tr>
      <w:tr>
        <w:trPr>
          <w:trHeight w:val="251"/>
        </w:trPr>
        <w:tc>
          <w:tcPr>
            <w:tcW w:w="21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3 +</w:t>
            </w:r>
          </w:p>
        </w:tc>
        <w:tc>
          <w:tcPr>
            <w:tcW w:w="1560" w:type="dxa"/>
            <w:vAlign w:val="bottom"/>
            <w:tcBorders>
              <w:right w:val="single" w:sz="8" w:color="auto"/>
            </w:tcBorders>
          </w:tcPr>
          <w:p>
            <w:pPr>
              <w:jc w:val="right"/>
              <w:ind w:right="488"/>
              <w:spacing w:after="0"/>
              <w:rPr>
                <w:sz w:val="20"/>
                <w:szCs w:val="20"/>
                <w:color w:val="auto"/>
              </w:rPr>
            </w:pPr>
            <w:r>
              <w:rPr>
                <w:rFonts w:ascii="Arial" w:cs="Arial" w:eastAsia="Arial" w:hAnsi="Arial"/>
                <w:sz w:val="18"/>
                <w:szCs w:val="18"/>
                <w:color w:val="auto"/>
              </w:rPr>
              <w:t>85.25</w:t>
            </w:r>
          </w:p>
        </w:tc>
        <w:tc>
          <w:tcPr>
            <w:tcW w:w="1580" w:type="dxa"/>
            <w:vAlign w:val="bottom"/>
            <w:tcBorders>
              <w:right w:val="single" w:sz="8" w:color="auto"/>
            </w:tcBorders>
          </w:tcPr>
          <w:p>
            <w:pPr>
              <w:jc w:val="right"/>
              <w:ind w:right="508"/>
              <w:spacing w:after="0"/>
              <w:rPr>
                <w:sz w:val="20"/>
                <w:szCs w:val="20"/>
                <w:color w:val="auto"/>
              </w:rPr>
            </w:pPr>
            <w:r>
              <w:rPr>
                <w:rFonts w:ascii="Arial" w:cs="Arial" w:eastAsia="Arial" w:hAnsi="Arial"/>
                <w:sz w:val="18"/>
                <w:szCs w:val="18"/>
                <w:color w:val="auto"/>
              </w:rPr>
              <w:t>87.50</w:t>
            </w:r>
          </w:p>
        </w:tc>
        <w:tc>
          <w:tcPr>
            <w:tcW w:w="1580" w:type="dxa"/>
            <w:vAlign w:val="bottom"/>
            <w:tcBorders>
              <w:right w:val="single" w:sz="8" w:color="auto"/>
            </w:tcBorders>
          </w:tcPr>
          <w:p>
            <w:pPr>
              <w:jc w:val="right"/>
              <w:ind w:right="508"/>
              <w:spacing w:after="0"/>
              <w:rPr>
                <w:sz w:val="20"/>
                <w:szCs w:val="20"/>
                <w:color w:val="auto"/>
              </w:rPr>
            </w:pPr>
            <w:r>
              <w:rPr>
                <w:rFonts w:ascii="Arial" w:cs="Arial" w:eastAsia="Arial" w:hAnsi="Arial"/>
                <w:sz w:val="18"/>
                <w:szCs w:val="18"/>
                <w:color w:val="auto"/>
              </w:rPr>
              <w:t>91.50</w:t>
            </w:r>
          </w:p>
        </w:tc>
      </w:tr>
      <w:tr>
        <w:trPr>
          <w:trHeight w:val="263"/>
        </w:trPr>
        <w:tc>
          <w:tcPr>
            <w:tcW w:w="21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2 +</w:t>
            </w:r>
          </w:p>
        </w:tc>
        <w:tc>
          <w:tcPr>
            <w:tcW w:w="1560" w:type="dxa"/>
            <w:vAlign w:val="bottom"/>
            <w:tcBorders>
              <w:right w:val="single" w:sz="8" w:color="auto"/>
            </w:tcBorders>
          </w:tcPr>
          <w:p>
            <w:pPr>
              <w:jc w:val="right"/>
              <w:ind w:right="488"/>
              <w:spacing w:after="0"/>
              <w:rPr>
                <w:sz w:val="20"/>
                <w:szCs w:val="20"/>
                <w:color w:val="auto"/>
              </w:rPr>
            </w:pPr>
            <w:r>
              <w:rPr>
                <w:rFonts w:ascii="Arial" w:cs="Arial" w:eastAsia="Arial" w:hAnsi="Arial"/>
                <w:sz w:val="18"/>
                <w:szCs w:val="18"/>
                <w:color w:val="auto"/>
              </w:rPr>
              <w:t>84.50</w:t>
            </w:r>
          </w:p>
        </w:tc>
        <w:tc>
          <w:tcPr>
            <w:tcW w:w="1580" w:type="dxa"/>
            <w:vAlign w:val="bottom"/>
            <w:tcBorders>
              <w:right w:val="single" w:sz="8" w:color="auto"/>
            </w:tcBorders>
          </w:tcPr>
          <w:p>
            <w:pPr>
              <w:jc w:val="right"/>
              <w:ind w:right="508"/>
              <w:spacing w:after="0"/>
              <w:rPr>
                <w:sz w:val="20"/>
                <w:szCs w:val="20"/>
                <w:color w:val="auto"/>
              </w:rPr>
            </w:pPr>
            <w:r>
              <w:rPr>
                <w:rFonts w:ascii="Arial" w:cs="Arial" w:eastAsia="Arial" w:hAnsi="Arial"/>
                <w:sz w:val="18"/>
                <w:szCs w:val="18"/>
                <w:color w:val="auto"/>
              </w:rPr>
              <w:t>87.00</w:t>
            </w:r>
          </w:p>
        </w:tc>
        <w:tc>
          <w:tcPr>
            <w:tcW w:w="1580" w:type="dxa"/>
            <w:vAlign w:val="bottom"/>
            <w:tcBorders>
              <w:right w:val="single" w:sz="8" w:color="auto"/>
            </w:tcBorders>
          </w:tcPr>
          <w:p>
            <w:pPr>
              <w:jc w:val="right"/>
              <w:ind w:right="508"/>
              <w:spacing w:after="0"/>
              <w:rPr>
                <w:sz w:val="20"/>
                <w:szCs w:val="20"/>
                <w:color w:val="auto"/>
              </w:rPr>
            </w:pPr>
            <w:r>
              <w:rPr>
                <w:rFonts w:ascii="Arial" w:cs="Arial" w:eastAsia="Arial" w:hAnsi="Arial"/>
                <w:sz w:val="18"/>
                <w:szCs w:val="18"/>
                <w:color w:val="auto"/>
              </w:rPr>
              <w:t>91.00</w:t>
            </w:r>
          </w:p>
        </w:tc>
      </w:tr>
      <w:tr>
        <w:trPr>
          <w:trHeight w:val="263"/>
        </w:trPr>
        <w:tc>
          <w:tcPr>
            <w:tcW w:w="21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1 +</w:t>
            </w:r>
          </w:p>
        </w:tc>
        <w:tc>
          <w:tcPr>
            <w:tcW w:w="1560" w:type="dxa"/>
            <w:vAlign w:val="bottom"/>
            <w:tcBorders>
              <w:right w:val="single" w:sz="8" w:color="auto"/>
            </w:tcBorders>
          </w:tcPr>
          <w:p>
            <w:pPr>
              <w:jc w:val="right"/>
              <w:ind w:right="488"/>
              <w:spacing w:after="0"/>
              <w:rPr>
                <w:sz w:val="20"/>
                <w:szCs w:val="20"/>
                <w:color w:val="auto"/>
              </w:rPr>
            </w:pPr>
            <w:r>
              <w:rPr>
                <w:rFonts w:ascii="Arial" w:cs="Arial" w:eastAsia="Arial" w:hAnsi="Arial"/>
                <w:sz w:val="18"/>
                <w:szCs w:val="18"/>
                <w:color w:val="auto"/>
              </w:rPr>
              <w:t>83.75</w:t>
            </w:r>
          </w:p>
        </w:tc>
        <w:tc>
          <w:tcPr>
            <w:tcW w:w="1580" w:type="dxa"/>
            <w:vAlign w:val="bottom"/>
            <w:tcBorders>
              <w:right w:val="single" w:sz="8" w:color="auto"/>
            </w:tcBorders>
          </w:tcPr>
          <w:p>
            <w:pPr>
              <w:jc w:val="right"/>
              <w:ind w:right="508"/>
              <w:spacing w:after="0"/>
              <w:rPr>
                <w:sz w:val="20"/>
                <w:szCs w:val="20"/>
                <w:color w:val="auto"/>
              </w:rPr>
            </w:pPr>
            <w:r>
              <w:rPr>
                <w:rFonts w:ascii="Arial" w:cs="Arial" w:eastAsia="Arial" w:hAnsi="Arial"/>
                <w:sz w:val="18"/>
                <w:szCs w:val="18"/>
                <w:color w:val="auto"/>
              </w:rPr>
              <w:t>86.50</w:t>
            </w:r>
          </w:p>
        </w:tc>
        <w:tc>
          <w:tcPr>
            <w:tcW w:w="1580" w:type="dxa"/>
            <w:vAlign w:val="bottom"/>
            <w:tcBorders>
              <w:right w:val="single" w:sz="8" w:color="auto"/>
            </w:tcBorders>
          </w:tcPr>
          <w:p>
            <w:pPr>
              <w:jc w:val="right"/>
              <w:ind w:right="508"/>
              <w:spacing w:after="0"/>
              <w:rPr>
                <w:sz w:val="20"/>
                <w:szCs w:val="20"/>
                <w:color w:val="auto"/>
              </w:rPr>
            </w:pPr>
            <w:r>
              <w:rPr>
                <w:rFonts w:ascii="Arial" w:cs="Arial" w:eastAsia="Arial" w:hAnsi="Arial"/>
                <w:sz w:val="18"/>
                <w:szCs w:val="18"/>
                <w:color w:val="auto"/>
              </w:rPr>
              <w:t>90.50</w:t>
            </w:r>
          </w:p>
        </w:tc>
      </w:tr>
      <w:tr>
        <w:trPr>
          <w:trHeight w:val="263"/>
        </w:trPr>
        <w:tc>
          <w:tcPr>
            <w:tcW w:w="21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0</w:t>
            </w:r>
          </w:p>
        </w:tc>
        <w:tc>
          <w:tcPr>
            <w:tcW w:w="1560" w:type="dxa"/>
            <w:vAlign w:val="bottom"/>
            <w:tcBorders>
              <w:right w:val="single" w:sz="8" w:color="auto"/>
            </w:tcBorders>
          </w:tcPr>
          <w:p>
            <w:pPr>
              <w:jc w:val="right"/>
              <w:ind w:right="488"/>
              <w:spacing w:after="0"/>
              <w:rPr>
                <w:sz w:val="20"/>
                <w:szCs w:val="20"/>
                <w:color w:val="auto"/>
              </w:rPr>
            </w:pPr>
            <w:r>
              <w:rPr>
                <w:rFonts w:ascii="Arial" w:cs="Arial" w:eastAsia="Arial" w:hAnsi="Arial"/>
                <w:sz w:val="18"/>
                <w:szCs w:val="18"/>
                <w:color w:val="auto"/>
              </w:rPr>
              <w:t>83.00</w:t>
            </w:r>
          </w:p>
        </w:tc>
        <w:tc>
          <w:tcPr>
            <w:tcW w:w="1580" w:type="dxa"/>
            <w:vAlign w:val="bottom"/>
            <w:tcBorders>
              <w:right w:val="single" w:sz="8" w:color="auto"/>
            </w:tcBorders>
          </w:tcPr>
          <w:p>
            <w:pPr>
              <w:jc w:val="right"/>
              <w:ind w:right="508"/>
              <w:spacing w:after="0"/>
              <w:rPr>
                <w:sz w:val="20"/>
                <w:szCs w:val="20"/>
                <w:color w:val="auto"/>
              </w:rPr>
            </w:pPr>
            <w:r>
              <w:rPr>
                <w:rFonts w:ascii="Arial" w:cs="Arial" w:eastAsia="Arial" w:hAnsi="Arial"/>
                <w:sz w:val="18"/>
                <w:szCs w:val="18"/>
                <w:color w:val="auto"/>
              </w:rPr>
              <w:t>86.00</w:t>
            </w:r>
          </w:p>
        </w:tc>
        <w:tc>
          <w:tcPr>
            <w:tcW w:w="1580" w:type="dxa"/>
            <w:vAlign w:val="bottom"/>
            <w:tcBorders>
              <w:right w:val="single" w:sz="8" w:color="auto"/>
            </w:tcBorders>
          </w:tcPr>
          <w:p>
            <w:pPr>
              <w:jc w:val="right"/>
              <w:ind w:right="508"/>
              <w:spacing w:after="0"/>
              <w:rPr>
                <w:sz w:val="20"/>
                <w:szCs w:val="20"/>
                <w:color w:val="auto"/>
              </w:rPr>
            </w:pPr>
            <w:r>
              <w:rPr>
                <w:rFonts w:ascii="Arial" w:cs="Arial" w:eastAsia="Arial" w:hAnsi="Arial"/>
                <w:sz w:val="18"/>
                <w:szCs w:val="18"/>
                <w:color w:val="auto"/>
              </w:rPr>
              <w:t>90.00</w:t>
            </w:r>
          </w:p>
        </w:tc>
      </w:tr>
      <w:tr>
        <w:trPr>
          <w:trHeight w:val="263"/>
        </w:trPr>
        <w:tc>
          <w:tcPr>
            <w:tcW w:w="21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1 --</w:t>
            </w:r>
          </w:p>
        </w:tc>
        <w:tc>
          <w:tcPr>
            <w:tcW w:w="1560" w:type="dxa"/>
            <w:vAlign w:val="bottom"/>
            <w:tcBorders>
              <w:right w:val="single" w:sz="8" w:color="auto"/>
            </w:tcBorders>
          </w:tcPr>
          <w:p>
            <w:pPr>
              <w:jc w:val="right"/>
              <w:ind w:right="488"/>
              <w:spacing w:after="0"/>
              <w:rPr>
                <w:sz w:val="20"/>
                <w:szCs w:val="20"/>
                <w:color w:val="auto"/>
              </w:rPr>
            </w:pPr>
            <w:r>
              <w:rPr>
                <w:rFonts w:ascii="Arial" w:cs="Arial" w:eastAsia="Arial" w:hAnsi="Arial"/>
                <w:sz w:val="18"/>
                <w:szCs w:val="18"/>
                <w:color w:val="auto"/>
              </w:rPr>
              <w:t>82.25</w:t>
            </w:r>
          </w:p>
        </w:tc>
        <w:tc>
          <w:tcPr>
            <w:tcW w:w="1580" w:type="dxa"/>
            <w:vAlign w:val="bottom"/>
            <w:tcBorders>
              <w:right w:val="single" w:sz="8" w:color="auto"/>
            </w:tcBorders>
          </w:tcPr>
          <w:p>
            <w:pPr>
              <w:jc w:val="right"/>
              <w:ind w:right="508"/>
              <w:spacing w:after="0"/>
              <w:rPr>
                <w:sz w:val="20"/>
                <w:szCs w:val="20"/>
                <w:color w:val="auto"/>
              </w:rPr>
            </w:pPr>
            <w:r>
              <w:rPr>
                <w:rFonts w:ascii="Arial" w:cs="Arial" w:eastAsia="Arial" w:hAnsi="Arial"/>
                <w:sz w:val="18"/>
                <w:szCs w:val="18"/>
                <w:color w:val="auto"/>
              </w:rPr>
              <w:t>85.50</w:t>
            </w:r>
          </w:p>
        </w:tc>
        <w:tc>
          <w:tcPr>
            <w:tcW w:w="1580" w:type="dxa"/>
            <w:vAlign w:val="bottom"/>
            <w:tcBorders>
              <w:right w:val="single" w:sz="8" w:color="auto"/>
            </w:tcBorders>
          </w:tcPr>
          <w:p>
            <w:pPr>
              <w:jc w:val="right"/>
              <w:ind w:right="508"/>
              <w:spacing w:after="0"/>
              <w:rPr>
                <w:sz w:val="20"/>
                <w:szCs w:val="20"/>
                <w:color w:val="auto"/>
              </w:rPr>
            </w:pPr>
            <w:r>
              <w:rPr>
                <w:rFonts w:ascii="Arial" w:cs="Arial" w:eastAsia="Arial" w:hAnsi="Arial"/>
                <w:sz w:val="18"/>
                <w:szCs w:val="18"/>
                <w:color w:val="auto"/>
              </w:rPr>
              <w:t>89.50</w:t>
            </w:r>
          </w:p>
        </w:tc>
      </w:tr>
      <w:tr>
        <w:trPr>
          <w:trHeight w:val="263"/>
        </w:trPr>
        <w:tc>
          <w:tcPr>
            <w:tcW w:w="21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2 --</w:t>
            </w:r>
          </w:p>
        </w:tc>
        <w:tc>
          <w:tcPr>
            <w:tcW w:w="1560" w:type="dxa"/>
            <w:vAlign w:val="bottom"/>
            <w:tcBorders>
              <w:right w:val="single" w:sz="8" w:color="auto"/>
            </w:tcBorders>
          </w:tcPr>
          <w:p>
            <w:pPr>
              <w:jc w:val="right"/>
              <w:ind w:right="488"/>
              <w:spacing w:after="0"/>
              <w:rPr>
                <w:sz w:val="20"/>
                <w:szCs w:val="20"/>
                <w:color w:val="auto"/>
              </w:rPr>
            </w:pPr>
            <w:r>
              <w:rPr>
                <w:rFonts w:ascii="Arial" w:cs="Arial" w:eastAsia="Arial" w:hAnsi="Arial"/>
                <w:sz w:val="18"/>
                <w:szCs w:val="18"/>
                <w:color w:val="auto"/>
              </w:rPr>
              <w:t>81.50</w:t>
            </w:r>
          </w:p>
        </w:tc>
        <w:tc>
          <w:tcPr>
            <w:tcW w:w="1580" w:type="dxa"/>
            <w:vAlign w:val="bottom"/>
            <w:tcBorders>
              <w:right w:val="single" w:sz="8" w:color="auto"/>
            </w:tcBorders>
          </w:tcPr>
          <w:p>
            <w:pPr>
              <w:jc w:val="right"/>
              <w:ind w:right="508"/>
              <w:spacing w:after="0"/>
              <w:rPr>
                <w:sz w:val="20"/>
                <w:szCs w:val="20"/>
                <w:color w:val="auto"/>
              </w:rPr>
            </w:pPr>
            <w:r>
              <w:rPr>
                <w:rFonts w:ascii="Arial" w:cs="Arial" w:eastAsia="Arial" w:hAnsi="Arial"/>
                <w:sz w:val="18"/>
                <w:szCs w:val="18"/>
                <w:color w:val="auto"/>
              </w:rPr>
              <w:t>85.00</w:t>
            </w:r>
          </w:p>
        </w:tc>
        <w:tc>
          <w:tcPr>
            <w:tcW w:w="1580" w:type="dxa"/>
            <w:vAlign w:val="bottom"/>
            <w:tcBorders>
              <w:right w:val="single" w:sz="8" w:color="auto"/>
            </w:tcBorders>
          </w:tcPr>
          <w:p>
            <w:pPr>
              <w:jc w:val="right"/>
              <w:ind w:right="508"/>
              <w:spacing w:after="0"/>
              <w:rPr>
                <w:sz w:val="20"/>
                <w:szCs w:val="20"/>
                <w:color w:val="auto"/>
              </w:rPr>
            </w:pPr>
            <w:r>
              <w:rPr>
                <w:rFonts w:ascii="Arial" w:cs="Arial" w:eastAsia="Arial" w:hAnsi="Arial"/>
                <w:sz w:val="18"/>
                <w:szCs w:val="18"/>
                <w:color w:val="auto"/>
              </w:rPr>
              <w:t>89.00</w:t>
            </w:r>
          </w:p>
        </w:tc>
      </w:tr>
      <w:tr>
        <w:trPr>
          <w:trHeight w:val="263"/>
        </w:trPr>
        <w:tc>
          <w:tcPr>
            <w:tcW w:w="21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3 --</w:t>
            </w:r>
          </w:p>
        </w:tc>
        <w:tc>
          <w:tcPr>
            <w:tcW w:w="1560" w:type="dxa"/>
            <w:vAlign w:val="bottom"/>
            <w:tcBorders>
              <w:right w:val="single" w:sz="8" w:color="auto"/>
            </w:tcBorders>
          </w:tcPr>
          <w:p>
            <w:pPr>
              <w:jc w:val="right"/>
              <w:ind w:right="488"/>
              <w:spacing w:after="0"/>
              <w:rPr>
                <w:sz w:val="20"/>
                <w:szCs w:val="20"/>
                <w:color w:val="auto"/>
              </w:rPr>
            </w:pPr>
            <w:r>
              <w:rPr>
                <w:rFonts w:ascii="Arial" w:cs="Arial" w:eastAsia="Arial" w:hAnsi="Arial"/>
                <w:sz w:val="18"/>
                <w:szCs w:val="18"/>
                <w:color w:val="auto"/>
              </w:rPr>
              <w:t>80.75</w:t>
            </w:r>
          </w:p>
        </w:tc>
        <w:tc>
          <w:tcPr>
            <w:tcW w:w="1580" w:type="dxa"/>
            <w:vAlign w:val="bottom"/>
            <w:tcBorders>
              <w:right w:val="single" w:sz="8" w:color="auto"/>
            </w:tcBorders>
          </w:tcPr>
          <w:p>
            <w:pPr>
              <w:jc w:val="right"/>
              <w:ind w:right="508"/>
              <w:spacing w:after="0"/>
              <w:rPr>
                <w:sz w:val="20"/>
                <w:szCs w:val="20"/>
                <w:color w:val="auto"/>
              </w:rPr>
            </w:pPr>
            <w:r>
              <w:rPr>
                <w:rFonts w:ascii="Arial" w:cs="Arial" w:eastAsia="Arial" w:hAnsi="Arial"/>
                <w:sz w:val="18"/>
                <w:szCs w:val="18"/>
                <w:color w:val="auto"/>
              </w:rPr>
              <w:t>84.50</w:t>
            </w:r>
          </w:p>
        </w:tc>
        <w:tc>
          <w:tcPr>
            <w:tcW w:w="1580" w:type="dxa"/>
            <w:vAlign w:val="bottom"/>
            <w:tcBorders>
              <w:right w:val="single" w:sz="8" w:color="auto"/>
            </w:tcBorders>
          </w:tcPr>
          <w:p>
            <w:pPr>
              <w:jc w:val="right"/>
              <w:ind w:right="508"/>
              <w:spacing w:after="0"/>
              <w:rPr>
                <w:sz w:val="20"/>
                <w:szCs w:val="20"/>
                <w:color w:val="auto"/>
              </w:rPr>
            </w:pPr>
            <w:r>
              <w:rPr>
                <w:rFonts w:ascii="Arial" w:cs="Arial" w:eastAsia="Arial" w:hAnsi="Arial"/>
                <w:sz w:val="18"/>
                <w:szCs w:val="18"/>
                <w:color w:val="auto"/>
              </w:rPr>
              <w:t>88.50</w:t>
            </w:r>
          </w:p>
        </w:tc>
      </w:tr>
      <w:tr>
        <w:trPr>
          <w:trHeight w:val="263"/>
        </w:trPr>
        <w:tc>
          <w:tcPr>
            <w:tcW w:w="21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4 --</w:t>
            </w:r>
          </w:p>
        </w:tc>
        <w:tc>
          <w:tcPr>
            <w:tcW w:w="1560" w:type="dxa"/>
            <w:vAlign w:val="bottom"/>
            <w:tcBorders>
              <w:right w:val="single" w:sz="8" w:color="auto"/>
            </w:tcBorders>
          </w:tcPr>
          <w:p>
            <w:pPr>
              <w:jc w:val="right"/>
              <w:ind w:right="488"/>
              <w:spacing w:after="0"/>
              <w:rPr>
                <w:sz w:val="20"/>
                <w:szCs w:val="20"/>
                <w:color w:val="auto"/>
              </w:rPr>
            </w:pPr>
            <w:r>
              <w:rPr>
                <w:rFonts w:ascii="Arial" w:cs="Arial" w:eastAsia="Arial" w:hAnsi="Arial"/>
                <w:sz w:val="18"/>
                <w:szCs w:val="18"/>
                <w:color w:val="auto"/>
              </w:rPr>
              <w:t>80.00</w:t>
            </w:r>
          </w:p>
        </w:tc>
        <w:tc>
          <w:tcPr>
            <w:tcW w:w="1580" w:type="dxa"/>
            <w:vAlign w:val="bottom"/>
            <w:tcBorders>
              <w:right w:val="single" w:sz="8" w:color="auto"/>
            </w:tcBorders>
          </w:tcPr>
          <w:p>
            <w:pPr>
              <w:jc w:val="right"/>
              <w:ind w:right="508"/>
              <w:spacing w:after="0"/>
              <w:rPr>
                <w:sz w:val="20"/>
                <w:szCs w:val="20"/>
                <w:color w:val="auto"/>
              </w:rPr>
            </w:pPr>
            <w:r>
              <w:rPr>
                <w:rFonts w:ascii="Arial" w:cs="Arial" w:eastAsia="Arial" w:hAnsi="Arial"/>
                <w:sz w:val="18"/>
                <w:szCs w:val="18"/>
                <w:color w:val="auto"/>
              </w:rPr>
              <w:t>84.00</w:t>
            </w:r>
          </w:p>
        </w:tc>
        <w:tc>
          <w:tcPr>
            <w:tcW w:w="1580" w:type="dxa"/>
            <w:vAlign w:val="bottom"/>
            <w:tcBorders>
              <w:right w:val="single" w:sz="8" w:color="auto"/>
            </w:tcBorders>
          </w:tcPr>
          <w:p>
            <w:pPr>
              <w:jc w:val="right"/>
              <w:ind w:right="508"/>
              <w:spacing w:after="0"/>
              <w:rPr>
                <w:sz w:val="20"/>
                <w:szCs w:val="20"/>
                <w:color w:val="auto"/>
              </w:rPr>
            </w:pPr>
            <w:r>
              <w:rPr>
                <w:rFonts w:ascii="Arial" w:cs="Arial" w:eastAsia="Arial" w:hAnsi="Arial"/>
                <w:sz w:val="18"/>
                <w:szCs w:val="18"/>
                <w:color w:val="auto"/>
              </w:rPr>
              <w:t>88.00</w:t>
            </w:r>
          </w:p>
        </w:tc>
      </w:tr>
      <w:tr>
        <w:trPr>
          <w:trHeight w:val="263"/>
        </w:trPr>
        <w:tc>
          <w:tcPr>
            <w:tcW w:w="21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5 --</w:t>
            </w:r>
          </w:p>
        </w:tc>
        <w:tc>
          <w:tcPr>
            <w:tcW w:w="1560" w:type="dxa"/>
            <w:vAlign w:val="bottom"/>
            <w:tcBorders>
              <w:right w:val="single" w:sz="8" w:color="auto"/>
            </w:tcBorders>
          </w:tcPr>
          <w:p>
            <w:pPr>
              <w:jc w:val="right"/>
              <w:ind w:right="488"/>
              <w:spacing w:after="0"/>
              <w:rPr>
                <w:sz w:val="20"/>
                <w:szCs w:val="20"/>
                <w:color w:val="auto"/>
              </w:rPr>
            </w:pPr>
            <w:r>
              <w:rPr>
                <w:rFonts w:ascii="Arial" w:cs="Arial" w:eastAsia="Arial" w:hAnsi="Arial"/>
                <w:sz w:val="18"/>
                <w:szCs w:val="18"/>
                <w:color w:val="auto"/>
              </w:rPr>
              <w:t>79.25</w:t>
            </w:r>
          </w:p>
        </w:tc>
        <w:tc>
          <w:tcPr>
            <w:tcW w:w="1580" w:type="dxa"/>
            <w:vAlign w:val="bottom"/>
            <w:tcBorders>
              <w:right w:val="single" w:sz="8" w:color="auto"/>
            </w:tcBorders>
          </w:tcPr>
          <w:p>
            <w:pPr>
              <w:jc w:val="right"/>
              <w:ind w:right="508"/>
              <w:spacing w:after="0"/>
              <w:rPr>
                <w:sz w:val="20"/>
                <w:szCs w:val="20"/>
                <w:color w:val="auto"/>
              </w:rPr>
            </w:pPr>
            <w:r>
              <w:rPr>
                <w:rFonts w:ascii="Arial" w:cs="Arial" w:eastAsia="Arial" w:hAnsi="Arial"/>
                <w:sz w:val="18"/>
                <w:szCs w:val="18"/>
                <w:color w:val="auto"/>
              </w:rPr>
              <w:t>83.50</w:t>
            </w:r>
          </w:p>
        </w:tc>
        <w:tc>
          <w:tcPr>
            <w:tcW w:w="1580" w:type="dxa"/>
            <w:vAlign w:val="bottom"/>
            <w:tcBorders>
              <w:right w:val="single" w:sz="8" w:color="auto"/>
            </w:tcBorders>
          </w:tcPr>
          <w:p>
            <w:pPr>
              <w:jc w:val="right"/>
              <w:ind w:right="508"/>
              <w:spacing w:after="0"/>
              <w:rPr>
                <w:sz w:val="20"/>
                <w:szCs w:val="20"/>
                <w:color w:val="auto"/>
              </w:rPr>
            </w:pPr>
            <w:r>
              <w:rPr>
                <w:rFonts w:ascii="Arial" w:cs="Arial" w:eastAsia="Arial" w:hAnsi="Arial"/>
                <w:sz w:val="18"/>
                <w:szCs w:val="18"/>
                <w:color w:val="auto"/>
              </w:rPr>
              <w:t>87.50</w:t>
            </w:r>
          </w:p>
        </w:tc>
      </w:tr>
      <w:tr>
        <w:trPr>
          <w:trHeight w:val="263"/>
        </w:trPr>
        <w:tc>
          <w:tcPr>
            <w:tcW w:w="21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6 --</w:t>
            </w:r>
          </w:p>
        </w:tc>
        <w:tc>
          <w:tcPr>
            <w:tcW w:w="1560" w:type="dxa"/>
            <w:vAlign w:val="bottom"/>
            <w:tcBorders>
              <w:right w:val="single" w:sz="8" w:color="auto"/>
            </w:tcBorders>
          </w:tcPr>
          <w:p>
            <w:pPr>
              <w:jc w:val="right"/>
              <w:ind w:right="488"/>
              <w:spacing w:after="0"/>
              <w:rPr>
                <w:sz w:val="20"/>
                <w:szCs w:val="20"/>
                <w:color w:val="auto"/>
              </w:rPr>
            </w:pPr>
            <w:r>
              <w:rPr>
                <w:rFonts w:ascii="Arial" w:cs="Arial" w:eastAsia="Arial" w:hAnsi="Arial"/>
                <w:sz w:val="18"/>
                <w:szCs w:val="18"/>
                <w:color w:val="auto"/>
              </w:rPr>
              <w:t>78.50</w:t>
            </w:r>
          </w:p>
        </w:tc>
        <w:tc>
          <w:tcPr>
            <w:tcW w:w="1580" w:type="dxa"/>
            <w:vAlign w:val="bottom"/>
            <w:tcBorders>
              <w:right w:val="single" w:sz="8" w:color="auto"/>
            </w:tcBorders>
          </w:tcPr>
          <w:p>
            <w:pPr>
              <w:jc w:val="right"/>
              <w:ind w:right="508"/>
              <w:spacing w:after="0"/>
              <w:rPr>
                <w:sz w:val="20"/>
                <w:szCs w:val="20"/>
                <w:color w:val="auto"/>
              </w:rPr>
            </w:pPr>
            <w:r>
              <w:rPr>
                <w:rFonts w:ascii="Arial" w:cs="Arial" w:eastAsia="Arial" w:hAnsi="Arial"/>
                <w:sz w:val="18"/>
                <w:szCs w:val="18"/>
                <w:color w:val="auto"/>
              </w:rPr>
              <w:t>83.00</w:t>
            </w:r>
          </w:p>
        </w:tc>
        <w:tc>
          <w:tcPr>
            <w:tcW w:w="1580" w:type="dxa"/>
            <w:vAlign w:val="bottom"/>
            <w:tcBorders>
              <w:right w:val="single" w:sz="8" w:color="auto"/>
            </w:tcBorders>
          </w:tcPr>
          <w:p>
            <w:pPr>
              <w:jc w:val="right"/>
              <w:ind w:right="508"/>
              <w:spacing w:after="0"/>
              <w:rPr>
                <w:sz w:val="20"/>
                <w:szCs w:val="20"/>
                <w:color w:val="auto"/>
              </w:rPr>
            </w:pPr>
            <w:r>
              <w:rPr>
                <w:rFonts w:ascii="Arial" w:cs="Arial" w:eastAsia="Arial" w:hAnsi="Arial"/>
                <w:sz w:val="18"/>
                <w:szCs w:val="18"/>
                <w:color w:val="auto"/>
              </w:rPr>
              <w:t>87.00</w:t>
            </w:r>
          </w:p>
        </w:tc>
      </w:tr>
      <w:tr>
        <w:trPr>
          <w:trHeight w:val="263"/>
        </w:trPr>
        <w:tc>
          <w:tcPr>
            <w:tcW w:w="21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7 --</w:t>
            </w:r>
          </w:p>
        </w:tc>
        <w:tc>
          <w:tcPr>
            <w:tcW w:w="1560" w:type="dxa"/>
            <w:vAlign w:val="bottom"/>
            <w:tcBorders>
              <w:right w:val="single" w:sz="8" w:color="auto"/>
            </w:tcBorders>
          </w:tcPr>
          <w:p>
            <w:pPr>
              <w:jc w:val="right"/>
              <w:ind w:right="488"/>
              <w:spacing w:after="0"/>
              <w:rPr>
                <w:sz w:val="20"/>
                <w:szCs w:val="20"/>
                <w:color w:val="auto"/>
              </w:rPr>
            </w:pPr>
            <w:r>
              <w:rPr>
                <w:rFonts w:ascii="Arial" w:cs="Arial" w:eastAsia="Arial" w:hAnsi="Arial"/>
                <w:sz w:val="18"/>
                <w:szCs w:val="18"/>
                <w:color w:val="auto"/>
              </w:rPr>
              <w:t>77.75</w:t>
            </w:r>
          </w:p>
        </w:tc>
        <w:tc>
          <w:tcPr>
            <w:tcW w:w="1580" w:type="dxa"/>
            <w:vAlign w:val="bottom"/>
            <w:tcBorders>
              <w:right w:val="single" w:sz="8" w:color="auto"/>
            </w:tcBorders>
          </w:tcPr>
          <w:p>
            <w:pPr>
              <w:jc w:val="right"/>
              <w:ind w:right="508"/>
              <w:spacing w:after="0"/>
              <w:rPr>
                <w:sz w:val="20"/>
                <w:szCs w:val="20"/>
                <w:color w:val="auto"/>
              </w:rPr>
            </w:pPr>
            <w:r>
              <w:rPr>
                <w:rFonts w:ascii="Arial" w:cs="Arial" w:eastAsia="Arial" w:hAnsi="Arial"/>
                <w:sz w:val="18"/>
                <w:szCs w:val="18"/>
                <w:color w:val="auto"/>
              </w:rPr>
              <w:t>82.50</w:t>
            </w:r>
          </w:p>
        </w:tc>
        <w:tc>
          <w:tcPr>
            <w:tcW w:w="1580" w:type="dxa"/>
            <w:vAlign w:val="bottom"/>
            <w:tcBorders>
              <w:right w:val="single" w:sz="8" w:color="auto"/>
            </w:tcBorders>
          </w:tcPr>
          <w:p>
            <w:pPr>
              <w:jc w:val="right"/>
              <w:ind w:right="508"/>
              <w:spacing w:after="0"/>
              <w:rPr>
                <w:sz w:val="20"/>
                <w:szCs w:val="20"/>
                <w:color w:val="auto"/>
              </w:rPr>
            </w:pPr>
            <w:r>
              <w:rPr>
                <w:rFonts w:ascii="Arial" w:cs="Arial" w:eastAsia="Arial" w:hAnsi="Arial"/>
                <w:sz w:val="18"/>
                <w:szCs w:val="18"/>
                <w:color w:val="auto"/>
              </w:rPr>
              <w:t>86.50</w:t>
            </w:r>
          </w:p>
        </w:tc>
      </w:tr>
      <w:tr>
        <w:trPr>
          <w:trHeight w:val="263"/>
        </w:trPr>
        <w:tc>
          <w:tcPr>
            <w:tcW w:w="21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8 --</w:t>
            </w:r>
          </w:p>
        </w:tc>
        <w:tc>
          <w:tcPr>
            <w:tcW w:w="1560" w:type="dxa"/>
            <w:vAlign w:val="bottom"/>
            <w:tcBorders>
              <w:right w:val="single" w:sz="8" w:color="auto"/>
            </w:tcBorders>
          </w:tcPr>
          <w:p>
            <w:pPr>
              <w:jc w:val="right"/>
              <w:ind w:right="488"/>
              <w:spacing w:after="0"/>
              <w:rPr>
                <w:sz w:val="20"/>
                <w:szCs w:val="20"/>
                <w:color w:val="auto"/>
              </w:rPr>
            </w:pPr>
            <w:r>
              <w:rPr>
                <w:rFonts w:ascii="Arial" w:cs="Arial" w:eastAsia="Arial" w:hAnsi="Arial"/>
                <w:sz w:val="18"/>
                <w:szCs w:val="18"/>
                <w:color w:val="auto"/>
              </w:rPr>
              <w:t>77.00</w:t>
            </w:r>
          </w:p>
        </w:tc>
        <w:tc>
          <w:tcPr>
            <w:tcW w:w="1580" w:type="dxa"/>
            <w:vAlign w:val="bottom"/>
            <w:tcBorders>
              <w:right w:val="single" w:sz="8" w:color="auto"/>
            </w:tcBorders>
          </w:tcPr>
          <w:p>
            <w:pPr>
              <w:jc w:val="right"/>
              <w:ind w:right="508"/>
              <w:spacing w:after="0"/>
              <w:rPr>
                <w:sz w:val="20"/>
                <w:szCs w:val="20"/>
                <w:color w:val="auto"/>
              </w:rPr>
            </w:pPr>
            <w:r>
              <w:rPr>
                <w:rFonts w:ascii="Arial" w:cs="Arial" w:eastAsia="Arial" w:hAnsi="Arial"/>
                <w:sz w:val="18"/>
                <w:szCs w:val="18"/>
                <w:color w:val="auto"/>
              </w:rPr>
              <w:t>82.00</w:t>
            </w:r>
          </w:p>
        </w:tc>
        <w:tc>
          <w:tcPr>
            <w:tcW w:w="1580" w:type="dxa"/>
            <w:vAlign w:val="bottom"/>
            <w:tcBorders>
              <w:right w:val="single" w:sz="8" w:color="auto"/>
            </w:tcBorders>
          </w:tcPr>
          <w:p>
            <w:pPr>
              <w:jc w:val="right"/>
              <w:ind w:right="508"/>
              <w:spacing w:after="0"/>
              <w:rPr>
                <w:sz w:val="20"/>
                <w:szCs w:val="20"/>
                <w:color w:val="auto"/>
              </w:rPr>
            </w:pPr>
            <w:r>
              <w:rPr>
                <w:rFonts w:ascii="Arial" w:cs="Arial" w:eastAsia="Arial" w:hAnsi="Arial"/>
                <w:sz w:val="18"/>
                <w:szCs w:val="18"/>
                <w:color w:val="auto"/>
              </w:rPr>
              <w:t>86.00</w:t>
            </w:r>
          </w:p>
        </w:tc>
      </w:tr>
      <w:tr>
        <w:trPr>
          <w:trHeight w:val="263"/>
        </w:trPr>
        <w:tc>
          <w:tcPr>
            <w:tcW w:w="21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9 --</w:t>
            </w:r>
          </w:p>
        </w:tc>
        <w:tc>
          <w:tcPr>
            <w:tcW w:w="1560" w:type="dxa"/>
            <w:vAlign w:val="bottom"/>
            <w:tcBorders>
              <w:right w:val="single" w:sz="8" w:color="auto"/>
            </w:tcBorders>
          </w:tcPr>
          <w:p>
            <w:pPr>
              <w:jc w:val="right"/>
              <w:ind w:right="488"/>
              <w:spacing w:after="0"/>
              <w:rPr>
                <w:sz w:val="20"/>
                <w:szCs w:val="20"/>
                <w:color w:val="auto"/>
              </w:rPr>
            </w:pPr>
            <w:r>
              <w:rPr>
                <w:rFonts w:ascii="Arial" w:cs="Arial" w:eastAsia="Arial" w:hAnsi="Arial"/>
                <w:sz w:val="18"/>
                <w:szCs w:val="18"/>
                <w:color w:val="auto"/>
              </w:rPr>
              <w:t>76.25</w:t>
            </w:r>
          </w:p>
        </w:tc>
        <w:tc>
          <w:tcPr>
            <w:tcW w:w="1580" w:type="dxa"/>
            <w:vAlign w:val="bottom"/>
            <w:tcBorders>
              <w:right w:val="single" w:sz="8" w:color="auto"/>
            </w:tcBorders>
          </w:tcPr>
          <w:p>
            <w:pPr>
              <w:jc w:val="right"/>
              <w:ind w:right="508"/>
              <w:spacing w:after="0"/>
              <w:rPr>
                <w:sz w:val="20"/>
                <w:szCs w:val="20"/>
                <w:color w:val="auto"/>
              </w:rPr>
            </w:pPr>
            <w:r>
              <w:rPr>
                <w:rFonts w:ascii="Arial" w:cs="Arial" w:eastAsia="Arial" w:hAnsi="Arial"/>
                <w:sz w:val="18"/>
                <w:szCs w:val="18"/>
                <w:color w:val="auto"/>
              </w:rPr>
              <w:t>81.50</w:t>
            </w:r>
          </w:p>
        </w:tc>
        <w:tc>
          <w:tcPr>
            <w:tcW w:w="1580" w:type="dxa"/>
            <w:vAlign w:val="bottom"/>
            <w:tcBorders>
              <w:right w:val="single" w:sz="8" w:color="auto"/>
            </w:tcBorders>
          </w:tcPr>
          <w:p>
            <w:pPr>
              <w:jc w:val="right"/>
              <w:ind w:right="508"/>
              <w:spacing w:after="0"/>
              <w:rPr>
                <w:sz w:val="20"/>
                <w:szCs w:val="20"/>
                <w:color w:val="auto"/>
              </w:rPr>
            </w:pPr>
            <w:r>
              <w:rPr>
                <w:rFonts w:ascii="Arial" w:cs="Arial" w:eastAsia="Arial" w:hAnsi="Arial"/>
                <w:sz w:val="18"/>
                <w:szCs w:val="18"/>
                <w:color w:val="auto"/>
              </w:rPr>
              <w:t>85.50</w:t>
            </w:r>
          </w:p>
        </w:tc>
      </w:tr>
      <w:tr>
        <w:trPr>
          <w:trHeight w:val="263"/>
        </w:trPr>
        <w:tc>
          <w:tcPr>
            <w:tcW w:w="21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10 --</w:t>
            </w:r>
          </w:p>
        </w:tc>
        <w:tc>
          <w:tcPr>
            <w:tcW w:w="1560" w:type="dxa"/>
            <w:vAlign w:val="bottom"/>
            <w:tcBorders>
              <w:right w:val="single" w:sz="8" w:color="auto"/>
            </w:tcBorders>
          </w:tcPr>
          <w:p>
            <w:pPr>
              <w:jc w:val="right"/>
              <w:ind w:right="488"/>
              <w:spacing w:after="0"/>
              <w:rPr>
                <w:sz w:val="20"/>
                <w:szCs w:val="20"/>
                <w:color w:val="auto"/>
              </w:rPr>
            </w:pPr>
            <w:r>
              <w:rPr>
                <w:rFonts w:ascii="Arial" w:cs="Arial" w:eastAsia="Arial" w:hAnsi="Arial"/>
                <w:sz w:val="18"/>
                <w:szCs w:val="18"/>
                <w:color w:val="auto"/>
              </w:rPr>
              <w:t>75.50</w:t>
            </w:r>
          </w:p>
        </w:tc>
        <w:tc>
          <w:tcPr>
            <w:tcW w:w="1580" w:type="dxa"/>
            <w:vAlign w:val="bottom"/>
            <w:tcBorders>
              <w:right w:val="single" w:sz="8" w:color="auto"/>
            </w:tcBorders>
          </w:tcPr>
          <w:p>
            <w:pPr>
              <w:jc w:val="right"/>
              <w:ind w:right="508"/>
              <w:spacing w:after="0"/>
              <w:rPr>
                <w:sz w:val="20"/>
                <w:szCs w:val="20"/>
                <w:color w:val="auto"/>
              </w:rPr>
            </w:pPr>
            <w:r>
              <w:rPr>
                <w:rFonts w:ascii="Arial" w:cs="Arial" w:eastAsia="Arial" w:hAnsi="Arial"/>
                <w:sz w:val="18"/>
                <w:szCs w:val="18"/>
                <w:color w:val="auto"/>
              </w:rPr>
              <w:t>81.00</w:t>
            </w:r>
          </w:p>
        </w:tc>
        <w:tc>
          <w:tcPr>
            <w:tcW w:w="1580" w:type="dxa"/>
            <w:vAlign w:val="bottom"/>
            <w:tcBorders>
              <w:right w:val="single" w:sz="8" w:color="auto"/>
            </w:tcBorders>
          </w:tcPr>
          <w:p>
            <w:pPr>
              <w:jc w:val="right"/>
              <w:ind w:right="508"/>
              <w:spacing w:after="0"/>
              <w:rPr>
                <w:sz w:val="20"/>
                <w:szCs w:val="20"/>
                <w:color w:val="auto"/>
              </w:rPr>
            </w:pPr>
            <w:r>
              <w:rPr>
                <w:rFonts w:ascii="Arial" w:cs="Arial" w:eastAsia="Arial" w:hAnsi="Arial"/>
                <w:sz w:val="18"/>
                <w:szCs w:val="18"/>
                <w:color w:val="auto"/>
              </w:rPr>
              <w:t>85.00</w:t>
            </w:r>
          </w:p>
        </w:tc>
      </w:tr>
      <w:tr>
        <w:trPr>
          <w:trHeight w:val="263"/>
        </w:trPr>
        <w:tc>
          <w:tcPr>
            <w:tcW w:w="21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11 --</w:t>
            </w:r>
          </w:p>
        </w:tc>
        <w:tc>
          <w:tcPr>
            <w:tcW w:w="1560" w:type="dxa"/>
            <w:vAlign w:val="bottom"/>
            <w:tcBorders>
              <w:right w:val="single" w:sz="8" w:color="auto"/>
            </w:tcBorders>
          </w:tcPr>
          <w:p>
            <w:pPr>
              <w:jc w:val="right"/>
              <w:ind w:right="488"/>
              <w:spacing w:after="0"/>
              <w:rPr>
                <w:sz w:val="20"/>
                <w:szCs w:val="20"/>
                <w:color w:val="auto"/>
              </w:rPr>
            </w:pPr>
            <w:r>
              <w:rPr>
                <w:rFonts w:ascii="Arial" w:cs="Arial" w:eastAsia="Arial" w:hAnsi="Arial"/>
                <w:sz w:val="18"/>
                <w:szCs w:val="18"/>
                <w:color w:val="auto"/>
              </w:rPr>
              <w:t>75.00</w:t>
            </w:r>
          </w:p>
        </w:tc>
        <w:tc>
          <w:tcPr>
            <w:tcW w:w="1580" w:type="dxa"/>
            <w:vAlign w:val="bottom"/>
            <w:tcBorders>
              <w:right w:val="single" w:sz="8" w:color="auto"/>
            </w:tcBorders>
          </w:tcPr>
          <w:p>
            <w:pPr>
              <w:jc w:val="right"/>
              <w:ind w:right="508"/>
              <w:spacing w:after="0"/>
              <w:rPr>
                <w:sz w:val="20"/>
                <w:szCs w:val="20"/>
                <w:color w:val="auto"/>
              </w:rPr>
            </w:pPr>
            <w:r>
              <w:rPr>
                <w:rFonts w:ascii="Arial" w:cs="Arial" w:eastAsia="Arial" w:hAnsi="Arial"/>
                <w:sz w:val="18"/>
                <w:szCs w:val="18"/>
                <w:color w:val="auto"/>
              </w:rPr>
              <w:t>80.50</w:t>
            </w:r>
          </w:p>
        </w:tc>
        <w:tc>
          <w:tcPr>
            <w:tcW w:w="1580" w:type="dxa"/>
            <w:vAlign w:val="bottom"/>
            <w:tcBorders>
              <w:right w:val="single" w:sz="8" w:color="auto"/>
            </w:tcBorders>
          </w:tcPr>
          <w:p>
            <w:pPr>
              <w:jc w:val="right"/>
              <w:ind w:right="508"/>
              <w:spacing w:after="0"/>
              <w:rPr>
                <w:sz w:val="20"/>
                <w:szCs w:val="20"/>
                <w:color w:val="auto"/>
              </w:rPr>
            </w:pPr>
            <w:r>
              <w:rPr>
                <w:rFonts w:ascii="Arial" w:cs="Arial" w:eastAsia="Arial" w:hAnsi="Arial"/>
                <w:sz w:val="18"/>
                <w:szCs w:val="18"/>
                <w:color w:val="auto"/>
              </w:rPr>
              <w:t>84.50</w:t>
            </w:r>
          </w:p>
        </w:tc>
      </w:tr>
      <w:tr>
        <w:trPr>
          <w:trHeight w:val="263"/>
        </w:trPr>
        <w:tc>
          <w:tcPr>
            <w:tcW w:w="21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12 --</w:t>
            </w:r>
          </w:p>
        </w:tc>
        <w:tc>
          <w:tcPr>
            <w:tcW w:w="1560" w:type="dxa"/>
            <w:vAlign w:val="bottom"/>
            <w:tcBorders>
              <w:right w:val="single" w:sz="8" w:color="auto"/>
            </w:tcBorders>
          </w:tcPr>
          <w:p>
            <w:pPr>
              <w:jc w:val="right"/>
              <w:ind w:right="488"/>
              <w:spacing w:after="0"/>
              <w:rPr>
                <w:sz w:val="20"/>
                <w:szCs w:val="20"/>
                <w:color w:val="auto"/>
              </w:rPr>
            </w:pPr>
            <w:r>
              <w:rPr>
                <w:rFonts w:ascii="Arial" w:cs="Arial" w:eastAsia="Arial" w:hAnsi="Arial"/>
                <w:sz w:val="18"/>
                <w:szCs w:val="18"/>
                <w:color w:val="auto"/>
              </w:rPr>
              <w:t>74.50</w:t>
            </w:r>
          </w:p>
        </w:tc>
        <w:tc>
          <w:tcPr>
            <w:tcW w:w="1580" w:type="dxa"/>
            <w:vAlign w:val="bottom"/>
            <w:tcBorders>
              <w:right w:val="single" w:sz="8" w:color="auto"/>
            </w:tcBorders>
          </w:tcPr>
          <w:p>
            <w:pPr>
              <w:jc w:val="right"/>
              <w:ind w:right="508"/>
              <w:spacing w:after="0"/>
              <w:rPr>
                <w:sz w:val="20"/>
                <w:szCs w:val="20"/>
                <w:color w:val="auto"/>
              </w:rPr>
            </w:pPr>
            <w:r>
              <w:rPr>
                <w:rFonts w:ascii="Arial" w:cs="Arial" w:eastAsia="Arial" w:hAnsi="Arial"/>
                <w:sz w:val="18"/>
                <w:szCs w:val="18"/>
                <w:color w:val="auto"/>
              </w:rPr>
              <w:t>80.00</w:t>
            </w:r>
          </w:p>
        </w:tc>
        <w:tc>
          <w:tcPr>
            <w:tcW w:w="1580" w:type="dxa"/>
            <w:vAlign w:val="bottom"/>
            <w:tcBorders>
              <w:right w:val="single" w:sz="8" w:color="auto"/>
            </w:tcBorders>
          </w:tcPr>
          <w:p>
            <w:pPr>
              <w:jc w:val="right"/>
              <w:ind w:right="508"/>
              <w:spacing w:after="0"/>
              <w:rPr>
                <w:sz w:val="20"/>
                <w:szCs w:val="20"/>
                <w:color w:val="auto"/>
              </w:rPr>
            </w:pPr>
            <w:r>
              <w:rPr>
                <w:rFonts w:ascii="Arial" w:cs="Arial" w:eastAsia="Arial" w:hAnsi="Arial"/>
                <w:sz w:val="18"/>
                <w:szCs w:val="18"/>
                <w:color w:val="auto"/>
              </w:rPr>
              <w:t>84.00</w:t>
            </w:r>
          </w:p>
        </w:tc>
      </w:tr>
      <w:tr>
        <w:trPr>
          <w:trHeight w:val="263"/>
        </w:trPr>
        <w:tc>
          <w:tcPr>
            <w:tcW w:w="21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13 --</w:t>
            </w:r>
          </w:p>
        </w:tc>
        <w:tc>
          <w:tcPr>
            <w:tcW w:w="1560" w:type="dxa"/>
            <w:vAlign w:val="bottom"/>
            <w:tcBorders>
              <w:right w:val="single" w:sz="8" w:color="auto"/>
            </w:tcBorders>
          </w:tcPr>
          <w:p>
            <w:pPr>
              <w:jc w:val="right"/>
              <w:ind w:right="488"/>
              <w:spacing w:after="0"/>
              <w:rPr>
                <w:sz w:val="20"/>
                <w:szCs w:val="20"/>
                <w:color w:val="auto"/>
              </w:rPr>
            </w:pPr>
            <w:r>
              <w:rPr>
                <w:rFonts w:ascii="Arial" w:cs="Arial" w:eastAsia="Arial" w:hAnsi="Arial"/>
                <w:sz w:val="18"/>
                <w:szCs w:val="18"/>
                <w:color w:val="auto"/>
              </w:rPr>
              <w:t>74.00</w:t>
            </w:r>
          </w:p>
        </w:tc>
        <w:tc>
          <w:tcPr>
            <w:tcW w:w="1580" w:type="dxa"/>
            <w:vAlign w:val="bottom"/>
            <w:tcBorders>
              <w:right w:val="single" w:sz="8" w:color="auto"/>
            </w:tcBorders>
          </w:tcPr>
          <w:p>
            <w:pPr>
              <w:jc w:val="right"/>
              <w:ind w:right="508"/>
              <w:spacing w:after="0"/>
              <w:rPr>
                <w:sz w:val="20"/>
                <w:szCs w:val="20"/>
                <w:color w:val="auto"/>
              </w:rPr>
            </w:pPr>
            <w:r>
              <w:rPr>
                <w:rFonts w:ascii="Arial" w:cs="Arial" w:eastAsia="Arial" w:hAnsi="Arial"/>
                <w:sz w:val="18"/>
                <w:szCs w:val="18"/>
                <w:color w:val="auto"/>
              </w:rPr>
              <w:t>79.50</w:t>
            </w:r>
          </w:p>
        </w:tc>
        <w:tc>
          <w:tcPr>
            <w:tcW w:w="1580" w:type="dxa"/>
            <w:vAlign w:val="bottom"/>
            <w:tcBorders>
              <w:right w:val="single" w:sz="8" w:color="auto"/>
            </w:tcBorders>
          </w:tcPr>
          <w:p>
            <w:pPr>
              <w:jc w:val="right"/>
              <w:ind w:right="508"/>
              <w:spacing w:after="0"/>
              <w:rPr>
                <w:sz w:val="20"/>
                <w:szCs w:val="20"/>
                <w:color w:val="auto"/>
              </w:rPr>
            </w:pPr>
            <w:r>
              <w:rPr>
                <w:rFonts w:ascii="Arial" w:cs="Arial" w:eastAsia="Arial" w:hAnsi="Arial"/>
                <w:sz w:val="18"/>
                <w:szCs w:val="18"/>
                <w:color w:val="auto"/>
              </w:rPr>
              <w:t>83.50</w:t>
            </w:r>
          </w:p>
        </w:tc>
      </w:tr>
      <w:tr>
        <w:trPr>
          <w:trHeight w:val="263"/>
        </w:trPr>
        <w:tc>
          <w:tcPr>
            <w:tcW w:w="21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14 --</w:t>
            </w:r>
          </w:p>
        </w:tc>
        <w:tc>
          <w:tcPr>
            <w:tcW w:w="1560" w:type="dxa"/>
            <w:vAlign w:val="bottom"/>
            <w:tcBorders>
              <w:right w:val="single" w:sz="8" w:color="auto"/>
            </w:tcBorders>
          </w:tcPr>
          <w:p>
            <w:pPr>
              <w:jc w:val="right"/>
              <w:ind w:right="488"/>
              <w:spacing w:after="0"/>
              <w:rPr>
                <w:sz w:val="20"/>
                <w:szCs w:val="20"/>
                <w:color w:val="auto"/>
              </w:rPr>
            </w:pPr>
            <w:r>
              <w:rPr>
                <w:rFonts w:ascii="Arial" w:cs="Arial" w:eastAsia="Arial" w:hAnsi="Arial"/>
                <w:sz w:val="18"/>
                <w:szCs w:val="18"/>
                <w:color w:val="auto"/>
              </w:rPr>
              <w:t>73.50</w:t>
            </w:r>
          </w:p>
        </w:tc>
        <w:tc>
          <w:tcPr>
            <w:tcW w:w="1580" w:type="dxa"/>
            <w:vAlign w:val="bottom"/>
            <w:tcBorders>
              <w:right w:val="single" w:sz="8" w:color="auto"/>
            </w:tcBorders>
          </w:tcPr>
          <w:p>
            <w:pPr>
              <w:jc w:val="right"/>
              <w:ind w:right="508"/>
              <w:spacing w:after="0"/>
              <w:rPr>
                <w:sz w:val="20"/>
                <w:szCs w:val="20"/>
                <w:color w:val="auto"/>
              </w:rPr>
            </w:pPr>
            <w:r>
              <w:rPr>
                <w:rFonts w:ascii="Arial" w:cs="Arial" w:eastAsia="Arial" w:hAnsi="Arial"/>
                <w:sz w:val="18"/>
                <w:szCs w:val="18"/>
                <w:color w:val="auto"/>
              </w:rPr>
              <w:t>79.00</w:t>
            </w:r>
          </w:p>
        </w:tc>
        <w:tc>
          <w:tcPr>
            <w:tcW w:w="1580" w:type="dxa"/>
            <w:vAlign w:val="bottom"/>
            <w:tcBorders>
              <w:right w:val="single" w:sz="8" w:color="auto"/>
            </w:tcBorders>
          </w:tcPr>
          <w:p>
            <w:pPr>
              <w:jc w:val="right"/>
              <w:ind w:right="508"/>
              <w:spacing w:after="0"/>
              <w:rPr>
                <w:sz w:val="20"/>
                <w:szCs w:val="20"/>
                <w:color w:val="auto"/>
              </w:rPr>
            </w:pPr>
            <w:r>
              <w:rPr>
                <w:rFonts w:ascii="Arial" w:cs="Arial" w:eastAsia="Arial" w:hAnsi="Arial"/>
                <w:sz w:val="18"/>
                <w:szCs w:val="18"/>
                <w:color w:val="auto"/>
              </w:rPr>
              <w:t>83.00</w:t>
            </w:r>
          </w:p>
        </w:tc>
      </w:tr>
      <w:tr>
        <w:trPr>
          <w:trHeight w:val="263"/>
        </w:trPr>
        <w:tc>
          <w:tcPr>
            <w:tcW w:w="21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15 --</w:t>
            </w:r>
          </w:p>
        </w:tc>
        <w:tc>
          <w:tcPr>
            <w:tcW w:w="1560" w:type="dxa"/>
            <w:vAlign w:val="bottom"/>
            <w:tcBorders>
              <w:right w:val="single" w:sz="8" w:color="auto"/>
            </w:tcBorders>
          </w:tcPr>
          <w:p>
            <w:pPr>
              <w:jc w:val="right"/>
              <w:ind w:right="488"/>
              <w:spacing w:after="0"/>
              <w:rPr>
                <w:sz w:val="20"/>
                <w:szCs w:val="20"/>
                <w:color w:val="auto"/>
              </w:rPr>
            </w:pPr>
            <w:r>
              <w:rPr>
                <w:rFonts w:ascii="Arial" w:cs="Arial" w:eastAsia="Arial" w:hAnsi="Arial"/>
                <w:sz w:val="18"/>
                <w:szCs w:val="18"/>
                <w:color w:val="auto"/>
              </w:rPr>
              <w:t>73.00</w:t>
            </w:r>
          </w:p>
        </w:tc>
        <w:tc>
          <w:tcPr>
            <w:tcW w:w="1580" w:type="dxa"/>
            <w:vAlign w:val="bottom"/>
            <w:tcBorders>
              <w:right w:val="single" w:sz="8" w:color="auto"/>
            </w:tcBorders>
          </w:tcPr>
          <w:p>
            <w:pPr>
              <w:jc w:val="right"/>
              <w:ind w:right="508"/>
              <w:spacing w:after="0"/>
              <w:rPr>
                <w:sz w:val="20"/>
                <w:szCs w:val="20"/>
                <w:color w:val="auto"/>
              </w:rPr>
            </w:pPr>
            <w:r>
              <w:rPr>
                <w:rFonts w:ascii="Arial" w:cs="Arial" w:eastAsia="Arial" w:hAnsi="Arial"/>
                <w:sz w:val="18"/>
                <w:szCs w:val="18"/>
                <w:color w:val="auto"/>
              </w:rPr>
              <w:t>78.50</w:t>
            </w:r>
          </w:p>
        </w:tc>
        <w:tc>
          <w:tcPr>
            <w:tcW w:w="1580" w:type="dxa"/>
            <w:vAlign w:val="bottom"/>
            <w:tcBorders>
              <w:right w:val="single" w:sz="8" w:color="auto"/>
            </w:tcBorders>
          </w:tcPr>
          <w:p>
            <w:pPr>
              <w:jc w:val="right"/>
              <w:ind w:right="508"/>
              <w:spacing w:after="0"/>
              <w:rPr>
                <w:sz w:val="20"/>
                <w:szCs w:val="20"/>
                <w:color w:val="auto"/>
              </w:rPr>
            </w:pPr>
            <w:r>
              <w:rPr>
                <w:rFonts w:ascii="Arial" w:cs="Arial" w:eastAsia="Arial" w:hAnsi="Arial"/>
                <w:sz w:val="18"/>
                <w:szCs w:val="18"/>
                <w:color w:val="auto"/>
              </w:rPr>
              <w:t>82.50</w:t>
            </w:r>
          </w:p>
        </w:tc>
      </w:tr>
      <w:tr>
        <w:trPr>
          <w:trHeight w:val="263"/>
        </w:trPr>
        <w:tc>
          <w:tcPr>
            <w:tcW w:w="21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16 --</w:t>
            </w:r>
          </w:p>
        </w:tc>
        <w:tc>
          <w:tcPr>
            <w:tcW w:w="1560" w:type="dxa"/>
            <w:vAlign w:val="bottom"/>
            <w:tcBorders>
              <w:right w:val="single" w:sz="8" w:color="auto"/>
            </w:tcBorders>
          </w:tcPr>
          <w:p>
            <w:pPr>
              <w:jc w:val="right"/>
              <w:ind w:right="488"/>
              <w:spacing w:after="0"/>
              <w:rPr>
                <w:sz w:val="20"/>
                <w:szCs w:val="20"/>
                <w:color w:val="auto"/>
              </w:rPr>
            </w:pPr>
            <w:r>
              <w:rPr>
                <w:rFonts w:ascii="Arial" w:cs="Arial" w:eastAsia="Arial" w:hAnsi="Arial"/>
                <w:sz w:val="18"/>
                <w:szCs w:val="18"/>
                <w:color w:val="auto"/>
              </w:rPr>
              <w:t>72.50</w:t>
            </w:r>
          </w:p>
        </w:tc>
        <w:tc>
          <w:tcPr>
            <w:tcW w:w="1580" w:type="dxa"/>
            <w:vAlign w:val="bottom"/>
            <w:tcBorders>
              <w:right w:val="single" w:sz="8" w:color="auto"/>
            </w:tcBorders>
          </w:tcPr>
          <w:p>
            <w:pPr>
              <w:jc w:val="right"/>
              <w:ind w:right="508"/>
              <w:spacing w:after="0"/>
              <w:rPr>
                <w:sz w:val="20"/>
                <w:szCs w:val="20"/>
                <w:color w:val="auto"/>
              </w:rPr>
            </w:pPr>
            <w:r>
              <w:rPr>
                <w:rFonts w:ascii="Arial" w:cs="Arial" w:eastAsia="Arial" w:hAnsi="Arial"/>
                <w:sz w:val="18"/>
                <w:szCs w:val="18"/>
                <w:color w:val="auto"/>
              </w:rPr>
              <w:t>78.00</w:t>
            </w:r>
          </w:p>
        </w:tc>
        <w:tc>
          <w:tcPr>
            <w:tcW w:w="1580" w:type="dxa"/>
            <w:vAlign w:val="bottom"/>
            <w:tcBorders>
              <w:right w:val="single" w:sz="8" w:color="auto"/>
            </w:tcBorders>
          </w:tcPr>
          <w:p>
            <w:pPr>
              <w:jc w:val="right"/>
              <w:ind w:right="508"/>
              <w:spacing w:after="0"/>
              <w:rPr>
                <w:sz w:val="20"/>
                <w:szCs w:val="20"/>
                <w:color w:val="auto"/>
              </w:rPr>
            </w:pPr>
            <w:r>
              <w:rPr>
                <w:rFonts w:ascii="Arial" w:cs="Arial" w:eastAsia="Arial" w:hAnsi="Arial"/>
                <w:sz w:val="18"/>
                <w:szCs w:val="18"/>
                <w:color w:val="auto"/>
              </w:rPr>
              <w:t>82.00</w:t>
            </w:r>
          </w:p>
        </w:tc>
      </w:tr>
      <w:tr>
        <w:trPr>
          <w:trHeight w:val="263"/>
        </w:trPr>
        <w:tc>
          <w:tcPr>
            <w:tcW w:w="21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17 --</w:t>
            </w:r>
          </w:p>
        </w:tc>
        <w:tc>
          <w:tcPr>
            <w:tcW w:w="1560" w:type="dxa"/>
            <w:vAlign w:val="bottom"/>
            <w:tcBorders>
              <w:right w:val="single" w:sz="8" w:color="auto"/>
            </w:tcBorders>
          </w:tcPr>
          <w:p>
            <w:pPr>
              <w:jc w:val="right"/>
              <w:ind w:right="488"/>
              <w:spacing w:after="0"/>
              <w:rPr>
                <w:sz w:val="20"/>
                <w:szCs w:val="20"/>
                <w:color w:val="auto"/>
              </w:rPr>
            </w:pPr>
            <w:r>
              <w:rPr>
                <w:rFonts w:ascii="Arial" w:cs="Arial" w:eastAsia="Arial" w:hAnsi="Arial"/>
                <w:sz w:val="18"/>
                <w:szCs w:val="18"/>
                <w:color w:val="auto"/>
              </w:rPr>
              <w:t>72.00</w:t>
            </w:r>
          </w:p>
        </w:tc>
        <w:tc>
          <w:tcPr>
            <w:tcW w:w="1580" w:type="dxa"/>
            <w:vAlign w:val="bottom"/>
            <w:tcBorders>
              <w:right w:val="single" w:sz="8" w:color="auto"/>
            </w:tcBorders>
          </w:tcPr>
          <w:p>
            <w:pPr>
              <w:jc w:val="right"/>
              <w:ind w:right="508"/>
              <w:spacing w:after="0"/>
              <w:rPr>
                <w:sz w:val="20"/>
                <w:szCs w:val="20"/>
                <w:color w:val="auto"/>
              </w:rPr>
            </w:pPr>
            <w:r>
              <w:rPr>
                <w:rFonts w:ascii="Arial" w:cs="Arial" w:eastAsia="Arial" w:hAnsi="Arial"/>
                <w:sz w:val="18"/>
                <w:szCs w:val="18"/>
                <w:color w:val="auto"/>
              </w:rPr>
              <w:t>77.50</w:t>
            </w:r>
          </w:p>
        </w:tc>
        <w:tc>
          <w:tcPr>
            <w:tcW w:w="1580" w:type="dxa"/>
            <w:vAlign w:val="bottom"/>
            <w:tcBorders>
              <w:right w:val="single" w:sz="8" w:color="auto"/>
            </w:tcBorders>
          </w:tcPr>
          <w:p>
            <w:pPr>
              <w:jc w:val="right"/>
              <w:ind w:right="508"/>
              <w:spacing w:after="0"/>
              <w:rPr>
                <w:sz w:val="20"/>
                <w:szCs w:val="20"/>
                <w:color w:val="auto"/>
              </w:rPr>
            </w:pPr>
            <w:r>
              <w:rPr>
                <w:rFonts w:ascii="Arial" w:cs="Arial" w:eastAsia="Arial" w:hAnsi="Arial"/>
                <w:sz w:val="18"/>
                <w:szCs w:val="18"/>
                <w:color w:val="auto"/>
              </w:rPr>
              <w:t>81.50</w:t>
            </w:r>
          </w:p>
        </w:tc>
      </w:tr>
      <w:tr>
        <w:trPr>
          <w:trHeight w:val="263"/>
        </w:trPr>
        <w:tc>
          <w:tcPr>
            <w:tcW w:w="21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18 --</w:t>
            </w:r>
          </w:p>
        </w:tc>
        <w:tc>
          <w:tcPr>
            <w:tcW w:w="1560" w:type="dxa"/>
            <w:vAlign w:val="bottom"/>
            <w:tcBorders>
              <w:right w:val="single" w:sz="8" w:color="auto"/>
            </w:tcBorders>
          </w:tcPr>
          <w:p>
            <w:pPr>
              <w:jc w:val="right"/>
              <w:ind w:right="488"/>
              <w:spacing w:after="0"/>
              <w:rPr>
                <w:sz w:val="20"/>
                <w:szCs w:val="20"/>
                <w:color w:val="auto"/>
              </w:rPr>
            </w:pPr>
            <w:r>
              <w:rPr>
                <w:rFonts w:ascii="Arial" w:cs="Arial" w:eastAsia="Arial" w:hAnsi="Arial"/>
                <w:sz w:val="18"/>
                <w:szCs w:val="18"/>
                <w:color w:val="auto"/>
              </w:rPr>
              <w:t>71.50</w:t>
            </w:r>
          </w:p>
        </w:tc>
        <w:tc>
          <w:tcPr>
            <w:tcW w:w="1580" w:type="dxa"/>
            <w:vAlign w:val="bottom"/>
            <w:tcBorders>
              <w:right w:val="single" w:sz="8" w:color="auto"/>
            </w:tcBorders>
          </w:tcPr>
          <w:p>
            <w:pPr>
              <w:jc w:val="right"/>
              <w:ind w:right="508"/>
              <w:spacing w:after="0"/>
              <w:rPr>
                <w:sz w:val="20"/>
                <w:szCs w:val="20"/>
                <w:color w:val="auto"/>
              </w:rPr>
            </w:pPr>
            <w:r>
              <w:rPr>
                <w:rFonts w:ascii="Arial" w:cs="Arial" w:eastAsia="Arial" w:hAnsi="Arial"/>
                <w:sz w:val="18"/>
                <w:szCs w:val="18"/>
                <w:color w:val="auto"/>
              </w:rPr>
              <w:t>77.00</w:t>
            </w:r>
          </w:p>
        </w:tc>
        <w:tc>
          <w:tcPr>
            <w:tcW w:w="1580" w:type="dxa"/>
            <w:vAlign w:val="bottom"/>
            <w:tcBorders>
              <w:right w:val="single" w:sz="8" w:color="auto"/>
            </w:tcBorders>
          </w:tcPr>
          <w:p>
            <w:pPr>
              <w:jc w:val="right"/>
              <w:ind w:right="508"/>
              <w:spacing w:after="0"/>
              <w:rPr>
                <w:sz w:val="20"/>
                <w:szCs w:val="20"/>
                <w:color w:val="auto"/>
              </w:rPr>
            </w:pPr>
            <w:r>
              <w:rPr>
                <w:rFonts w:ascii="Arial" w:cs="Arial" w:eastAsia="Arial" w:hAnsi="Arial"/>
                <w:sz w:val="18"/>
                <w:szCs w:val="18"/>
                <w:color w:val="auto"/>
              </w:rPr>
              <w:t>81.00</w:t>
            </w:r>
          </w:p>
        </w:tc>
      </w:tr>
      <w:tr>
        <w:trPr>
          <w:trHeight w:val="263"/>
        </w:trPr>
        <w:tc>
          <w:tcPr>
            <w:tcW w:w="21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19 --</w:t>
            </w:r>
          </w:p>
        </w:tc>
        <w:tc>
          <w:tcPr>
            <w:tcW w:w="1560" w:type="dxa"/>
            <w:vAlign w:val="bottom"/>
            <w:tcBorders>
              <w:right w:val="single" w:sz="8" w:color="auto"/>
            </w:tcBorders>
          </w:tcPr>
          <w:p>
            <w:pPr>
              <w:jc w:val="right"/>
              <w:ind w:right="488"/>
              <w:spacing w:after="0"/>
              <w:rPr>
                <w:sz w:val="20"/>
                <w:szCs w:val="20"/>
                <w:color w:val="auto"/>
              </w:rPr>
            </w:pPr>
            <w:r>
              <w:rPr>
                <w:rFonts w:ascii="Arial" w:cs="Arial" w:eastAsia="Arial" w:hAnsi="Arial"/>
                <w:sz w:val="18"/>
                <w:szCs w:val="18"/>
                <w:color w:val="auto"/>
              </w:rPr>
              <w:t>71.00</w:t>
            </w:r>
          </w:p>
        </w:tc>
        <w:tc>
          <w:tcPr>
            <w:tcW w:w="1580" w:type="dxa"/>
            <w:vAlign w:val="bottom"/>
            <w:tcBorders>
              <w:right w:val="single" w:sz="8" w:color="auto"/>
            </w:tcBorders>
          </w:tcPr>
          <w:p>
            <w:pPr>
              <w:jc w:val="right"/>
              <w:ind w:right="508"/>
              <w:spacing w:after="0"/>
              <w:rPr>
                <w:sz w:val="20"/>
                <w:szCs w:val="20"/>
                <w:color w:val="auto"/>
              </w:rPr>
            </w:pPr>
            <w:r>
              <w:rPr>
                <w:rFonts w:ascii="Arial" w:cs="Arial" w:eastAsia="Arial" w:hAnsi="Arial"/>
                <w:sz w:val="18"/>
                <w:szCs w:val="18"/>
                <w:color w:val="auto"/>
              </w:rPr>
              <w:t>76.50</w:t>
            </w:r>
          </w:p>
        </w:tc>
        <w:tc>
          <w:tcPr>
            <w:tcW w:w="1580" w:type="dxa"/>
            <w:vAlign w:val="bottom"/>
            <w:tcBorders>
              <w:right w:val="single" w:sz="8" w:color="auto"/>
            </w:tcBorders>
          </w:tcPr>
          <w:p>
            <w:pPr>
              <w:jc w:val="right"/>
              <w:ind w:right="508"/>
              <w:spacing w:after="0"/>
              <w:rPr>
                <w:sz w:val="20"/>
                <w:szCs w:val="20"/>
                <w:color w:val="auto"/>
              </w:rPr>
            </w:pPr>
            <w:r>
              <w:rPr>
                <w:rFonts w:ascii="Arial" w:cs="Arial" w:eastAsia="Arial" w:hAnsi="Arial"/>
                <w:sz w:val="18"/>
                <w:szCs w:val="18"/>
                <w:color w:val="auto"/>
              </w:rPr>
              <w:t>80.50</w:t>
            </w:r>
          </w:p>
        </w:tc>
      </w:tr>
      <w:tr>
        <w:trPr>
          <w:trHeight w:val="263"/>
        </w:trPr>
        <w:tc>
          <w:tcPr>
            <w:tcW w:w="21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20 --</w:t>
            </w:r>
          </w:p>
        </w:tc>
        <w:tc>
          <w:tcPr>
            <w:tcW w:w="1560" w:type="dxa"/>
            <w:vAlign w:val="bottom"/>
            <w:tcBorders>
              <w:right w:val="single" w:sz="8" w:color="auto"/>
            </w:tcBorders>
          </w:tcPr>
          <w:p>
            <w:pPr>
              <w:jc w:val="right"/>
              <w:ind w:right="488"/>
              <w:spacing w:after="0"/>
              <w:rPr>
                <w:sz w:val="20"/>
                <w:szCs w:val="20"/>
                <w:color w:val="auto"/>
              </w:rPr>
            </w:pPr>
            <w:r>
              <w:rPr>
                <w:rFonts w:ascii="Arial" w:cs="Arial" w:eastAsia="Arial" w:hAnsi="Arial"/>
                <w:sz w:val="18"/>
                <w:szCs w:val="18"/>
                <w:color w:val="auto"/>
              </w:rPr>
              <w:t>70.50</w:t>
            </w:r>
          </w:p>
        </w:tc>
        <w:tc>
          <w:tcPr>
            <w:tcW w:w="1580" w:type="dxa"/>
            <w:vAlign w:val="bottom"/>
            <w:tcBorders>
              <w:right w:val="single" w:sz="8" w:color="auto"/>
            </w:tcBorders>
          </w:tcPr>
          <w:p>
            <w:pPr>
              <w:jc w:val="right"/>
              <w:ind w:right="508"/>
              <w:spacing w:after="0"/>
              <w:rPr>
                <w:sz w:val="20"/>
                <w:szCs w:val="20"/>
                <w:color w:val="auto"/>
              </w:rPr>
            </w:pPr>
            <w:r>
              <w:rPr>
                <w:rFonts w:ascii="Arial" w:cs="Arial" w:eastAsia="Arial" w:hAnsi="Arial"/>
                <w:sz w:val="18"/>
                <w:szCs w:val="18"/>
                <w:color w:val="auto"/>
              </w:rPr>
              <w:t>76.00</w:t>
            </w:r>
          </w:p>
        </w:tc>
        <w:tc>
          <w:tcPr>
            <w:tcW w:w="1580" w:type="dxa"/>
            <w:vAlign w:val="bottom"/>
            <w:tcBorders>
              <w:right w:val="single" w:sz="8" w:color="auto"/>
            </w:tcBorders>
          </w:tcPr>
          <w:p>
            <w:pPr>
              <w:jc w:val="right"/>
              <w:ind w:right="508"/>
              <w:spacing w:after="0"/>
              <w:rPr>
                <w:sz w:val="20"/>
                <w:szCs w:val="20"/>
                <w:color w:val="auto"/>
              </w:rPr>
            </w:pPr>
            <w:r>
              <w:rPr>
                <w:rFonts w:ascii="Arial" w:cs="Arial" w:eastAsia="Arial" w:hAnsi="Arial"/>
                <w:sz w:val="18"/>
                <w:szCs w:val="18"/>
                <w:color w:val="auto"/>
              </w:rPr>
              <w:t>80.00</w:t>
            </w:r>
          </w:p>
        </w:tc>
      </w:tr>
      <w:tr>
        <w:trPr>
          <w:trHeight w:val="21"/>
        </w:trPr>
        <w:tc>
          <w:tcPr>
            <w:tcW w:w="2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560" w:type="dxa"/>
            <w:vAlign w:val="bottom"/>
            <w:tcBorders>
              <w:bottom w:val="single" w:sz="8" w:color="auto"/>
              <w:right w:val="single" w:sz="8" w:color="auto"/>
            </w:tcBorders>
          </w:tcPr>
          <w:p>
            <w:pPr>
              <w:spacing w:after="0" w:line="20" w:lineRule="exact"/>
              <w:rPr>
                <w:sz w:val="1"/>
                <w:szCs w:val="1"/>
                <w:color w:val="auto"/>
              </w:rPr>
            </w:pPr>
          </w:p>
        </w:tc>
        <w:tc>
          <w:tcPr>
            <w:tcW w:w="1580" w:type="dxa"/>
            <w:vAlign w:val="bottom"/>
            <w:tcBorders>
              <w:bottom w:val="single" w:sz="8" w:color="auto"/>
              <w:right w:val="single" w:sz="8" w:color="auto"/>
            </w:tcBorders>
          </w:tcPr>
          <w:p>
            <w:pPr>
              <w:spacing w:after="0" w:line="20" w:lineRule="exact"/>
              <w:rPr>
                <w:sz w:val="1"/>
                <w:szCs w:val="1"/>
                <w:color w:val="auto"/>
              </w:rPr>
            </w:pPr>
          </w:p>
        </w:tc>
        <w:tc>
          <w:tcPr>
            <w:tcW w:w="1580" w:type="dxa"/>
            <w:vAlign w:val="bottom"/>
            <w:tcBorders>
              <w:bottom w:val="single" w:sz="8" w:color="auto"/>
              <w:right w:val="single" w:sz="8" w:color="auto"/>
            </w:tcBorders>
          </w:tcPr>
          <w:p>
            <w:pPr>
              <w:spacing w:after="0" w:line="20" w:lineRule="exact"/>
              <w:rPr>
                <w:sz w:val="1"/>
                <w:szCs w:val="1"/>
                <w:color w:val="auto"/>
              </w:rPr>
            </w:pPr>
          </w:p>
        </w:tc>
      </w:tr>
    </w:tbl>
    <w:p>
      <w:pPr>
        <w:spacing w:after="0" w:line="8" w:lineRule="exact"/>
        <w:rPr>
          <w:sz w:val="20"/>
          <w:szCs w:val="20"/>
          <w:color w:val="auto"/>
        </w:rPr>
      </w:pPr>
    </w:p>
    <w:p>
      <w:pPr>
        <w:ind w:left="1740" w:right="2480" w:firstLine="1"/>
        <w:spacing w:after="0" w:line="275" w:lineRule="auto"/>
        <w:tabs>
          <w:tab w:leader="none" w:pos="1878"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Actuarial reduction factors not shown will be calculated on the same basis as the factors shown.</w:t>
      </w:r>
    </w:p>
    <w:p>
      <w:pPr>
        <w:spacing w:after="0" w:line="1" w:lineRule="exact"/>
        <w:rPr>
          <w:rFonts w:ascii="Arial" w:cs="Arial" w:eastAsia="Arial" w:hAnsi="Arial"/>
          <w:sz w:val="18"/>
          <w:szCs w:val="18"/>
          <w:color w:val="auto"/>
        </w:rPr>
      </w:pPr>
    </w:p>
    <w:p>
      <w:pPr>
        <w:ind w:left="1740"/>
        <w:spacing w:after="0"/>
        <w:rPr>
          <w:rFonts w:ascii="Arial" w:cs="Arial" w:eastAsia="Arial" w:hAnsi="Arial"/>
          <w:sz w:val="18"/>
          <w:szCs w:val="18"/>
          <w:color w:val="auto"/>
        </w:rPr>
      </w:pPr>
      <w:r>
        <w:rPr>
          <w:rFonts w:ascii="Arial" w:cs="Arial" w:eastAsia="Arial" w:hAnsi="Arial"/>
          <w:sz w:val="18"/>
          <w:szCs w:val="18"/>
          <w:color w:val="auto"/>
        </w:rPr>
        <w:t>** Other percentage levels, in 5% increments, may be elected.</w:t>
      </w:r>
    </w:p>
    <w:p>
      <w:pPr>
        <w:spacing w:after="0" w:line="23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Riders</w:t>
      </w:r>
      <w:r>
        <w:rPr>
          <w:rFonts w:ascii="Arial" w:cs="Arial" w:eastAsia="Arial" w:hAnsi="Arial"/>
          <w:sz w:val="18"/>
          <w:szCs w:val="18"/>
          <w:color w:val="auto"/>
        </w:rPr>
        <w:t>” means, if the “</w:t>
      </w:r>
      <w:r>
        <w:rPr>
          <w:rFonts w:ascii="Arial" w:cs="Arial" w:eastAsia="Arial" w:hAnsi="Arial"/>
          <w:sz w:val="18"/>
          <w:szCs w:val="18"/>
          <w:u w:val="single" w:color="auto"/>
          <w:color w:val="auto"/>
        </w:rPr>
        <w:t>Pop-Up Rider,</w:t>
      </w:r>
      <w:r>
        <w:rPr>
          <w:rFonts w:ascii="Arial" w:cs="Arial" w:eastAsia="Arial" w:hAnsi="Arial"/>
          <w:sz w:val="18"/>
          <w:szCs w:val="18"/>
          <w:color w:val="auto"/>
        </w:rPr>
        <w:t>” the “</w:t>
      </w:r>
      <w:r>
        <w:rPr>
          <w:rFonts w:ascii="Arial" w:cs="Arial" w:eastAsia="Arial" w:hAnsi="Arial"/>
          <w:sz w:val="18"/>
          <w:szCs w:val="18"/>
          <w:u w:val="single" w:color="auto"/>
          <w:color w:val="auto"/>
        </w:rPr>
        <w:t>Special Benefit Rider,</w:t>
      </w:r>
      <w:r>
        <w:rPr>
          <w:rFonts w:ascii="Arial" w:cs="Arial" w:eastAsia="Arial" w:hAnsi="Arial"/>
          <w:sz w:val="18"/>
          <w:szCs w:val="18"/>
          <w:color w:val="auto"/>
        </w:rPr>
        <w:t>” the “</w:t>
      </w:r>
      <w:r>
        <w:rPr>
          <w:rFonts w:ascii="Arial" w:cs="Arial" w:eastAsia="Arial" w:hAnsi="Arial"/>
          <w:sz w:val="18"/>
          <w:szCs w:val="18"/>
          <w:u w:val="single" w:color="auto"/>
          <w:color w:val="auto"/>
        </w:rPr>
        <w:t>Level Benefit Rider</w:t>
      </w:r>
      <w:r>
        <w:rPr>
          <w:rFonts w:ascii="Arial" w:cs="Arial" w:eastAsia="Arial" w:hAnsi="Arial"/>
          <w:sz w:val="18"/>
          <w:szCs w:val="18"/>
          <w:color w:val="auto"/>
        </w:rPr>
        <w:t>,” or the “</w:t>
      </w:r>
      <w:r>
        <w:rPr>
          <w:rFonts w:ascii="Arial" w:cs="Arial" w:eastAsia="Arial" w:hAnsi="Arial"/>
          <w:sz w:val="18"/>
          <w:szCs w:val="18"/>
          <w:u w:val="single" w:color="auto"/>
          <w:color w:val="auto"/>
        </w:rPr>
        <w:t>Refund Death Benefit Rider</w:t>
      </w:r>
      <w:r>
        <w:rPr>
          <w:rFonts w:ascii="Arial" w:cs="Arial" w:eastAsia="Arial" w:hAnsi="Arial"/>
          <w:sz w:val="18"/>
          <w:szCs w:val="18"/>
          <w:color w:val="auto"/>
        </w:rPr>
        <w:t>” is specified in the Annuity Exhibits as applicable to a Covered Life or Contingent Life:</w:t>
      </w:r>
    </w:p>
    <w:p>
      <w:pPr>
        <w:spacing w:after="0" w:line="148" w:lineRule="exact"/>
        <w:rPr>
          <w:sz w:val="20"/>
          <w:szCs w:val="20"/>
          <w:color w:val="auto"/>
        </w:rPr>
      </w:pPr>
    </w:p>
    <w:p>
      <w:pPr>
        <w:ind w:left="600" w:firstLine="2"/>
        <w:spacing w:after="0" w:line="262" w:lineRule="auto"/>
        <w:tabs>
          <w:tab w:leader="none" w:pos="819" w:val="left"/>
        </w:tabs>
        <w:numPr>
          <w:ilvl w:val="0"/>
          <w:numId w:val="12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Level Benefit Rider</w:t>
      </w:r>
      <w:r>
        <w:rPr>
          <w:rFonts w:ascii="Arial" w:cs="Arial" w:eastAsia="Arial" w:hAnsi="Arial"/>
          <w:sz w:val="18"/>
          <w:szCs w:val="18"/>
          <w:color w:val="auto"/>
        </w:rPr>
        <w:t>” means, if a Covered Life is specified in the Annuity Exhibits as having a “Level Benefit Rider” or if a Contingent Life is specified in the Annuity Exhibits as having a “Level Benefit Rider,” and if the Covered Life is specified in the Annuity Exhibits as having one of the following Annuity Forms:</w:t>
      </w:r>
    </w:p>
    <w:p>
      <w:pPr>
        <w:spacing w:after="0" w:line="16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Contingent Joint and Survivor Life Annuity</w:t>
      </w:r>
    </w:p>
    <w:p>
      <w:pPr>
        <w:spacing w:after="0" w:line="22"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Single Life Annuity</w:t>
      </w:r>
    </w:p>
    <w:p>
      <w:pPr>
        <w:spacing w:after="0" w:line="6"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Spousal Joint and Survivor Life Annuity</w:t>
      </w:r>
    </w:p>
    <w:p>
      <w:pPr>
        <w:spacing w:after="0" w:line="190"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Then the Covered Life Amount or Contingent Life Amount will be increased by $300 (as previously determined by the rules of the Plan).</w:t>
      </w:r>
    </w:p>
    <w:p>
      <w:pPr>
        <w:spacing w:after="0" w:line="218" w:lineRule="exact"/>
        <w:rPr>
          <w:sz w:val="20"/>
          <w:szCs w:val="20"/>
          <w:color w:val="auto"/>
        </w:rPr>
      </w:pPr>
    </w:p>
    <w:p>
      <w:pPr>
        <w:jc w:val="both"/>
        <w:ind w:left="600" w:right="560" w:firstLine="2"/>
        <w:spacing w:after="0" w:line="262" w:lineRule="auto"/>
        <w:tabs>
          <w:tab w:leader="none" w:pos="87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Special Benefit Rider</w:t>
      </w:r>
      <w:r>
        <w:rPr>
          <w:rFonts w:ascii="Arial" w:cs="Arial" w:eastAsia="Arial" w:hAnsi="Arial"/>
          <w:sz w:val="18"/>
          <w:szCs w:val="18"/>
          <w:color w:val="auto"/>
        </w:rPr>
        <w:t>” means, if a Covered Life is specified in the Annuity Exhibits as having a “Special Benefit Rider” or if a Contingent Life is specified in the Annuity Exhibits as having a “Special Benefit Rider” and if the Covered Life is also specified as receiving a distribution of one of the following Annuity Forms:</w:t>
      </w:r>
    </w:p>
    <w:p>
      <w:pPr>
        <w:spacing w:after="0" w:line="190" w:lineRule="exact"/>
        <w:rPr>
          <w:sz w:val="20"/>
          <w:szCs w:val="20"/>
          <w:color w:val="auto"/>
        </w:rPr>
      </w:pPr>
    </w:p>
    <w:p>
      <w:pPr>
        <w:ind w:left="5040"/>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0820"/>
          </w:cols>
          <w:pgMar w:left="840" w:top="690" w:right="239" w:bottom="1440" w:gutter="0" w:footer="0" w:header="0"/>
        </w:sectPr>
      </w:pPr>
    </w:p>
    <w:bookmarkStart w:id="96" w:name="page97"/>
    <w:bookmarkEnd w:id="96"/>
    <w:p>
      <w:pPr>
        <w:ind w:left="1800"/>
        <w:spacing w:after="0"/>
        <w:rPr>
          <w:sz w:val="20"/>
          <w:szCs w:val="20"/>
          <w:color w:val="auto"/>
        </w:rPr>
      </w:pPr>
      <w:r>
        <w:rPr>
          <w:rFonts w:ascii="Arial" w:cs="Arial" w:eastAsia="Arial" w:hAnsi="Arial"/>
          <w:sz w:val="18"/>
          <w:szCs w:val="18"/>
          <w:color w:val="auto"/>
        </w:rPr>
        <w:t>Contingent Joint and Survivor Life Annuity</w:t>
      </w:r>
    </w:p>
    <w:p>
      <w:pPr>
        <w:spacing w:after="0" w:line="22"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Single Life Annuity</w:t>
      </w:r>
    </w:p>
    <w:p>
      <w:pPr>
        <w:spacing w:after="0" w:line="6"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Spousal Joint and Survivor Life Annuity</w:t>
      </w:r>
    </w:p>
    <w:p>
      <w:pPr>
        <w:spacing w:after="0" w:line="190" w:lineRule="exact"/>
        <w:rPr>
          <w:sz w:val="20"/>
          <w:szCs w:val="20"/>
          <w:color w:val="auto"/>
        </w:rPr>
      </w:pPr>
    </w:p>
    <w:p>
      <w:pPr>
        <w:ind w:left="1200" w:right="100"/>
        <w:spacing w:after="0" w:line="277" w:lineRule="auto"/>
        <w:rPr>
          <w:sz w:val="20"/>
          <w:szCs w:val="20"/>
          <w:color w:val="auto"/>
        </w:rPr>
      </w:pPr>
      <w:r>
        <w:rPr>
          <w:rFonts w:ascii="Arial" w:cs="Arial" w:eastAsia="Arial" w:hAnsi="Arial"/>
          <w:sz w:val="18"/>
          <w:szCs w:val="18"/>
          <w:color w:val="auto"/>
        </w:rPr>
        <w:t>Then the Covered Life Amount or Contingent Life Amount will be increased by either $76.20 or $28.00 (as previously determined by the rules of the Plan), as specified in the Annuity Exhibits.</w:t>
      </w:r>
    </w:p>
    <w:p>
      <w:pPr>
        <w:spacing w:after="0" w:line="148" w:lineRule="exact"/>
        <w:rPr>
          <w:sz w:val="20"/>
          <w:szCs w:val="20"/>
          <w:color w:val="auto"/>
        </w:rPr>
      </w:pPr>
    </w:p>
    <w:p>
      <w:pPr>
        <w:ind w:left="1200" w:right="260" w:firstLine="2"/>
        <w:spacing w:after="0" w:line="277" w:lineRule="auto"/>
        <w:tabs>
          <w:tab w:leader="none" w:pos="1521" w:val="left"/>
        </w:tabs>
        <w:numPr>
          <w:ilvl w:val="0"/>
          <w:numId w:val="13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Pop-Up Rider</w:t>
      </w:r>
      <w:r>
        <w:rPr>
          <w:rFonts w:ascii="Arial" w:cs="Arial" w:eastAsia="Arial" w:hAnsi="Arial"/>
          <w:sz w:val="18"/>
          <w:szCs w:val="18"/>
          <w:color w:val="auto"/>
        </w:rPr>
        <w:t>” ” means, if a Covered Life is specified in the Annuity Exhibits as having a “Pop Up” Rider and also as receiving a distribution of the following Annuity Form:</w:t>
      </w:r>
    </w:p>
    <w:p>
      <w:pPr>
        <w:spacing w:after="0" w:line="148"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Spousal Joint and Survivor Life Annuity</w:t>
      </w:r>
    </w:p>
    <w:p>
      <w:pPr>
        <w:spacing w:after="0" w:line="206" w:lineRule="exact"/>
        <w:rPr>
          <w:sz w:val="20"/>
          <w:szCs w:val="20"/>
          <w:color w:val="auto"/>
        </w:rPr>
      </w:pPr>
    </w:p>
    <w:p>
      <w:pPr>
        <w:ind w:left="1200" w:right="480"/>
        <w:spacing w:after="0" w:line="277" w:lineRule="auto"/>
        <w:rPr>
          <w:sz w:val="20"/>
          <w:szCs w:val="20"/>
          <w:color w:val="auto"/>
        </w:rPr>
      </w:pPr>
      <w:r>
        <w:rPr>
          <w:rFonts w:ascii="Arial" w:cs="Arial" w:eastAsia="Arial" w:hAnsi="Arial"/>
          <w:sz w:val="18"/>
          <w:szCs w:val="18"/>
          <w:color w:val="auto"/>
        </w:rPr>
        <w:t>Then upon the death of the spousal Contingent Life, we will increase the Covered Life Amount. The amount of the increase, and the conditions to such increased payment, are specified in the related Annuity Form.</w:t>
      </w:r>
    </w:p>
    <w:p>
      <w:pPr>
        <w:spacing w:after="0" w:line="148" w:lineRule="exact"/>
        <w:rPr>
          <w:sz w:val="20"/>
          <w:szCs w:val="20"/>
          <w:color w:val="auto"/>
        </w:rPr>
      </w:pPr>
    </w:p>
    <w:p>
      <w:pPr>
        <w:ind w:left="1200" w:right="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Refund Death Benefit Rider</w:t>
      </w:r>
      <w:r>
        <w:rPr>
          <w:rFonts w:ascii="Arial" w:cs="Arial" w:eastAsia="Arial" w:hAnsi="Arial"/>
          <w:sz w:val="18"/>
          <w:szCs w:val="18"/>
          <w:color w:val="auto"/>
        </w:rPr>
        <w:t>” means, if a Covered Life is specified in the Annuity Exhibits as having a “Refund Death Benefit” Rider and also as receiving a distribution of one of the following Annuity Forms:</w:t>
      </w:r>
    </w:p>
    <w:p>
      <w:pPr>
        <w:spacing w:after="0" w:line="148"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Contingent Joint and Survivor Life Annuity</w:t>
      </w:r>
    </w:p>
    <w:p>
      <w:pPr>
        <w:spacing w:after="0" w:line="22"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Single Life Annuity</w:t>
      </w:r>
    </w:p>
    <w:p>
      <w:pPr>
        <w:spacing w:after="0" w:line="6"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Spousal Joint and Survivor Life Annuity</w:t>
      </w:r>
    </w:p>
    <w:p>
      <w:pPr>
        <w:spacing w:after="0" w:line="6"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Window Spousal Contingent 50% or 75% Joint and Survivor Life Annuity</w:t>
      </w:r>
    </w:p>
    <w:p>
      <w:pPr>
        <w:spacing w:after="0" w:line="6"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Window Single Life Annuity</w:t>
      </w:r>
    </w:p>
    <w:p>
      <w:pPr>
        <w:spacing w:after="0" w:line="190"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Then a death benefit may be payable to the designated Beneficiary, as provided in the provided in the related Annuity Form.</w:t>
      </w:r>
    </w:p>
    <w:p>
      <w:pPr>
        <w:spacing w:after="0" w:line="206"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We</w:t>
      </w:r>
      <w:r>
        <w:rPr>
          <w:rFonts w:ascii="Arial" w:cs="Arial" w:eastAsia="Arial" w:hAnsi="Arial"/>
          <w:sz w:val="18"/>
          <w:szCs w:val="18"/>
          <w:color w:val="auto"/>
        </w:rPr>
        <w:t>” and “</w:t>
      </w:r>
      <w:r>
        <w:rPr>
          <w:rFonts w:ascii="Arial" w:cs="Arial" w:eastAsia="Arial" w:hAnsi="Arial"/>
          <w:sz w:val="18"/>
          <w:szCs w:val="18"/>
          <w:u w:val="single" w:color="auto"/>
          <w:color w:val="auto"/>
        </w:rPr>
        <w:t>us</w:t>
      </w:r>
      <w:r>
        <w:rPr>
          <w:rFonts w:ascii="Arial" w:cs="Arial" w:eastAsia="Arial" w:hAnsi="Arial"/>
          <w:sz w:val="18"/>
          <w:szCs w:val="18"/>
          <w:color w:val="auto"/>
        </w:rPr>
        <w:t>” means The Prudential Insurance Company of America.</w:t>
      </w:r>
    </w:p>
    <w:p>
      <w:pPr>
        <w:spacing w:after="0" w:line="206"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u w:val="single" w:color="auto"/>
          <w:color w:val="auto"/>
        </w:rPr>
        <w:t>2.3</w:t>
      </w:r>
      <w:r>
        <w:rPr>
          <w:sz w:val="20"/>
          <w:szCs w:val="20"/>
          <w:color w:val="auto"/>
        </w:rPr>
        <w:tab/>
      </w:r>
      <w:r>
        <w:rPr>
          <w:rFonts w:ascii="Arial" w:cs="Arial" w:eastAsia="Arial" w:hAnsi="Arial"/>
          <w:sz w:val="17"/>
          <w:szCs w:val="17"/>
          <w:u w:val="single" w:color="auto"/>
          <w:color w:val="auto"/>
        </w:rPr>
        <w:t>Annuity Forms</w:t>
      </w:r>
    </w:p>
    <w:p>
      <w:pPr>
        <w:spacing w:after="0" w:line="206" w:lineRule="exact"/>
        <w:rPr>
          <w:sz w:val="20"/>
          <w:szCs w:val="20"/>
          <w:color w:val="auto"/>
        </w:rPr>
      </w:pPr>
    </w:p>
    <w:p>
      <w:pPr>
        <w:ind w:left="600" w:right="260" w:firstLine="1"/>
        <w:spacing w:after="0" w:line="256" w:lineRule="auto"/>
        <w:tabs>
          <w:tab w:leader="none" w:pos="819" w:val="left"/>
        </w:tabs>
        <w:numPr>
          <w:ilvl w:val="0"/>
          <w:numId w:val="1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Contingent Joint and Survivor Life Annuity with or without Refund Death Benefit Rider, and/or Special Benefit Rider and/or Level Benefit</w:t>
      </w:r>
      <w:r>
        <w:rPr>
          <w:rFonts w:ascii="Arial" w:cs="Arial" w:eastAsia="Arial" w:hAnsi="Arial"/>
          <w:sz w:val="18"/>
          <w:szCs w:val="18"/>
          <w:color w:val="auto"/>
        </w:rPr>
        <w:t xml:space="preserve"> </w:t>
      </w:r>
      <w:r>
        <w:rPr>
          <w:rFonts w:ascii="Arial" w:cs="Arial" w:eastAsia="Arial" w:hAnsi="Arial"/>
          <w:sz w:val="18"/>
          <w:szCs w:val="18"/>
          <w:u w:val="single" w:color="auto"/>
          <w:color w:val="auto"/>
        </w:rPr>
        <w:t>Rider</w:t>
      </w:r>
      <w:r>
        <w:rPr>
          <w:rFonts w:ascii="Arial" w:cs="Arial" w:eastAsia="Arial" w:hAnsi="Arial"/>
          <w:sz w:val="18"/>
          <w:szCs w:val="18"/>
          <w:color w:val="auto"/>
        </w:rPr>
        <w:t>” means the following for each Covered Life identified in the Annuity Exhibits as receiving a distribution of a “Contingent Life - J&amp;S” Annuity Form with or without a “Refund Death Benefit Rider,” and/or a “Special Benefit Rider” and/or a “Level Benefit Rider,” respectively. “You” and “your” refers to each such Covered Life:</w:t>
      </w:r>
    </w:p>
    <w:p>
      <w:pPr>
        <w:spacing w:after="0" w:line="168" w:lineRule="exact"/>
        <w:rPr>
          <w:sz w:val="20"/>
          <w:szCs w:val="20"/>
          <w:color w:val="auto"/>
        </w:rPr>
      </w:pPr>
    </w:p>
    <w:p>
      <w:pPr>
        <w:ind w:left="1200"/>
        <w:spacing w:after="0" w:line="254" w:lineRule="auto"/>
        <w:rPr>
          <w:sz w:val="20"/>
          <w:szCs w:val="20"/>
          <w:color w:val="auto"/>
        </w:rPr>
      </w:pPr>
      <w:r>
        <w:rPr>
          <w:rFonts w:ascii="Arial" w:cs="Arial" w:eastAsia="Arial" w:hAnsi="Arial"/>
          <w:sz w:val="18"/>
          <w:szCs w:val="18"/>
          <w:color w:val="auto"/>
        </w:rPr>
        <w:t>If the Annuity Exhibits specify that you have a Conversion Option to cancel this Annuity Form and a qualified domestic relations order does not provide otherwise, the following will apply. If you exercise the option, your rights under this Annuity Form are cancelled. Also, the rights of the Contingent Life and any Beneficiary are cancelled. After the effective date of the conversion, we will not owe any further payments under this Annuity Form. As a result of your exercise of a conversion option, you will become entitled to another Annuity Form. We will notify you of the new Annuity Form and related payment amounts.</w:t>
      </w:r>
    </w:p>
    <w:p>
      <w:pPr>
        <w:spacing w:after="0" w:line="169" w:lineRule="exact"/>
        <w:rPr>
          <w:sz w:val="20"/>
          <w:szCs w:val="20"/>
          <w:color w:val="auto"/>
        </w:rPr>
      </w:pPr>
    </w:p>
    <w:p>
      <w:pPr>
        <w:jc w:val="both"/>
        <w:ind w:left="1200"/>
        <w:spacing w:after="0" w:line="262" w:lineRule="auto"/>
        <w:rPr>
          <w:sz w:val="20"/>
          <w:szCs w:val="20"/>
          <w:color w:val="auto"/>
        </w:rPr>
      </w:pPr>
      <w:r>
        <w:rPr>
          <w:rFonts w:ascii="Arial" w:cs="Arial" w:eastAsia="Arial" w:hAnsi="Arial"/>
          <w:sz w:val="18"/>
          <w:szCs w:val="18"/>
          <w:color w:val="auto"/>
        </w:rPr>
        <w:t>During your lifetime, we will make monthly payments to you equal to your Covered Life Amount. We will make monthly payments on the first day of each month. We owe the first monthly payment on the Annuity Commencement Date. Our last monthly payment to you will be on the first day of the month in which you die.</w:t>
      </w:r>
    </w:p>
    <w:p>
      <w:pPr>
        <w:spacing w:after="0" w:line="161" w:lineRule="exact"/>
        <w:rPr>
          <w:sz w:val="20"/>
          <w:szCs w:val="20"/>
          <w:color w:val="auto"/>
        </w:rPr>
      </w:pPr>
    </w:p>
    <w:p>
      <w:pPr>
        <w:ind w:left="1200" w:right="100"/>
        <w:spacing w:after="0" w:line="277" w:lineRule="auto"/>
        <w:rPr>
          <w:sz w:val="20"/>
          <w:szCs w:val="20"/>
          <w:color w:val="auto"/>
        </w:rPr>
      </w:pPr>
      <w:r>
        <w:rPr>
          <w:rFonts w:ascii="Arial" w:cs="Arial" w:eastAsia="Arial" w:hAnsi="Arial"/>
          <w:sz w:val="18"/>
          <w:szCs w:val="18"/>
          <w:color w:val="auto"/>
        </w:rPr>
        <w:t>After you die, we may owe additional monthly payments. We will owe additional monthly payments if your Contingent Life (as specified in the Annuity Exhibits) is alive when you die. We</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1400"/>
          </w:cols>
          <w:pgMar w:left="240" w:top="749" w:right="259" w:bottom="1440" w:gutter="0" w:footer="0" w:header="0"/>
        </w:sectPr>
      </w:pPr>
    </w:p>
    <w:bookmarkStart w:id="97" w:name="page98"/>
    <w:bookmarkEnd w:id="97"/>
    <w:p>
      <w:pPr>
        <w:spacing w:after="0" w:line="262" w:lineRule="auto"/>
        <w:rPr>
          <w:sz w:val="20"/>
          <w:szCs w:val="20"/>
          <w:color w:val="auto"/>
        </w:rPr>
      </w:pPr>
      <w:r>
        <w:rPr>
          <w:rFonts w:ascii="Arial" w:cs="Arial" w:eastAsia="Arial" w:hAnsi="Arial"/>
          <w:sz w:val="18"/>
          <w:szCs w:val="18"/>
          <w:color w:val="auto"/>
        </w:rPr>
        <w:t>will pay the first payment on the first day of the month following your death. Later monthly payments will be made on the first day of each month. We will pay the last payment on the first day of the month in which such Contingent Life dies. The amount of the payments will equal the Contingent Life Amount.</w:t>
      </w:r>
    </w:p>
    <w:p>
      <w:pPr>
        <w:spacing w:after="0" w:line="161"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If you have a Refund Death Benefit Rider, we may owe a Refund Death Benefit to the designated Beneficiary for your Annuity Form. After both you and your Contingent Life die, we will determine if we owe such payment. The following explains how we will determine if a payment is owed by us under this rider.</w:t>
      </w:r>
    </w:p>
    <w:p>
      <w:pPr>
        <w:spacing w:after="0" w:line="161"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amount of the Refund Death Benefit, if any, will equal the Maximum Refund Death Benefit (as specified in the Annuity Exhibits) less the Pre 1985 Part B Primary Amounts and the Post 1985 Part B Primary Amounts (as specified in the Annuity Exhibits) paid by us after the Annuity Commencement Date to you, to your Contingent Life (or to any related alternate payee, arising, for example, from a domestic relations order).</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color w:val="auto"/>
        </w:rPr>
        <w:t>For a Contingent Joint and Survivor Life Annuity, the following amounts, names, or values are also specified in the Annuity Exhibits:</w:t>
      </w:r>
    </w:p>
    <w:p>
      <w:pPr>
        <w:spacing w:after="0" w:line="218" w:lineRule="exact"/>
        <w:rPr>
          <w:sz w:val="20"/>
          <w:szCs w:val="20"/>
          <w:color w:val="auto"/>
        </w:rPr>
      </w:pPr>
    </w:p>
    <w:p>
      <w:pPr>
        <w:ind w:left="1200" w:right="140" w:hanging="60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Covered Life Amount</w:t>
      </w:r>
      <w:r>
        <w:rPr>
          <w:rFonts w:ascii="Arial" w:cs="Arial" w:eastAsia="Arial" w:hAnsi="Arial"/>
          <w:sz w:val="18"/>
          <w:szCs w:val="18"/>
          <w:color w:val="auto"/>
        </w:rPr>
        <w:t>” equals an amount that depends on whether you are younger or older than sixty-two years and one month (“</w:t>
      </w:r>
      <w:r>
        <w:rPr>
          <w:rFonts w:ascii="Arial" w:cs="Arial" w:eastAsia="Arial" w:hAnsi="Arial"/>
          <w:sz w:val="18"/>
          <w:szCs w:val="18"/>
          <w:u w:val="single" w:color="auto"/>
          <w:color w:val="auto"/>
        </w:rPr>
        <w:t>62 + 1</w:t>
      </w:r>
      <w:r>
        <w:rPr>
          <w:rFonts w:ascii="Arial" w:cs="Arial" w:eastAsia="Arial" w:hAnsi="Arial"/>
          <w:sz w:val="18"/>
          <w:szCs w:val="18"/>
          <w:color w:val="auto"/>
        </w:rPr>
        <w:t>”).</w:t>
      </w:r>
    </w:p>
    <w:p>
      <w:pPr>
        <w:spacing w:after="0" w:line="148" w:lineRule="exact"/>
        <w:rPr>
          <w:sz w:val="20"/>
          <w:szCs w:val="20"/>
          <w:color w:val="auto"/>
        </w:rPr>
      </w:pPr>
    </w:p>
    <w:p>
      <w:pPr>
        <w:ind w:left="1200" w:right="120"/>
        <w:spacing w:after="0" w:line="277" w:lineRule="auto"/>
        <w:rPr>
          <w:sz w:val="20"/>
          <w:szCs w:val="20"/>
          <w:color w:val="auto"/>
        </w:rPr>
      </w:pPr>
      <w:r>
        <w:rPr>
          <w:rFonts w:ascii="Arial" w:cs="Arial" w:eastAsia="Arial" w:hAnsi="Arial"/>
          <w:sz w:val="18"/>
          <w:szCs w:val="18"/>
          <w:color w:val="auto"/>
        </w:rPr>
        <w:t>If you are younger than 62+1, the Covered Life Amount equals the “Pre-62+1 Pension Amount” specified in the Annuity Exhibit for such Covered Life.</w:t>
      </w:r>
    </w:p>
    <w:p>
      <w:pPr>
        <w:spacing w:after="0" w:line="148" w:lineRule="exact"/>
        <w:rPr>
          <w:sz w:val="20"/>
          <w:szCs w:val="20"/>
          <w:color w:val="auto"/>
        </w:rPr>
      </w:pPr>
    </w:p>
    <w:p>
      <w:pPr>
        <w:ind w:left="1200" w:right="320"/>
        <w:spacing w:after="0" w:line="277" w:lineRule="auto"/>
        <w:rPr>
          <w:sz w:val="20"/>
          <w:szCs w:val="20"/>
          <w:color w:val="auto"/>
        </w:rPr>
      </w:pPr>
      <w:r>
        <w:rPr>
          <w:rFonts w:ascii="Arial" w:cs="Arial" w:eastAsia="Arial" w:hAnsi="Arial"/>
          <w:sz w:val="18"/>
          <w:szCs w:val="18"/>
          <w:color w:val="auto"/>
        </w:rPr>
        <w:t>If you are older than 62+1, the Covered Life Amount equals the “Post-62+1 Pension Amount” amount specified in the Annuity Exhibit for such Covered Life.</w:t>
      </w:r>
    </w:p>
    <w:p>
      <w:pPr>
        <w:spacing w:after="0" w:line="148" w:lineRule="exact"/>
        <w:rPr>
          <w:sz w:val="20"/>
          <w:szCs w:val="20"/>
          <w:color w:val="auto"/>
        </w:rPr>
      </w:pPr>
    </w:p>
    <w:p>
      <w:pPr>
        <w:ind w:left="1200" w:right="40"/>
        <w:spacing w:after="0" w:line="276" w:lineRule="auto"/>
        <w:rPr>
          <w:sz w:val="20"/>
          <w:szCs w:val="20"/>
          <w:color w:val="auto"/>
        </w:rPr>
      </w:pPr>
      <w:r>
        <w:rPr>
          <w:rFonts w:ascii="Arial" w:cs="Arial" w:eastAsia="Arial" w:hAnsi="Arial"/>
          <w:sz w:val="16"/>
          <w:szCs w:val="16"/>
          <w:color w:val="auto"/>
        </w:rPr>
        <w:t>If you have a Special Benefit Rider (as specified in the Annuity Exhibits), then the “Covered Life Amount” will be increased after your sixty-fifth (65</w:t>
      </w:r>
      <w:r>
        <w:rPr>
          <w:rFonts w:ascii="Arial" w:cs="Arial" w:eastAsia="Arial" w:hAnsi="Arial"/>
          <w:sz w:val="20"/>
          <w:szCs w:val="20"/>
          <w:color w:val="auto"/>
          <w:vertAlign w:val="superscript"/>
        </w:rPr>
        <w:t>th</w:t>
      </w:r>
      <w:r>
        <w:rPr>
          <w:rFonts w:ascii="Arial" w:cs="Arial" w:eastAsia="Arial" w:hAnsi="Arial"/>
          <w:sz w:val="16"/>
          <w:szCs w:val="16"/>
          <w:color w:val="auto"/>
        </w:rPr>
        <w:t>) birthday. The increase will start on the first day of the month after your 65</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birthday. If your 65</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birthday falls on the first day of a month, the increase will start on that day. The amount of the increase will be the amount specified as the “Special Benefit” in the Annuity Exhibits. During your lifetime, your Contingent Life will not receive the benefits of any Special Benefit Rider that he or she may have. Such benefits start after your death.</w:t>
      </w:r>
    </w:p>
    <w:p>
      <w:pPr>
        <w:spacing w:after="0" w:line="153" w:lineRule="exact"/>
        <w:rPr>
          <w:sz w:val="20"/>
          <w:szCs w:val="20"/>
          <w:color w:val="auto"/>
        </w:rPr>
      </w:pPr>
    </w:p>
    <w:p>
      <w:pPr>
        <w:ind w:left="1200" w:right="60"/>
        <w:spacing w:after="0" w:line="226" w:lineRule="auto"/>
        <w:rPr>
          <w:sz w:val="20"/>
          <w:szCs w:val="20"/>
          <w:color w:val="auto"/>
        </w:rPr>
      </w:pPr>
      <w:r>
        <w:rPr>
          <w:rFonts w:ascii="Arial" w:cs="Arial" w:eastAsia="Arial" w:hAnsi="Arial"/>
          <w:sz w:val="18"/>
          <w:szCs w:val="18"/>
          <w:color w:val="auto"/>
        </w:rPr>
        <w:t>If you have a Level Benefit Rider (as specified in the Annuity Exhibits), then the “Covered Life Amount” will be increased by Three Hundred Dollars ($300.000) after your sixty-fifth (65</w:t>
      </w:r>
      <w:r>
        <w:rPr>
          <w:rFonts w:ascii="Arial" w:cs="Arial" w:eastAsia="Arial" w:hAnsi="Arial"/>
          <w:sz w:val="23"/>
          <w:szCs w:val="23"/>
          <w:color w:val="auto"/>
          <w:vertAlign w:val="superscript"/>
        </w:rPr>
        <w:t>th</w:t>
      </w:r>
      <w:r>
        <w:rPr>
          <w:rFonts w:ascii="Arial" w:cs="Arial" w:eastAsia="Arial" w:hAnsi="Arial"/>
          <w:sz w:val="18"/>
          <w:szCs w:val="18"/>
          <w:color w:val="auto"/>
        </w:rPr>
        <w:t>) birthday. The increase will start on first day of the month after your 65</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birthday. If your 65</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birthday falls on the first day of a month, the increase will start on that day. During your lifetime, we do not owe your Contingent Life any benefits under the Level Benefit Rider. If your Contingent Life has a Level Benefit rider, we only owe the related payments after you die.</w:t>
      </w:r>
    </w:p>
    <w:p>
      <w:pPr>
        <w:spacing w:after="0" w:line="181" w:lineRule="exact"/>
        <w:rPr>
          <w:sz w:val="20"/>
          <w:szCs w:val="20"/>
          <w:color w:val="auto"/>
        </w:rPr>
      </w:pPr>
    </w:p>
    <w:p>
      <w:pPr>
        <w:ind w:left="1200" w:right="180"/>
        <w:spacing w:after="0" w:line="256" w:lineRule="auto"/>
        <w:rPr>
          <w:sz w:val="20"/>
          <w:szCs w:val="20"/>
          <w:color w:val="auto"/>
        </w:rPr>
      </w:pPr>
      <w:r>
        <w:rPr>
          <w:rFonts w:ascii="Arial" w:cs="Arial" w:eastAsia="Arial" w:hAnsi="Arial"/>
          <w:sz w:val="18"/>
          <w:szCs w:val="18"/>
          <w:color w:val="auto"/>
        </w:rPr>
        <w:t>If a portion of your Pre 62+1 Covered Life Amount is attributable to “Disability Temporary Benefits” as specified in the Annuity Exhibits, then the following applies. You may be eligible to receive social security disability benefits from the Federal Government. In any month that you receive such benefits before you reach 62+1, we do not owe you such Disability Temporary Amount and we may deduct any overpayments made to you.</w:t>
      </w:r>
    </w:p>
    <w:p>
      <w:pPr>
        <w:spacing w:after="0" w:line="168" w:lineRule="exact"/>
        <w:rPr>
          <w:sz w:val="20"/>
          <w:szCs w:val="20"/>
          <w:color w:val="auto"/>
        </w:rPr>
      </w:pPr>
    </w:p>
    <w:p>
      <w:pPr>
        <w:ind w:left="1200" w:right="200" w:hanging="60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Contingent Life Amount</w:t>
      </w:r>
      <w:r>
        <w:rPr>
          <w:rFonts w:ascii="Arial" w:cs="Arial" w:eastAsia="Arial" w:hAnsi="Arial"/>
          <w:sz w:val="18"/>
          <w:szCs w:val="18"/>
          <w:color w:val="auto"/>
        </w:rPr>
        <w:t>” means an amount that is specified in the Annuity Exhibits for your Annuity Form as the “Contingent Life Amount.”</w:t>
      </w:r>
    </w:p>
    <w:p>
      <w:pPr>
        <w:spacing w:after="0" w:line="177" w:lineRule="exact"/>
        <w:rPr>
          <w:sz w:val="20"/>
          <w:szCs w:val="20"/>
          <w:color w:val="auto"/>
        </w:rPr>
      </w:pPr>
    </w:p>
    <w:p>
      <w:pPr>
        <w:ind w:left="4440"/>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0220"/>
          </w:cols>
          <w:pgMar w:left="1440" w:top="548" w:right="239" w:bottom="1440" w:gutter="0" w:footer="0" w:header="0"/>
        </w:sectPr>
      </w:pPr>
    </w:p>
    <w:bookmarkStart w:id="98" w:name="page99"/>
    <w:bookmarkEnd w:id="98"/>
    <w:p>
      <w:pPr>
        <w:ind w:left="1799" w:right="60"/>
        <w:spacing w:after="0" w:line="221" w:lineRule="auto"/>
        <w:rPr>
          <w:sz w:val="20"/>
          <w:szCs w:val="20"/>
          <w:color w:val="auto"/>
        </w:rPr>
      </w:pPr>
      <w:r>
        <w:rPr>
          <w:rFonts w:ascii="Arial" w:cs="Arial" w:eastAsia="Arial" w:hAnsi="Arial"/>
          <w:sz w:val="18"/>
          <w:szCs w:val="18"/>
          <w:color w:val="auto"/>
        </w:rPr>
        <w:t>If your Contingent Life is your spouse and has a Special Benefit Rider, then the “Contingent Life Amount” will be increased for payments owed after his or her sixty-fifth (65</w:t>
      </w:r>
      <w:r>
        <w:rPr>
          <w:rFonts w:ascii="Arial" w:cs="Arial" w:eastAsia="Arial" w:hAnsi="Arial"/>
          <w:sz w:val="23"/>
          <w:szCs w:val="23"/>
          <w:color w:val="auto"/>
          <w:vertAlign w:val="superscript"/>
        </w:rPr>
        <w:t>th</w:t>
      </w:r>
      <w:r>
        <w:rPr>
          <w:rFonts w:ascii="Arial" w:cs="Arial" w:eastAsia="Arial" w:hAnsi="Arial"/>
          <w:sz w:val="18"/>
          <w:szCs w:val="18"/>
          <w:color w:val="auto"/>
        </w:rPr>
        <w:t>) birthday. The increase will start on first day of the month after such 65</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birthday. If such birthday falls on the first day of a month, the increase will start on that day. The amount of the increase will be the amount specified as the “Special Benefit” in the Annuity Exhibits.</w:t>
      </w:r>
    </w:p>
    <w:p>
      <w:pPr>
        <w:spacing w:after="0" w:line="183" w:lineRule="exact"/>
        <w:rPr>
          <w:sz w:val="20"/>
          <w:szCs w:val="20"/>
          <w:color w:val="auto"/>
        </w:rPr>
      </w:pPr>
    </w:p>
    <w:p>
      <w:pPr>
        <w:ind w:left="1799"/>
        <w:spacing w:after="0" w:line="269" w:lineRule="auto"/>
        <w:rPr>
          <w:sz w:val="20"/>
          <w:szCs w:val="20"/>
          <w:color w:val="auto"/>
        </w:rPr>
      </w:pPr>
      <w:r>
        <w:rPr>
          <w:rFonts w:ascii="Arial" w:cs="Arial" w:eastAsia="Arial" w:hAnsi="Arial"/>
          <w:sz w:val="17"/>
          <w:szCs w:val="17"/>
          <w:color w:val="auto"/>
        </w:rPr>
        <w:t>If your Contingent Life has a Level Benefit Rider, then the “Contingent Life Amount” will be increased by Three Hundred Dollars ($300.000) for payments owed after his or her sixty-fifth (65</w:t>
      </w:r>
      <w:r>
        <w:rPr>
          <w:rFonts w:ascii="Arial" w:cs="Arial" w:eastAsia="Arial" w:hAnsi="Arial"/>
          <w:sz w:val="21"/>
          <w:szCs w:val="21"/>
          <w:color w:val="auto"/>
          <w:vertAlign w:val="superscript"/>
        </w:rPr>
        <w:t>th</w:t>
      </w:r>
      <w:r>
        <w:rPr>
          <w:rFonts w:ascii="Arial" w:cs="Arial" w:eastAsia="Arial" w:hAnsi="Arial"/>
          <w:sz w:val="17"/>
          <w:szCs w:val="17"/>
          <w:color w:val="auto"/>
        </w:rPr>
        <w:t>) birthday. The increase will start on first day of the month after such 65</w:t>
      </w:r>
      <w:r>
        <w:rPr>
          <w:rFonts w:ascii="Arial" w:cs="Arial" w:eastAsia="Arial" w:hAnsi="Arial"/>
          <w:sz w:val="21"/>
          <w:szCs w:val="21"/>
          <w:color w:val="auto"/>
          <w:vertAlign w:val="superscript"/>
        </w:rPr>
        <w:t>th</w:t>
      </w:r>
      <w:r>
        <w:rPr>
          <w:rFonts w:ascii="Arial" w:cs="Arial" w:eastAsia="Arial" w:hAnsi="Arial"/>
          <w:sz w:val="17"/>
          <w:szCs w:val="17"/>
          <w:color w:val="auto"/>
        </w:rPr>
        <w:t xml:space="preserve"> birthday. If such birthday falls on the first day of a month, the increase will start on that day.</w:t>
      </w:r>
    </w:p>
    <w:p>
      <w:pPr>
        <w:spacing w:after="0" w:line="78" w:lineRule="exact"/>
        <w:rPr>
          <w:sz w:val="20"/>
          <w:szCs w:val="20"/>
          <w:color w:val="auto"/>
        </w:rPr>
      </w:pPr>
    </w:p>
    <w:p>
      <w:pPr>
        <w:ind w:left="-1" w:right="80" w:firstLine="1"/>
        <w:spacing w:after="0" w:line="277" w:lineRule="auto"/>
        <w:tabs>
          <w:tab w:leader="none" w:pos="269" w:val="left"/>
        </w:tabs>
        <w:numPr>
          <w:ilvl w:val="0"/>
          <w:numId w:val="13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Period Certain Annuity</w:t>
      </w:r>
      <w:r>
        <w:rPr>
          <w:rFonts w:ascii="Arial" w:cs="Arial" w:eastAsia="Arial" w:hAnsi="Arial"/>
          <w:sz w:val="18"/>
          <w:szCs w:val="18"/>
          <w:color w:val="auto"/>
        </w:rPr>
        <w:t>” means the following for each Covered Life identified in the Annuity Exhibits as receiving a distribution of a “Period Certain Only” Annuity Form. “You” and “your” refers to each such Covered Life.</w:t>
      </w:r>
    </w:p>
    <w:p>
      <w:pPr>
        <w:spacing w:after="0" w:line="148" w:lineRule="exact"/>
        <w:rPr>
          <w:sz w:val="20"/>
          <w:szCs w:val="20"/>
          <w:color w:val="auto"/>
        </w:rPr>
      </w:pPr>
    </w:p>
    <w:p>
      <w:pPr>
        <w:ind w:left="599"/>
        <w:spacing w:after="0" w:line="256" w:lineRule="auto"/>
        <w:rPr>
          <w:sz w:val="20"/>
          <w:szCs w:val="20"/>
          <w:color w:val="auto"/>
        </w:rPr>
      </w:pPr>
      <w:r>
        <w:rPr>
          <w:rFonts w:ascii="Arial" w:cs="Arial" w:eastAsia="Arial" w:hAnsi="Arial"/>
          <w:sz w:val="18"/>
          <w:szCs w:val="18"/>
          <w:color w:val="auto"/>
        </w:rPr>
        <w:t>We will make monthly payments to you equal to your Covered Life Amount. We owe the first monthly payment on the Annuity Commencement Date. We will pay subsequent monthly on the first day of each month. The total number of monthly payments will equal the Guaranteed Number of Payments specified for you in the Annuity Exhibits. Once such Guaranteed Number of Payments has been paid, no further payments are due.</w:t>
      </w:r>
    </w:p>
    <w:p>
      <w:pPr>
        <w:spacing w:after="0" w:line="168" w:lineRule="exact"/>
        <w:rPr>
          <w:sz w:val="20"/>
          <w:szCs w:val="20"/>
          <w:color w:val="auto"/>
        </w:rPr>
      </w:pPr>
    </w:p>
    <w:p>
      <w:pPr>
        <w:ind w:left="599" w:right="80"/>
        <w:spacing w:after="0" w:line="276" w:lineRule="auto"/>
        <w:rPr>
          <w:sz w:val="20"/>
          <w:szCs w:val="20"/>
          <w:color w:val="auto"/>
        </w:rPr>
      </w:pPr>
      <w:r>
        <w:rPr>
          <w:rFonts w:ascii="Arial" w:cs="Arial" w:eastAsia="Arial" w:hAnsi="Arial"/>
          <w:sz w:val="17"/>
          <w:szCs w:val="17"/>
          <w:color w:val="auto"/>
        </w:rPr>
        <w:t>If you die after the Annuity Commencement Date, we will determine the number of monthly payments we made to you after the Annuity Commencement Date. If the number payment made is less than such Guaranteed Number of Payments, then we will pay the Covered Life Amount to the designated Beneficiary for your Annuity Form. These payments to such Beneficiary will stop when the total number of payments to you, plus the number of payments to the Beneficiary, equals the Guaranteed Number of Payments.</w:t>
      </w:r>
    </w:p>
    <w:p>
      <w:pPr>
        <w:spacing w:after="0" w:line="152" w:lineRule="exact"/>
        <w:rPr>
          <w:sz w:val="20"/>
          <w:szCs w:val="20"/>
          <w:color w:val="auto"/>
        </w:rPr>
      </w:pPr>
    </w:p>
    <w:p>
      <w:pPr>
        <w:ind w:left="599"/>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Covered Life Amount</w:t>
      </w:r>
      <w:r>
        <w:rPr>
          <w:rFonts w:ascii="Arial" w:cs="Arial" w:eastAsia="Arial" w:hAnsi="Arial"/>
          <w:sz w:val="17"/>
          <w:szCs w:val="17"/>
          <w:color w:val="auto"/>
        </w:rPr>
        <w:t>” means an amount that is specified in the Annuity Exhibits for your Annuity Form as the “Covered Life Amount.”</w:t>
      </w:r>
    </w:p>
    <w:p>
      <w:pPr>
        <w:spacing w:after="0" w:line="218" w:lineRule="exact"/>
        <w:rPr>
          <w:sz w:val="20"/>
          <w:szCs w:val="20"/>
          <w:color w:val="auto"/>
        </w:rPr>
      </w:pPr>
    </w:p>
    <w:p>
      <w:pPr>
        <w:ind w:left="-1" w:right="680" w:firstLine="1"/>
        <w:spacing w:after="0" w:line="277" w:lineRule="auto"/>
        <w:tabs>
          <w:tab w:leader="none" w:pos="32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Single Life and Period Certain Annuity</w:t>
      </w:r>
      <w:r>
        <w:rPr>
          <w:rFonts w:ascii="Arial" w:cs="Arial" w:eastAsia="Arial" w:hAnsi="Arial"/>
          <w:sz w:val="18"/>
          <w:szCs w:val="18"/>
          <w:color w:val="auto"/>
        </w:rPr>
        <w:t>” means the following for each Covered Life identified in the Annuity Exhibits as receiving a distribution of a “Life &amp; Period Certain”. “You” and “your” refers to each such Covered Life.</w:t>
      </w:r>
    </w:p>
    <w:p>
      <w:pPr>
        <w:spacing w:after="0" w:line="148" w:lineRule="exact"/>
        <w:rPr>
          <w:sz w:val="20"/>
          <w:szCs w:val="20"/>
          <w:color w:val="auto"/>
        </w:rPr>
      </w:pPr>
    </w:p>
    <w:p>
      <w:pPr>
        <w:jc w:val="both"/>
        <w:ind w:left="599" w:right="120"/>
        <w:spacing w:after="0" w:line="262" w:lineRule="auto"/>
        <w:rPr>
          <w:sz w:val="20"/>
          <w:szCs w:val="20"/>
          <w:color w:val="auto"/>
        </w:rPr>
      </w:pPr>
      <w:r>
        <w:rPr>
          <w:rFonts w:ascii="Arial" w:cs="Arial" w:eastAsia="Arial" w:hAnsi="Arial"/>
          <w:sz w:val="18"/>
          <w:szCs w:val="18"/>
          <w:color w:val="auto"/>
        </w:rPr>
        <w:t>During your lifetime, we will make monthly payments to you equal to your Covered Life Amount. We owe the first monthly payment on the Annuity Commencement Date. We will pay subsequent monthly on the first day of each month. Our last monthly payment to you will be on the first day of the month in which you die.</w:t>
      </w:r>
    </w:p>
    <w:p>
      <w:pPr>
        <w:spacing w:after="0" w:line="161" w:lineRule="exact"/>
        <w:rPr>
          <w:sz w:val="20"/>
          <w:szCs w:val="20"/>
          <w:color w:val="auto"/>
        </w:rPr>
      </w:pPr>
    </w:p>
    <w:p>
      <w:pPr>
        <w:ind w:left="599" w:right="180"/>
        <w:spacing w:after="0" w:line="276" w:lineRule="auto"/>
        <w:rPr>
          <w:sz w:val="20"/>
          <w:szCs w:val="20"/>
          <w:color w:val="auto"/>
        </w:rPr>
      </w:pPr>
      <w:r>
        <w:rPr>
          <w:rFonts w:ascii="Arial" w:cs="Arial" w:eastAsia="Arial" w:hAnsi="Arial"/>
          <w:sz w:val="17"/>
          <w:szCs w:val="17"/>
          <w:color w:val="auto"/>
        </w:rPr>
        <w:t>We will then compare the number of monthly payments we make to you after the Annuity Commencement Date to the Guaranteed Number of Payments specified for you in the Annuity Exhibits. If the number of monthly payments is less than such guaranteed number, we will pay make additional payments to the designated Beneficiary for your Annuity Form. These payments will stop when the total number of payments to you, plus the number of payments to the Beneficiary, equals the Guaranteed Number of Payments.</w:t>
      </w:r>
    </w:p>
    <w:p>
      <w:pPr>
        <w:spacing w:after="0" w:line="152" w:lineRule="exact"/>
        <w:rPr>
          <w:sz w:val="20"/>
          <w:szCs w:val="20"/>
          <w:color w:val="auto"/>
        </w:rPr>
      </w:pPr>
    </w:p>
    <w:p>
      <w:pPr>
        <w:ind w:left="599"/>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Covered Life Amount</w:t>
      </w:r>
      <w:r>
        <w:rPr>
          <w:rFonts w:ascii="Arial" w:cs="Arial" w:eastAsia="Arial" w:hAnsi="Arial"/>
          <w:sz w:val="17"/>
          <w:szCs w:val="17"/>
          <w:color w:val="auto"/>
        </w:rPr>
        <w:t>” means an amount that is specified in the Annuity Exhibits for your Annuity Form as the “Covered Life Amount.”</w:t>
      </w:r>
    </w:p>
    <w:p>
      <w:pPr>
        <w:spacing w:after="0" w:line="200" w:lineRule="exact"/>
        <w:rPr>
          <w:sz w:val="20"/>
          <w:szCs w:val="20"/>
          <w:color w:val="auto"/>
        </w:rPr>
      </w:pPr>
    </w:p>
    <w:p>
      <w:pPr>
        <w:spacing w:after="0" w:line="247" w:lineRule="exact"/>
        <w:rPr>
          <w:sz w:val="20"/>
          <w:szCs w:val="20"/>
          <w:color w:val="auto"/>
        </w:rPr>
      </w:pPr>
    </w:p>
    <w:p>
      <w:pPr>
        <w:ind w:left="5039"/>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0819"/>
          </w:cols>
          <w:pgMar w:left="841" w:top="749" w:right="239" w:bottom="1440" w:gutter="0" w:footer="0" w:header="0"/>
        </w:sectPr>
      </w:pPr>
    </w:p>
    <w:bookmarkStart w:id="99" w:name="page100"/>
    <w:bookmarkEnd w:id="99"/>
    <w:p>
      <w:pPr>
        <w:ind w:left="-1" w:firstLine="1"/>
        <w:spacing w:after="0" w:line="256" w:lineRule="auto"/>
        <w:tabs>
          <w:tab w:leader="none" w:pos="31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Single Life Annuity with or without Special Benefit Rider, and/ or Level Benefit Rider and/or Refund Death Benefit Rider</w:t>
      </w:r>
      <w:r>
        <w:rPr>
          <w:rFonts w:ascii="Arial" w:cs="Arial" w:eastAsia="Arial" w:hAnsi="Arial"/>
          <w:sz w:val="18"/>
          <w:szCs w:val="18"/>
          <w:color w:val="auto"/>
        </w:rPr>
        <w:t>” means the following for each Covered Life identified in the Annuity Exhibits as receiving a distribution of a “Life Only” Annuity Form with or without a “Special Benefit Rider,” and/or a “Level Benefit Rider,” and/or a “Refund Death Benefit Rider,” respectively. “You” and “your” refers to each such Covered Life.</w:t>
      </w:r>
    </w:p>
    <w:p>
      <w:pPr>
        <w:spacing w:after="0" w:line="168" w:lineRule="exact"/>
        <w:rPr>
          <w:sz w:val="20"/>
          <w:szCs w:val="20"/>
          <w:color w:val="auto"/>
        </w:rPr>
      </w:pPr>
    </w:p>
    <w:p>
      <w:pPr>
        <w:ind w:left="599"/>
        <w:spacing w:after="0"/>
        <w:rPr>
          <w:sz w:val="20"/>
          <w:szCs w:val="20"/>
          <w:color w:val="auto"/>
        </w:rPr>
      </w:pPr>
      <w:r>
        <w:rPr>
          <w:rFonts w:ascii="Arial" w:cs="Arial" w:eastAsia="Arial" w:hAnsi="Arial"/>
          <w:sz w:val="18"/>
          <w:szCs w:val="18"/>
          <w:color w:val="auto"/>
        </w:rPr>
        <w:t>We do not owe any payments to anyone under this Annuity Form if you have died before the Annuity Commencement Date.</w:t>
      </w:r>
    </w:p>
    <w:p>
      <w:pPr>
        <w:spacing w:after="0" w:line="206" w:lineRule="exact"/>
        <w:rPr>
          <w:sz w:val="20"/>
          <w:szCs w:val="20"/>
          <w:color w:val="auto"/>
        </w:rPr>
      </w:pPr>
    </w:p>
    <w:p>
      <w:pPr>
        <w:ind w:left="599" w:right="40"/>
        <w:spacing w:after="0" w:line="254" w:lineRule="auto"/>
        <w:rPr>
          <w:sz w:val="20"/>
          <w:szCs w:val="20"/>
          <w:color w:val="auto"/>
        </w:rPr>
      </w:pPr>
      <w:r>
        <w:rPr>
          <w:rFonts w:ascii="Arial" w:cs="Arial" w:eastAsia="Arial" w:hAnsi="Arial"/>
          <w:sz w:val="18"/>
          <w:szCs w:val="18"/>
          <w:color w:val="auto"/>
        </w:rPr>
        <w:t>If the Annuity Exhibits specify that you have a Conversion Option to cancel this Annuity Form, the following will apply. If you exercise the option, your rights under this Annuity Form are cancelled. Also, the rights of the Contingent Life and any Beneficiary are cancelled. After the effective date of the conversion, we will not owe any further payments under this Annuity Form. As a result of your exercise of a conversion option, you will become entitled to another Annuity Form. We will notify you of the new Annuity Form and related payment amounts.</w:t>
      </w:r>
    </w:p>
    <w:p>
      <w:pPr>
        <w:spacing w:after="0" w:line="169" w:lineRule="exact"/>
        <w:rPr>
          <w:sz w:val="20"/>
          <w:szCs w:val="20"/>
          <w:color w:val="auto"/>
        </w:rPr>
      </w:pPr>
    </w:p>
    <w:p>
      <w:pPr>
        <w:jc w:val="both"/>
        <w:ind w:left="599" w:right="120"/>
        <w:spacing w:after="0" w:line="262" w:lineRule="auto"/>
        <w:rPr>
          <w:sz w:val="20"/>
          <w:szCs w:val="20"/>
          <w:color w:val="auto"/>
        </w:rPr>
      </w:pPr>
      <w:r>
        <w:rPr>
          <w:rFonts w:ascii="Arial" w:cs="Arial" w:eastAsia="Arial" w:hAnsi="Arial"/>
          <w:sz w:val="18"/>
          <w:szCs w:val="18"/>
          <w:color w:val="auto"/>
        </w:rPr>
        <w:t>During your lifetime, we will make monthly payments to you equal to your Covered Life Amount. We owe the first monthly payment on the Annuity Commencement Date. We will pay subsequent monthly on the first day of each month. Our last monthly payment to you will be on the first day of the month in which you die.</w:t>
      </w:r>
    </w:p>
    <w:p>
      <w:pPr>
        <w:spacing w:after="0" w:line="161" w:lineRule="exact"/>
        <w:rPr>
          <w:sz w:val="20"/>
          <w:szCs w:val="20"/>
          <w:color w:val="auto"/>
        </w:rPr>
      </w:pPr>
    </w:p>
    <w:p>
      <w:pPr>
        <w:ind w:left="599"/>
        <w:spacing w:after="0" w:line="262" w:lineRule="auto"/>
        <w:rPr>
          <w:sz w:val="20"/>
          <w:szCs w:val="20"/>
          <w:color w:val="auto"/>
        </w:rPr>
      </w:pPr>
      <w:r>
        <w:rPr>
          <w:rFonts w:ascii="Arial" w:cs="Arial" w:eastAsia="Arial" w:hAnsi="Arial"/>
          <w:sz w:val="18"/>
          <w:szCs w:val="18"/>
          <w:color w:val="auto"/>
        </w:rPr>
        <w:t>If you have a Refund Death Benefit Rider, we may owe a Refund Death Benefit to the designated Beneficiary for your Annuity Form. After you die, we will determine if we owe such payment. The following explains how we will determine if a payment is owed by us under this rider.</w:t>
      </w:r>
    </w:p>
    <w:p>
      <w:pPr>
        <w:spacing w:after="0" w:line="161" w:lineRule="exact"/>
        <w:rPr>
          <w:sz w:val="20"/>
          <w:szCs w:val="20"/>
          <w:color w:val="auto"/>
        </w:rPr>
      </w:pPr>
    </w:p>
    <w:p>
      <w:pPr>
        <w:ind w:left="599" w:right="40"/>
        <w:spacing w:after="0" w:line="256" w:lineRule="auto"/>
        <w:rPr>
          <w:sz w:val="20"/>
          <w:szCs w:val="20"/>
          <w:color w:val="auto"/>
        </w:rPr>
      </w:pPr>
      <w:r>
        <w:rPr>
          <w:rFonts w:ascii="Arial" w:cs="Arial" w:eastAsia="Arial" w:hAnsi="Arial"/>
          <w:sz w:val="18"/>
          <w:szCs w:val="18"/>
          <w:color w:val="auto"/>
        </w:rPr>
        <w:t>The amount of the Refund Death Benefit, if any, will equal the Maximum Refund Death Benefit (as specified in the Annuity Exhibits) less the Pre 1985 Part B Primary Amounts and the Post 1985 Part B Primary Amounts (as specified in the Annuity Exhibits) paid by us after the Annuity Commencement Date to you, to your Contingent Life (or to any related alternate payee, arising, for example, from a domestic relations order).</w:t>
      </w:r>
    </w:p>
    <w:p>
      <w:pPr>
        <w:spacing w:after="0" w:line="168" w:lineRule="exact"/>
        <w:rPr>
          <w:sz w:val="20"/>
          <w:szCs w:val="20"/>
          <w:color w:val="auto"/>
        </w:rPr>
      </w:pPr>
    </w:p>
    <w:p>
      <w:pPr>
        <w:ind w:left="599"/>
        <w:spacing w:after="0"/>
        <w:rPr>
          <w:sz w:val="20"/>
          <w:szCs w:val="20"/>
          <w:color w:val="auto"/>
        </w:rPr>
      </w:pPr>
      <w:r>
        <w:rPr>
          <w:rFonts w:ascii="Arial" w:cs="Arial" w:eastAsia="Arial" w:hAnsi="Arial"/>
          <w:sz w:val="18"/>
          <w:szCs w:val="18"/>
          <w:color w:val="auto"/>
        </w:rPr>
        <w:t>For a Single Life Annuity, the following amounts, names, or values are also specified in the Annuity Exhibits:</w:t>
      </w:r>
    </w:p>
    <w:p>
      <w:pPr>
        <w:spacing w:after="0" w:line="206" w:lineRule="exact"/>
        <w:rPr>
          <w:sz w:val="20"/>
          <w:szCs w:val="20"/>
          <w:color w:val="auto"/>
        </w:rPr>
      </w:pPr>
    </w:p>
    <w:p>
      <w:pPr>
        <w:ind w:left="1199"/>
        <w:spacing w:after="0"/>
        <w:rPr>
          <w:sz w:val="20"/>
          <w:szCs w:val="20"/>
          <w:color w:val="auto"/>
        </w:rPr>
      </w:pPr>
      <w:r>
        <w:rPr>
          <w:rFonts w:ascii="Arial" w:cs="Arial" w:eastAsia="Arial" w:hAnsi="Arial"/>
          <w:sz w:val="18"/>
          <w:szCs w:val="18"/>
          <w:color w:val="auto"/>
        </w:rPr>
        <w:t>“Covered Life Amount” depends on whether you are younger or older than sixty-two years and one month (“</w:t>
      </w:r>
      <w:r>
        <w:rPr>
          <w:rFonts w:ascii="Arial" w:cs="Arial" w:eastAsia="Arial" w:hAnsi="Arial"/>
          <w:sz w:val="18"/>
          <w:szCs w:val="18"/>
          <w:u w:val="single" w:color="auto"/>
          <w:color w:val="auto"/>
        </w:rPr>
        <w:t>62 + 1</w:t>
      </w:r>
      <w:r>
        <w:rPr>
          <w:rFonts w:ascii="Arial" w:cs="Arial" w:eastAsia="Arial" w:hAnsi="Arial"/>
          <w:sz w:val="18"/>
          <w:szCs w:val="18"/>
          <w:color w:val="auto"/>
        </w:rPr>
        <w:t>”).</w:t>
      </w:r>
    </w:p>
    <w:p>
      <w:pPr>
        <w:spacing w:after="0" w:line="206" w:lineRule="exact"/>
        <w:rPr>
          <w:sz w:val="20"/>
          <w:szCs w:val="20"/>
          <w:color w:val="auto"/>
        </w:rPr>
      </w:pPr>
    </w:p>
    <w:p>
      <w:pPr>
        <w:ind w:left="1799" w:right="120"/>
        <w:spacing w:after="0" w:line="277" w:lineRule="auto"/>
        <w:rPr>
          <w:sz w:val="20"/>
          <w:szCs w:val="20"/>
          <w:color w:val="auto"/>
        </w:rPr>
      </w:pPr>
      <w:r>
        <w:rPr>
          <w:rFonts w:ascii="Arial" w:cs="Arial" w:eastAsia="Arial" w:hAnsi="Arial"/>
          <w:sz w:val="18"/>
          <w:szCs w:val="18"/>
          <w:color w:val="auto"/>
        </w:rPr>
        <w:t>If you are younger than 62+1, the Covered Life Amount equals the “Pre-62+1 Pension Amount” specified in the Annuity Exhibit for such Covered Life.</w:t>
      </w:r>
    </w:p>
    <w:p>
      <w:pPr>
        <w:spacing w:after="0" w:line="148" w:lineRule="exact"/>
        <w:rPr>
          <w:sz w:val="20"/>
          <w:szCs w:val="20"/>
          <w:color w:val="auto"/>
        </w:rPr>
      </w:pPr>
    </w:p>
    <w:p>
      <w:pPr>
        <w:ind w:left="1799" w:right="280"/>
        <w:spacing w:after="0" w:line="277" w:lineRule="auto"/>
        <w:rPr>
          <w:sz w:val="20"/>
          <w:szCs w:val="20"/>
          <w:color w:val="auto"/>
        </w:rPr>
      </w:pPr>
      <w:r>
        <w:rPr>
          <w:rFonts w:ascii="Arial" w:cs="Arial" w:eastAsia="Arial" w:hAnsi="Arial"/>
          <w:sz w:val="18"/>
          <w:szCs w:val="18"/>
          <w:color w:val="auto"/>
        </w:rPr>
        <w:t>If you are older than 62+1, the Covered Life Amount equals the “Post-62+1 Pension Amount” specified in the Annuity Exhibit for such Covered Life</w:t>
      </w:r>
    </w:p>
    <w:p>
      <w:pPr>
        <w:spacing w:after="0" w:line="148" w:lineRule="exact"/>
        <w:rPr>
          <w:sz w:val="20"/>
          <w:szCs w:val="20"/>
          <w:color w:val="auto"/>
        </w:rPr>
      </w:pPr>
    </w:p>
    <w:p>
      <w:pPr>
        <w:ind w:left="1199" w:right="240"/>
        <w:spacing w:after="0" w:line="221" w:lineRule="auto"/>
        <w:rPr>
          <w:sz w:val="20"/>
          <w:szCs w:val="20"/>
          <w:color w:val="auto"/>
        </w:rPr>
      </w:pPr>
      <w:r>
        <w:rPr>
          <w:rFonts w:ascii="Arial" w:cs="Arial" w:eastAsia="Arial" w:hAnsi="Arial"/>
          <w:sz w:val="18"/>
          <w:szCs w:val="18"/>
          <w:color w:val="auto"/>
        </w:rPr>
        <w:t>If you have a Special Benefit Rider, then the “Covered Life Amount” will be increased after your sixty-fifth (65</w:t>
      </w:r>
      <w:r>
        <w:rPr>
          <w:rFonts w:ascii="Arial" w:cs="Arial" w:eastAsia="Arial" w:hAnsi="Arial"/>
          <w:sz w:val="23"/>
          <w:szCs w:val="23"/>
          <w:color w:val="auto"/>
          <w:vertAlign w:val="superscript"/>
        </w:rPr>
        <w:t>th</w:t>
      </w:r>
      <w:r>
        <w:rPr>
          <w:rFonts w:ascii="Arial" w:cs="Arial" w:eastAsia="Arial" w:hAnsi="Arial"/>
          <w:sz w:val="18"/>
          <w:szCs w:val="18"/>
          <w:color w:val="auto"/>
        </w:rPr>
        <w:t>) birthday. The increase will start on first day of the month after your 65</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birthday. If your 65</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birthday falls on the first day of a month, the increase will start on that day. The amount of the increase will be the amount specified as the “Special Benefit.” in the Annuity Exhibits.</w:t>
      </w:r>
    </w:p>
    <w:p>
      <w:pPr>
        <w:spacing w:after="0" w:line="183" w:lineRule="exact"/>
        <w:rPr>
          <w:sz w:val="20"/>
          <w:szCs w:val="20"/>
          <w:color w:val="auto"/>
        </w:rPr>
      </w:pPr>
    </w:p>
    <w:p>
      <w:pPr>
        <w:jc w:val="both"/>
        <w:ind w:left="1199" w:right="160"/>
        <w:spacing w:after="0" w:line="214" w:lineRule="auto"/>
        <w:rPr>
          <w:sz w:val="20"/>
          <w:szCs w:val="20"/>
          <w:color w:val="auto"/>
        </w:rPr>
      </w:pPr>
      <w:r>
        <w:rPr>
          <w:rFonts w:ascii="Arial" w:cs="Arial" w:eastAsia="Arial" w:hAnsi="Arial"/>
          <w:sz w:val="18"/>
          <w:szCs w:val="18"/>
          <w:color w:val="auto"/>
        </w:rPr>
        <w:t>If you have a Level Benefit Rider, then the “Covered Life Amount” will be increased by Three Hundred Dollars ($300.000) after your sixty-fifth (65</w:t>
      </w:r>
      <w:r>
        <w:rPr>
          <w:rFonts w:ascii="Arial" w:cs="Arial" w:eastAsia="Arial" w:hAnsi="Arial"/>
          <w:sz w:val="23"/>
          <w:szCs w:val="23"/>
          <w:color w:val="auto"/>
          <w:vertAlign w:val="superscript"/>
        </w:rPr>
        <w:t>th</w:t>
      </w:r>
      <w:r>
        <w:rPr>
          <w:rFonts w:ascii="Arial" w:cs="Arial" w:eastAsia="Arial" w:hAnsi="Arial"/>
          <w:sz w:val="18"/>
          <w:szCs w:val="18"/>
          <w:color w:val="auto"/>
        </w:rPr>
        <w:t>) birthday. The increase will start on first day of the month after your 65</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birthday. If your 65</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birthday falls on the first day of a month, the increase will start on that day.</w:t>
      </w:r>
    </w:p>
    <w:p>
      <w:pPr>
        <w:spacing w:after="0" w:line="200" w:lineRule="exact"/>
        <w:rPr>
          <w:sz w:val="20"/>
          <w:szCs w:val="20"/>
          <w:color w:val="auto"/>
        </w:rPr>
      </w:pPr>
    </w:p>
    <w:p>
      <w:pPr>
        <w:spacing w:after="0" w:line="212" w:lineRule="exact"/>
        <w:rPr>
          <w:sz w:val="20"/>
          <w:szCs w:val="20"/>
          <w:color w:val="auto"/>
        </w:rPr>
      </w:pPr>
    </w:p>
    <w:p>
      <w:pPr>
        <w:ind w:left="5039"/>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0819"/>
          </w:cols>
          <w:pgMar w:left="841" w:top="548" w:right="239" w:bottom="1440" w:gutter="0" w:footer="0" w:header="0"/>
        </w:sectPr>
      </w:pPr>
    </w:p>
    <w:bookmarkStart w:id="100" w:name="page101"/>
    <w:bookmarkEnd w:id="100"/>
    <w:p>
      <w:pPr>
        <w:ind w:left="1199" w:right="100"/>
        <w:spacing w:after="0" w:line="256" w:lineRule="auto"/>
        <w:rPr>
          <w:sz w:val="20"/>
          <w:szCs w:val="20"/>
          <w:color w:val="auto"/>
        </w:rPr>
      </w:pPr>
      <w:r>
        <w:rPr>
          <w:rFonts w:ascii="Arial" w:cs="Arial" w:eastAsia="Arial" w:hAnsi="Arial"/>
          <w:sz w:val="18"/>
          <w:szCs w:val="18"/>
          <w:color w:val="auto"/>
        </w:rPr>
        <w:t>If a portion of your Pre 62+1 Covered Life Amount is attributable to “Disability Temporary Benefits” as specified in the Annuity Exhibits, then the following applies. You may be eligible to receive social security disability benefits from the Federal Government. In any month that you receive such benefits before you reach 62+1, we do not owe you such Disability Temporary Amount and we may deduct any overpayments made to you.</w:t>
      </w:r>
    </w:p>
    <w:p>
      <w:pPr>
        <w:spacing w:after="0" w:line="168" w:lineRule="exact"/>
        <w:rPr>
          <w:sz w:val="20"/>
          <w:szCs w:val="20"/>
          <w:color w:val="auto"/>
        </w:rPr>
      </w:pPr>
    </w:p>
    <w:p>
      <w:pPr>
        <w:jc w:val="both"/>
        <w:ind w:left="599" w:right="20"/>
        <w:spacing w:after="0" w:line="252" w:lineRule="auto"/>
        <w:rPr>
          <w:sz w:val="20"/>
          <w:szCs w:val="20"/>
          <w:color w:val="auto"/>
        </w:rPr>
      </w:pPr>
      <w:r>
        <w:rPr>
          <w:rFonts w:ascii="Arial" w:cs="Arial" w:eastAsia="Arial" w:hAnsi="Arial"/>
          <w:sz w:val="18"/>
          <w:szCs w:val="18"/>
          <w:color w:val="auto"/>
        </w:rPr>
        <w:t>The Annuity Exhibits may specify that there is a Contingent Life corresponding to you and that the Contingent Life is eligible for a Level Benefit Rider. If so, after you die, we may owe additional monthly payments. We will owe additional monthly payments if and when two conditions are met. The Contingent Life must be alive when you die. The Contingent Life must be older than sixty-five (65) years. If such conditions are met we will pay the first payment on the first day of the month following your death. Later monthly payments will be made on the first day of each month. We will pay the last payment on the first day of the month in which such Contingent Life dies. The amount of the payments will equal the $300.00.</w:t>
      </w:r>
    </w:p>
    <w:p>
      <w:pPr>
        <w:spacing w:after="0" w:line="173" w:lineRule="exact"/>
        <w:rPr>
          <w:sz w:val="20"/>
          <w:szCs w:val="20"/>
          <w:color w:val="auto"/>
        </w:rPr>
      </w:pPr>
    </w:p>
    <w:p>
      <w:pPr>
        <w:ind w:left="-1" w:firstLine="1"/>
        <w:spacing w:after="0" w:line="256" w:lineRule="auto"/>
        <w:tabs>
          <w:tab w:leader="none" w:pos="259" w:val="left"/>
        </w:tabs>
        <w:numPr>
          <w:ilvl w:val="0"/>
          <w:numId w:val="13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Spousal Joint and Survivor Life Annuity with or without a Special Benefit Rider, and/or a Level Benefit Rider and/or a Pop-Up Rider and/or a</w:t>
      </w:r>
      <w:r>
        <w:rPr>
          <w:rFonts w:ascii="Arial" w:cs="Arial" w:eastAsia="Arial" w:hAnsi="Arial"/>
          <w:sz w:val="18"/>
          <w:szCs w:val="18"/>
          <w:color w:val="auto"/>
        </w:rPr>
        <w:t xml:space="preserve"> </w:t>
      </w:r>
      <w:r>
        <w:rPr>
          <w:rFonts w:ascii="Arial" w:cs="Arial" w:eastAsia="Arial" w:hAnsi="Arial"/>
          <w:sz w:val="18"/>
          <w:szCs w:val="18"/>
          <w:u w:val="single" w:color="auto"/>
          <w:color w:val="auto"/>
        </w:rPr>
        <w:t>Refund Death Benefit Rider</w:t>
      </w:r>
      <w:r>
        <w:rPr>
          <w:rFonts w:ascii="Arial" w:cs="Arial" w:eastAsia="Arial" w:hAnsi="Arial"/>
          <w:sz w:val="18"/>
          <w:szCs w:val="18"/>
          <w:color w:val="auto"/>
        </w:rPr>
        <w:t>” means the following for each Covered Life identified in the Annuity Exhibits as receiving a distribution of a “Spousal - J&amp;S” Annuity Form with or without a “Special Benefit Rider,” and/or a “Level Benefit Rider,” and/or a “Pop-Up” Rider and/or a “Refund Death Benefit Rider,” respectively. “You” and “your” refers to each such Covered Life:</w:t>
      </w:r>
    </w:p>
    <w:p>
      <w:pPr>
        <w:spacing w:after="0" w:line="168" w:lineRule="exact"/>
        <w:rPr>
          <w:sz w:val="20"/>
          <w:szCs w:val="20"/>
          <w:color w:val="auto"/>
        </w:rPr>
      </w:pPr>
    </w:p>
    <w:p>
      <w:pPr>
        <w:ind w:left="599"/>
        <w:spacing w:after="0"/>
        <w:rPr>
          <w:sz w:val="20"/>
          <w:szCs w:val="20"/>
          <w:color w:val="auto"/>
        </w:rPr>
      </w:pPr>
      <w:r>
        <w:rPr>
          <w:rFonts w:ascii="Arial" w:cs="Arial" w:eastAsia="Arial" w:hAnsi="Arial"/>
          <w:sz w:val="18"/>
          <w:szCs w:val="18"/>
          <w:color w:val="auto"/>
        </w:rPr>
        <w:t>We do not owe any payments to anyone under this Annuity Form if you have died before the Annuity Commencement Date.</w:t>
      </w:r>
    </w:p>
    <w:p>
      <w:pPr>
        <w:spacing w:after="0" w:line="206" w:lineRule="exact"/>
        <w:rPr>
          <w:sz w:val="20"/>
          <w:szCs w:val="20"/>
          <w:color w:val="auto"/>
        </w:rPr>
      </w:pPr>
    </w:p>
    <w:p>
      <w:pPr>
        <w:ind w:left="599"/>
        <w:spacing w:after="0" w:line="254" w:lineRule="auto"/>
        <w:rPr>
          <w:sz w:val="20"/>
          <w:szCs w:val="20"/>
          <w:color w:val="auto"/>
        </w:rPr>
      </w:pPr>
      <w:r>
        <w:rPr>
          <w:rFonts w:ascii="Arial" w:cs="Arial" w:eastAsia="Arial" w:hAnsi="Arial"/>
          <w:sz w:val="18"/>
          <w:szCs w:val="18"/>
          <w:color w:val="auto"/>
        </w:rPr>
        <w:t>If the Annuity Exhibits specify that you have a Conversion Option to cancel this Annuity Form, the following will apply. If you exercise the option, your rights under this Annuity Form are cancelled. Also, the rights of the Contingent Life and any Beneficiary are cancelled. After the effective date of the conversion, we will not owe any further payments under this Annuity Form. As a result of your exercise of a conversion option, you will become entitled to another Annuity Form. We will notify you of the new Annuity Form and related payment amounts.</w:t>
      </w:r>
    </w:p>
    <w:p>
      <w:pPr>
        <w:spacing w:after="0" w:line="169" w:lineRule="exact"/>
        <w:rPr>
          <w:sz w:val="20"/>
          <w:szCs w:val="20"/>
          <w:color w:val="auto"/>
        </w:rPr>
      </w:pPr>
    </w:p>
    <w:p>
      <w:pPr>
        <w:jc w:val="both"/>
        <w:ind w:left="599" w:right="80"/>
        <w:spacing w:after="0" w:line="262" w:lineRule="auto"/>
        <w:rPr>
          <w:sz w:val="20"/>
          <w:szCs w:val="20"/>
          <w:color w:val="auto"/>
        </w:rPr>
      </w:pPr>
      <w:r>
        <w:rPr>
          <w:rFonts w:ascii="Arial" w:cs="Arial" w:eastAsia="Arial" w:hAnsi="Arial"/>
          <w:sz w:val="18"/>
          <w:szCs w:val="18"/>
          <w:color w:val="auto"/>
        </w:rPr>
        <w:t>During your lifetime, we will make monthly payments to you equal to your Covered Life Amount. We owe the first monthly payment on the Annuity Commencement Date. We will pay subsequent monthly on the first day of each month. Our last monthly payment to you will be on the first day of the month in which you die.</w:t>
      </w:r>
    </w:p>
    <w:p>
      <w:pPr>
        <w:spacing w:after="0" w:line="161" w:lineRule="exact"/>
        <w:rPr>
          <w:sz w:val="20"/>
          <w:szCs w:val="20"/>
          <w:color w:val="auto"/>
        </w:rPr>
      </w:pPr>
    </w:p>
    <w:p>
      <w:pPr>
        <w:ind w:left="599" w:right="80"/>
        <w:spacing w:after="0" w:line="276" w:lineRule="auto"/>
        <w:rPr>
          <w:sz w:val="20"/>
          <w:szCs w:val="20"/>
          <w:color w:val="auto"/>
        </w:rPr>
      </w:pPr>
      <w:r>
        <w:rPr>
          <w:rFonts w:ascii="Arial" w:cs="Arial" w:eastAsia="Arial" w:hAnsi="Arial"/>
          <w:sz w:val="17"/>
          <w:szCs w:val="17"/>
          <w:color w:val="auto"/>
        </w:rPr>
        <w:t>After you die, we may owe additional monthly payments. We will owe additional monthly payments if your Contingent Life (as specified in the Annuity Exhibits) is your spouse and is alive when you die. We will pay the first payment on the first day of the month following your death. We will pay subsequent monthly on the first day of each month. We will pay the last payment on the first day of the month in which such Contingent Life dies. The amount of the payments will equal the Contingent Life Amount.</w:t>
      </w:r>
    </w:p>
    <w:p>
      <w:pPr>
        <w:spacing w:after="0" w:line="152" w:lineRule="exact"/>
        <w:rPr>
          <w:sz w:val="20"/>
          <w:szCs w:val="20"/>
          <w:color w:val="auto"/>
        </w:rPr>
      </w:pPr>
    </w:p>
    <w:p>
      <w:pPr>
        <w:ind w:left="599"/>
        <w:spacing w:after="0" w:line="262" w:lineRule="auto"/>
        <w:rPr>
          <w:sz w:val="20"/>
          <w:szCs w:val="20"/>
          <w:color w:val="auto"/>
        </w:rPr>
      </w:pPr>
      <w:r>
        <w:rPr>
          <w:rFonts w:ascii="Arial" w:cs="Arial" w:eastAsia="Arial" w:hAnsi="Arial"/>
          <w:sz w:val="18"/>
          <w:szCs w:val="18"/>
          <w:color w:val="auto"/>
        </w:rPr>
        <w:t>If you have a Refund Death Benefit Rider, we may owe a Refund Death Benefit to the designated Beneficiary for your Annuity Form. After both you and your Contingent Life die, we will determine if we owe such payment. The following explains how we will determine if a payment is owed by us under this rider.</w:t>
      </w:r>
    </w:p>
    <w:p>
      <w:pPr>
        <w:spacing w:after="0" w:line="161" w:lineRule="exact"/>
        <w:rPr>
          <w:sz w:val="20"/>
          <w:szCs w:val="20"/>
          <w:color w:val="auto"/>
        </w:rPr>
      </w:pPr>
    </w:p>
    <w:p>
      <w:pPr>
        <w:ind w:left="599"/>
        <w:spacing w:after="0" w:line="256" w:lineRule="auto"/>
        <w:rPr>
          <w:sz w:val="20"/>
          <w:szCs w:val="20"/>
          <w:color w:val="auto"/>
        </w:rPr>
      </w:pPr>
      <w:r>
        <w:rPr>
          <w:rFonts w:ascii="Arial" w:cs="Arial" w:eastAsia="Arial" w:hAnsi="Arial"/>
          <w:sz w:val="18"/>
          <w:szCs w:val="18"/>
          <w:color w:val="auto"/>
        </w:rPr>
        <w:t>The amount of the Refund Death Benefit, if any, will equal the Maximum Refund Death Benefit (as specified in the Annuity Exhibits) less the Pre 1985 Part B Primary Amounts and the Post 1985 Part B Primary Amounts (as specified in the Annuity Exhibits) paid by us after the Annuity Commencement Date to you, to your Contingent Life (or to any related alternate payee, arising, for example, from a domestic relations order).</w:t>
      </w:r>
    </w:p>
    <w:p>
      <w:pPr>
        <w:spacing w:after="0" w:line="398" w:lineRule="exact"/>
        <w:rPr>
          <w:sz w:val="20"/>
          <w:szCs w:val="20"/>
          <w:color w:val="auto"/>
        </w:rPr>
      </w:pPr>
    </w:p>
    <w:p>
      <w:pPr>
        <w:ind w:left="5039"/>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10779"/>
          </w:cols>
          <w:pgMar w:left="841" w:top="548" w:right="279" w:bottom="1440" w:gutter="0" w:footer="0" w:header="0"/>
        </w:sectPr>
      </w:pPr>
    </w:p>
    <w:bookmarkStart w:id="101" w:name="page102"/>
    <w:bookmarkEnd w:id="101"/>
    <w:p>
      <w:pPr>
        <w:spacing w:after="0"/>
        <w:rPr>
          <w:sz w:val="20"/>
          <w:szCs w:val="20"/>
          <w:color w:val="auto"/>
        </w:rPr>
      </w:pPr>
      <w:r>
        <w:rPr>
          <w:rFonts w:ascii="Arial" w:cs="Arial" w:eastAsia="Arial" w:hAnsi="Arial"/>
          <w:sz w:val="17"/>
          <w:szCs w:val="17"/>
          <w:color w:val="auto"/>
        </w:rPr>
        <w:t>For a Spousal Joint and Survivor Life Annuity, the following amounts, names, or values are also specified in the Annuity Exhibits:</w:t>
      </w:r>
    </w:p>
    <w:p>
      <w:pPr>
        <w:spacing w:after="0" w:line="218" w:lineRule="exact"/>
        <w:rPr>
          <w:sz w:val="20"/>
          <w:szCs w:val="20"/>
          <w:color w:val="auto"/>
        </w:rPr>
      </w:pPr>
    </w:p>
    <w:p>
      <w:pPr>
        <w:ind w:left="1200" w:right="140" w:hanging="60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Covered Life Amount</w:t>
      </w:r>
      <w:r>
        <w:rPr>
          <w:rFonts w:ascii="Arial" w:cs="Arial" w:eastAsia="Arial" w:hAnsi="Arial"/>
          <w:sz w:val="18"/>
          <w:szCs w:val="18"/>
          <w:color w:val="auto"/>
        </w:rPr>
        <w:t>” equals an amount that depends on whether you are younger or older than sixty-two years and one month (“</w:t>
      </w:r>
      <w:r>
        <w:rPr>
          <w:rFonts w:ascii="Arial" w:cs="Arial" w:eastAsia="Arial" w:hAnsi="Arial"/>
          <w:sz w:val="18"/>
          <w:szCs w:val="18"/>
          <w:u w:val="single" w:color="auto"/>
          <w:color w:val="auto"/>
        </w:rPr>
        <w:t>62 + 1</w:t>
      </w:r>
      <w:r>
        <w:rPr>
          <w:rFonts w:ascii="Arial" w:cs="Arial" w:eastAsia="Arial" w:hAnsi="Arial"/>
          <w:sz w:val="18"/>
          <w:szCs w:val="18"/>
          <w:color w:val="auto"/>
        </w:rPr>
        <w:t>”).</w:t>
      </w:r>
    </w:p>
    <w:p>
      <w:pPr>
        <w:spacing w:after="0" w:line="148" w:lineRule="exact"/>
        <w:rPr>
          <w:sz w:val="20"/>
          <w:szCs w:val="20"/>
          <w:color w:val="auto"/>
        </w:rPr>
      </w:pPr>
    </w:p>
    <w:p>
      <w:pPr>
        <w:ind w:left="1200" w:right="120"/>
        <w:spacing w:after="0" w:line="277" w:lineRule="auto"/>
        <w:rPr>
          <w:sz w:val="20"/>
          <w:szCs w:val="20"/>
          <w:color w:val="auto"/>
        </w:rPr>
      </w:pPr>
      <w:r>
        <w:rPr>
          <w:rFonts w:ascii="Arial" w:cs="Arial" w:eastAsia="Arial" w:hAnsi="Arial"/>
          <w:sz w:val="18"/>
          <w:szCs w:val="18"/>
          <w:color w:val="auto"/>
        </w:rPr>
        <w:t>If you are younger than 62+1, the Covered Life Amount equals the “Pre-62+1 Pension Amount” specified in the Annuity Exhibit for such Covered Life.</w:t>
      </w:r>
    </w:p>
    <w:p>
      <w:pPr>
        <w:spacing w:after="0" w:line="148" w:lineRule="exact"/>
        <w:rPr>
          <w:sz w:val="20"/>
          <w:szCs w:val="20"/>
          <w:color w:val="auto"/>
        </w:rPr>
      </w:pPr>
    </w:p>
    <w:p>
      <w:pPr>
        <w:ind w:left="1200" w:right="280"/>
        <w:spacing w:after="0" w:line="277" w:lineRule="auto"/>
        <w:rPr>
          <w:sz w:val="20"/>
          <w:szCs w:val="20"/>
          <w:color w:val="auto"/>
        </w:rPr>
      </w:pPr>
      <w:r>
        <w:rPr>
          <w:rFonts w:ascii="Arial" w:cs="Arial" w:eastAsia="Arial" w:hAnsi="Arial"/>
          <w:sz w:val="18"/>
          <w:szCs w:val="18"/>
          <w:color w:val="auto"/>
        </w:rPr>
        <w:t>If you are older than 62+1, the Covered Life Amount equals the “Post-62+1 Pension Amount” specified in the Annuity Exhibit for such Covered Life.</w:t>
      </w:r>
    </w:p>
    <w:p>
      <w:pPr>
        <w:spacing w:after="0" w:line="148" w:lineRule="exact"/>
        <w:rPr>
          <w:sz w:val="20"/>
          <w:szCs w:val="20"/>
          <w:color w:val="auto"/>
        </w:rPr>
      </w:pPr>
    </w:p>
    <w:p>
      <w:pPr>
        <w:ind w:left="1200"/>
        <w:spacing w:after="0" w:line="261" w:lineRule="auto"/>
        <w:rPr>
          <w:sz w:val="20"/>
          <w:szCs w:val="20"/>
          <w:color w:val="auto"/>
        </w:rPr>
      </w:pPr>
      <w:r>
        <w:rPr>
          <w:rFonts w:ascii="Arial" w:cs="Arial" w:eastAsia="Arial" w:hAnsi="Arial"/>
          <w:sz w:val="16"/>
          <w:szCs w:val="16"/>
          <w:color w:val="auto"/>
        </w:rPr>
        <w:t>If you have a Special Benefit Rider, then the “Covered Life Amount” will be increased after your sixty-fifth (65</w:t>
      </w:r>
      <w:r>
        <w:rPr>
          <w:rFonts w:ascii="Arial" w:cs="Arial" w:eastAsia="Arial" w:hAnsi="Arial"/>
          <w:sz w:val="20"/>
          <w:szCs w:val="20"/>
          <w:color w:val="auto"/>
          <w:vertAlign w:val="superscript"/>
        </w:rPr>
        <w:t>th</w:t>
      </w:r>
      <w:r>
        <w:rPr>
          <w:rFonts w:ascii="Arial" w:cs="Arial" w:eastAsia="Arial" w:hAnsi="Arial"/>
          <w:sz w:val="16"/>
          <w:szCs w:val="16"/>
          <w:color w:val="auto"/>
        </w:rPr>
        <w:t>) birthday. The increase will start on first day of the month after your 65</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birthday. If your 65</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birthday falls on the first day of a month, the increase will start on that day. The amount of the increase will be the amount specified as the “Special Benefit” in the Annuity Exhibits. During your lifetime, we do not owe your Contingent Life any benefits under the Special Benefit Rider. If your Contingent Life has a Special Benefit rider, we only owe the related payments after you die.</w:t>
      </w:r>
    </w:p>
    <w:p>
      <w:pPr>
        <w:spacing w:after="0" w:line="164"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If you have a Level Benefit Rider, then the “Covered Life Amount” will be increased by Three Hundred Dollars</w:t>
      </w:r>
    </w:p>
    <w:p>
      <w:pPr>
        <w:spacing w:after="0" w:line="19" w:lineRule="exact"/>
        <w:rPr>
          <w:sz w:val="20"/>
          <w:szCs w:val="20"/>
          <w:color w:val="auto"/>
        </w:rPr>
      </w:pPr>
    </w:p>
    <w:p>
      <w:pPr>
        <w:ind w:left="1200" w:right="60"/>
        <w:spacing w:after="0" w:line="218" w:lineRule="auto"/>
        <w:rPr>
          <w:sz w:val="20"/>
          <w:szCs w:val="20"/>
          <w:color w:val="auto"/>
        </w:rPr>
      </w:pPr>
      <w:r>
        <w:rPr>
          <w:rFonts w:ascii="Arial" w:cs="Arial" w:eastAsia="Arial" w:hAnsi="Arial"/>
          <w:sz w:val="18"/>
          <w:szCs w:val="18"/>
          <w:color w:val="auto"/>
        </w:rPr>
        <w:t>($300.000) after your sixty-fifth (65</w:t>
      </w:r>
      <w:r>
        <w:rPr>
          <w:rFonts w:ascii="Arial" w:cs="Arial" w:eastAsia="Arial" w:hAnsi="Arial"/>
          <w:sz w:val="23"/>
          <w:szCs w:val="23"/>
          <w:color w:val="auto"/>
          <w:vertAlign w:val="superscript"/>
        </w:rPr>
        <w:t>th</w:t>
      </w:r>
      <w:r>
        <w:rPr>
          <w:rFonts w:ascii="Arial" w:cs="Arial" w:eastAsia="Arial" w:hAnsi="Arial"/>
          <w:sz w:val="18"/>
          <w:szCs w:val="18"/>
          <w:color w:val="auto"/>
        </w:rPr>
        <w:t>) birthday. The increase will start on first day of the month after your 65</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birthday. If your 65</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birthday falls on the first day of a month, the increase will start on that day. During your lifetime, we do not owe your Contingent Life any benefits under the Level Benefit Rider. If your Contingent Life has a Level Benefit rider, we only owe the related payments after you die.</w:t>
      </w:r>
    </w:p>
    <w:p>
      <w:pPr>
        <w:spacing w:after="0" w:line="182" w:lineRule="exact"/>
        <w:rPr>
          <w:sz w:val="20"/>
          <w:szCs w:val="20"/>
          <w:color w:val="auto"/>
        </w:rPr>
      </w:pPr>
    </w:p>
    <w:p>
      <w:pPr>
        <w:ind w:left="1200" w:right="40"/>
        <w:spacing w:after="0" w:line="251" w:lineRule="auto"/>
        <w:rPr>
          <w:sz w:val="20"/>
          <w:szCs w:val="20"/>
          <w:color w:val="auto"/>
        </w:rPr>
      </w:pPr>
      <w:r>
        <w:rPr>
          <w:rFonts w:ascii="Arial" w:cs="Arial" w:eastAsia="Arial" w:hAnsi="Arial"/>
          <w:sz w:val="18"/>
          <w:szCs w:val="18"/>
          <w:color w:val="auto"/>
        </w:rPr>
        <w:t>If you have a Pop-Up Rider, and if your Contingent Life dies after the Annuity Commencement Date and before you die, then we will increase the “Covered Life Amount.” You must first provide us acceptable evidence that such Contingent Life died. We will pay the increase starting in the month following the month of your Contingent Life's death. The amount of the increase will equal the Pop-Up Amount specified for you in the Annuity Exhibits. If the Annuity Exhibits misstate the age of your Contingent Life, then we will re-calculate the Pop-Up Amount. The corrected Pop-Up Amount will equal the Part A Basic Amount specified for such person in the Annuity Exhibits multiplied by the Spousal Joint and Survivor Life Annuity Pop-Up Increase Factor.</w:t>
      </w:r>
    </w:p>
    <w:p>
      <w:pPr>
        <w:spacing w:after="0" w:line="174" w:lineRule="exact"/>
        <w:rPr>
          <w:sz w:val="20"/>
          <w:szCs w:val="20"/>
          <w:color w:val="auto"/>
        </w:rPr>
      </w:pPr>
    </w:p>
    <w:p>
      <w:pPr>
        <w:ind w:left="1200" w:right="80"/>
        <w:spacing w:after="0" w:line="256" w:lineRule="auto"/>
        <w:rPr>
          <w:sz w:val="20"/>
          <w:szCs w:val="20"/>
          <w:color w:val="auto"/>
        </w:rPr>
      </w:pPr>
      <w:r>
        <w:rPr>
          <w:rFonts w:ascii="Arial" w:cs="Arial" w:eastAsia="Arial" w:hAnsi="Arial"/>
          <w:sz w:val="18"/>
          <w:szCs w:val="18"/>
          <w:color w:val="auto"/>
        </w:rPr>
        <w:t>If a portion of your Pre 62+1 Covered Life Amount is attributable to a “Disability Temporary Amount” as specified in the Annuity Exhibits, then the following applies. You may be eligible to receive social security disability benefits from the Federal Government. In any month that you receive such benefits before you reach 62+1, we do not owe you such Disability Temporary Amount and we may deduct any overpayments made to you</w:t>
      </w:r>
    </w:p>
    <w:p>
      <w:pPr>
        <w:spacing w:after="0" w:line="168" w:lineRule="exact"/>
        <w:rPr>
          <w:sz w:val="20"/>
          <w:szCs w:val="20"/>
          <w:color w:val="auto"/>
        </w:rPr>
      </w:pPr>
    </w:p>
    <w:p>
      <w:pPr>
        <w:ind w:left="1200" w:right="200" w:hanging="60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Contingent Life Amount</w:t>
      </w:r>
      <w:r>
        <w:rPr>
          <w:rFonts w:ascii="Arial" w:cs="Arial" w:eastAsia="Arial" w:hAnsi="Arial"/>
          <w:sz w:val="18"/>
          <w:szCs w:val="18"/>
          <w:color w:val="auto"/>
        </w:rPr>
        <w:t>” means an amount that is specified in the Annuity Exhibits for your Annuity Form as the “Contingent Life Amount.”</w:t>
      </w:r>
    </w:p>
    <w:p>
      <w:pPr>
        <w:spacing w:after="0" w:line="148" w:lineRule="exact"/>
        <w:rPr>
          <w:sz w:val="20"/>
          <w:szCs w:val="20"/>
          <w:color w:val="auto"/>
        </w:rPr>
      </w:pPr>
    </w:p>
    <w:p>
      <w:pPr>
        <w:ind w:left="1200" w:right="100"/>
        <w:spacing w:after="0" w:line="214" w:lineRule="auto"/>
        <w:rPr>
          <w:sz w:val="20"/>
          <w:szCs w:val="20"/>
          <w:color w:val="auto"/>
        </w:rPr>
      </w:pPr>
      <w:r>
        <w:rPr>
          <w:rFonts w:ascii="Arial" w:cs="Arial" w:eastAsia="Arial" w:hAnsi="Arial"/>
          <w:sz w:val="18"/>
          <w:szCs w:val="18"/>
          <w:color w:val="auto"/>
        </w:rPr>
        <w:t>If your Contingent Life has a Special Benefit Rider, then the “Contingent Life Amount” will be increased for payments owed after his or her sixty-fifth (65</w:t>
      </w:r>
      <w:r>
        <w:rPr>
          <w:rFonts w:ascii="Arial" w:cs="Arial" w:eastAsia="Arial" w:hAnsi="Arial"/>
          <w:sz w:val="23"/>
          <w:szCs w:val="23"/>
          <w:color w:val="auto"/>
          <w:vertAlign w:val="superscript"/>
        </w:rPr>
        <w:t>th</w:t>
      </w:r>
      <w:r>
        <w:rPr>
          <w:rFonts w:ascii="Arial" w:cs="Arial" w:eastAsia="Arial" w:hAnsi="Arial"/>
          <w:sz w:val="18"/>
          <w:szCs w:val="18"/>
          <w:color w:val="auto"/>
        </w:rPr>
        <w:t>) birthday. The increase will start on first day of the month after such 65</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birthday. If such birthday falls on the first day of a month, the increase will start on that day.</w:t>
      </w:r>
    </w:p>
    <w:p>
      <w:pPr>
        <w:spacing w:after="0" w:line="212" w:lineRule="exact"/>
        <w:rPr>
          <w:sz w:val="20"/>
          <w:szCs w:val="20"/>
          <w:color w:val="auto"/>
        </w:rPr>
      </w:pPr>
    </w:p>
    <w:p>
      <w:pPr>
        <w:ind w:left="4440"/>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10220"/>
          </w:cols>
          <w:pgMar w:left="1440" w:top="548" w:right="239" w:bottom="1440" w:gutter="0" w:footer="0" w:header="0"/>
        </w:sectPr>
      </w:pPr>
    </w:p>
    <w:bookmarkStart w:id="102" w:name="page103"/>
    <w:bookmarkEnd w:id="102"/>
    <w:p>
      <w:pPr>
        <w:ind w:left="1799"/>
        <w:spacing w:after="0"/>
        <w:rPr>
          <w:sz w:val="20"/>
          <w:szCs w:val="20"/>
          <w:color w:val="auto"/>
        </w:rPr>
      </w:pPr>
      <w:r>
        <w:rPr>
          <w:rFonts w:ascii="Arial" w:cs="Arial" w:eastAsia="Arial" w:hAnsi="Arial"/>
          <w:sz w:val="18"/>
          <w:szCs w:val="18"/>
          <w:color w:val="auto"/>
        </w:rPr>
        <w:t>The amount of the increase will be the amount specified as the “Special Benefit” in the Annuity Exhibits.</w:t>
      </w:r>
    </w:p>
    <w:p>
      <w:pPr>
        <w:spacing w:after="0" w:line="219" w:lineRule="exact"/>
        <w:rPr>
          <w:sz w:val="20"/>
          <w:szCs w:val="20"/>
          <w:color w:val="auto"/>
        </w:rPr>
      </w:pPr>
    </w:p>
    <w:p>
      <w:pPr>
        <w:ind w:left="1799"/>
        <w:spacing w:after="0" w:line="269" w:lineRule="auto"/>
        <w:rPr>
          <w:sz w:val="20"/>
          <w:szCs w:val="20"/>
          <w:color w:val="auto"/>
        </w:rPr>
      </w:pPr>
      <w:r>
        <w:rPr>
          <w:rFonts w:ascii="Arial" w:cs="Arial" w:eastAsia="Arial" w:hAnsi="Arial"/>
          <w:sz w:val="17"/>
          <w:szCs w:val="17"/>
          <w:color w:val="auto"/>
        </w:rPr>
        <w:t>If your Contingent Life has a Level Benefit Rider, then the “Contingent Life Amount” will be increased by Three Hundred Dollars ($300.000) for payments owed after his or her sixty-fifth (65</w:t>
      </w:r>
      <w:r>
        <w:rPr>
          <w:rFonts w:ascii="Arial" w:cs="Arial" w:eastAsia="Arial" w:hAnsi="Arial"/>
          <w:sz w:val="21"/>
          <w:szCs w:val="21"/>
          <w:color w:val="auto"/>
          <w:vertAlign w:val="superscript"/>
        </w:rPr>
        <w:t>th</w:t>
      </w:r>
      <w:r>
        <w:rPr>
          <w:rFonts w:ascii="Arial" w:cs="Arial" w:eastAsia="Arial" w:hAnsi="Arial"/>
          <w:sz w:val="17"/>
          <w:szCs w:val="17"/>
          <w:color w:val="auto"/>
        </w:rPr>
        <w:t>) birthday. The increase will start on first day of the month after such 65</w:t>
      </w:r>
      <w:r>
        <w:rPr>
          <w:rFonts w:ascii="Arial" w:cs="Arial" w:eastAsia="Arial" w:hAnsi="Arial"/>
          <w:sz w:val="21"/>
          <w:szCs w:val="21"/>
          <w:color w:val="auto"/>
          <w:vertAlign w:val="superscript"/>
        </w:rPr>
        <w:t>th</w:t>
      </w:r>
      <w:r>
        <w:rPr>
          <w:rFonts w:ascii="Arial" w:cs="Arial" w:eastAsia="Arial" w:hAnsi="Arial"/>
          <w:sz w:val="17"/>
          <w:szCs w:val="17"/>
          <w:color w:val="auto"/>
        </w:rPr>
        <w:t xml:space="preserve"> birthday. If such birthday falls on the first day of a month, the increase will start on that day.</w:t>
      </w:r>
    </w:p>
    <w:p>
      <w:pPr>
        <w:spacing w:after="0" w:line="78" w:lineRule="exact"/>
        <w:rPr>
          <w:sz w:val="20"/>
          <w:szCs w:val="20"/>
          <w:color w:val="auto"/>
        </w:rPr>
      </w:pPr>
    </w:p>
    <w:p>
      <w:pPr>
        <w:ind w:left="-1" w:right="140" w:firstLine="1"/>
        <w:spacing w:after="0" w:line="262" w:lineRule="auto"/>
        <w:tabs>
          <w:tab w:leader="none" w:pos="31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Window Spousal 50% or 75% Joint and Survivor Life Annuity with or without a Refund Death Benefit Rider</w:t>
      </w:r>
      <w:r>
        <w:rPr>
          <w:rFonts w:ascii="Arial" w:cs="Arial" w:eastAsia="Arial" w:hAnsi="Arial"/>
          <w:sz w:val="18"/>
          <w:szCs w:val="18"/>
          <w:color w:val="auto"/>
        </w:rPr>
        <w:t>” means the following for each Covered Life identified in the Annuity Exhibits as receiving a distribution of a “Window Spousal Joint 50/75 Annuity” Annuity Form with or without a “Refund Death Benefit Rider.”. “You” and “your” refers to each such Covered Life:</w:t>
      </w:r>
    </w:p>
    <w:p>
      <w:pPr>
        <w:spacing w:after="0" w:line="161" w:lineRule="exact"/>
        <w:rPr>
          <w:sz w:val="20"/>
          <w:szCs w:val="20"/>
          <w:color w:val="auto"/>
        </w:rPr>
      </w:pPr>
    </w:p>
    <w:p>
      <w:pPr>
        <w:ind w:left="599"/>
        <w:spacing w:after="0"/>
        <w:rPr>
          <w:sz w:val="20"/>
          <w:szCs w:val="20"/>
          <w:color w:val="auto"/>
        </w:rPr>
      </w:pPr>
      <w:r>
        <w:rPr>
          <w:rFonts w:ascii="Arial" w:cs="Arial" w:eastAsia="Arial" w:hAnsi="Arial"/>
          <w:sz w:val="18"/>
          <w:szCs w:val="18"/>
          <w:color w:val="auto"/>
        </w:rPr>
        <w:t>We do not owe any payments to anyone under this Annuity Form if you have died before the Annuity Commencement Date.</w:t>
      </w:r>
    </w:p>
    <w:p>
      <w:pPr>
        <w:spacing w:after="0" w:line="206" w:lineRule="exact"/>
        <w:rPr>
          <w:sz w:val="20"/>
          <w:szCs w:val="20"/>
          <w:color w:val="auto"/>
        </w:rPr>
      </w:pPr>
    </w:p>
    <w:p>
      <w:pPr>
        <w:jc w:val="both"/>
        <w:ind w:left="599" w:right="120"/>
        <w:spacing w:after="0" w:line="262" w:lineRule="auto"/>
        <w:rPr>
          <w:sz w:val="20"/>
          <w:szCs w:val="20"/>
          <w:color w:val="auto"/>
        </w:rPr>
      </w:pPr>
      <w:r>
        <w:rPr>
          <w:rFonts w:ascii="Arial" w:cs="Arial" w:eastAsia="Arial" w:hAnsi="Arial"/>
          <w:sz w:val="18"/>
          <w:szCs w:val="18"/>
          <w:color w:val="auto"/>
        </w:rPr>
        <w:t>During your lifetime, we will make monthly payments to you equal to your Covered Life Amount. We owe the first monthly payment on the Annuity Commencement Date. We will pay subsequent monthly on the first day of each month. Our last monthly payment to you will be on the first day of the month in which you die.</w:t>
      </w:r>
    </w:p>
    <w:p>
      <w:pPr>
        <w:spacing w:after="0" w:line="161" w:lineRule="exact"/>
        <w:rPr>
          <w:sz w:val="20"/>
          <w:szCs w:val="20"/>
          <w:color w:val="auto"/>
        </w:rPr>
      </w:pPr>
    </w:p>
    <w:p>
      <w:pPr>
        <w:ind w:left="599" w:right="120"/>
        <w:spacing w:after="0" w:line="276" w:lineRule="auto"/>
        <w:rPr>
          <w:sz w:val="20"/>
          <w:szCs w:val="20"/>
          <w:color w:val="auto"/>
        </w:rPr>
      </w:pPr>
      <w:r>
        <w:rPr>
          <w:rFonts w:ascii="Arial" w:cs="Arial" w:eastAsia="Arial" w:hAnsi="Arial"/>
          <w:sz w:val="17"/>
          <w:szCs w:val="17"/>
          <w:color w:val="auto"/>
        </w:rPr>
        <w:t>After you die, we may owe additional monthly payments. We will owe additional monthly payments if your Contingent Life (as specified in the Annuity Exhibits) is your spouse and is alive when you die. We will pay the first payment on the first day of the month following your death. We will pay subsequent monthly on the first day of each month. We will pay the last payment on the first day of the month in which such Contingent Life dies. The amount of the payments will equal the Contingent Life Amount.</w:t>
      </w:r>
    </w:p>
    <w:p>
      <w:pPr>
        <w:spacing w:after="0" w:line="152" w:lineRule="exact"/>
        <w:rPr>
          <w:sz w:val="20"/>
          <w:szCs w:val="20"/>
          <w:color w:val="auto"/>
        </w:rPr>
      </w:pPr>
    </w:p>
    <w:p>
      <w:pPr>
        <w:ind w:left="599" w:right="40"/>
        <w:spacing w:after="0" w:line="262" w:lineRule="auto"/>
        <w:rPr>
          <w:sz w:val="20"/>
          <w:szCs w:val="20"/>
          <w:color w:val="auto"/>
        </w:rPr>
      </w:pPr>
      <w:r>
        <w:rPr>
          <w:rFonts w:ascii="Arial" w:cs="Arial" w:eastAsia="Arial" w:hAnsi="Arial"/>
          <w:sz w:val="18"/>
          <w:szCs w:val="18"/>
          <w:color w:val="auto"/>
        </w:rPr>
        <w:t>If you have a Refund Death Benefit Rider, we may owe a Refund Death Benefit to the designated Beneficiary for your Annuity Form. After both you and your Contingent Life die, we will determine if we owe such payment. The following explains how we will determine if a payment is owed by us under this rider.</w:t>
      </w:r>
    </w:p>
    <w:p>
      <w:pPr>
        <w:spacing w:after="0" w:line="161" w:lineRule="exact"/>
        <w:rPr>
          <w:sz w:val="20"/>
          <w:szCs w:val="20"/>
          <w:color w:val="auto"/>
        </w:rPr>
      </w:pPr>
    </w:p>
    <w:p>
      <w:pPr>
        <w:ind w:left="599" w:right="40"/>
        <w:spacing w:after="0" w:line="256" w:lineRule="auto"/>
        <w:rPr>
          <w:sz w:val="20"/>
          <w:szCs w:val="20"/>
          <w:color w:val="auto"/>
        </w:rPr>
      </w:pPr>
      <w:r>
        <w:rPr>
          <w:rFonts w:ascii="Arial" w:cs="Arial" w:eastAsia="Arial" w:hAnsi="Arial"/>
          <w:sz w:val="18"/>
          <w:szCs w:val="18"/>
          <w:color w:val="auto"/>
        </w:rPr>
        <w:t>The amount of the Refund Death Benefit, if any, will equal the Maximum Refund Death Benefit (as specified in the Annuity Exhibits) less the Pre 1985 Part B Primary Amounts and the Post 1985 Part B Primary Amounts (as specified in the Annuity Exhibits) paid by us after the Annuity Commencement Date to you, to your Contingent Life (or to any related alternate payee, arising, for example, from a domestic relations order).</w:t>
      </w:r>
    </w:p>
    <w:p>
      <w:pPr>
        <w:spacing w:after="0" w:line="168" w:lineRule="exact"/>
        <w:rPr>
          <w:sz w:val="20"/>
          <w:szCs w:val="20"/>
          <w:color w:val="auto"/>
        </w:rPr>
      </w:pPr>
    </w:p>
    <w:p>
      <w:pPr>
        <w:ind w:left="599"/>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Covered Life Amount</w:t>
      </w:r>
      <w:r>
        <w:rPr>
          <w:rFonts w:ascii="Arial" w:cs="Arial" w:eastAsia="Arial" w:hAnsi="Arial"/>
          <w:sz w:val="17"/>
          <w:szCs w:val="17"/>
          <w:color w:val="auto"/>
        </w:rPr>
        <w:t>” means an amount that is specified in the Annuity Exhibits for your Annuity Form as the “Covered Life Amount.”</w:t>
      </w:r>
    </w:p>
    <w:p>
      <w:pPr>
        <w:spacing w:after="0" w:line="218" w:lineRule="exact"/>
        <w:rPr>
          <w:sz w:val="20"/>
          <w:szCs w:val="20"/>
          <w:color w:val="auto"/>
        </w:rPr>
      </w:pPr>
    </w:p>
    <w:p>
      <w:pPr>
        <w:ind w:left="599" w:right="4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Contingent Life Amount</w:t>
      </w:r>
      <w:r>
        <w:rPr>
          <w:rFonts w:ascii="Arial" w:cs="Arial" w:eastAsia="Arial" w:hAnsi="Arial"/>
          <w:sz w:val="18"/>
          <w:szCs w:val="18"/>
          <w:color w:val="auto"/>
        </w:rPr>
        <w:t>” means an amount that is specified in the Annuity Exhibits for your Annuity Form as the “Contingent Life Amount.”</w:t>
      </w:r>
    </w:p>
    <w:p>
      <w:pPr>
        <w:spacing w:after="0" w:line="148" w:lineRule="exact"/>
        <w:rPr>
          <w:sz w:val="20"/>
          <w:szCs w:val="20"/>
          <w:color w:val="auto"/>
        </w:rPr>
      </w:pPr>
    </w:p>
    <w:p>
      <w:pPr>
        <w:ind w:left="-1" w:right="220" w:firstLine="1"/>
        <w:spacing w:after="0" w:line="262" w:lineRule="auto"/>
        <w:tabs>
          <w:tab w:leader="none" w:pos="361" w:val="left"/>
        </w:tabs>
        <w:numPr>
          <w:ilvl w:val="0"/>
          <w:numId w:val="13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Window Single Life Annuity with or without a Refund Death Benefit Rider</w:t>
      </w:r>
      <w:r>
        <w:rPr>
          <w:rFonts w:ascii="Arial" w:cs="Arial" w:eastAsia="Arial" w:hAnsi="Arial"/>
          <w:sz w:val="18"/>
          <w:szCs w:val="18"/>
          <w:color w:val="auto"/>
        </w:rPr>
        <w:t>” means the following for each Covered Life identified in the Annuity Exhibits as receiving a distribution of a “Window Single Life Annuity” Annuity Form with or without a “Refund Death Benefit Rider”. “You” and “your” refers to each such Covered Life:</w:t>
      </w:r>
    </w:p>
    <w:p>
      <w:pPr>
        <w:spacing w:after="0" w:line="161" w:lineRule="exact"/>
        <w:rPr>
          <w:sz w:val="20"/>
          <w:szCs w:val="20"/>
          <w:color w:val="auto"/>
        </w:rPr>
      </w:pPr>
    </w:p>
    <w:p>
      <w:pPr>
        <w:ind w:left="599"/>
        <w:spacing w:after="0"/>
        <w:rPr>
          <w:sz w:val="20"/>
          <w:szCs w:val="20"/>
          <w:color w:val="auto"/>
        </w:rPr>
      </w:pPr>
      <w:r>
        <w:rPr>
          <w:rFonts w:ascii="Arial" w:cs="Arial" w:eastAsia="Arial" w:hAnsi="Arial"/>
          <w:sz w:val="18"/>
          <w:szCs w:val="18"/>
          <w:color w:val="auto"/>
        </w:rPr>
        <w:t>We do not owe any payments to anyone under this Annuity Form if you have died before the Annuity Commencement Date.</w:t>
      </w:r>
    </w:p>
    <w:p>
      <w:pPr>
        <w:spacing w:after="0" w:line="200" w:lineRule="exact"/>
        <w:rPr>
          <w:sz w:val="20"/>
          <w:szCs w:val="20"/>
          <w:color w:val="auto"/>
        </w:rPr>
      </w:pPr>
    </w:p>
    <w:p>
      <w:pPr>
        <w:spacing w:after="0" w:line="236" w:lineRule="exact"/>
        <w:rPr>
          <w:sz w:val="20"/>
          <w:szCs w:val="20"/>
          <w:color w:val="auto"/>
        </w:rPr>
      </w:pPr>
    </w:p>
    <w:p>
      <w:pPr>
        <w:ind w:left="5039"/>
        <w:spacing w:after="0"/>
        <w:rPr>
          <w:sz w:val="20"/>
          <w:szCs w:val="20"/>
          <w:color w:val="auto"/>
        </w:rPr>
      </w:pPr>
      <w:r>
        <w:rPr>
          <w:rFonts w:ascii="Arial" w:cs="Arial" w:eastAsia="Arial" w:hAnsi="Arial"/>
          <w:sz w:val="17"/>
          <w:szCs w:val="17"/>
          <w:color w:val="auto"/>
        </w:rPr>
        <w:t>20</w:t>
      </w:r>
    </w:p>
    <w:p>
      <w:pPr>
        <w:sectPr>
          <w:pgSz w:w="11900" w:h="16838" w:orient="portrait"/>
          <w:cols w:equalWidth="0" w:num="1">
            <w:col w:w="10819"/>
          </w:cols>
          <w:pgMar w:left="841" w:top="548" w:right="239" w:bottom="1440" w:gutter="0" w:footer="0" w:header="0"/>
        </w:sectPr>
      </w:pPr>
    </w:p>
    <w:bookmarkStart w:id="103" w:name="page104"/>
    <w:bookmarkEnd w:id="103"/>
    <w:p>
      <w:pPr>
        <w:jc w:val="both"/>
        <w:ind w:left="1200" w:right="120"/>
        <w:spacing w:after="0" w:line="262" w:lineRule="auto"/>
        <w:rPr>
          <w:sz w:val="20"/>
          <w:szCs w:val="20"/>
          <w:color w:val="auto"/>
        </w:rPr>
      </w:pPr>
      <w:r>
        <w:rPr>
          <w:rFonts w:ascii="Arial" w:cs="Arial" w:eastAsia="Arial" w:hAnsi="Arial"/>
          <w:sz w:val="18"/>
          <w:szCs w:val="18"/>
          <w:color w:val="auto"/>
        </w:rPr>
        <w:t>During your lifetime, we will make monthly payments to you equal to your Covered Life Amount. We owe the first monthly payment on the Annuity Commencement Date. We will pay subsequent monthly on the first day of each month. Our last monthly payment to you will be on the first day of the month in which you die.</w:t>
      </w:r>
    </w:p>
    <w:p>
      <w:pPr>
        <w:spacing w:after="0" w:line="161" w:lineRule="exact"/>
        <w:rPr>
          <w:sz w:val="20"/>
          <w:szCs w:val="20"/>
          <w:color w:val="auto"/>
        </w:rPr>
      </w:pPr>
    </w:p>
    <w:p>
      <w:pPr>
        <w:ind w:left="1200"/>
        <w:spacing w:after="0" w:line="262" w:lineRule="auto"/>
        <w:rPr>
          <w:sz w:val="20"/>
          <w:szCs w:val="20"/>
          <w:color w:val="auto"/>
        </w:rPr>
      </w:pPr>
      <w:r>
        <w:rPr>
          <w:rFonts w:ascii="Arial" w:cs="Arial" w:eastAsia="Arial" w:hAnsi="Arial"/>
          <w:sz w:val="18"/>
          <w:szCs w:val="18"/>
          <w:color w:val="auto"/>
        </w:rPr>
        <w:t>If you have a Refund Death Benefit Rider, we may owe a Refund Death Benefit to the designated Beneficiary for your Annuity Form. After you die, we will determine if we owe such payment. The following explains how we will determine if a payment is owed by us under this rider.</w:t>
      </w:r>
    </w:p>
    <w:p>
      <w:pPr>
        <w:spacing w:after="0" w:line="161" w:lineRule="exact"/>
        <w:rPr>
          <w:sz w:val="20"/>
          <w:szCs w:val="20"/>
          <w:color w:val="auto"/>
        </w:rPr>
      </w:pPr>
    </w:p>
    <w:p>
      <w:pPr>
        <w:ind w:left="1200" w:right="40"/>
        <w:spacing w:after="0" w:line="256" w:lineRule="auto"/>
        <w:rPr>
          <w:sz w:val="20"/>
          <w:szCs w:val="20"/>
          <w:color w:val="auto"/>
        </w:rPr>
      </w:pPr>
      <w:r>
        <w:rPr>
          <w:rFonts w:ascii="Arial" w:cs="Arial" w:eastAsia="Arial" w:hAnsi="Arial"/>
          <w:sz w:val="18"/>
          <w:szCs w:val="18"/>
          <w:color w:val="auto"/>
        </w:rPr>
        <w:t>The amount of the Refund Death Benefit, if any, will equal the Maximum Refund Death Benefit (as specified in the Annuity Exhibits) less the Pre 1985 Part B Primary Amounts and the Post 1985 Part B Primary Amounts (as specified in the Annuity Exhibits) paid by us after the Annuity Commencement Date to you, to your Contingent Life (or to any related alternate payee, arising, for example, from a domestic relations order).</w:t>
      </w:r>
    </w:p>
    <w:p>
      <w:pPr>
        <w:spacing w:after="0" w:line="168" w:lineRule="exact"/>
        <w:rPr>
          <w:sz w:val="20"/>
          <w:szCs w:val="20"/>
          <w:color w:val="auto"/>
        </w:rPr>
      </w:pPr>
    </w:p>
    <w:p>
      <w:pPr>
        <w:ind w:left="1800" w:right="2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Covered Life Amount</w:t>
      </w:r>
      <w:r>
        <w:rPr>
          <w:rFonts w:ascii="Arial" w:cs="Arial" w:eastAsia="Arial" w:hAnsi="Arial"/>
          <w:sz w:val="18"/>
          <w:szCs w:val="18"/>
          <w:color w:val="auto"/>
        </w:rPr>
        <w:t>” means an amount that is specified in the Annuity Exhibits for your Annuity Form as the “Covered Life Amount.”</w:t>
      </w:r>
    </w:p>
    <w:p>
      <w:pPr>
        <w:spacing w:after="0" w:line="200" w:lineRule="exact"/>
        <w:rPr>
          <w:sz w:val="20"/>
          <w:szCs w:val="20"/>
          <w:color w:val="auto"/>
        </w:rPr>
      </w:pPr>
    </w:p>
    <w:p>
      <w:pPr>
        <w:spacing w:after="0" w:line="349"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u w:val="single" w:color="auto"/>
          <w:color w:val="auto"/>
        </w:rPr>
        <w:t>2.4</w:t>
      </w:r>
      <w:r>
        <w:rPr>
          <w:sz w:val="20"/>
          <w:szCs w:val="20"/>
          <w:color w:val="auto"/>
        </w:rPr>
        <w:tab/>
      </w:r>
      <w:r>
        <w:rPr>
          <w:rFonts w:ascii="Arial" w:cs="Arial" w:eastAsia="Arial" w:hAnsi="Arial"/>
          <w:sz w:val="17"/>
          <w:szCs w:val="17"/>
          <w:u w:val="single" w:color="auto"/>
          <w:color w:val="auto"/>
        </w:rPr>
        <w:t>Limitation on Assignment</w:t>
      </w:r>
    </w:p>
    <w:p>
      <w:pPr>
        <w:spacing w:after="0" w:line="206" w:lineRule="exact"/>
        <w:rPr>
          <w:sz w:val="20"/>
          <w:szCs w:val="20"/>
          <w:color w:val="auto"/>
        </w:rPr>
      </w:pPr>
    </w:p>
    <w:p>
      <w:pPr>
        <w:ind w:left="600" w:right="40"/>
        <w:spacing w:after="0" w:line="284" w:lineRule="auto"/>
        <w:rPr>
          <w:sz w:val="20"/>
          <w:szCs w:val="20"/>
          <w:color w:val="auto"/>
        </w:rPr>
      </w:pPr>
      <w:r>
        <w:rPr>
          <w:rFonts w:ascii="Arial" w:cs="Arial" w:eastAsia="Arial" w:hAnsi="Arial"/>
          <w:sz w:val="16"/>
          <w:szCs w:val="16"/>
          <w:color w:val="auto"/>
        </w:rPr>
        <w:t>Except as expressly provided in this Provision II, no Covered Life, Contingent Life or Beneficiary may (i) assign, pledge or otherwise transfer his or her rights hereunder, or (ii) enter into a transaction in which one or more Annuity Payments are anticipated or accelerated, or (iii) use a Representative to effectuate any transaction described in clause (i) or (ii). Any attempt to enter into any transaction described in clauses (i) through</w:t>
      </w:r>
    </w:p>
    <w:p>
      <w:pPr>
        <w:spacing w:after="0" w:line="1" w:lineRule="exact"/>
        <w:rPr>
          <w:sz w:val="20"/>
          <w:szCs w:val="20"/>
          <w:color w:val="auto"/>
        </w:rPr>
      </w:pPr>
    </w:p>
    <w:p>
      <w:pPr>
        <w:ind w:left="600" w:right="140" w:firstLine="1"/>
        <w:spacing w:after="0" w:line="252" w:lineRule="auto"/>
        <w:tabs>
          <w:tab w:leader="none" w:pos="921" w:val="left"/>
        </w:tabs>
        <w:numPr>
          <w:ilvl w:val="0"/>
          <w:numId w:val="139"/>
        </w:numPr>
        <w:rPr>
          <w:rFonts w:ascii="Arial" w:cs="Arial" w:eastAsia="Arial" w:hAnsi="Arial"/>
          <w:sz w:val="18"/>
          <w:szCs w:val="18"/>
          <w:color w:val="auto"/>
        </w:rPr>
      </w:pPr>
      <w:r>
        <w:rPr>
          <w:rFonts w:ascii="Arial" w:cs="Arial" w:eastAsia="Arial" w:hAnsi="Arial"/>
          <w:sz w:val="18"/>
          <w:szCs w:val="18"/>
          <w:color w:val="auto"/>
        </w:rPr>
        <w:t>shall be void at the outset of such attempt. Also, to the maximum extent permitted by law, no Annuity Payment is subject to the claims of a creditor. For the avoidance of doubt, compliance with the terms of a domestic relations order meeting the requirement of this Provision II will not be considered to be an impermissible transaction or claim hereunder.</w:t>
      </w:r>
    </w:p>
    <w:p>
      <w:pPr>
        <w:spacing w:after="0" w:line="17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u w:val="single" w:color="auto"/>
          <w:color w:val="auto"/>
        </w:rPr>
        <w:t>2.5</w:t>
      </w:r>
      <w:r>
        <w:rPr>
          <w:sz w:val="20"/>
          <w:szCs w:val="20"/>
          <w:color w:val="auto"/>
        </w:rPr>
        <w:tab/>
      </w:r>
      <w:r>
        <w:rPr>
          <w:rFonts w:ascii="Arial" w:cs="Arial" w:eastAsia="Arial" w:hAnsi="Arial"/>
          <w:sz w:val="16"/>
          <w:szCs w:val="16"/>
          <w:u w:val="single" w:color="auto"/>
          <w:color w:val="auto"/>
        </w:rPr>
        <w:t>Proof of Continued Existence; Escheatment of Unpaid Amounts</w:t>
      </w:r>
    </w:p>
    <w:p>
      <w:pPr>
        <w:spacing w:after="0" w:line="206" w:lineRule="exact"/>
        <w:rPr>
          <w:sz w:val="20"/>
          <w:szCs w:val="20"/>
          <w:color w:val="auto"/>
        </w:rPr>
      </w:pPr>
    </w:p>
    <w:p>
      <w:pPr>
        <w:ind w:left="600" w:right="140"/>
        <w:spacing w:after="0" w:line="262" w:lineRule="auto"/>
        <w:rPr>
          <w:sz w:val="20"/>
          <w:szCs w:val="20"/>
          <w:color w:val="auto"/>
        </w:rPr>
      </w:pPr>
      <w:r>
        <w:rPr>
          <w:rFonts w:ascii="Arial" w:cs="Arial" w:eastAsia="Arial" w:hAnsi="Arial"/>
          <w:sz w:val="18"/>
          <w:szCs w:val="18"/>
          <w:color w:val="auto"/>
        </w:rPr>
        <w:t>As a condition to making any Annuity Payment arising from an Annuity Form dependent upon the continued existence of a Covered Life or Contingent Life (or Beneficiary), Prudential may require the receipt of evidence satisfactory to it that such person is alive and no such payment is owed under this Contract unless and until Prudential receives such evidence.</w:t>
      </w:r>
    </w:p>
    <w:p>
      <w:pPr>
        <w:spacing w:after="0" w:line="161" w:lineRule="exact"/>
        <w:rPr>
          <w:sz w:val="20"/>
          <w:szCs w:val="20"/>
          <w:color w:val="auto"/>
        </w:rPr>
      </w:pPr>
    </w:p>
    <w:p>
      <w:pPr>
        <w:ind w:left="600"/>
        <w:spacing w:after="0" w:line="277" w:lineRule="auto"/>
        <w:rPr>
          <w:sz w:val="20"/>
          <w:szCs w:val="20"/>
          <w:color w:val="auto"/>
        </w:rPr>
      </w:pPr>
      <w:r>
        <w:rPr>
          <w:rFonts w:ascii="Arial" w:cs="Arial" w:eastAsia="Arial" w:hAnsi="Arial"/>
          <w:sz w:val="18"/>
          <w:szCs w:val="18"/>
          <w:color w:val="auto"/>
        </w:rPr>
        <w:t>Prudential may pay a Representative of a Covered Life, Contingent Life or Beneficiary amounts otherwise owing to such Covered Life, Contingent Life or Beneficiary upon submission of evidence satisfactory to Prudential of the authority of such Representative.</w:t>
      </w:r>
    </w:p>
    <w:p>
      <w:pPr>
        <w:spacing w:after="0" w:line="148" w:lineRule="exact"/>
        <w:rPr>
          <w:sz w:val="20"/>
          <w:szCs w:val="20"/>
          <w:color w:val="auto"/>
        </w:rPr>
      </w:pPr>
    </w:p>
    <w:p>
      <w:pPr>
        <w:ind w:left="600" w:right="60"/>
        <w:spacing w:after="0" w:line="254" w:lineRule="auto"/>
        <w:rPr>
          <w:sz w:val="20"/>
          <w:szCs w:val="20"/>
          <w:color w:val="auto"/>
        </w:rPr>
      </w:pPr>
      <w:r>
        <w:rPr>
          <w:rFonts w:ascii="Arial" w:cs="Arial" w:eastAsia="Arial" w:hAnsi="Arial"/>
          <w:sz w:val="18"/>
          <w:szCs w:val="18"/>
          <w:color w:val="auto"/>
        </w:rPr>
        <w:t>After the period of time prescribed by applicable state law, any payments under a period certain annuity form or lump sum payment owed by Prudential which has not been claimed by a Covered Life, Contingent Life or Beneficiary (or such person's Representative) may be considered abandoned or escheatable property. In such case, Prudential will follow the laws applicable to the disposition of any such payment obligations. Any payments made to the state under such circumstances will relieve Prudential of all further obligations under this Contract with respect to such amounts.</w:t>
      </w:r>
    </w:p>
    <w:p>
      <w:pPr>
        <w:spacing w:after="0" w:line="18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u w:val="single" w:color="auto"/>
          <w:color w:val="auto"/>
        </w:rPr>
        <w:t>2.6</w:t>
      </w:r>
      <w:r>
        <w:rPr>
          <w:sz w:val="20"/>
          <w:szCs w:val="20"/>
          <w:color w:val="auto"/>
        </w:rPr>
        <w:tab/>
      </w:r>
      <w:r>
        <w:rPr>
          <w:rFonts w:ascii="Arial" w:cs="Arial" w:eastAsia="Arial" w:hAnsi="Arial"/>
          <w:sz w:val="16"/>
          <w:szCs w:val="16"/>
          <w:u w:val="single" w:color="auto"/>
          <w:color w:val="auto"/>
        </w:rPr>
        <w:t>Misstatements</w:t>
      </w:r>
    </w:p>
    <w:p>
      <w:pPr>
        <w:spacing w:after="0" w:line="206" w:lineRule="exact"/>
        <w:rPr>
          <w:sz w:val="20"/>
          <w:szCs w:val="20"/>
          <w:color w:val="auto"/>
        </w:rPr>
      </w:pPr>
    </w:p>
    <w:p>
      <w:pPr>
        <w:ind w:left="600" w:right="200"/>
        <w:spacing w:after="0" w:line="262" w:lineRule="auto"/>
        <w:rPr>
          <w:sz w:val="20"/>
          <w:szCs w:val="20"/>
          <w:color w:val="auto"/>
        </w:rPr>
      </w:pPr>
      <w:r>
        <w:rPr>
          <w:rFonts w:ascii="Arial" w:cs="Arial" w:eastAsia="Arial" w:hAnsi="Arial"/>
          <w:sz w:val="18"/>
          <w:szCs w:val="18"/>
          <w:color w:val="auto"/>
        </w:rPr>
        <w:t>With respect to Annuity Payments owed by Prudential, the parties shall endeavor between the Effective Date and the Expected Data Finalization Date to agree to an equitable adjustment of the Total Contribution Amount caused by misstatements of the age, sex, applicable Annuity Form, benefit amount or any other</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ectPr>
          <w:pgSz w:w="11900" w:h="16838" w:orient="portrait"/>
          <w:cols w:equalWidth="0" w:num="1">
            <w:col w:w="11420"/>
          </w:cols>
          <w:pgMar w:left="240" w:top="548" w:right="239" w:bottom="1440" w:gutter="0" w:footer="0" w:header="0"/>
        </w:sectPr>
      </w:pPr>
    </w:p>
    <w:bookmarkStart w:id="104" w:name="page105"/>
    <w:bookmarkEnd w:id="104"/>
    <w:p>
      <w:pPr>
        <w:ind w:left="600" w:right="260"/>
        <w:spacing w:after="0" w:line="277" w:lineRule="auto"/>
        <w:rPr>
          <w:sz w:val="20"/>
          <w:szCs w:val="20"/>
          <w:color w:val="auto"/>
        </w:rPr>
      </w:pPr>
      <w:r>
        <w:rPr>
          <w:rFonts w:ascii="Arial" w:cs="Arial" w:eastAsia="Arial" w:hAnsi="Arial"/>
          <w:sz w:val="18"/>
          <w:szCs w:val="18"/>
          <w:color w:val="auto"/>
        </w:rPr>
        <w:t>fact relevant to determining the amount of Annuity Payment owed to a Covered Life, Contingent Life (or, if applicable, Beneficiary) (as used in this Section, a “</w:t>
      </w:r>
      <w:r>
        <w:rPr>
          <w:rFonts w:ascii="Arial" w:cs="Arial" w:eastAsia="Arial" w:hAnsi="Arial"/>
          <w:sz w:val="18"/>
          <w:szCs w:val="18"/>
          <w:u w:val="single" w:color="auto"/>
          <w:color w:val="auto"/>
        </w:rPr>
        <w:t>data misstatement</w:t>
      </w:r>
      <w:r>
        <w:rPr>
          <w:rFonts w:ascii="Arial" w:cs="Arial" w:eastAsia="Arial" w:hAnsi="Arial"/>
          <w:sz w:val="18"/>
          <w:szCs w:val="18"/>
          <w:color w:val="auto"/>
        </w:rPr>
        <w:t>”).</w:t>
      </w:r>
    </w:p>
    <w:p>
      <w:pPr>
        <w:spacing w:after="0" w:line="161" w:lineRule="exact"/>
        <w:rPr>
          <w:sz w:val="20"/>
          <w:szCs w:val="20"/>
          <w:color w:val="auto"/>
        </w:rPr>
      </w:pPr>
    </w:p>
    <w:p>
      <w:pPr>
        <w:jc w:val="both"/>
        <w:ind w:left="600" w:right="80"/>
        <w:spacing w:after="0" w:line="262" w:lineRule="auto"/>
        <w:rPr>
          <w:sz w:val="20"/>
          <w:szCs w:val="20"/>
          <w:color w:val="auto"/>
        </w:rPr>
      </w:pPr>
      <w:r>
        <w:rPr>
          <w:rFonts w:ascii="Arial" w:cs="Arial" w:eastAsia="Arial" w:hAnsi="Arial"/>
          <w:sz w:val="18"/>
          <w:szCs w:val="18"/>
          <w:color w:val="auto"/>
        </w:rPr>
        <w:t>After the Expected Data Finalization Date, if the Annuity Exhibits (as updated through the Expected Data Finalization Date to reflect data reviews conducted between the Effective Date and the Expected Data Finalization Date) contain a data misstatement with respect to the date of birth, date of death, or sex of any Covered Life or Contingent Life (and of any Beneficiary, if applicable),</w:t>
      </w:r>
    </w:p>
    <w:p>
      <w:pPr>
        <w:spacing w:after="0" w:line="161" w:lineRule="exact"/>
        <w:rPr>
          <w:sz w:val="20"/>
          <w:szCs w:val="20"/>
          <w:color w:val="auto"/>
        </w:rPr>
      </w:pPr>
    </w:p>
    <w:p>
      <w:pPr>
        <w:ind w:left="1800" w:right="860" w:hanging="598"/>
        <w:spacing w:after="0" w:line="307" w:lineRule="auto"/>
        <w:tabs>
          <w:tab w:leader="none" w:pos="1800" w:val="left"/>
        </w:tabs>
        <w:numPr>
          <w:ilvl w:val="0"/>
          <w:numId w:val="140"/>
        </w:numPr>
        <w:rPr>
          <w:rFonts w:ascii="Arial" w:cs="Arial" w:eastAsia="Arial" w:hAnsi="Arial"/>
          <w:sz w:val="17"/>
          <w:szCs w:val="17"/>
          <w:color w:val="auto"/>
        </w:rPr>
      </w:pPr>
      <w:r>
        <w:rPr>
          <w:rFonts w:ascii="Arial" w:cs="Arial" w:eastAsia="Arial" w:hAnsi="Arial"/>
          <w:sz w:val="17"/>
          <w:szCs w:val="17"/>
          <w:color w:val="auto"/>
        </w:rPr>
        <w:t>then Prudential will not have the right to reduce any Annuity Payment below the Annuity Payment calculated using the information concerning date of birth, date of death and sex contained in such updated Annuity Exhibits; and</w:t>
      </w:r>
    </w:p>
    <w:p>
      <w:pPr>
        <w:spacing w:after="0" w:line="126" w:lineRule="exact"/>
        <w:rPr>
          <w:sz w:val="20"/>
          <w:szCs w:val="20"/>
          <w:color w:val="auto"/>
        </w:rPr>
      </w:pPr>
    </w:p>
    <w:p>
      <w:pPr>
        <w:ind w:left="1800" w:right="360" w:hanging="598"/>
        <w:spacing w:after="0" w:line="277" w:lineRule="auto"/>
        <w:tabs>
          <w:tab w:leader="none" w:pos="180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then Prudential will not have the obligation to increase any Annuity Payment above the Annuity Payment calculated using the information concerning date of birth, date of death and sex contained in such updated Annuity Exhibits.</w:t>
      </w:r>
    </w:p>
    <w:p>
      <w:pPr>
        <w:spacing w:after="0" w:line="148" w:lineRule="exact"/>
        <w:rPr>
          <w:sz w:val="20"/>
          <w:szCs w:val="20"/>
          <w:color w:val="auto"/>
        </w:rPr>
      </w:pPr>
    </w:p>
    <w:p>
      <w:pPr>
        <w:ind w:left="600"/>
        <w:spacing w:after="0" w:line="254" w:lineRule="auto"/>
        <w:rPr>
          <w:sz w:val="20"/>
          <w:szCs w:val="20"/>
          <w:color w:val="auto"/>
        </w:rPr>
      </w:pPr>
      <w:r>
        <w:rPr>
          <w:rFonts w:ascii="Arial" w:cs="Arial" w:eastAsia="Arial" w:hAnsi="Arial"/>
          <w:sz w:val="18"/>
          <w:szCs w:val="18"/>
          <w:color w:val="auto"/>
        </w:rPr>
        <w:t>Notwithstanding the above, after the Annuity Commencement Date, determinations by Prudential under Provision II in connection with each of the following will reflect any corrections of date of birth or date of death of any Covered Life or Contingent Life (and of any Beneficiary, if applicable), provided to and verified by Prudential after the Annuity Commencement Date: (1) a conversion from one Annuity Form to another Annuity Form, (2) an increase in the Covered Life Amount based on the attainment of a certain age and (3) a decrease in the Covered Life Amount based on the attainment of a certain age.</w:t>
      </w:r>
    </w:p>
    <w:p>
      <w:pPr>
        <w:spacing w:after="0" w:line="169" w:lineRule="exact"/>
        <w:rPr>
          <w:sz w:val="20"/>
          <w:szCs w:val="20"/>
          <w:color w:val="auto"/>
        </w:rPr>
      </w:pPr>
    </w:p>
    <w:p>
      <w:pPr>
        <w:ind w:left="600"/>
        <w:spacing w:after="0" w:line="256" w:lineRule="auto"/>
        <w:rPr>
          <w:sz w:val="20"/>
          <w:szCs w:val="20"/>
          <w:color w:val="auto"/>
        </w:rPr>
      </w:pPr>
      <w:r>
        <w:rPr>
          <w:rFonts w:ascii="Arial" w:cs="Arial" w:eastAsia="Arial" w:hAnsi="Arial"/>
          <w:sz w:val="18"/>
          <w:szCs w:val="18"/>
          <w:color w:val="auto"/>
        </w:rPr>
        <w:t>After the Expected Data Finalization Date, if the Annuity Exhibits (as updated through the Expected Data Finalization Date to reflect data reviews conducted between the Effective Date and the Expected Data Finalization Date) contain any data misstatement not relating to the date of birth, date of death, or sex of any Covered Life or Contingent Life (and of any Beneficiary, if applicable), then Prudential will adjust the Annuity Payment using the following process:</w:t>
      </w:r>
    </w:p>
    <w:p>
      <w:pPr>
        <w:spacing w:after="0" w:line="168" w:lineRule="exact"/>
        <w:rPr>
          <w:sz w:val="20"/>
          <w:szCs w:val="20"/>
          <w:color w:val="auto"/>
        </w:rPr>
      </w:pPr>
    </w:p>
    <w:p>
      <w:pPr>
        <w:ind w:left="1200" w:right="60" w:hanging="299"/>
        <w:spacing w:after="0" w:line="256" w:lineRule="auto"/>
        <w:tabs>
          <w:tab w:leader="none" w:pos="12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Prudential will determine the portion of the Total Contribution Amount allocated to such Covered Life, Contingent Life and/or Beneficiary. The Annuity Payment owed by Prudential in respect of such person(s) will be increased or decreased to equal the amount that could have been purchased for such person(s) using the premium paid for such person(s), assuming that such misstatement had not occurred. Also, Prudential will not change the date of the first monthly payment.</w:t>
      </w:r>
    </w:p>
    <w:p>
      <w:pPr>
        <w:spacing w:after="0" w:line="180" w:lineRule="exact"/>
        <w:rPr>
          <w:rFonts w:ascii="Arial" w:cs="Arial" w:eastAsia="Arial" w:hAnsi="Arial"/>
          <w:sz w:val="18"/>
          <w:szCs w:val="18"/>
          <w:color w:val="auto"/>
        </w:rPr>
      </w:pPr>
    </w:p>
    <w:p>
      <w:pPr>
        <w:jc w:val="both"/>
        <w:ind w:left="1800" w:right="220" w:hanging="298"/>
        <w:spacing w:after="0" w:line="252" w:lineRule="auto"/>
        <w:tabs>
          <w:tab w:leader="none" w:pos="1800" w:val="left"/>
        </w:tabs>
        <w:numPr>
          <w:ilvl w:val="1"/>
          <w:numId w:val="142"/>
        </w:numPr>
        <w:rPr>
          <w:rFonts w:ascii="Arial" w:cs="Arial" w:eastAsia="Arial" w:hAnsi="Arial"/>
          <w:sz w:val="18"/>
          <w:szCs w:val="18"/>
          <w:color w:val="auto"/>
        </w:rPr>
      </w:pPr>
      <w:r>
        <w:rPr>
          <w:rFonts w:ascii="Arial" w:cs="Arial" w:eastAsia="Arial" w:hAnsi="Arial"/>
          <w:sz w:val="18"/>
          <w:szCs w:val="18"/>
          <w:color w:val="auto"/>
        </w:rPr>
        <w:t>If the corrected Annuity Payment is less than the Annuity Payment calculated using the misstated information, then the Annuity Payment will be decreased to the amount calculated pursuant to subsection (a). Prudential may reduce future Annuity Payments further by amounts previously overpaid by Prudential to such person(s).</w:t>
      </w:r>
    </w:p>
    <w:p>
      <w:pPr>
        <w:spacing w:after="0" w:line="2" w:lineRule="exact"/>
        <w:rPr>
          <w:rFonts w:ascii="Arial" w:cs="Arial" w:eastAsia="Arial" w:hAnsi="Arial"/>
          <w:sz w:val="18"/>
          <w:szCs w:val="18"/>
          <w:color w:val="auto"/>
        </w:rPr>
      </w:pPr>
    </w:p>
    <w:p>
      <w:pPr>
        <w:ind w:left="1800" w:right="120" w:hanging="298"/>
        <w:spacing w:after="0" w:line="274" w:lineRule="auto"/>
        <w:tabs>
          <w:tab w:leader="none" w:pos="1800" w:val="left"/>
        </w:tabs>
        <w:numPr>
          <w:ilvl w:val="1"/>
          <w:numId w:val="142"/>
        </w:numPr>
        <w:rPr>
          <w:rFonts w:ascii="Arial" w:cs="Arial" w:eastAsia="Arial" w:hAnsi="Arial"/>
          <w:sz w:val="17"/>
          <w:szCs w:val="17"/>
          <w:color w:val="auto"/>
        </w:rPr>
      </w:pPr>
      <w:r>
        <w:rPr>
          <w:rFonts w:ascii="Arial" w:cs="Arial" w:eastAsia="Arial" w:hAnsi="Arial"/>
          <w:sz w:val="17"/>
          <w:szCs w:val="17"/>
          <w:color w:val="auto"/>
        </w:rPr>
        <w:t>If the corrected Annuity Payment is more than the Annuity Payment calculated using the misstated information, then the Annuity Payment will be increased to the amount calculated pursuant to subsection (a). Prudential will further pay the amount of the underpayments by Prudential in one of the next two Annuity Payments due with respect to such person.</w:t>
      </w:r>
    </w:p>
    <w:p>
      <w:pPr>
        <w:spacing w:after="0" w:line="165" w:lineRule="exact"/>
        <w:rPr>
          <w:rFonts w:ascii="Arial" w:cs="Arial" w:eastAsia="Arial" w:hAnsi="Arial"/>
          <w:sz w:val="17"/>
          <w:szCs w:val="17"/>
          <w:color w:val="auto"/>
        </w:rPr>
      </w:pPr>
    </w:p>
    <w:p>
      <w:pPr>
        <w:ind w:left="1200" w:right="20" w:hanging="299"/>
        <w:spacing w:after="0" w:line="256" w:lineRule="auto"/>
        <w:tabs>
          <w:tab w:leader="none" w:pos="12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In addition to changing the amount of Annuity Payments, the adjustments made pursuant to this Section may change other important terms of payment. For example, the Annuity Form for such person may change. The percentage of a Covered Life's Annuity Payment that is payable to a Contingent Life may change. Whether there is any Contingent Life entitled to receive an Annuity Payment may change. All adjustments made pursuant to this Section will be binding upon any person affected thereby.</w:t>
      </w:r>
    </w:p>
    <w:p>
      <w:pPr>
        <w:spacing w:after="0" w:line="16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u w:val="single" w:color="auto"/>
          <w:color w:val="auto"/>
        </w:rPr>
        <w:t>2.7</w:t>
      </w:r>
      <w:r>
        <w:rPr>
          <w:sz w:val="20"/>
          <w:szCs w:val="20"/>
          <w:color w:val="auto"/>
        </w:rPr>
        <w:tab/>
      </w:r>
      <w:r>
        <w:rPr>
          <w:rFonts w:ascii="Arial" w:cs="Arial" w:eastAsia="Arial" w:hAnsi="Arial"/>
          <w:sz w:val="16"/>
          <w:szCs w:val="16"/>
          <w:u w:val="single" w:color="auto"/>
          <w:color w:val="auto"/>
        </w:rPr>
        <w:t>Concerning Beneficiaries and Contingent Annuitants</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22</w:t>
      </w:r>
    </w:p>
    <w:p>
      <w:pPr>
        <w:sectPr>
          <w:pgSz w:w="11900" w:h="16838" w:orient="portrait"/>
          <w:cols w:equalWidth="0" w:num="1">
            <w:col w:w="11420"/>
          </w:cols>
          <w:pgMar w:left="240" w:top="548" w:right="239" w:bottom="1440" w:gutter="0" w:footer="0" w:header="0"/>
        </w:sectPr>
      </w:pPr>
    </w:p>
    <w:bookmarkStart w:id="105" w:name="page106"/>
    <w:bookmarkEnd w:id="105"/>
    <w:p>
      <w:pPr>
        <w:jc w:val="both"/>
        <w:ind w:left="600" w:right="140"/>
        <w:spacing w:after="0" w:line="309" w:lineRule="auto"/>
        <w:rPr>
          <w:sz w:val="20"/>
          <w:szCs w:val="20"/>
          <w:color w:val="auto"/>
        </w:rPr>
      </w:pPr>
      <w:r>
        <w:rPr>
          <w:rFonts w:ascii="Arial" w:cs="Arial" w:eastAsia="Arial" w:hAnsi="Arial"/>
          <w:sz w:val="16"/>
          <w:szCs w:val="16"/>
          <w:color w:val="auto"/>
        </w:rPr>
        <w:t>A Covered Life (or, following the death of a Covered Life, a Contingent Life) may designate and re-designate a Beneficiary from time to time in such manner that is specified by Prudential and that is in accordance with such related Annuity Form. If there is no designated Beneficiary shown in Prudential's records when a payment is payable to a Beneficiary under the terms of this Contract, payment will be made to a Representative.</w:t>
      </w:r>
    </w:p>
    <w:p>
      <w:pPr>
        <w:spacing w:after="0" w:line="128" w:lineRule="exact"/>
        <w:rPr>
          <w:sz w:val="20"/>
          <w:szCs w:val="20"/>
          <w:color w:val="auto"/>
        </w:rPr>
      </w:pPr>
    </w:p>
    <w:p>
      <w:pPr>
        <w:ind w:left="600" w:right="180"/>
        <w:spacing w:after="0" w:line="277" w:lineRule="auto"/>
        <w:rPr>
          <w:sz w:val="20"/>
          <w:szCs w:val="20"/>
          <w:color w:val="auto"/>
        </w:rPr>
      </w:pPr>
      <w:r>
        <w:rPr>
          <w:rFonts w:ascii="Arial" w:cs="Arial" w:eastAsia="Arial" w:hAnsi="Arial"/>
          <w:sz w:val="18"/>
          <w:szCs w:val="18"/>
          <w:color w:val="auto"/>
        </w:rPr>
        <w:t>If and to the extent provided in this Provision II, but subject to the conditions specified in this Provision II, a Covered Life may designate and re-designate another person as his or her Contingent Life without the consent of such Contingent Life.</w:t>
      </w:r>
    </w:p>
    <w:p>
      <w:pPr>
        <w:spacing w:after="0" w:line="148" w:lineRule="exact"/>
        <w:rPr>
          <w:sz w:val="20"/>
          <w:szCs w:val="20"/>
          <w:color w:val="auto"/>
        </w:rPr>
      </w:pPr>
    </w:p>
    <w:p>
      <w:pPr>
        <w:ind w:left="600"/>
        <w:spacing w:after="0" w:line="290" w:lineRule="auto"/>
        <w:rPr>
          <w:sz w:val="20"/>
          <w:szCs w:val="20"/>
          <w:color w:val="auto"/>
        </w:rPr>
      </w:pPr>
      <w:r>
        <w:rPr>
          <w:rFonts w:ascii="Arial" w:cs="Arial" w:eastAsia="Arial" w:hAnsi="Arial"/>
          <w:sz w:val="16"/>
          <w:szCs w:val="16"/>
          <w:color w:val="auto"/>
        </w:rPr>
        <w:t>The parties agree with each other that the acceptability of such designations and re-designations of Beneficiaries and Contingent Lives will meet the requirements of ERISA as applied to employee benefit plan participants in effect from time to time, and shall keep their records accordingly. Such designations or re-designations shall become effective, with respect to the designation of a Contingent Life, as provided in Sections 2.2 (“Definitions”) and Section 2.3 (“Annuity Forms”). Such designations or re-designations shall become effective, with respect to the designation of a Beneficiary, on the date when the Change in Beneficiary Form is signed by the Covered Life or Contingent Life; provided that no such Change in Beneficiary Form shall be effective with respect to any action taken by Prudential prior to the receipt of such form at Prudential's Office.</w:t>
      </w:r>
    </w:p>
    <w:p>
      <w:pPr>
        <w:spacing w:after="0" w:line="143" w:lineRule="exact"/>
        <w:rPr>
          <w:sz w:val="20"/>
          <w:szCs w:val="20"/>
          <w:color w:val="auto"/>
        </w:rPr>
      </w:pPr>
    </w:p>
    <w:p>
      <w:pPr>
        <w:ind w:left="600" w:right="120"/>
        <w:spacing w:after="0" w:line="342" w:lineRule="auto"/>
        <w:rPr>
          <w:sz w:val="20"/>
          <w:szCs w:val="20"/>
          <w:color w:val="auto"/>
        </w:rPr>
      </w:pPr>
      <w:r>
        <w:rPr>
          <w:rFonts w:ascii="Arial" w:cs="Arial" w:eastAsia="Arial" w:hAnsi="Arial"/>
          <w:sz w:val="16"/>
          <w:szCs w:val="16"/>
          <w:color w:val="auto"/>
        </w:rPr>
        <w:t>Prudential, in determining the existence, identity, ages, or any other facts relating to any relatives of any Covered Life (or Contingent Life) or any persons designated as Beneficiaries, either as a class or otherwise, may rely solely on any affidavit or other evidence deemed satisfactory by it.</w:t>
      </w:r>
    </w:p>
    <w:p>
      <w:pPr>
        <w:spacing w:after="0" w:line="101" w:lineRule="exact"/>
        <w:rPr>
          <w:sz w:val="20"/>
          <w:szCs w:val="20"/>
          <w:color w:val="auto"/>
        </w:rPr>
      </w:pPr>
    </w:p>
    <w:p>
      <w:pPr>
        <w:ind w:left="600" w:right="240"/>
        <w:spacing w:after="0" w:line="277" w:lineRule="auto"/>
        <w:rPr>
          <w:sz w:val="20"/>
          <w:szCs w:val="20"/>
          <w:color w:val="auto"/>
        </w:rPr>
      </w:pPr>
      <w:r>
        <w:rPr>
          <w:rFonts w:ascii="Arial" w:cs="Arial" w:eastAsia="Arial" w:hAnsi="Arial"/>
          <w:sz w:val="18"/>
          <w:szCs w:val="18"/>
          <w:color w:val="auto"/>
        </w:rPr>
        <w:t>During the period when it is maintaining such records, Prudential will furnish an acknowledgment to the Covered Life or Contingent Life of the acceptance of any such designation or re-designation.</w:t>
      </w:r>
    </w:p>
    <w:p>
      <w:pPr>
        <w:spacing w:after="0" w:line="148" w:lineRule="exact"/>
        <w:rPr>
          <w:sz w:val="20"/>
          <w:szCs w:val="20"/>
          <w:color w:val="auto"/>
        </w:rPr>
      </w:pPr>
    </w:p>
    <w:p>
      <w:pPr>
        <w:ind w:left="600"/>
        <w:spacing w:after="0"/>
        <w:rPr>
          <w:sz w:val="20"/>
          <w:szCs w:val="20"/>
          <w:color w:val="auto"/>
        </w:rPr>
      </w:pPr>
      <w:r>
        <w:rPr>
          <w:rFonts w:ascii="Arial" w:cs="Arial" w:eastAsia="Arial" w:hAnsi="Arial"/>
          <w:sz w:val="16"/>
          <w:szCs w:val="16"/>
          <w:color w:val="auto"/>
        </w:rPr>
        <w:t>Any payment made by Prudential in reliance thereon will, to the extent of such payment, be a valid discharge of its obligation under this Contract.</w:t>
      </w:r>
    </w:p>
    <w:p>
      <w:pPr>
        <w:spacing w:after="0" w:line="242"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u w:val="single" w:color="auto"/>
          <w:color w:val="auto"/>
        </w:rPr>
        <w:t>2.8</w:t>
      </w:r>
      <w:r>
        <w:rPr>
          <w:sz w:val="20"/>
          <w:szCs w:val="20"/>
          <w:color w:val="auto"/>
        </w:rPr>
        <w:tab/>
      </w:r>
      <w:r>
        <w:rPr>
          <w:rFonts w:ascii="Arial" w:cs="Arial" w:eastAsia="Arial" w:hAnsi="Arial"/>
          <w:sz w:val="16"/>
          <w:szCs w:val="16"/>
          <w:u w:val="single" w:color="auto"/>
          <w:color w:val="auto"/>
        </w:rPr>
        <w:t>Concerning Domestic Relations Orders</w:t>
      </w:r>
    </w:p>
    <w:p>
      <w:pPr>
        <w:spacing w:after="0" w:line="219" w:lineRule="exact"/>
        <w:rPr>
          <w:sz w:val="20"/>
          <w:szCs w:val="20"/>
          <w:color w:val="auto"/>
        </w:rPr>
      </w:pPr>
    </w:p>
    <w:p>
      <w:pPr>
        <w:ind w:left="600"/>
        <w:spacing w:after="0" w:line="270" w:lineRule="auto"/>
        <w:rPr>
          <w:sz w:val="20"/>
          <w:szCs w:val="20"/>
          <w:color w:val="auto"/>
        </w:rPr>
      </w:pPr>
      <w:r>
        <w:rPr>
          <w:rFonts w:ascii="Arial" w:cs="Arial" w:eastAsia="Arial" w:hAnsi="Arial"/>
          <w:sz w:val="17"/>
          <w:szCs w:val="17"/>
          <w:color w:val="auto"/>
        </w:rPr>
        <w:t>If after the Annuity Commencement Date an Annuity Payment is subject to a domestic relations order, no adjustments or payments to a Covered Life, Contingent Life or to any other alternate payee will become payable until (i) Prudential has so received any such domestic relations order, (ii) Prudential has so approved the domestic relations order, and (iii) Prudential has received a copy of the domestic relations order after it has been qualified or Prudential has so qualified the domestic relations order. Any such Annuity Payment adjustment will take effect when entered upon Prudential's records. The parties agree with each other that acceptable domestic relations orders shall meet the requirements of ERISA as applied to employee benefit plan participants in effect from time to time, and shall keep their records accordingly.</w:t>
      </w:r>
    </w:p>
    <w:p>
      <w:pPr>
        <w:spacing w:after="0" w:line="15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u w:val="single" w:color="auto"/>
          <w:color w:val="auto"/>
        </w:rPr>
        <w:t>2.9</w:t>
      </w:r>
      <w:r>
        <w:rPr>
          <w:sz w:val="20"/>
          <w:szCs w:val="20"/>
          <w:color w:val="auto"/>
        </w:rPr>
        <w:tab/>
      </w:r>
      <w:r>
        <w:rPr>
          <w:rFonts w:ascii="Arial" w:cs="Arial" w:eastAsia="Arial" w:hAnsi="Arial"/>
          <w:sz w:val="16"/>
          <w:szCs w:val="16"/>
          <w:u w:val="single" w:color="auto"/>
          <w:color w:val="auto"/>
        </w:rPr>
        <w:t>Substitute Payee</w:t>
      </w:r>
    </w:p>
    <w:p>
      <w:pPr>
        <w:spacing w:after="0" w:line="206" w:lineRule="exact"/>
        <w:rPr>
          <w:sz w:val="20"/>
          <w:szCs w:val="20"/>
          <w:color w:val="auto"/>
        </w:rPr>
      </w:pPr>
    </w:p>
    <w:p>
      <w:pPr>
        <w:ind w:left="600" w:right="700"/>
        <w:spacing w:after="0" w:line="277" w:lineRule="auto"/>
        <w:rPr>
          <w:sz w:val="20"/>
          <w:szCs w:val="20"/>
          <w:color w:val="auto"/>
        </w:rPr>
      </w:pPr>
      <w:r>
        <w:rPr>
          <w:rFonts w:ascii="Arial" w:cs="Arial" w:eastAsia="Arial" w:hAnsi="Arial"/>
          <w:sz w:val="18"/>
          <w:szCs w:val="18"/>
          <w:color w:val="auto"/>
        </w:rPr>
        <w:t>Prudential may discharge its obligation to a Covered Life, Contingent Life or Beneficiary hereunder by making payments to such person's Representative.</w:t>
      </w:r>
    </w:p>
    <w:p>
      <w:pPr>
        <w:spacing w:after="0" w:line="148"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u w:val="single" w:color="auto"/>
          <w:color w:val="auto"/>
        </w:rPr>
        <w:t>2.10</w:t>
      </w:r>
      <w:r>
        <w:rPr>
          <w:sz w:val="20"/>
          <w:szCs w:val="20"/>
          <w:color w:val="auto"/>
        </w:rPr>
        <w:tab/>
      </w:r>
      <w:r>
        <w:rPr>
          <w:rFonts w:ascii="Arial" w:cs="Arial" w:eastAsia="Arial" w:hAnsi="Arial"/>
          <w:sz w:val="17"/>
          <w:szCs w:val="17"/>
          <w:u w:val="single" w:color="auto"/>
          <w:color w:val="auto"/>
        </w:rPr>
        <w:t>Certificates</w:t>
      </w:r>
    </w:p>
    <w:p>
      <w:pPr>
        <w:spacing w:after="0" w:line="206" w:lineRule="exact"/>
        <w:rPr>
          <w:sz w:val="20"/>
          <w:szCs w:val="20"/>
          <w:color w:val="auto"/>
        </w:rPr>
      </w:pPr>
    </w:p>
    <w:p>
      <w:pPr>
        <w:ind w:left="600" w:right="20"/>
        <w:spacing w:after="0" w:line="254" w:lineRule="auto"/>
        <w:rPr>
          <w:sz w:val="20"/>
          <w:szCs w:val="20"/>
          <w:color w:val="auto"/>
        </w:rPr>
      </w:pPr>
      <w:r>
        <w:rPr>
          <w:rFonts w:ascii="Arial" w:cs="Arial" w:eastAsia="Arial" w:hAnsi="Arial"/>
          <w:sz w:val="18"/>
          <w:szCs w:val="18"/>
          <w:color w:val="auto"/>
        </w:rPr>
        <w:t>Upon receipt of applicable regulatory approvals, Prudential will issue an annuity certificate with respect to each Covered Life (and, if receiving Annuity Payments on the date of issuance of annuity certificates, Contingent Life and Beneficiary). Each such certificate will set forth in substance the payments to which such Covered Life, Contingent Life and Beneficiary is entitled under this Contract. Also, Prudential may issue a substitute annuity certificate to correct errors contained in the previously issued certificate, whereupon the erroneously issued annuity certificate shall be null and void.</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ectPr>
          <w:pgSz w:w="11900" w:h="16838" w:orient="portrait"/>
          <w:cols w:equalWidth="0" w:num="1">
            <w:col w:w="11420"/>
          </w:cols>
          <w:pgMar w:left="240" w:top="548" w:right="239" w:bottom="1440" w:gutter="0" w:footer="0" w:header="0"/>
        </w:sectPr>
      </w:pPr>
    </w:p>
    <w:bookmarkStart w:id="106" w:name="page107"/>
    <w:bookmarkEnd w:id="106"/>
    <w:p>
      <w:pPr>
        <w:ind w:left="600"/>
        <w:spacing w:after="0" w:line="256" w:lineRule="auto"/>
        <w:rPr>
          <w:sz w:val="20"/>
          <w:szCs w:val="20"/>
          <w:color w:val="auto"/>
        </w:rPr>
      </w:pPr>
      <w:r>
        <w:rPr>
          <w:rFonts w:ascii="Arial" w:cs="Arial" w:eastAsia="Arial" w:hAnsi="Arial"/>
          <w:sz w:val="18"/>
          <w:szCs w:val="18"/>
          <w:color w:val="auto"/>
        </w:rPr>
        <w:t>Each such certificate shall provide that only the Covered Live (and, as applicable, a Contingent Life and Beneficiary) has the right to Annuity Payments under this Contract, and that such right to Annuity Payments is enforceable by the certificate-holder solely against Prudential and against no other person including the Plan, Plan sponsor, Contract-Holder or any affiliate thereof. Each certificate shall describe the consequences of any data misstatements, including Prudential's rights and obligations relating to such data misstatements.</w:t>
      </w:r>
    </w:p>
    <w:p>
      <w:pPr>
        <w:spacing w:after="0" w:line="168"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u w:val="single" w:color="auto"/>
          <w:color w:val="auto"/>
        </w:rPr>
        <w:t>2.11</w:t>
      </w:r>
      <w:r>
        <w:rPr>
          <w:sz w:val="20"/>
          <w:szCs w:val="20"/>
          <w:color w:val="auto"/>
        </w:rPr>
        <w:tab/>
      </w:r>
      <w:r>
        <w:rPr>
          <w:rFonts w:ascii="Arial" w:cs="Arial" w:eastAsia="Arial" w:hAnsi="Arial"/>
          <w:sz w:val="16"/>
          <w:szCs w:val="16"/>
          <w:u w:val="single" w:color="auto"/>
          <w:color w:val="auto"/>
        </w:rPr>
        <w:t>Reliance on Records; Correction of Errors</w:t>
      </w:r>
    </w:p>
    <w:p>
      <w:pPr>
        <w:spacing w:after="0" w:line="206" w:lineRule="exact"/>
        <w:rPr>
          <w:sz w:val="20"/>
          <w:szCs w:val="20"/>
          <w:color w:val="auto"/>
        </w:rPr>
      </w:pPr>
    </w:p>
    <w:p>
      <w:pPr>
        <w:ind w:left="600" w:right="40"/>
        <w:spacing w:after="0" w:line="256" w:lineRule="auto"/>
        <w:rPr>
          <w:sz w:val="20"/>
          <w:szCs w:val="20"/>
          <w:color w:val="auto"/>
        </w:rPr>
      </w:pPr>
      <w:r>
        <w:rPr>
          <w:rFonts w:ascii="Arial" w:cs="Arial" w:eastAsia="Arial" w:hAnsi="Arial"/>
          <w:sz w:val="18"/>
          <w:szCs w:val="18"/>
          <w:color w:val="auto"/>
        </w:rPr>
        <w:t>Until the Expected Data Finalization Date, Prudential will receive from the Plan or its agent the information which Prudential may reasonably require for the administration of this Contract. If Prudential does not receive all such information, Prudential will seek such information from the relevant Covered Life, Contingent Life or Beneficiary. Prudential may hold Annuity Payments if it lacks the information necessary to process such Annuity Payment or if processing such payment is contrary to applicable law.</w:t>
      </w:r>
    </w:p>
    <w:p>
      <w:pPr>
        <w:spacing w:after="0" w:line="168" w:lineRule="exact"/>
        <w:rPr>
          <w:sz w:val="20"/>
          <w:szCs w:val="20"/>
          <w:color w:val="auto"/>
        </w:rPr>
      </w:pPr>
    </w:p>
    <w:p>
      <w:pPr>
        <w:ind w:left="600" w:right="20"/>
        <w:spacing w:after="0" w:line="252" w:lineRule="auto"/>
        <w:rPr>
          <w:sz w:val="20"/>
          <w:szCs w:val="20"/>
          <w:color w:val="auto"/>
        </w:rPr>
      </w:pPr>
      <w:r>
        <w:rPr>
          <w:rFonts w:ascii="Arial" w:cs="Arial" w:eastAsia="Arial" w:hAnsi="Arial"/>
          <w:sz w:val="18"/>
          <w:szCs w:val="18"/>
          <w:color w:val="auto"/>
        </w:rPr>
        <w:t>Prudential will maintain the records necessary for its administration of this Contract. Such records will be prepared using the information furnished to it pursuant to this Contract and will constitute prima facie evidence as to the truth of the information recorded thereon. However, Prudential reserves the right to correct its records to eliminate erroneous information furnished to it and to reflect information it gathers reasonably believed by it to be reliable. Prudential may assume the accuracy of the records kept by or on behalf of the Plan in connection with Covered Lives, Contingent Lives and Beneficiaries. Any payment made by Prudential in reliance on such records shall be a valid discharge of its obligation under this Contract.</w:t>
      </w:r>
    </w:p>
    <w:p>
      <w:pPr>
        <w:spacing w:after="0" w:line="173"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u w:val="single" w:color="auto"/>
          <w:color w:val="auto"/>
        </w:rPr>
        <w:t>2.12</w:t>
      </w:r>
      <w:r>
        <w:rPr>
          <w:sz w:val="20"/>
          <w:szCs w:val="20"/>
          <w:color w:val="auto"/>
        </w:rPr>
        <w:tab/>
      </w:r>
      <w:r>
        <w:rPr>
          <w:rFonts w:ascii="Arial" w:cs="Arial" w:eastAsia="Arial" w:hAnsi="Arial"/>
          <w:sz w:val="17"/>
          <w:szCs w:val="17"/>
          <w:u w:val="single" w:color="auto"/>
          <w:color w:val="auto"/>
        </w:rPr>
        <w:t>[Deductions from Annuity Payments</w:t>
      </w:r>
    </w:p>
    <w:p>
      <w:pPr>
        <w:spacing w:after="0" w:line="206" w:lineRule="exact"/>
        <w:rPr>
          <w:sz w:val="20"/>
          <w:szCs w:val="20"/>
          <w:color w:val="auto"/>
        </w:rPr>
      </w:pPr>
    </w:p>
    <w:p>
      <w:pPr>
        <w:ind w:left="600"/>
        <w:spacing w:after="0" w:line="270" w:lineRule="auto"/>
        <w:rPr>
          <w:sz w:val="20"/>
          <w:szCs w:val="20"/>
          <w:color w:val="auto"/>
        </w:rPr>
      </w:pPr>
      <w:r>
        <w:rPr>
          <w:rFonts w:ascii="Arial" w:cs="Arial" w:eastAsia="Arial" w:hAnsi="Arial"/>
          <w:sz w:val="17"/>
          <w:szCs w:val="17"/>
          <w:color w:val="auto"/>
        </w:rPr>
        <w:t>A Covered Life (or a Contingent Life) may request in writing in a manner specified by Prudential that Prudential deduct a specified amount each month from the amounts payable by Prudential to such Covered Life (or Contingent Life) to be applied for payment of the annuitant's health care premiums and for payment of other benefits that were permitted to be deducted from Plan benefits governed by the Plan. Upon receipt by Prudential of such a request, the amount specified in such request shall, subject to the consent of Prudential, be so deducted each month until receipt by Prudential of a request (in a manner specified by Prudential) from the Covered Life (or Contingent Life) that such deductions cease. The amount so deducted each month shall be transferred on behalf of such Covered Life (or Contingent Life) as specified in the request for such deductions in full settlement of all obligations of Prudential under this Contract with respect to the amount so transferred. Deductions by Prudential on behalf of a Covered Life (or a Contingent Life) will begin or cease, as the case may be, no earlier than the Annuity Payment that is due at least 30 days following Prudential's receipt of such request to begin or cease deductions for that Covered Life (or Contingent Life).]</w:t>
      </w:r>
      <w:r>
        <w:rPr>
          <w:rFonts w:ascii="Arial" w:cs="Arial" w:eastAsia="Arial" w:hAnsi="Arial"/>
          <w:sz w:val="21"/>
          <w:szCs w:val="21"/>
          <w:color w:val="auto"/>
          <w:vertAlign w:val="superscript"/>
        </w:rPr>
        <w:t>D</w:t>
      </w:r>
    </w:p>
    <w:p>
      <w:pPr>
        <w:spacing w:after="0" w:line="93"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b w:val="1"/>
          <w:bCs w:val="1"/>
          <w:color w:val="auto"/>
        </w:rPr>
        <w:t>Provision III</w:t>
      </w:r>
      <w:r>
        <w:rPr>
          <w:sz w:val="20"/>
          <w:szCs w:val="20"/>
          <w:color w:val="auto"/>
        </w:rPr>
        <w:tab/>
      </w:r>
      <w:r>
        <w:rPr>
          <w:rFonts w:ascii="Arial" w:cs="Arial" w:eastAsia="Arial" w:hAnsi="Arial"/>
          <w:sz w:val="16"/>
          <w:szCs w:val="16"/>
          <w:b w:val="1"/>
          <w:bCs w:val="1"/>
          <w:color w:val="auto"/>
        </w:rPr>
        <w:t>General Terms</w:t>
      </w:r>
    </w:p>
    <w:p>
      <w:pPr>
        <w:spacing w:after="0" w:line="210"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u w:val="single" w:color="auto"/>
          <w:color w:val="auto"/>
        </w:rPr>
        <w:t>3.1</w:t>
      </w:r>
      <w:r>
        <w:rPr>
          <w:sz w:val="20"/>
          <w:szCs w:val="20"/>
          <w:color w:val="auto"/>
        </w:rPr>
        <w:tab/>
      </w:r>
      <w:r>
        <w:rPr>
          <w:rFonts w:ascii="Arial" w:cs="Arial" w:eastAsia="Arial" w:hAnsi="Arial"/>
          <w:sz w:val="16"/>
          <w:szCs w:val="16"/>
          <w:u w:val="single" w:color="auto"/>
          <w:color w:val="auto"/>
        </w:rPr>
        <w:t>Communications</w:t>
      </w:r>
    </w:p>
    <w:p>
      <w:pPr>
        <w:spacing w:after="0" w:line="206"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All communications to Prudential regarding this Contract shall be addressed to Prudential's Office.</w:t>
      </w:r>
    </w:p>
    <w:p>
      <w:pPr>
        <w:spacing w:after="0" w:line="206" w:lineRule="exact"/>
        <w:rPr>
          <w:sz w:val="20"/>
          <w:szCs w:val="20"/>
          <w:color w:val="auto"/>
        </w:rPr>
      </w:pPr>
    </w:p>
    <w:p>
      <w:pPr>
        <w:ind w:left="600" w:right="400"/>
        <w:spacing w:after="0" w:line="277" w:lineRule="auto"/>
        <w:rPr>
          <w:sz w:val="20"/>
          <w:szCs w:val="20"/>
          <w:color w:val="auto"/>
        </w:rPr>
      </w:pPr>
      <w:r>
        <w:rPr>
          <w:rFonts w:ascii="Arial" w:cs="Arial" w:eastAsia="Arial" w:hAnsi="Arial"/>
          <w:sz w:val="18"/>
          <w:szCs w:val="18"/>
          <w:color w:val="auto"/>
        </w:rPr>
        <w:t>Communications to Contract-Holder will be addressed as shown in our records, as updated from time to time on Prudential's records based on notice provided by the Contract-Holder to Prudential.</w:t>
      </w:r>
    </w:p>
    <w:p>
      <w:pPr>
        <w:spacing w:after="0" w:line="14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All communications to Contract-Holder or Prudential will be in writing.</w:t>
      </w:r>
    </w:p>
    <w:p>
      <w:pPr>
        <w:spacing w:after="0" w:line="206"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u w:val="single" w:color="auto"/>
          <w:color w:val="auto"/>
        </w:rPr>
        <w:t>3.2</w:t>
      </w:r>
      <w:r>
        <w:rPr>
          <w:sz w:val="20"/>
          <w:szCs w:val="20"/>
          <w:color w:val="auto"/>
        </w:rPr>
        <w:tab/>
      </w:r>
      <w:r>
        <w:rPr>
          <w:rFonts w:ascii="Arial" w:cs="Arial" w:eastAsia="Arial" w:hAnsi="Arial"/>
          <w:sz w:val="16"/>
          <w:szCs w:val="16"/>
          <w:u w:val="single" w:color="auto"/>
          <w:color w:val="auto"/>
        </w:rPr>
        <w:t>Currency; Payments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ectPr>
          <w:pgSz w:w="11900" w:h="16838" w:orient="portrait"/>
          <w:cols w:equalWidth="0" w:num="1">
            <w:col w:w="11420"/>
          </w:cols>
          <w:pgMar w:left="240" w:top="548" w:right="239" w:bottom="1440" w:gutter="0" w:footer="0" w:header="0"/>
        </w:sectPr>
      </w:pPr>
    </w:p>
    <w:bookmarkStart w:id="107" w:name="page108"/>
    <w:bookmarkEnd w:id="107"/>
    <w:p>
      <w:pPr>
        <w:ind w:left="600" w:right="320"/>
        <w:spacing w:after="0" w:line="262" w:lineRule="auto"/>
        <w:rPr>
          <w:sz w:val="20"/>
          <w:szCs w:val="20"/>
          <w:color w:val="auto"/>
        </w:rPr>
      </w:pPr>
      <w:r>
        <w:rPr>
          <w:rFonts w:ascii="Arial" w:cs="Arial" w:eastAsia="Arial" w:hAnsi="Arial"/>
          <w:sz w:val="18"/>
          <w:szCs w:val="18"/>
          <w:color w:val="auto"/>
        </w:rPr>
        <w:t>All moneys, whether payable to or by Prudential, shall be in lawful money of the United States of America. Dollars and cents refer to lawful currency of the United States of America. Payments owed to Prudential or to Contract-Holder shall be made pursuant to agreed procedures and wire instructions.</w:t>
      </w:r>
    </w:p>
    <w:p>
      <w:pPr>
        <w:spacing w:after="0" w:line="16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u w:val="single" w:color="auto"/>
          <w:color w:val="auto"/>
        </w:rPr>
        <w:t>3.3</w:t>
      </w:r>
      <w:r>
        <w:rPr>
          <w:sz w:val="20"/>
          <w:szCs w:val="20"/>
          <w:color w:val="auto"/>
        </w:rPr>
        <w:tab/>
      </w:r>
      <w:r>
        <w:rPr>
          <w:rFonts w:ascii="Arial" w:cs="Arial" w:eastAsia="Arial" w:hAnsi="Arial"/>
          <w:sz w:val="16"/>
          <w:szCs w:val="16"/>
          <w:u w:val="single" w:color="auto"/>
          <w:color w:val="auto"/>
        </w:rPr>
        <w:t>Contract-Holder</w:t>
      </w:r>
    </w:p>
    <w:p>
      <w:pPr>
        <w:spacing w:after="0" w:line="206" w:lineRule="exact"/>
        <w:rPr>
          <w:sz w:val="20"/>
          <w:szCs w:val="20"/>
          <w:color w:val="auto"/>
        </w:rPr>
      </w:pPr>
    </w:p>
    <w:p>
      <w:pPr>
        <w:ind w:left="600"/>
        <w:spacing w:after="0" w:line="250" w:lineRule="auto"/>
        <w:rPr>
          <w:sz w:val="20"/>
          <w:szCs w:val="20"/>
          <w:color w:val="auto"/>
        </w:rPr>
      </w:pPr>
      <w:r>
        <w:rPr>
          <w:rFonts w:ascii="Arial" w:cs="Arial" w:eastAsia="Arial" w:hAnsi="Arial"/>
          <w:sz w:val="18"/>
          <w:szCs w:val="18"/>
          <w:color w:val="auto"/>
        </w:rPr>
        <w:t xml:space="preserve">Prudential will be entitled to rely on any action taken or omitted by or on behalf of Contract-Holder pursuant to the terms of this Contract and shall not be required to obtain consents of any other person or organization with an interest in the Plan, except as provided in Section 1.9 (“Persons Entitled to Enforce this Contract against Prudential”). Until the Expected Data Finalization Date, Prudential is entitled to rely on the Contract-Holder (or its representative) in connection with Prudential's administration of this Contract. If the Contract-Holder notifies Prudential that it will cease to exist or cease to perform the duties of the Contract-Holder hereunder and no successor Contract-Holder is appointed by the Contract-Holder, the Contract-Holder will thereafter have no rights or obligations under this Contract,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this Contract nevertheless shall remain irrevocable and in full force and effect in accordance with its terms, and not subject to amendment or modification except as otherwise provided herein, it being acknowledged and understood that the intended third-party beneficiary rights of each Covered Life, Contingent Life and Beneficiary hereunder shall survive until the date on which there ceases to be any further Annuity Payments payable in accordance with the terms of this Contract.</w:t>
      </w:r>
    </w:p>
    <w:p>
      <w:pPr>
        <w:spacing w:after="0" w:line="172"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u w:val="single" w:color="auto"/>
          <w:color w:val="auto"/>
        </w:rPr>
        <w:t>3.4</w:t>
      </w:r>
      <w:r>
        <w:rPr>
          <w:sz w:val="20"/>
          <w:szCs w:val="20"/>
          <w:color w:val="auto"/>
        </w:rPr>
        <w:tab/>
      </w:r>
      <w:r>
        <w:rPr>
          <w:rFonts w:ascii="Arial" w:cs="Arial" w:eastAsia="Arial" w:hAnsi="Arial"/>
          <w:sz w:val="17"/>
          <w:szCs w:val="17"/>
          <w:u w:val="single" w:color="auto"/>
          <w:color w:val="auto"/>
        </w:rPr>
        <w:t>No Implied Waiver</w:t>
      </w:r>
    </w:p>
    <w:p>
      <w:pPr>
        <w:spacing w:after="0" w:line="206" w:lineRule="exact"/>
        <w:rPr>
          <w:sz w:val="20"/>
          <w:szCs w:val="20"/>
          <w:color w:val="auto"/>
        </w:rPr>
      </w:pPr>
    </w:p>
    <w:p>
      <w:pPr>
        <w:ind w:left="600" w:right="100"/>
        <w:spacing w:after="0" w:line="262" w:lineRule="auto"/>
        <w:rPr>
          <w:sz w:val="20"/>
          <w:szCs w:val="20"/>
          <w:color w:val="auto"/>
        </w:rPr>
      </w:pPr>
      <w:r>
        <w:rPr>
          <w:rFonts w:ascii="Arial" w:cs="Arial" w:eastAsia="Arial" w:hAnsi="Arial"/>
          <w:sz w:val="18"/>
          <w:szCs w:val="18"/>
          <w:color w:val="auto"/>
        </w:rPr>
        <w:t>Except as expressly provided herein, any party's failure to insist in any one or more instances upon strict performance by any other party of any of the terms of this Contract shall not be construed as a waiver of any continuing or subsequent failure to perform or delay in performance of any term hereof.</w:t>
      </w:r>
    </w:p>
    <w:p>
      <w:pPr>
        <w:spacing w:after="0" w:line="16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u w:val="single" w:color="auto"/>
          <w:color w:val="auto"/>
        </w:rPr>
        <w:t>3.5</w:t>
      </w:r>
      <w:r>
        <w:rPr>
          <w:sz w:val="20"/>
          <w:szCs w:val="20"/>
          <w:color w:val="auto"/>
        </w:rPr>
        <w:tab/>
      </w:r>
      <w:r>
        <w:rPr>
          <w:rFonts w:ascii="Arial" w:cs="Arial" w:eastAsia="Arial" w:hAnsi="Arial"/>
          <w:sz w:val="15"/>
          <w:szCs w:val="15"/>
          <w:u w:val="single" w:color="auto"/>
          <w:color w:val="auto"/>
        </w:rPr>
        <w:t>Changes</w:t>
      </w:r>
    </w:p>
    <w:p>
      <w:pPr>
        <w:spacing w:after="0" w:line="206" w:lineRule="exact"/>
        <w:rPr>
          <w:sz w:val="20"/>
          <w:szCs w:val="20"/>
          <w:color w:val="auto"/>
        </w:rPr>
      </w:pPr>
    </w:p>
    <w:p>
      <w:pPr>
        <w:ind w:left="600" w:right="60"/>
        <w:spacing w:after="0" w:line="262" w:lineRule="auto"/>
        <w:rPr>
          <w:sz w:val="20"/>
          <w:szCs w:val="20"/>
          <w:color w:val="auto"/>
        </w:rPr>
      </w:pPr>
      <w:r>
        <w:rPr>
          <w:rFonts w:ascii="Arial" w:cs="Arial" w:eastAsia="Arial" w:hAnsi="Arial"/>
          <w:sz w:val="18"/>
          <w:szCs w:val="18"/>
          <w:color w:val="auto"/>
        </w:rPr>
        <w:t>Upon a change in the requirements of applicable law or a regulation administered by a governmental agency, Prudential may change this Contract, including the terms of Provision II and the certificates issued hereunder, without the consent of any Covered Life, Contingent Life or Beneficiary solely to, and only as strictly necessary to, satisfy such requirements.</w:t>
      </w:r>
    </w:p>
    <w:p>
      <w:pPr>
        <w:spacing w:after="0" w:line="161" w:lineRule="exact"/>
        <w:rPr>
          <w:sz w:val="20"/>
          <w:szCs w:val="20"/>
          <w:color w:val="auto"/>
        </w:rPr>
      </w:pPr>
    </w:p>
    <w:p>
      <w:pPr>
        <w:ind w:left="600" w:right="120"/>
        <w:spacing w:after="0" w:line="256" w:lineRule="auto"/>
        <w:rPr>
          <w:sz w:val="20"/>
          <w:szCs w:val="20"/>
          <w:color w:val="auto"/>
        </w:rPr>
      </w:pPr>
      <w:r>
        <w:rPr>
          <w:rFonts w:ascii="Arial" w:cs="Arial" w:eastAsia="Arial" w:hAnsi="Arial"/>
          <w:sz w:val="18"/>
          <w:szCs w:val="18"/>
          <w:color w:val="auto"/>
        </w:rPr>
        <w:t>In addition, this Contract may be changed at any time or times by agreement between Prudential and Contract-Holder; provided that any such agreement not related to a data misstatement that changes the amount of the Annuity Payment owed to a Covered Life, Contingent Life will require the consent of such person. If the Contract-Holder ceases to exist and no successor Contract-Holder is appointed, this Contract may not be changed at any time by Prudential except as provided in this Section.</w:t>
      </w:r>
    </w:p>
    <w:p>
      <w:pPr>
        <w:spacing w:after="0" w:line="16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u w:val="single" w:color="auto"/>
          <w:color w:val="auto"/>
        </w:rPr>
        <w:t>3.6</w:t>
      </w:r>
      <w:r>
        <w:rPr>
          <w:sz w:val="20"/>
          <w:szCs w:val="20"/>
          <w:color w:val="auto"/>
        </w:rPr>
        <w:tab/>
      </w:r>
      <w:r>
        <w:rPr>
          <w:rFonts w:ascii="Arial" w:cs="Arial" w:eastAsia="Arial" w:hAnsi="Arial"/>
          <w:sz w:val="16"/>
          <w:szCs w:val="16"/>
          <w:u w:val="single" w:color="auto"/>
          <w:color w:val="auto"/>
        </w:rPr>
        <w:t>Entire Contract - Construction</w:t>
      </w:r>
    </w:p>
    <w:p>
      <w:pPr>
        <w:spacing w:after="0" w:line="206" w:lineRule="exact"/>
        <w:rPr>
          <w:sz w:val="20"/>
          <w:szCs w:val="20"/>
          <w:color w:val="auto"/>
        </w:rPr>
      </w:pPr>
    </w:p>
    <w:p>
      <w:pPr>
        <w:jc w:val="both"/>
        <w:ind w:left="600" w:right="80"/>
        <w:spacing w:after="0" w:line="262" w:lineRule="auto"/>
        <w:rPr>
          <w:sz w:val="20"/>
          <w:szCs w:val="20"/>
          <w:color w:val="auto"/>
        </w:rPr>
      </w:pPr>
      <w:r>
        <w:rPr>
          <w:rFonts w:ascii="Arial" w:cs="Arial" w:eastAsia="Arial" w:hAnsi="Arial"/>
          <w:sz w:val="18"/>
          <w:szCs w:val="18"/>
          <w:color w:val="auto"/>
        </w:rPr>
        <w:t>This Contract constitutes the entire agreement between Contract-Holder and Prudential solely with respect to the Annuity Payments owed to each Covered Life, Contingent Life and Beneficiary under this Contract, and supersedes all prior agreements and understandings, both oral and written, between Contract-Holder and Prudential solely with respect to such Annuity Payments.</w:t>
      </w:r>
    </w:p>
    <w:p>
      <w:pPr>
        <w:spacing w:after="0" w:line="161" w:lineRule="exact"/>
        <w:rPr>
          <w:sz w:val="20"/>
          <w:szCs w:val="20"/>
          <w:color w:val="auto"/>
        </w:rPr>
      </w:pPr>
    </w:p>
    <w:p>
      <w:pPr>
        <w:jc w:val="both"/>
        <w:ind w:left="600" w:right="80"/>
        <w:spacing w:after="0" w:line="277" w:lineRule="auto"/>
        <w:rPr>
          <w:sz w:val="20"/>
          <w:szCs w:val="20"/>
          <w:color w:val="auto"/>
        </w:rPr>
      </w:pPr>
      <w:r>
        <w:rPr>
          <w:rFonts w:ascii="Arial" w:cs="Arial" w:eastAsia="Arial" w:hAnsi="Arial"/>
          <w:sz w:val="18"/>
          <w:szCs w:val="18"/>
          <w:color w:val="auto"/>
        </w:rPr>
        <w:t>This Contract will be construed according to the laws of the jurisdiction set forth on the Cover Page without regard to the principles of conflicts of laws thereof except to the extent that those laws have been preempted by the laws of the United States of America.</w:t>
      </w:r>
    </w:p>
    <w:p>
      <w:pPr>
        <w:spacing w:after="0" w:line="14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u w:val="single" w:color="auto"/>
          <w:color w:val="auto"/>
        </w:rPr>
        <w:t>3.7</w:t>
      </w:r>
      <w:r>
        <w:rPr>
          <w:sz w:val="20"/>
          <w:szCs w:val="20"/>
          <w:color w:val="auto"/>
        </w:rPr>
        <w:tab/>
      </w:r>
      <w:r>
        <w:rPr>
          <w:rFonts w:ascii="Arial" w:cs="Arial" w:eastAsia="Arial" w:hAnsi="Arial"/>
          <w:sz w:val="17"/>
          <w:szCs w:val="17"/>
          <w:u w:val="single" w:color="auto"/>
          <w:color w:val="auto"/>
        </w:rPr>
        <w:t>Third Party Beneficiaries:</w:t>
      </w:r>
    </w:p>
    <w:p>
      <w:pPr>
        <w:spacing w:after="0" w:line="206" w:lineRule="exact"/>
        <w:rPr>
          <w:sz w:val="20"/>
          <w:szCs w:val="20"/>
          <w:color w:val="auto"/>
        </w:rPr>
      </w:pPr>
    </w:p>
    <w:p>
      <w:pPr>
        <w:ind w:left="600" w:right="420"/>
        <w:spacing w:after="0" w:line="277" w:lineRule="auto"/>
        <w:rPr>
          <w:sz w:val="20"/>
          <w:szCs w:val="20"/>
          <w:color w:val="auto"/>
        </w:rPr>
      </w:pPr>
      <w:r>
        <w:rPr>
          <w:rFonts w:ascii="Arial" w:cs="Arial" w:eastAsia="Arial" w:hAnsi="Arial"/>
          <w:sz w:val="18"/>
          <w:szCs w:val="18"/>
          <w:color w:val="auto"/>
        </w:rPr>
        <w:t>Except as expressly set forth in Section 1.9 (“Persons Entitled to Enforce this Contract against Prudential”) and in the definitions of “Covered Life,” “Contingent Life,” “Beneficiary,” this Contract does not and is not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ectPr>
          <w:pgSz w:w="11900" w:h="16838" w:orient="portrait"/>
          <w:cols w:equalWidth="0" w:num="1">
            <w:col w:w="11420"/>
          </w:cols>
          <w:pgMar w:left="240" w:top="548" w:right="239" w:bottom="1440" w:gutter="0" w:footer="0" w:header="0"/>
        </w:sectPr>
      </w:pPr>
    </w:p>
    <w:bookmarkStart w:id="108" w:name="page109"/>
    <w:bookmarkEnd w:id="108"/>
    <w:p>
      <w:pPr>
        <w:spacing w:after="0" w:line="277" w:lineRule="auto"/>
        <w:rPr>
          <w:sz w:val="20"/>
          <w:szCs w:val="20"/>
          <w:color w:val="auto"/>
        </w:rPr>
      </w:pPr>
      <w:r>
        <w:rPr>
          <w:rFonts w:ascii="Arial" w:cs="Arial" w:eastAsia="Arial" w:hAnsi="Arial"/>
          <w:sz w:val="18"/>
          <w:szCs w:val="18"/>
          <w:color w:val="auto"/>
        </w:rPr>
        <w:t>intended to confer any rights or remedies upon any person other than Contract-Holder and Prudential and their respective successors and permitted assigns.</w:t>
      </w:r>
    </w:p>
    <w:p>
      <w:pPr>
        <w:spacing w:after="0" w:line="390" w:lineRule="exact"/>
        <w:rPr>
          <w:sz w:val="20"/>
          <w:szCs w:val="20"/>
          <w:color w:val="auto"/>
        </w:rPr>
      </w:pPr>
    </w:p>
    <w:p>
      <w:pPr>
        <w:jc w:val="center"/>
        <w:ind w:right="560"/>
        <w:spacing w:after="0"/>
        <w:rPr>
          <w:sz w:val="20"/>
          <w:szCs w:val="20"/>
          <w:color w:val="auto"/>
        </w:rPr>
      </w:pPr>
      <w:r>
        <w:rPr>
          <w:rFonts w:ascii="Arial" w:cs="Arial" w:eastAsia="Arial" w:hAnsi="Arial"/>
          <w:sz w:val="17"/>
          <w:szCs w:val="17"/>
          <w:color w:val="auto"/>
        </w:rPr>
        <w:t>26</w:t>
      </w:r>
    </w:p>
    <w:p>
      <w:pPr>
        <w:sectPr>
          <w:pgSz w:w="11900" w:h="16838" w:orient="portrait"/>
          <w:cols w:equalWidth="0" w:num="1">
            <w:col w:w="10780"/>
          </w:cols>
          <w:pgMar w:left="840" w:top="548" w:right="279" w:bottom="1440" w:gutter="0" w:footer="0" w:header="0"/>
        </w:sectPr>
      </w:pPr>
    </w:p>
    <w:bookmarkStart w:id="109" w:name="page110"/>
    <w:bookmarkEnd w:id="109"/>
    <w:p>
      <w:pPr>
        <w:jc w:val="right"/>
        <w:spacing w:after="0"/>
        <w:rPr>
          <w:sz w:val="20"/>
          <w:szCs w:val="20"/>
          <w:color w:val="auto"/>
        </w:rPr>
      </w:pPr>
      <w:r>
        <w:rPr>
          <w:rFonts w:ascii="Arial" w:cs="Arial" w:eastAsia="Arial" w:hAnsi="Arial"/>
          <w:sz w:val="18"/>
          <w:szCs w:val="18"/>
          <w:b w:val="1"/>
          <w:bCs w:val="1"/>
          <w:color w:val="auto"/>
        </w:rPr>
        <w:t>Date: [MM DD, YYYY]</w:t>
      </w:r>
      <w:r>
        <w:rPr>
          <w:rFonts w:ascii="Arial" w:cs="Arial" w:eastAsia="Arial" w:hAnsi="Arial"/>
          <w:sz w:val="23"/>
          <w:szCs w:val="23"/>
          <w:b w:val="1"/>
          <w:bCs w:val="1"/>
          <w:color w:val="auto"/>
          <w:vertAlign w:val="superscript"/>
        </w:rPr>
        <w:t>E</w:t>
      </w:r>
    </w:p>
    <w:p>
      <w:pPr>
        <w:jc w:val="center"/>
        <w:ind w:right="100"/>
        <w:spacing w:after="0"/>
        <w:rPr>
          <w:sz w:val="20"/>
          <w:szCs w:val="20"/>
          <w:color w:val="auto"/>
        </w:rPr>
      </w:pPr>
      <w:r>
        <w:rPr>
          <w:rFonts w:ascii="Arial" w:cs="Arial" w:eastAsia="Arial" w:hAnsi="Arial"/>
          <w:sz w:val="18"/>
          <w:szCs w:val="18"/>
          <w:b w:val="1"/>
          <w:bCs w:val="1"/>
          <w:color w:val="auto"/>
        </w:rPr>
        <w:t>Transferred Assets Exhibit</w:t>
      </w:r>
    </w:p>
    <w:p>
      <w:pPr>
        <w:spacing w:after="0" w:line="386" w:lineRule="exact"/>
        <w:rPr>
          <w:sz w:val="20"/>
          <w:szCs w:val="20"/>
          <w:color w:val="auto"/>
        </w:rPr>
      </w:pPr>
    </w:p>
    <w:p>
      <w:pPr>
        <w:jc w:val="center"/>
        <w:ind w:right="100"/>
        <w:spacing w:after="0" w:line="287" w:lineRule="auto"/>
        <w:rPr>
          <w:sz w:val="20"/>
          <w:szCs w:val="20"/>
          <w:color w:val="auto"/>
        </w:rPr>
      </w:pPr>
      <w:r>
        <w:rPr>
          <w:rFonts w:ascii="Arial" w:cs="Arial" w:eastAsia="Arial" w:hAnsi="Arial"/>
          <w:sz w:val="18"/>
          <w:szCs w:val="18"/>
          <w:b w:val="1"/>
          <w:bCs w:val="1"/>
          <w:color w:val="auto"/>
        </w:rPr>
        <w:t>[Listing and Reconciliation of Assets Transferred and Retained in Respect of Total Contribution Amount and Adjusted Contribution Amounts Owed]</w:t>
      </w:r>
      <w:r>
        <w:rPr>
          <w:rFonts w:ascii="Arial" w:cs="Arial" w:eastAsia="Arial" w:hAnsi="Arial"/>
          <w:sz w:val="23"/>
          <w:szCs w:val="23"/>
          <w:b w:val="1"/>
          <w:bCs w:val="1"/>
          <w:color w:val="auto"/>
          <w:vertAlign w:val="superscript"/>
        </w:rPr>
        <w:t>1</w:t>
      </w:r>
    </w:p>
    <w:p>
      <w:pPr>
        <w:spacing w:after="0" w:line="296"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27</w:t>
      </w:r>
    </w:p>
    <w:p>
      <w:pPr>
        <w:sectPr>
          <w:pgSz w:w="11900" w:h="16838" w:orient="portrait"/>
          <w:cols w:equalWidth="0" w:num="1">
            <w:col w:w="11240"/>
          </w:cols>
          <w:pgMar w:left="380" w:top="913" w:right="279" w:bottom="1440" w:gutter="0" w:footer="0" w:header="0"/>
        </w:sectPr>
      </w:pPr>
    </w:p>
    <w:bookmarkStart w:id="110" w:name="page111"/>
    <w:bookmarkEnd w:id="110"/>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Appendix 1.1-B</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GA-300 TRUE-UP AMENDMENT</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Appendix 1.1B - 1</w:t>
      </w:r>
    </w:p>
    <w:p>
      <w:pPr>
        <w:sectPr>
          <w:pgSz w:w="11900" w:h="16838" w:orient="portrait"/>
          <w:cols w:equalWidth="0" w:num="1">
            <w:col w:w="9019"/>
          </w:cols>
          <w:pgMar w:left="1440" w:top="1440" w:right="1440" w:bottom="1440" w:gutter="0" w:footer="0" w:header="0"/>
        </w:sectPr>
      </w:pPr>
    </w:p>
    <w:bookmarkStart w:id="111" w:name="page112"/>
    <w:bookmarkEnd w:id="111"/>
    <w:p>
      <w:pPr>
        <w:spacing w:after="0"/>
        <w:rPr>
          <w:sz w:val="20"/>
          <w:szCs w:val="20"/>
          <w:color w:val="auto"/>
        </w:rPr>
      </w:pPr>
      <w:r>
        <w:rPr>
          <w:rFonts w:ascii="Arial" w:cs="Arial" w:eastAsia="Arial" w:hAnsi="Arial"/>
          <w:sz w:val="33"/>
          <w:szCs w:val="33"/>
          <w:color w:val="auto"/>
        </w:rPr>
        <w:t>[Prudential Logo]</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AMENDMENT ("</w:t>
      </w:r>
      <w:r>
        <w:rPr>
          <w:rFonts w:ascii="Arial" w:cs="Arial" w:eastAsia="Arial" w:hAnsi="Arial"/>
          <w:sz w:val="18"/>
          <w:szCs w:val="18"/>
          <w:u w:val="single" w:color="auto"/>
          <w:color w:val="auto"/>
        </w:rPr>
        <w:t>Amendment</w:t>
      </w:r>
      <w:r>
        <w:rPr>
          <w:rFonts w:ascii="Arial" w:cs="Arial" w:eastAsia="Arial" w:hAnsi="Arial"/>
          <w:sz w:val="18"/>
          <w:szCs w:val="18"/>
          <w:color w:val="auto"/>
        </w:rPr>
        <w:t>")</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OF</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WHEREAS:</w:t>
      </w:r>
    </w:p>
    <w:p>
      <w:pPr>
        <w:spacing w:after="0" w:line="170" w:lineRule="exact"/>
        <w:rPr>
          <w:sz w:val="20"/>
          <w:szCs w:val="20"/>
          <w:color w:val="auto"/>
        </w:rPr>
      </w:pPr>
    </w:p>
    <w:p>
      <w:pPr>
        <w:ind w:left="600" w:hanging="299"/>
        <w:spacing w:after="0"/>
        <w:tabs>
          <w:tab w:leader="none" w:pos="600" w:val="left"/>
        </w:tabs>
        <w:numPr>
          <w:ilvl w:val="0"/>
          <w:numId w:val="143"/>
        </w:numPr>
        <w:rPr>
          <w:rFonts w:ascii="Arial" w:cs="Arial" w:eastAsia="Arial" w:hAnsi="Arial"/>
          <w:sz w:val="17"/>
          <w:szCs w:val="17"/>
          <w:color w:val="auto"/>
        </w:rPr>
      </w:pPr>
      <w:r>
        <w:rPr>
          <w:rFonts w:ascii="Arial" w:cs="Arial" w:eastAsia="Arial" w:hAnsi="Arial"/>
          <w:sz w:val="18"/>
          <w:szCs w:val="18"/>
          <w:color w:val="auto"/>
        </w:rPr>
        <w:t>The Contract-Holder and Prudential entered into the Contract effective as of [MM DD, 2012]</w:t>
      </w:r>
      <w:r>
        <w:rPr>
          <w:rFonts w:ascii="Arial" w:cs="Arial" w:eastAsia="Arial" w:hAnsi="Arial"/>
          <w:sz w:val="23"/>
          <w:szCs w:val="23"/>
          <w:color w:val="auto"/>
          <w:vertAlign w:val="superscript"/>
        </w:rPr>
        <w:t>B</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Effective Date</w:t>
      </w:r>
      <w:r>
        <w:rPr>
          <w:rFonts w:ascii="Arial" w:cs="Arial" w:eastAsia="Arial" w:hAnsi="Arial"/>
          <w:sz w:val="18"/>
          <w:szCs w:val="18"/>
          <w:color w:val="auto"/>
        </w:rPr>
        <w:t>”) [and amended on</w:t>
      </w:r>
    </w:p>
    <w:p>
      <w:pPr>
        <w:ind w:left="600"/>
        <w:spacing w:after="0"/>
        <w:rPr>
          <w:rFonts w:ascii="Arial" w:cs="Arial" w:eastAsia="Arial" w:hAnsi="Arial"/>
          <w:sz w:val="17"/>
          <w:szCs w:val="17"/>
          <w:color w:val="auto"/>
        </w:rPr>
      </w:pPr>
      <w:r>
        <w:rPr>
          <w:rFonts w:ascii="Arial" w:cs="Arial" w:eastAsia="Arial" w:hAnsi="Arial"/>
          <w:sz w:val="18"/>
          <w:szCs w:val="18"/>
          <w:color w:val="auto"/>
        </w:rPr>
        <w:t>_____________]</w:t>
      </w:r>
      <w:r>
        <w:rPr>
          <w:rFonts w:ascii="Arial" w:cs="Arial" w:eastAsia="Arial" w:hAnsi="Arial"/>
          <w:sz w:val="23"/>
          <w:szCs w:val="23"/>
          <w:color w:val="auto"/>
          <w:vertAlign w:val="superscript"/>
        </w:rPr>
        <w:t>B</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Contract</w:t>
      </w:r>
      <w:r>
        <w:rPr>
          <w:rFonts w:ascii="Arial" w:cs="Arial" w:eastAsia="Arial" w:hAnsi="Arial"/>
          <w:sz w:val="18"/>
          <w:szCs w:val="18"/>
          <w:color w:val="auto"/>
        </w:rPr>
        <w:t>”)</w:t>
      </w:r>
    </w:p>
    <w:p>
      <w:pPr>
        <w:spacing w:after="0" w:line="132" w:lineRule="exact"/>
        <w:rPr>
          <w:rFonts w:ascii="Arial" w:cs="Arial" w:eastAsia="Arial" w:hAnsi="Arial"/>
          <w:sz w:val="17"/>
          <w:szCs w:val="17"/>
          <w:color w:val="auto"/>
        </w:rPr>
      </w:pPr>
    </w:p>
    <w:p>
      <w:pPr>
        <w:jc w:val="both"/>
        <w:ind w:left="600" w:right="200" w:hanging="299"/>
        <w:spacing w:after="0" w:line="309" w:lineRule="auto"/>
        <w:tabs>
          <w:tab w:leader="none" w:pos="600" w:val="left"/>
        </w:tabs>
        <w:numPr>
          <w:ilvl w:val="0"/>
          <w:numId w:val="143"/>
        </w:numPr>
        <w:rPr>
          <w:rFonts w:ascii="Arial" w:cs="Arial" w:eastAsia="Arial" w:hAnsi="Arial"/>
          <w:sz w:val="16"/>
          <w:szCs w:val="16"/>
          <w:color w:val="auto"/>
        </w:rPr>
      </w:pPr>
      <w:r>
        <w:rPr>
          <w:rFonts w:ascii="Arial" w:cs="Arial" w:eastAsia="Arial" w:hAnsi="Arial"/>
          <w:sz w:val="16"/>
          <w:szCs w:val="16"/>
          <w:color w:val="auto"/>
        </w:rPr>
        <w:t>Prudential has acknowledged receipt of cash, securities and other non-cash assets as payment of the Adjusted Contribution Amount specified on the Cover Page of the Contract. Each such non-cash asset (together with the cash paid) is shown on the Transferred Assets Exhibit(s) attached to the Contract. In addition, Annuity Exhibit(s) are attached to the Contract which set forth the payments owed by Prudential under the Contract.</w:t>
      </w:r>
    </w:p>
    <w:p>
      <w:pPr>
        <w:spacing w:after="0" w:line="127" w:lineRule="exact"/>
        <w:rPr>
          <w:rFonts w:ascii="Arial" w:cs="Arial" w:eastAsia="Arial" w:hAnsi="Arial"/>
          <w:sz w:val="16"/>
          <w:szCs w:val="16"/>
          <w:color w:val="auto"/>
        </w:rPr>
      </w:pPr>
    </w:p>
    <w:p>
      <w:pPr>
        <w:ind w:left="600" w:right="20" w:hanging="299"/>
        <w:spacing w:after="0" w:line="277" w:lineRule="auto"/>
        <w:tabs>
          <w:tab w:leader="none" w:pos="60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It is the desire of Contract-Holder and Prudential to amend the Contract to reflect corrections and/or updates to the Total Contribution Amount, the Adjusted Contribution Amount, the Transferred Assets Exhibit(s) and/or the Annuity Exhibit(s).</w:t>
      </w:r>
    </w:p>
    <w:p>
      <w:pPr>
        <w:spacing w:after="0" w:line="16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THEREFORE, PRUDENTIAL AND THE CONTRACT-HOLDER AGREE AS FOLLOWS:</w:t>
      </w:r>
    </w:p>
    <w:p>
      <w:pPr>
        <w:spacing w:after="0" w:line="219" w:lineRule="exact"/>
        <w:rPr>
          <w:sz w:val="20"/>
          <w:szCs w:val="20"/>
          <w:color w:val="auto"/>
        </w:rPr>
      </w:pPr>
    </w:p>
    <w:p>
      <w:pPr>
        <w:ind w:left="600" w:hanging="299"/>
        <w:spacing w:after="0" w:line="342" w:lineRule="auto"/>
        <w:rPr>
          <w:sz w:val="20"/>
          <w:szCs w:val="20"/>
          <w:color w:val="auto"/>
        </w:rPr>
      </w:pPr>
      <w:r>
        <w:rPr>
          <w:rFonts w:ascii="Arial" w:cs="Arial" w:eastAsia="Arial" w:hAnsi="Arial"/>
          <w:sz w:val="16"/>
          <w:szCs w:val="16"/>
          <w:color w:val="auto"/>
        </w:rPr>
        <w:t>[1.] Prudential and Contract-Holder agree that the [Cover Page]D [the Transferred Assets Exhibit]D [and the Annuity Exhibits]D as constituted immediately prior to this amendment are hereby replaced by the attached [Cover Page]D, [Transferred Assets Exhibits]D [and Annuity Exhibits]D.</w:t>
      </w:r>
    </w:p>
    <w:p>
      <w:pPr>
        <w:spacing w:after="0" w:line="114" w:lineRule="exact"/>
        <w:rPr>
          <w:sz w:val="20"/>
          <w:szCs w:val="20"/>
          <w:color w:val="auto"/>
        </w:rPr>
      </w:pPr>
    </w:p>
    <w:p>
      <w:pPr>
        <w:jc w:val="both"/>
        <w:ind w:left="600" w:right="260" w:hanging="299"/>
        <w:spacing w:after="0" w:line="262" w:lineRule="auto"/>
        <w:rPr>
          <w:sz w:val="20"/>
          <w:szCs w:val="20"/>
          <w:color w:val="auto"/>
        </w:rPr>
      </w:pPr>
      <w:r>
        <w:rPr>
          <w:rFonts w:ascii="Arial" w:cs="Arial" w:eastAsia="Arial" w:hAnsi="Arial"/>
          <w:sz w:val="18"/>
          <w:szCs w:val="18"/>
          <w:color w:val="auto"/>
        </w:rPr>
        <w:t>[2.] [[As specified in the amended Cover Page and Transferred Assets Exhibits, on the Amendment Date]D Prudential shall promptly transfer to the Contract-Holder (or an entity designated by it) any non-cash assets (together with any cash) shown as owing to Contract-Holder as an Adjusted Contribution Amount. ]C</w:t>
      </w:r>
    </w:p>
    <w:p>
      <w:pPr>
        <w:spacing w:after="0" w:line="173"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 *** ]</w:t>
      </w: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Appendix 1.1B - 2</w:t>
      </w:r>
    </w:p>
    <w:p>
      <w:pPr>
        <w:sectPr>
          <w:pgSz w:w="11900" w:h="16838" w:orient="portrait"/>
          <w:cols w:equalWidth="0" w:num="1">
            <w:col w:w="11400"/>
          </w:cols>
          <w:pgMar w:left="240" w:top="551" w:right="25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color w:val="auto"/>
        </w:rPr>
        <w:t>[3.] [The following paragraph shall be added as the second-to-last paragraph of Section 1.2 of the Contract:</w:t>
      </w:r>
    </w:p>
    <w:p>
      <w:pPr>
        <w:spacing w:after="0" w:line="21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 ]</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[4.] [The following paragraph shall be added as the last paragraph of section 1.2 of the Contract:</w:t>
      </w:r>
    </w:p>
    <w:p>
      <w:pPr>
        <w:spacing w:after="0" w:line="219" w:lineRule="exact"/>
        <w:rPr>
          <w:sz w:val="20"/>
          <w:szCs w:val="20"/>
          <w:color w:val="auto"/>
        </w:rPr>
      </w:pPr>
    </w:p>
    <w:p>
      <w:pPr>
        <w:ind w:left="1000" w:hanging="98"/>
        <w:spacing w:after="0"/>
        <w:tabs>
          <w:tab w:leader="none" w:pos="100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 ]</w:t>
      </w:r>
    </w:p>
    <w:p>
      <w:pPr>
        <w:spacing w:after="0" w:line="200" w:lineRule="exact"/>
        <w:rPr>
          <w:rFonts w:ascii="Arial" w:cs="Arial" w:eastAsia="Arial" w:hAnsi="Arial"/>
          <w:sz w:val="18"/>
          <w:szCs w:val="18"/>
          <w:color w:val="auto"/>
        </w:rPr>
      </w:pPr>
    </w:p>
    <w:p>
      <w:pPr>
        <w:spacing w:after="0" w:line="231" w:lineRule="exact"/>
        <w:rPr>
          <w:rFonts w:ascii="Arial" w:cs="Arial" w:eastAsia="Arial" w:hAnsi="Arial"/>
          <w:sz w:val="18"/>
          <w:szCs w:val="18"/>
          <w:color w:val="auto"/>
        </w:rPr>
      </w:pPr>
    </w:p>
    <w:p>
      <w:pPr>
        <w:jc w:val="both"/>
        <w:ind w:left="300" w:hanging="299"/>
        <w:spacing w:after="0" w:line="256" w:lineRule="auto"/>
        <w:tabs>
          <w:tab w:leader="none" w:pos="30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After giving effect to this Amendment, references in the Contract to “Contract” shall mean the Contract as amended by this Amendment [and references to the “Transferred Assets Exhibit” shall mean the Transferred Assets Exhibit attached to this Amendment]D [and references to the “Annuity Exhibit” shall mean the Annuity Exhibit attached to this Amendment]D [and references to “Cover Page” shall mean the Cover Page attached to this Amendment. ]D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40"/>
        <w:spacing w:after="0"/>
        <w:rPr>
          <w:sz w:val="20"/>
          <w:szCs w:val="20"/>
          <w:color w:val="auto"/>
        </w:rPr>
      </w:pPr>
      <w:r>
        <w:rPr>
          <w:rFonts w:ascii="Arial" w:cs="Arial" w:eastAsia="Arial" w:hAnsi="Arial"/>
          <w:sz w:val="17"/>
          <w:szCs w:val="17"/>
          <w:color w:val="auto"/>
        </w:rPr>
        <w:t>[NAME OF TRUST BANK as Directed Trustee of the Vita Salaried Retirement</w:t>
      </w:r>
    </w:p>
    <w:p>
      <w:pPr>
        <w:sectPr>
          <w:pgSz w:w="11900" w:h="16838" w:orient="portrait"/>
          <w:cols w:equalWidth="0" w:num="1">
            <w:col w:w="10720"/>
          </w:cols>
          <w:pgMar w:left="540" w:top="761" w:right="639" w:bottom="1440" w:gutter="0" w:footer="0" w:header="0"/>
        </w:sectPr>
      </w:pPr>
    </w:p>
    <w:p>
      <w:pPr>
        <w:spacing w:after="0" w:line="17" w:lineRule="exact"/>
        <w:rPr>
          <w:sz w:val="20"/>
          <w:szCs w:val="20"/>
          <w:color w:val="auto"/>
        </w:rPr>
      </w:pPr>
    </w:p>
    <w:p>
      <w:pPr>
        <w:ind w:left="140"/>
        <w:spacing w:after="0"/>
        <w:rPr>
          <w:sz w:val="20"/>
          <w:szCs w:val="20"/>
          <w:color w:val="auto"/>
        </w:rPr>
      </w:pPr>
      <w:r>
        <w:rPr>
          <w:rFonts w:ascii="Arial" w:cs="Arial" w:eastAsia="Arial" w:hAnsi="Arial"/>
          <w:sz w:val="15"/>
          <w:szCs w:val="15"/>
          <w:color w:val="auto"/>
        </w:rPr>
        <w:t>Trust, a New York trust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PRUDENTIAL INSURANCE COMPANY OF AMERICA</w:t>
      </w:r>
    </w:p>
    <w:p>
      <w:pPr>
        <w:spacing w:after="0" w:line="54" w:lineRule="exact"/>
        <w:rPr>
          <w:sz w:val="20"/>
          <w:szCs w:val="20"/>
          <w:color w:val="auto"/>
        </w:rPr>
      </w:pPr>
    </w:p>
    <w:p>
      <w:pPr>
        <w:sectPr>
          <w:pgSz w:w="11900" w:h="16838" w:orient="portrait"/>
          <w:cols w:equalWidth="0" w:num="2">
            <w:col w:w="5060" w:space="720"/>
            <w:col w:w="4940"/>
          </w:cols>
          <w:pgMar w:left="540" w:top="761" w:right="639" w:bottom="1440" w:gutter="0" w:footer="0" w:header="0"/>
          <w:type w:val="continuous"/>
        </w:sectPr>
      </w:pPr>
    </w:p>
    <w:p>
      <w:pPr>
        <w:ind w:left="140"/>
        <w:spacing w:after="0"/>
        <w:rPr>
          <w:sz w:val="20"/>
          <w:szCs w:val="20"/>
          <w:color w:val="auto"/>
        </w:rPr>
      </w:pPr>
      <w:r>
        <w:rPr>
          <w:rFonts w:ascii="Arial" w:cs="Arial" w:eastAsia="Arial" w:hAnsi="Arial"/>
          <w:sz w:val="15"/>
          <w:szCs w:val="15"/>
          <w:color w:val="auto"/>
        </w:rPr>
        <w:t>By:_____________________________________________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By:________________________________________</w:t>
      </w:r>
    </w:p>
    <w:p>
      <w:pPr>
        <w:spacing w:after="0" w:line="78" w:lineRule="exact"/>
        <w:rPr>
          <w:sz w:val="20"/>
          <w:szCs w:val="20"/>
          <w:color w:val="auto"/>
        </w:rPr>
      </w:pPr>
    </w:p>
    <w:p>
      <w:pPr>
        <w:sectPr>
          <w:pgSz w:w="11900" w:h="16838" w:orient="portrait"/>
          <w:cols w:equalWidth="0" w:num="2">
            <w:col w:w="5060" w:space="720"/>
            <w:col w:w="4940"/>
          </w:cols>
          <w:pgMar w:left="540" w:top="761" w:right="639" w:bottom="1440" w:gutter="0" w:footer="0" w:header="0"/>
          <w:type w:val="continuous"/>
        </w:sectPr>
      </w:pPr>
    </w:p>
    <w:p>
      <w:pPr>
        <w:ind w:left="140"/>
        <w:spacing w:after="0"/>
        <w:rPr>
          <w:sz w:val="20"/>
          <w:szCs w:val="20"/>
          <w:color w:val="auto"/>
        </w:rPr>
      </w:pPr>
      <w:r>
        <w:rPr>
          <w:rFonts w:ascii="Arial" w:cs="Arial" w:eastAsia="Arial" w:hAnsi="Arial"/>
          <w:sz w:val="16"/>
          <w:szCs w:val="16"/>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Title:</w:t>
      </w:r>
    </w:p>
    <w:p>
      <w:pPr>
        <w:spacing w:after="0" w:line="77" w:lineRule="exact"/>
        <w:rPr>
          <w:sz w:val="20"/>
          <w:szCs w:val="20"/>
          <w:color w:val="auto"/>
        </w:rPr>
      </w:pPr>
    </w:p>
    <w:p>
      <w:pPr>
        <w:sectPr>
          <w:pgSz w:w="11900" w:h="16838" w:orient="portrait"/>
          <w:cols w:equalWidth="0" w:num="2">
            <w:col w:w="5060" w:space="720"/>
            <w:col w:w="4940"/>
          </w:cols>
          <w:pgMar w:left="540" w:top="761" w:right="639" w:bottom="1440" w:gutter="0" w:footer="0" w:header="0"/>
          <w:type w:val="continuous"/>
        </w:sectPr>
      </w:pPr>
    </w:p>
    <w:p>
      <w:pPr>
        <w:ind w:left="140"/>
        <w:spacing w:after="0"/>
        <w:rPr>
          <w:sz w:val="20"/>
          <w:szCs w:val="20"/>
          <w:color w:val="auto"/>
        </w:rPr>
      </w:pPr>
      <w:r>
        <w:rPr>
          <w:rFonts w:ascii="Arial" w:cs="Arial" w:eastAsia="Arial" w:hAnsi="Arial"/>
          <w:sz w:val="14"/>
          <w:szCs w:val="14"/>
          <w:color w:val="auto"/>
        </w:rPr>
        <w:t>Date:____________________________________________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Date:____________________________________________</w:t>
      </w:r>
    </w:p>
    <w:p>
      <w:pPr>
        <w:spacing w:after="0" w:line="200" w:lineRule="exact"/>
        <w:rPr>
          <w:sz w:val="20"/>
          <w:szCs w:val="20"/>
          <w:color w:val="auto"/>
        </w:rPr>
      </w:pPr>
    </w:p>
    <w:p>
      <w:pPr>
        <w:sectPr>
          <w:pgSz w:w="11900" w:h="16838" w:orient="portrait"/>
          <w:cols w:equalWidth="0" w:num="2">
            <w:col w:w="5060" w:space="720"/>
            <w:col w:w="4940"/>
          </w:cols>
          <w:pgMar w:left="540" w:top="761" w:right="639" w:bottom="1440" w:gutter="0" w:footer="0" w:header="0"/>
          <w:type w:val="continuous"/>
        </w:sectPr>
      </w:pPr>
    </w:p>
    <w:p>
      <w:pPr>
        <w:spacing w:after="0" w:line="290" w:lineRule="exact"/>
        <w:rPr>
          <w:sz w:val="20"/>
          <w:szCs w:val="20"/>
          <w:color w:val="auto"/>
        </w:rPr>
      </w:pPr>
    </w:p>
    <w:p>
      <w:pPr>
        <w:jc w:val="center"/>
        <w:ind w:right="-119"/>
        <w:spacing w:after="0"/>
        <w:rPr>
          <w:sz w:val="20"/>
          <w:szCs w:val="20"/>
          <w:color w:val="auto"/>
        </w:rPr>
      </w:pPr>
      <w:r>
        <w:rPr>
          <w:rFonts w:ascii="Arial" w:cs="Arial" w:eastAsia="Arial" w:hAnsi="Arial"/>
          <w:sz w:val="15"/>
          <w:szCs w:val="15"/>
          <w:color w:val="auto"/>
        </w:rPr>
        <w:t>Appendix 1.1B - 3</w:t>
      </w:r>
    </w:p>
    <w:p>
      <w:pPr>
        <w:sectPr>
          <w:pgSz w:w="11900" w:h="16838" w:orient="portrait"/>
          <w:cols w:equalWidth="0" w:num="1">
            <w:col w:w="10720"/>
          </w:cols>
          <w:pgMar w:left="540" w:top="761" w:right="639" w:bottom="1440" w:gutter="0" w:footer="0" w:header="0"/>
          <w:type w:val="continuous"/>
        </w:sectPr>
      </w:pPr>
    </w:p>
    <w:bookmarkStart w:id="113" w:name="page114"/>
    <w:bookmarkEnd w:id="113"/>
    <w:p>
      <w:pPr>
        <w:jc w:val="center"/>
        <w:ind w:right="-99"/>
        <w:spacing w:after="0"/>
        <w:rPr>
          <w:sz w:val="20"/>
          <w:szCs w:val="20"/>
          <w:color w:val="auto"/>
        </w:rPr>
      </w:pPr>
      <w:r>
        <w:rPr>
          <w:rFonts w:ascii="Arial" w:cs="Arial" w:eastAsia="Arial" w:hAnsi="Arial"/>
          <w:sz w:val="20"/>
          <w:szCs w:val="20"/>
          <w:b w:val="1"/>
          <w:bCs w:val="1"/>
          <w:u w:val="single" w:color="auto"/>
          <w:color w:val="auto"/>
        </w:rPr>
        <w:t>Appendix 1.2</w:t>
      </w:r>
    </w:p>
    <w:p>
      <w:pPr>
        <w:spacing w:after="0" w:line="208" w:lineRule="exact"/>
        <w:rPr>
          <w:sz w:val="20"/>
          <w:szCs w:val="20"/>
          <w:color w:val="auto"/>
        </w:rPr>
      </w:pPr>
    </w:p>
    <w:p>
      <w:pPr>
        <w:jc w:val="center"/>
        <w:ind w:right="-99"/>
        <w:spacing w:after="0"/>
        <w:rPr>
          <w:sz w:val="20"/>
          <w:szCs w:val="20"/>
          <w:color w:val="auto"/>
        </w:rPr>
      </w:pPr>
      <w:r>
        <w:rPr>
          <w:rFonts w:ascii="Arial" w:cs="Arial" w:eastAsia="Arial" w:hAnsi="Arial"/>
          <w:sz w:val="20"/>
          <w:szCs w:val="20"/>
          <w:b w:val="1"/>
          <w:bCs w:val="1"/>
          <w:color w:val="auto"/>
        </w:rPr>
        <w:t>PRICED LIVES</w:t>
      </w:r>
    </w:p>
    <w:p>
      <w:pPr>
        <w:spacing w:after="0" w:line="200" w:lineRule="exact"/>
        <w:rPr>
          <w:sz w:val="20"/>
          <w:szCs w:val="20"/>
          <w:color w:val="auto"/>
        </w:rPr>
      </w:pPr>
    </w:p>
    <w:p>
      <w:pPr>
        <w:spacing w:after="0" w:line="212" w:lineRule="exact"/>
        <w:rPr>
          <w:sz w:val="20"/>
          <w:szCs w:val="20"/>
          <w:color w:val="auto"/>
        </w:rPr>
      </w:pPr>
    </w:p>
    <w:p>
      <w:pPr>
        <w:jc w:val="both"/>
        <w:ind w:firstLine="601"/>
        <w:spacing w:after="0" w:line="261" w:lineRule="auto"/>
        <w:rPr>
          <w:sz w:val="20"/>
          <w:szCs w:val="20"/>
          <w:color w:val="auto"/>
        </w:rPr>
      </w:pPr>
      <w:r>
        <w:rPr>
          <w:rFonts w:ascii="Arial" w:cs="Arial" w:eastAsia="Arial" w:hAnsi="Arial"/>
          <w:sz w:val="20"/>
          <w:szCs w:val="20"/>
          <w:color w:val="auto"/>
        </w:rPr>
        <w:t>Reference is made to the Excel spreadsheet titled “Appendix 1-2 Priced Lives 2012 5 9 VITA DTFA.xlsx”, uploaded by the Insurer to the RR Donnelly Venue Virtue Data Room, Project Name Vita Commercial Diligence at 6:41p.m. New York City time on May 29, 2012 and contained on the Identified CD-ROM.</w:t>
      </w:r>
    </w:p>
    <w:p>
      <w:pPr>
        <w:spacing w:after="0" w:line="200" w:lineRule="exact"/>
        <w:rPr>
          <w:sz w:val="20"/>
          <w:szCs w:val="20"/>
          <w:color w:val="auto"/>
        </w:rPr>
      </w:pPr>
    </w:p>
    <w:p>
      <w:pPr>
        <w:spacing w:after="0" w:line="385"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Appendix 1.2 - 1</w:t>
      </w:r>
    </w:p>
    <w:p>
      <w:pPr>
        <w:sectPr>
          <w:pgSz w:w="11900" w:h="16838" w:orient="portrait"/>
          <w:cols w:equalWidth="0" w:num="1">
            <w:col w:w="11340"/>
          </w:cols>
          <w:pgMar w:left="240" w:top="753" w:right="319" w:bottom="1440" w:gutter="0" w:footer="0" w:header="0"/>
        </w:sectPr>
      </w:pPr>
    </w:p>
    <w:bookmarkStart w:id="114" w:name="page115"/>
    <w:bookmarkEnd w:id="114"/>
    <w:p>
      <w:pPr>
        <w:jc w:val="center"/>
        <w:ind w:right="480"/>
        <w:spacing w:after="0"/>
        <w:rPr>
          <w:sz w:val="20"/>
          <w:szCs w:val="20"/>
          <w:color w:val="auto"/>
        </w:rPr>
      </w:pPr>
      <w:r>
        <w:rPr>
          <w:rFonts w:ascii="Arial" w:cs="Arial" w:eastAsia="Arial" w:hAnsi="Arial"/>
          <w:sz w:val="20"/>
          <w:szCs w:val="20"/>
          <w:b w:val="1"/>
          <w:bCs w:val="1"/>
          <w:u w:val="single" w:color="auto"/>
          <w:color w:val="auto"/>
        </w:rPr>
        <w:t>Appendix 1.3E</w:t>
      </w:r>
    </w:p>
    <w:p>
      <w:pPr>
        <w:spacing w:after="0" w:line="208" w:lineRule="exact"/>
        <w:rPr>
          <w:sz w:val="20"/>
          <w:szCs w:val="20"/>
          <w:color w:val="auto"/>
        </w:rPr>
      </w:pPr>
    </w:p>
    <w:p>
      <w:pPr>
        <w:jc w:val="center"/>
        <w:ind w:right="480"/>
        <w:spacing w:after="0"/>
        <w:rPr>
          <w:sz w:val="20"/>
          <w:szCs w:val="20"/>
          <w:color w:val="auto"/>
        </w:rPr>
      </w:pPr>
      <w:r>
        <w:rPr>
          <w:rFonts w:ascii="Arial" w:cs="Arial" w:eastAsia="Arial" w:hAnsi="Arial"/>
          <w:sz w:val="20"/>
          <w:szCs w:val="20"/>
          <w:b w:val="1"/>
          <w:bCs w:val="1"/>
          <w:color w:val="auto"/>
        </w:rPr>
        <w:t>FORM OF ANNUITY CERTIFICATES</w:t>
      </w:r>
    </w:p>
    <w:p>
      <w:pPr>
        <w:spacing w:after="0" w:line="208"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THE PRUDENTIAL INSURANCE</w:t>
      </w:r>
    </w:p>
    <w:p>
      <w:pPr>
        <w:spacing w:after="0" w:line="30"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COMPANY OF AMERICA</w:t>
      </w:r>
    </w:p>
    <w:p>
      <w:pPr>
        <w:spacing w:after="0" w:line="8"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Newark, New Jersey</w:t>
      </w:r>
    </w:p>
    <w:p>
      <w:pPr>
        <w:spacing w:after="0" w:line="167"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3520" w:type="dxa"/>
            <w:vAlign w:val="bottom"/>
          </w:tcPr>
          <w:p>
            <w:pPr>
              <w:spacing w:after="0"/>
              <w:rPr>
                <w:sz w:val="17"/>
                <w:szCs w:val="17"/>
                <w:color w:val="auto"/>
              </w:rPr>
            </w:pPr>
          </w:p>
        </w:tc>
        <w:tc>
          <w:tcPr>
            <w:tcW w:w="6980" w:type="dxa"/>
            <w:vAlign w:val="bottom"/>
            <w:gridSpan w:val="6"/>
          </w:tcPr>
          <w:p>
            <w:pPr>
              <w:jc w:val="center"/>
              <w:ind w:right="3540"/>
              <w:spacing w:after="0"/>
              <w:rPr>
                <w:sz w:val="20"/>
                <w:szCs w:val="20"/>
                <w:color w:val="auto"/>
              </w:rPr>
            </w:pPr>
            <w:r>
              <w:rPr>
                <w:rFonts w:ascii="Arial" w:cs="Arial" w:eastAsia="Arial" w:hAnsi="Arial"/>
                <w:sz w:val="18"/>
                <w:szCs w:val="18"/>
                <w:b w:val="1"/>
                <w:bCs w:val="1"/>
                <w:color w:val="auto"/>
              </w:rPr>
              <w:t>ANNUITY CERTIFICATE</w:t>
            </w:r>
          </w:p>
        </w:tc>
        <w:tc>
          <w:tcPr>
            <w:tcW w:w="0" w:type="dxa"/>
            <w:vAlign w:val="bottom"/>
          </w:tcPr>
          <w:p>
            <w:pPr>
              <w:spacing w:after="0"/>
              <w:rPr>
                <w:sz w:val="1"/>
                <w:szCs w:val="1"/>
                <w:color w:val="auto"/>
              </w:rPr>
            </w:pPr>
          </w:p>
        </w:tc>
      </w:tr>
      <w:tr>
        <w:trPr>
          <w:trHeight w:val="393"/>
        </w:trPr>
        <w:tc>
          <w:tcPr>
            <w:tcW w:w="3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160" w:type="dxa"/>
            <w:vAlign w:val="bottom"/>
            <w:tcBorders>
              <w:top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94"/>
              </w:rPr>
              <w:t>Table of Information</w:t>
            </w:r>
          </w:p>
        </w:tc>
        <w:tc>
          <w:tcPr>
            <w:tcW w:w="4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3"/>
        </w:trPr>
        <w:tc>
          <w:tcPr>
            <w:tcW w:w="3520" w:type="dxa"/>
            <w:vAlign w:val="bottom"/>
            <w:tcBorders>
              <w:bottom w:val="single" w:sz="8" w:color="C0C0C0"/>
            </w:tcBorders>
          </w:tcPr>
          <w:p>
            <w:pPr>
              <w:spacing w:after="0"/>
              <w:rPr>
                <w:sz w:val="24"/>
                <w:szCs w:val="24"/>
                <w:color w:val="auto"/>
              </w:rPr>
            </w:pPr>
          </w:p>
        </w:tc>
        <w:tc>
          <w:tcPr>
            <w:tcW w:w="640" w:type="dxa"/>
            <w:vAlign w:val="bottom"/>
            <w:tcBorders>
              <w:bottom w:val="single" w:sz="8" w:color="C0C0C0"/>
            </w:tcBorders>
          </w:tcPr>
          <w:p>
            <w:pPr>
              <w:spacing w:after="0"/>
              <w:rPr>
                <w:sz w:val="24"/>
                <w:szCs w:val="24"/>
                <w:color w:val="auto"/>
              </w:rPr>
            </w:pPr>
          </w:p>
        </w:tc>
        <w:tc>
          <w:tcPr>
            <w:tcW w:w="260" w:type="dxa"/>
            <w:vAlign w:val="bottom"/>
            <w:tcBorders>
              <w:bottom w:val="single" w:sz="8" w:color="C0C0C0"/>
            </w:tcBorders>
          </w:tcPr>
          <w:p>
            <w:pPr>
              <w:spacing w:after="0"/>
              <w:rPr>
                <w:sz w:val="24"/>
                <w:szCs w:val="24"/>
                <w:color w:val="auto"/>
              </w:rPr>
            </w:pPr>
          </w:p>
        </w:tc>
        <w:tc>
          <w:tcPr>
            <w:tcW w:w="420" w:type="dxa"/>
            <w:vAlign w:val="bottom"/>
            <w:tcBorders>
              <w:top w:val="single" w:sz="8" w:color="auto"/>
              <w:bottom w:val="single" w:sz="8" w:color="C0C0C0"/>
            </w:tcBorders>
          </w:tcPr>
          <w:p>
            <w:pPr>
              <w:spacing w:after="0"/>
              <w:rPr>
                <w:sz w:val="24"/>
                <w:szCs w:val="24"/>
                <w:color w:val="auto"/>
              </w:rPr>
            </w:pPr>
          </w:p>
        </w:tc>
        <w:tc>
          <w:tcPr>
            <w:tcW w:w="1220" w:type="dxa"/>
            <w:vAlign w:val="bottom"/>
            <w:tcBorders>
              <w:top w:val="single" w:sz="8" w:color="auto"/>
              <w:bottom w:val="single" w:sz="8" w:color="C0C0C0"/>
            </w:tcBorders>
          </w:tcPr>
          <w:p>
            <w:pPr>
              <w:spacing w:after="0"/>
              <w:rPr>
                <w:sz w:val="24"/>
                <w:szCs w:val="24"/>
                <w:color w:val="auto"/>
              </w:rPr>
            </w:pPr>
          </w:p>
        </w:tc>
        <w:tc>
          <w:tcPr>
            <w:tcW w:w="260" w:type="dxa"/>
            <w:vAlign w:val="bottom"/>
            <w:tcBorders>
              <w:bottom w:val="single" w:sz="8" w:color="C0C0C0"/>
            </w:tcBorders>
          </w:tcPr>
          <w:p>
            <w:pPr>
              <w:spacing w:after="0"/>
              <w:rPr>
                <w:sz w:val="24"/>
                <w:szCs w:val="24"/>
                <w:color w:val="auto"/>
              </w:rPr>
            </w:pPr>
          </w:p>
        </w:tc>
        <w:tc>
          <w:tcPr>
            <w:tcW w:w="418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3520" w:type="dxa"/>
            <w:vAlign w:val="bottom"/>
            <w:tcBorders>
              <w:left w:val="single" w:sz="8" w:color="C0C0C0"/>
              <w:bottom w:val="single" w:sz="8" w:color="C0C0C0"/>
            </w:tcBorders>
          </w:tcPr>
          <w:p>
            <w:pPr>
              <w:ind w:left="40"/>
              <w:spacing w:after="0"/>
              <w:rPr>
                <w:sz w:val="20"/>
                <w:szCs w:val="20"/>
                <w:color w:val="auto"/>
              </w:rPr>
            </w:pPr>
            <w:r>
              <w:rPr>
                <w:rFonts w:ascii="Arial" w:cs="Arial" w:eastAsia="Arial" w:hAnsi="Arial"/>
                <w:sz w:val="18"/>
                <w:szCs w:val="18"/>
                <w:i w:val="1"/>
                <w:iCs w:val="1"/>
                <w:color w:val="auto"/>
              </w:rPr>
              <w:t>Covered Life:</w:t>
            </w:r>
          </w:p>
        </w:tc>
        <w:tc>
          <w:tcPr>
            <w:tcW w:w="640" w:type="dxa"/>
            <w:vAlign w:val="bottom"/>
            <w:tcBorders>
              <w:bottom w:val="single" w:sz="8" w:color="C0C0C0"/>
            </w:tcBorders>
          </w:tcPr>
          <w:p>
            <w:pPr>
              <w:spacing w:after="0"/>
              <w:rPr>
                <w:sz w:val="22"/>
                <w:szCs w:val="22"/>
                <w:color w:val="auto"/>
              </w:rPr>
            </w:pPr>
          </w:p>
        </w:tc>
        <w:tc>
          <w:tcPr>
            <w:tcW w:w="260" w:type="dxa"/>
            <w:vAlign w:val="bottom"/>
            <w:tcBorders>
              <w:bottom w:val="single" w:sz="8" w:color="C0C0C0"/>
            </w:tcBorders>
          </w:tcPr>
          <w:p>
            <w:pPr>
              <w:spacing w:after="0"/>
              <w:rPr>
                <w:sz w:val="22"/>
                <w:szCs w:val="22"/>
                <w:color w:val="auto"/>
              </w:rPr>
            </w:pPr>
          </w:p>
        </w:tc>
        <w:tc>
          <w:tcPr>
            <w:tcW w:w="420" w:type="dxa"/>
            <w:vAlign w:val="bottom"/>
            <w:tcBorders>
              <w:bottom w:val="single" w:sz="8" w:color="C0C0C0"/>
              <w:right w:val="single" w:sz="8" w:color="C0C0C0"/>
            </w:tcBorders>
          </w:tcPr>
          <w:p>
            <w:pPr>
              <w:spacing w:after="0"/>
              <w:rPr>
                <w:sz w:val="22"/>
                <w:szCs w:val="22"/>
                <w:color w:val="auto"/>
              </w:rPr>
            </w:pPr>
          </w:p>
        </w:tc>
        <w:tc>
          <w:tcPr>
            <w:tcW w:w="5660" w:type="dxa"/>
            <w:vAlign w:val="bottom"/>
            <w:tcBorders>
              <w:bottom w:val="single" w:sz="8" w:color="C0C0C0"/>
              <w:right w:val="single" w:sz="8" w:color="C0C0C0"/>
            </w:tcBorders>
            <w:gridSpan w:val="3"/>
          </w:tcPr>
          <w:p>
            <w:pPr>
              <w:ind w:left="20"/>
              <w:spacing w:after="0" w:line="255" w:lineRule="exact"/>
              <w:rPr>
                <w:sz w:val="20"/>
                <w:szCs w:val="20"/>
                <w:color w:val="auto"/>
              </w:rPr>
            </w:pPr>
            <w:r>
              <w:rPr>
                <w:rFonts w:ascii="Arial" w:cs="Arial" w:eastAsia="Arial" w:hAnsi="Arial"/>
                <w:sz w:val="18"/>
                <w:szCs w:val="18"/>
                <w:color w:val="auto"/>
              </w:rPr>
              <w:t xml:space="preserve">[Covered Life Name] </w:t>
            </w:r>
            <w:r>
              <w:rPr>
                <w:rFonts w:ascii="Arial" w:cs="Arial" w:eastAsia="Arial" w:hAnsi="Arial"/>
                <w:sz w:val="23"/>
                <w:szCs w:val="23"/>
                <w:color w:val="auto"/>
                <w:vertAlign w:val="superscript"/>
              </w:rPr>
              <w:t>A</w:t>
            </w:r>
          </w:p>
        </w:tc>
        <w:tc>
          <w:tcPr>
            <w:tcW w:w="0" w:type="dxa"/>
            <w:vAlign w:val="bottom"/>
          </w:tcPr>
          <w:p>
            <w:pPr>
              <w:spacing w:after="0"/>
              <w:rPr>
                <w:sz w:val="1"/>
                <w:szCs w:val="1"/>
                <w:color w:val="auto"/>
              </w:rPr>
            </w:pPr>
          </w:p>
        </w:tc>
      </w:tr>
      <w:tr>
        <w:trPr>
          <w:trHeight w:val="243"/>
        </w:trPr>
        <w:tc>
          <w:tcPr>
            <w:tcW w:w="3520" w:type="dxa"/>
            <w:vAlign w:val="bottom"/>
            <w:tcBorders>
              <w:left w:val="single" w:sz="8" w:color="C0C0C0"/>
              <w:bottom w:val="single" w:sz="8" w:color="C0C0C0"/>
            </w:tcBorders>
          </w:tcPr>
          <w:p>
            <w:pPr>
              <w:spacing w:after="0"/>
              <w:rPr>
                <w:sz w:val="21"/>
                <w:szCs w:val="21"/>
                <w:color w:val="auto"/>
              </w:rPr>
            </w:pPr>
          </w:p>
        </w:tc>
        <w:tc>
          <w:tcPr>
            <w:tcW w:w="640" w:type="dxa"/>
            <w:vAlign w:val="bottom"/>
            <w:tcBorders>
              <w:bottom w:val="single" w:sz="8" w:color="C0C0C0"/>
            </w:tcBorders>
          </w:tcPr>
          <w:p>
            <w:pPr>
              <w:spacing w:after="0"/>
              <w:rPr>
                <w:sz w:val="21"/>
                <w:szCs w:val="21"/>
                <w:color w:val="auto"/>
              </w:rPr>
            </w:pPr>
          </w:p>
        </w:tc>
        <w:tc>
          <w:tcPr>
            <w:tcW w:w="260" w:type="dxa"/>
            <w:vAlign w:val="bottom"/>
            <w:tcBorders>
              <w:bottom w:val="single" w:sz="8" w:color="C0C0C0"/>
            </w:tcBorders>
          </w:tcPr>
          <w:p>
            <w:pPr>
              <w:spacing w:after="0"/>
              <w:rPr>
                <w:sz w:val="21"/>
                <w:szCs w:val="21"/>
                <w:color w:val="auto"/>
              </w:rPr>
            </w:pPr>
          </w:p>
        </w:tc>
        <w:tc>
          <w:tcPr>
            <w:tcW w:w="420" w:type="dxa"/>
            <w:vAlign w:val="bottom"/>
            <w:tcBorders>
              <w:bottom w:val="single" w:sz="8" w:color="C0C0C0"/>
              <w:right w:val="single" w:sz="8" w:color="C0C0C0"/>
            </w:tcBorders>
          </w:tcPr>
          <w:p>
            <w:pPr>
              <w:spacing w:after="0"/>
              <w:rPr>
                <w:sz w:val="21"/>
                <w:szCs w:val="21"/>
                <w:color w:val="auto"/>
              </w:rPr>
            </w:pPr>
          </w:p>
        </w:tc>
        <w:tc>
          <w:tcPr>
            <w:tcW w:w="1220" w:type="dxa"/>
            <w:vAlign w:val="bottom"/>
            <w:tcBorders>
              <w:bottom w:val="single" w:sz="8" w:color="C0C0C0"/>
            </w:tcBorders>
          </w:tcPr>
          <w:p>
            <w:pPr>
              <w:spacing w:after="0"/>
              <w:rPr>
                <w:sz w:val="21"/>
                <w:szCs w:val="21"/>
                <w:color w:val="auto"/>
              </w:rPr>
            </w:pPr>
          </w:p>
        </w:tc>
        <w:tc>
          <w:tcPr>
            <w:tcW w:w="260" w:type="dxa"/>
            <w:vAlign w:val="bottom"/>
            <w:tcBorders>
              <w:bottom w:val="single" w:sz="8" w:color="C0C0C0"/>
            </w:tcBorders>
          </w:tcPr>
          <w:p>
            <w:pPr>
              <w:spacing w:after="0"/>
              <w:rPr>
                <w:sz w:val="21"/>
                <w:szCs w:val="21"/>
                <w:color w:val="auto"/>
              </w:rPr>
            </w:pPr>
          </w:p>
        </w:tc>
        <w:tc>
          <w:tcPr>
            <w:tcW w:w="4180" w:type="dxa"/>
            <w:vAlign w:val="bottom"/>
            <w:tcBorders>
              <w:bottom w:val="single" w:sz="8" w:color="C0C0C0"/>
              <w:right w:val="single" w:sz="8" w:color="C0C0C0"/>
            </w:tcBorders>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3520" w:type="dxa"/>
            <w:vAlign w:val="bottom"/>
            <w:tcBorders>
              <w:left w:val="single" w:sz="8" w:color="C0C0C0"/>
              <w:bottom w:val="single" w:sz="8" w:color="C0C0C0"/>
            </w:tcBorders>
          </w:tcPr>
          <w:p>
            <w:pPr>
              <w:ind w:left="40"/>
              <w:spacing w:after="0"/>
              <w:rPr>
                <w:sz w:val="20"/>
                <w:szCs w:val="20"/>
                <w:color w:val="auto"/>
              </w:rPr>
            </w:pPr>
            <w:r>
              <w:rPr>
                <w:rFonts w:ascii="Arial" w:cs="Arial" w:eastAsia="Arial" w:hAnsi="Arial"/>
                <w:sz w:val="18"/>
                <w:szCs w:val="18"/>
                <w:b w:val="1"/>
                <w:bCs w:val="1"/>
                <w:i w:val="1"/>
                <w:iCs w:val="1"/>
                <w:color w:val="auto"/>
              </w:rPr>
              <w:t>Covered Life's Sex and Date of Birth:</w:t>
            </w:r>
          </w:p>
        </w:tc>
        <w:tc>
          <w:tcPr>
            <w:tcW w:w="640" w:type="dxa"/>
            <w:vAlign w:val="bottom"/>
            <w:tcBorders>
              <w:bottom w:val="single" w:sz="8" w:color="C0C0C0"/>
            </w:tcBorders>
          </w:tcPr>
          <w:p>
            <w:pPr>
              <w:spacing w:after="0"/>
              <w:rPr>
                <w:sz w:val="22"/>
                <w:szCs w:val="22"/>
                <w:color w:val="auto"/>
              </w:rPr>
            </w:pPr>
          </w:p>
        </w:tc>
        <w:tc>
          <w:tcPr>
            <w:tcW w:w="260" w:type="dxa"/>
            <w:vAlign w:val="bottom"/>
            <w:tcBorders>
              <w:bottom w:val="single" w:sz="8" w:color="C0C0C0"/>
            </w:tcBorders>
          </w:tcPr>
          <w:p>
            <w:pPr>
              <w:spacing w:after="0"/>
              <w:rPr>
                <w:sz w:val="22"/>
                <w:szCs w:val="22"/>
                <w:color w:val="auto"/>
              </w:rPr>
            </w:pPr>
          </w:p>
        </w:tc>
        <w:tc>
          <w:tcPr>
            <w:tcW w:w="420" w:type="dxa"/>
            <w:vAlign w:val="bottom"/>
            <w:tcBorders>
              <w:bottom w:val="single" w:sz="8" w:color="C0C0C0"/>
              <w:right w:val="single" w:sz="8" w:color="C0C0C0"/>
            </w:tcBorders>
          </w:tcPr>
          <w:p>
            <w:pPr>
              <w:spacing w:after="0"/>
              <w:rPr>
                <w:sz w:val="22"/>
                <w:szCs w:val="22"/>
                <w:color w:val="auto"/>
              </w:rPr>
            </w:pPr>
          </w:p>
        </w:tc>
        <w:tc>
          <w:tcPr>
            <w:tcW w:w="5660" w:type="dxa"/>
            <w:vAlign w:val="bottom"/>
            <w:tcBorders>
              <w:bottom w:val="single" w:sz="8" w:color="C0C0C0"/>
              <w:right w:val="single" w:sz="8" w:color="C0C0C0"/>
            </w:tcBorders>
            <w:gridSpan w:val="3"/>
          </w:tcPr>
          <w:p>
            <w:pPr>
              <w:ind w:left="20"/>
              <w:spacing w:after="0" w:line="255" w:lineRule="exact"/>
              <w:rPr>
                <w:sz w:val="20"/>
                <w:szCs w:val="20"/>
                <w:color w:val="auto"/>
              </w:rPr>
            </w:pPr>
            <w:r>
              <w:rPr>
                <w:rFonts w:ascii="Arial" w:cs="Arial" w:eastAsia="Arial" w:hAnsi="Arial"/>
                <w:sz w:val="18"/>
                <w:szCs w:val="18"/>
                <w:color w:val="auto"/>
              </w:rPr>
              <w:t xml:space="preserve">[Male/Female, Date] </w:t>
            </w:r>
            <w:r>
              <w:rPr>
                <w:rFonts w:ascii="Arial" w:cs="Arial" w:eastAsia="Arial" w:hAnsi="Arial"/>
                <w:sz w:val="23"/>
                <w:szCs w:val="23"/>
                <w:color w:val="auto"/>
                <w:vertAlign w:val="superscript"/>
              </w:rPr>
              <w:t>A</w:t>
            </w:r>
          </w:p>
        </w:tc>
        <w:tc>
          <w:tcPr>
            <w:tcW w:w="0" w:type="dxa"/>
            <w:vAlign w:val="bottom"/>
          </w:tcPr>
          <w:p>
            <w:pPr>
              <w:spacing w:after="0"/>
              <w:rPr>
                <w:sz w:val="1"/>
                <w:szCs w:val="1"/>
                <w:color w:val="auto"/>
              </w:rPr>
            </w:pPr>
          </w:p>
        </w:tc>
      </w:tr>
      <w:tr>
        <w:trPr>
          <w:trHeight w:val="243"/>
        </w:trPr>
        <w:tc>
          <w:tcPr>
            <w:tcW w:w="3520" w:type="dxa"/>
            <w:vAlign w:val="bottom"/>
            <w:tcBorders>
              <w:left w:val="single" w:sz="8" w:color="C0C0C0"/>
              <w:bottom w:val="single" w:sz="8" w:color="C0C0C0"/>
            </w:tcBorders>
          </w:tcPr>
          <w:p>
            <w:pPr>
              <w:spacing w:after="0"/>
              <w:rPr>
                <w:sz w:val="21"/>
                <w:szCs w:val="21"/>
                <w:color w:val="auto"/>
              </w:rPr>
            </w:pPr>
          </w:p>
        </w:tc>
        <w:tc>
          <w:tcPr>
            <w:tcW w:w="640" w:type="dxa"/>
            <w:vAlign w:val="bottom"/>
            <w:tcBorders>
              <w:bottom w:val="single" w:sz="8" w:color="C0C0C0"/>
            </w:tcBorders>
          </w:tcPr>
          <w:p>
            <w:pPr>
              <w:spacing w:after="0"/>
              <w:rPr>
                <w:sz w:val="21"/>
                <w:szCs w:val="21"/>
                <w:color w:val="auto"/>
              </w:rPr>
            </w:pPr>
          </w:p>
        </w:tc>
        <w:tc>
          <w:tcPr>
            <w:tcW w:w="260" w:type="dxa"/>
            <w:vAlign w:val="bottom"/>
            <w:tcBorders>
              <w:bottom w:val="single" w:sz="8" w:color="C0C0C0"/>
            </w:tcBorders>
          </w:tcPr>
          <w:p>
            <w:pPr>
              <w:spacing w:after="0"/>
              <w:rPr>
                <w:sz w:val="21"/>
                <w:szCs w:val="21"/>
                <w:color w:val="auto"/>
              </w:rPr>
            </w:pPr>
          </w:p>
        </w:tc>
        <w:tc>
          <w:tcPr>
            <w:tcW w:w="420" w:type="dxa"/>
            <w:vAlign w:val="bottom"/>
            <w:tcBorders>
              <w:bottom w:val="single" w:sz="8" w:color="C0C0C0"/>
              <w:right w:val="single" w:sz="8" w:color="C0C0C0"/>
            </w:tcBorders>
          </w:tcPr>
          <w:p>
            <w:pPr>
              <w:spacing w:after="0"/>
              <w:rPr>
                <w:sz w:val="21"/>
                <w:szCs w:val="21"/>
                <w:color w:val="auto"/>
              </w:rPr>
            </w:pPr>
          </w:p>
        </w:tc>
        <w:tc>
          <w:tcPr>
            <w:tcW w:w="1220" w:type="dxa"/>
            <w:vAlign w:val="bottom"/>
            <w:tcBorders>
              <w:bottom w:val="single" w:sz="8" w:color="C0C0C0"/>
            </w:tcBorders>
          </w:tcPr>
          <w:p>
            <w:pPr>
              <w:spacing w:after="0"/>
              <w:rPr>
                <w:sz w:val="21"/>
                <w:szCs w:val="21"/>
                <w:color w:val="auto"/>
              </w:rPr>
            </w:pPr>
          </w:p>
        </w:tc>
        <w:tc>
          <w:tcPr>
            <w:tcW w:w="260" w:type="dxa"/>
            <w:vAlign w:val="bottom"/>
            <w:tcBorders>
              <w:bottom w:val="single" w:sz="8" w:color="C0C0C0"/>
            </w:tcBorders>
          </w:tcPr>
          <w:p>
            <w:pPr>
              <w:spacing w:after="0"/>
              <w:rPr>
                <w:sz w:val="21"/>
                <w:szCs w:val="21"/>
                <w:color w:val="auto"/>
              </w:rPr>
            </w:pPr>
          </w:p>
        </w:tc>
        <w:tc>
          <w:tcPr>
            <w:tcW w:w="4180" w:type="dxa"/>
            <w:vAlign w:val="bottom"/>
            <w:tcBorders>
              <w:bottom w:val="single" w:sz="8" w:color="C0C0C0"/>
              <w:right w:val="single" w:sz="8" w:color="C0C0C0"/>
            </w:tcBorders>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3520" w:type="dxa"/>
            <w:vAlign w:val="bottom"/>
            <w:tcBorders>
              <w:left w:val="single" w:sz="8" w:color="C0C0C0"/>
              <w:bottom w:val="single" w:sz="8" w:color="C0C0C0"/>
            </w:tcBorders>
          </w:tcPr>
          <w:p>
            <w:pPr>
              <w:ind w:left="40"/>
              <w:spacing w:after="0"/>
              <w:rPr>
                <w:sz w:val="20"/>
                <w:szCs w:val="20"/>
                <w:color w:val="auto"/>
              </w:rPr>
            </w:pPr>
            <w:r>
              <w:rPr>
                <w:rFonts w:ascii="Arial" w:cs="Arial" w:eastAsia="Arial" w:hAnsi="Arial"/>
                <w:sz w:val="18"/>
                <w:szCs w:val="18"/>
                <w:i w:val="1"/>
                <w:iCs w:val="1"/>
                <w:color w:val="auto"/>
              </w:rPr>
              <w:t>Annuity Certificate Number:</w:t>
            </w:r>
          </w:p>
        </w:tc>
        <w:tc>
          <w:tcPr>
            <w:tcW w:w="640" w:type="dxa"/>
            <w:vAlign w:val="bottom"/>
            <w:tcBorders>
              <w:bottom w:val="single" w:sz="8" w:color="C0C0C0"/>
            </w:tcBorders>
          </w:tcPr>
          <w:p>
            <w:pPr>
              <w:spacing w:after="0"/>
              <w:rPr>
                <w:sz w:val="22"/>
                <w:szCs w:val="22"/>
                <w:color w:val="auto"/>
              </w:rPr>
            </w:pPr>
          </w:p>
        </w:tc>
        <w:tc>
          <w:tcPr>
            <w:tcW w:w="260" w:type="dxa"/>
            <w:vAlign w:val="bottom"/>
            <w:tcBorders>
              <w:bottom w:val="single" w:sz="8" w:color="C0C0C0"/>
            </w:tcBorders>
          </w:tcPr>
          <w:p>
            <w:pPr>
              <w:spacing w:after="0"/>
              <w:rPr>
                <w:sz w:val="22"/>
                <w:szCs w:val="22"/>
                <w:color w:val="auto"/>
              </w:rPr>
            </w:pPr>
          </w:p>
        </w:tc>
        <w:tc>
          <w:tcPr>
            <w:tcW w:w="420" w:type="dxa"/>
            <w:vAlign w:val="bottom"/>
            <w:tcBorders>
              <w:bottom w:val="single" w:sz="8" w:color="C0C0C0"/>
              <w:right w:val="single" w:sz="8" w:color="C0C0C0"/>
            </w:tcBorders>
          </w:tcPr>
          <w:p>
            <w:pPr>
              <w:spacing w:after="0"/>
              <w:rPr>
                <w:sz w:val="22"/>
                <w:szCs w:val="22"/>
                <w:color w:val="auto"/>
              </w:rPr>
            </w:pPr>
          </w:p>
        </w:tc>
        <w:tc>
          <w:tcPr>
            <w:tcW w:w="5660" w:type="dxa"/>
            <w:vAlign w:val="bottom"/>
            <w:tcBorders>
              <w:bottom w:val="single" w:sz="8" w:color="C0C0C0"/>
              <w:right w:val="single" w:sz="8" w:color="C0C0C0"/>
            </w:tcBorders>
            <w:gridSpan w:val="3"/>
          </w:tcPr>
          <w:p>
            <w:pPr>
              <w:ind w:left="20"/>
              <w:spacing w:after="0" w:line="255" w:lineRule="exact"/>
              <w:rPr>
                <w:sz w:val="20"/>
                <w:szCs w:val="20"/>
                <w:color w:val="auto"/>
              </w:rPr>
            </w:pPr>
            <w:r>
              <w:rPr>
                <w:rFonts w:ascii="Arial" w:cs="Arial" w:eastAsia="Arial" w:hAnsi="Arial"/>
                <w:sz w:val="18"/>
                <w:szCs w:val="18"/>
                <w:color w:val="auto"/>
              </w:rPr>
              <w:t>[Certificate Number</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23"/>
                <w:szCs w:val="23"/>
                <w:b w:val="1"/>
                <w:bCs w:val="1"/>
                <w:color w:val="auto"/>
                <w:vertAlign w:val="superscript"/>
              </w:rPr>
              <w:t>A</w:t>
            </w:r>
          </w:p>
        </w:tc>
        <w:tc>
          <w:tcPr>
            <w:tcW w:w="0" w:type="dxa"/>
            <w:vAlign w:val="bottom"/>
          </w:tcPr>
          <w:p>
            <w:pPr>
              <w:spacing w:after="0"/>
              <w:rPr>
                <w:sz w:val="1"/>
                <w:szCs w:val="1"/>
                <w:color w:val="auto"/>
              </w:rPr>
            </w:pPr>
          </w:p>
        </w:tc>
      </w:tr>
      <w:tr>
        <w:trPr>
          <w:trHeight w:val="243"/>
        </w:trPr>
        <w:tc>
          <w:tcPr>
            <w:tcW w:w="3520" w:type="dxa"/>
            <w:vAlign w:val="bottom"/>
            <w:tcBorders>
              <w:left w:val="single" w:sz="8" w:color="C0C0C0"/>
              <w:bottom w:val="single" w:sz="8" w:color="C0C0C0"/>
            </w:tcBorders>
          </w:tcPr>
          <w:p>
            <w:pPr>
              <w:spacing w:after="0"/>
              <w:rPr>
                <w:sz w:val="21"/>
                <w:szCs w:val="21"/>
                <w:color w:val="auto"/>
              </w:rPr>
            </w:pPr>
          </w:p>
        </w:tc>
        <w:tc>
          <w:tcPr>
            <w:tcW w:w="640" w:type="dxa"/>
            <w:vAlign w:val="bottom"/>
            <w:tcBorders>
              <w:bottom w:val="single" w:sz="8" w:color="C0C0C0"/>
            </w:tcBorders>
          </w:tcPr>
          <w:p>
            <w:pPr>
              <w:spacing w:after="0"/>
              <w:rPr>
                <w:sz w:val="21"/>
                <w:szCs w:val="21"/>
                <w:color w:val="auto"/>
              </w:rPr>
            </w:pPr>
          </w:p>
        </w:tc>
        <w:tc>
          <w:tcPr>
            <w:tcW w:w="260" w:type="dxa"/>
            <w:vAlign w:val="bottom"/>
            <w:tcBorders>
              <w:bottom w:val="single" w:sz="8" w:color="C0C0C0"/>
            </w:tcBorders>
          </w:tcPr>
          <w:p>
            <w:pPr>
              <w:spacing w:after="0"/>
              <w:rPr>
                <w:sz w:val="21"/>
                <w:szCs w:val="21"/>
                <w:color w:val="auto"/>
              </w:rPr>
            </w:pPr>
          </w:p>
        </w:tc>
        <w:tc>
          <w:tcPr>
            <w:tcW w:w="420" w:type="dxa"/>
            <w:vAlign w:val="bottom"/>
            <w:tcBorders>
              <w:bottom w:val="single" w:sz="8" w:color="C0C0C0"/>
              <w:right w:val="single" w:sz="8" w:color="C0C0C0"/>
            </w:tcBorders>
          </w:tcPr>
          <w:p>
            <w:pPr>
              <w:spacing w:after="0"/>
              <w:rPr>
                <w:sz w:val="21"/>
                <w:szCs w:val="21"/>
                <w:color w:val="auto"/>
              </w:rPr>
            </w:pPr>
          </w:p>
        </w:tc>
        <w:tc>
          <w:tcPr>
            <w:tcW w:w="1220" w:type="dxa"/>
            <w:vAlign w:val="bottom"/>
            <w:tcBorders>
              <w:bottom w:val="single" w:sz="8" w:color="C0C0C0"/>
            </w:tcBorders>
          </w:tcPr>
          <w:p>
            <w:pPr>
              <w:spacing w:after="0"/>
              <w:rPr>
                <w:sz w:val="21"/>
                <w:szCs w:val="21"/>
                <w:color w:val="auto"/>
              </w:rPr>
            </w:pPr>
          </w:p>
        </w:tc>
        <w:tc>
          <w:tcPr>
            <w:tcW w:w="260" w:type="dxa"/>
            <w:vAlign w:val="bottom"/>
            <w:tcBorders>
              <w:bottom w:val="single" w:sz="8" w:color="C0C0C0"/>
            </w:tcBorders>
          </w:tcPr>
          <w:p>
            <w:pPr>
              <w:spacing w:after="0"/>
              <w:rPr>
                <w:sz w:val="21"/>
                <w:szCs w:val="21"/>
                <w:color w:val="auto"/>
              </w:rPr>
            </w:pPr>
          </w:p>
        </w:tc>
        <w:tc>
          <w:tcPr>
            <w:tcW w:w="4180" w:type="dxa"/>
            <w:vAlign w:val="bottom"/>
            <w:tcBorders>
              <w:bottom w:val="single" w:sz="8" w:color="C0C0C0"/>
              <w:right w:val="single" w:sz="8" w:color="C0C0C0"/>
            </w:tcBorders>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3520" w:type="dxa"/>
            <w:vAlign w:val="bottom"/>
            <w:tcBorders>
              <w:left w:val="single" w:sz="8" w:color="C0C0C0"/>
            </w:tcBorders>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Borders>
              <w:right w:val="single" w:sz="8" w:color="C0C0C0"/>
            </w:tcBorders>
          </w:tcPr>
          <w:p>
            <w:pPr>
              <w:spacing w:after="0"/>
              <w:rPr>
                <w:sz w:val="18"/>
                <w:szCs w:val="18"/>
                <w:color w:val="auto"/>
              </w:rPr>
            </w:pPr>
          </w:p>
        </w:tc>
        <w:tc>
          <w:tcPr>
            <w:tcW w:w="5660" w:type="dxa"/>
            <w:vAlign w:val="bottom"/>
            <w:tcBorders>
              <w:right w:val="single" w:sz="8" w:color="C0C0C0"/>
            </w:tcBorders>
            <w:gridSpan w:val="3"/>
          </w:tcPr>
          <w:p>
            <w:pPr>
              <w:ind w:left="20"/>
              <w:spacing w:after="0"/>
              <w:rPr>
                <w:sz w:val="20"/>
                <w:szCs w:val="20"/>
                <w:color w:val="auto"/>
              </w:rPr>
            </w:pPr>
            <w:r>
              <w:rPr>
                <w:rFonts w:ascii="Arial" w:cs="Arial" w:eastAsia="Arial" w:hAnsi="Arial"/>
                <w:sz w:val="18"/>
                <w:szCs w:val="18"/>
                <w:color w:val="auto"/>
              </w:rPr>
              <w:t>[NAME OF TRUST BANK, as Directed Trustee of the Vita Salaried</w:t>
            </w:r>
          </w:p>
        </w:tc>
        <w:tc>
          <w:tcPr>
            <w:tcW w:w="0" w:type="dxa"/>
            <w:vAlign w:val="bottom"/>
          </w:tcPr>
          <w:p>
            <w:pPr>
              <w:spacing w:after="0"/>
              <w:rPr>
                <w:sz w:val="1"/>
                <w:szCs w:val="1"/>
                <w:color w:val="auto"/>
              </w:rPr>
            </w:pPr>
          </w:p>
        </w:tc>
      </w:tr>
      <w:tr>
        <w:trPr>
          <w:trHeight w:val="255"/>
        </w:trPr>
        <w:tc>
          <w:tcPr>
            <w:tcW w:w="3520" w:type="dxa"/>
            <w:vAlign w:val="bottom"/>
            <w:tcBorders>
              <w:left w:val="single" w:sz="8" w:color="C0C0C0"/>
              <w:bottom w:val="single" w:sz="8" w:color="C0C0C0"/>
            </w:tcBorders>
          </w:tcPr>
          <w:p>
            <w:pPr>
              <w:ind w:left="40"/>
              <w:spacing w:after="0" w:line="255" w:lineRule="exact"/>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Contract-Holder:</w:t>
            </w:r>
            <w:r>
              <w:rPr>
                <w:rFonts w:ascii="Arial" w:cs="Arial" w:eastAsia="Arial" w:hAnsi="Arial"/>
                <w:sz w:val="18"/>
                <w:szCs w:val="18"/>
                <w:color w:val="auto"/>
              </w:rPr>
              <w:t xml:space="preserve"> ] </w:t>
            </w:r>
            <w:r>
              <w:rPr>
                <w:rFonts w:ascii="Arial" w:cs="Arial" w:eastAsia="Arial" w:hAnsi="Arial"/>
                <w:sz w:val="23"/>
                <w:szCs w:val="23"/>
                <w:color w:val="auto"/>
                <w:vertAlign w:val="superscript"/>
              </w:rPr>
              <w:t>A</w:t>
            </w:r>
          </w:p>
        </w:tc>
        <w:tc>
          <w:tcPr>
            <w:tcW w:w="640" w:type="dxa"/>
            <w:vAlign w:val="bottom"/>
            <w:tcBorders>
              <w:bottom w:val="single" w:sz="8" w:color="C0C0C0"/>
            </w:tcBorders>
          </w:tcPr>
          <w:p>
            <w:pPr>
              <w:spacing w:after="0"/>
              <w:rPr>
                <w:sz w:val="22"/>
                <w:szCs w:val="22"/>
                <w:color w:val="auto"/>
              </w:rPr>
            </w:pPr>
          </w:p>
        </w:tc>
        <w:tc>
          <w:tcPr>
            <w:tcW w:w="260" w:type="dxa"/>
            <w:vAlign w:val="bottom"/>
            <w:tcBorders>
              <w:bottom w:val="single" w:sz="8" w:color="C0C0C0"/>
            </w:tcBorders>
          </w:tcPr>
          <w:p>
            <w:pPr>
              <w:spacing w:after="0"/>
              <w:rPr>
                <w:sz w:val="22"/>
                <w:szCs w:val="22"/>
                <w:color w:val="auto"/>
              </w:rPr>
            </w:pPr>
          </w:p>
        </w:tc>
        <w:tc>
          <w:tcPr>
            <w:tcW w:w="420" w:type="dxa"/>
            <w:vAlign w:val="bottom"/>
            <w:tcBorders>
              <w:bottom w:val="single" w:sz="8" w:color="C0C0C0"/>
              <w:right w:val="single" w:sz="8" w:color="C0C0C0"/>
            </w:tcBorders>
          </w:tcPr>
          <w:p>
            <w:pPr>
              <w:spacing w:after="0"/>
              <w:rPr>
                <w:sz w:val="22"/>
                <w:szCs w:val="22"/>
                <w:color w:val="auto"/>
              </w:rPr>
            </w:pPr>
          </w:p>
        </w:tc>
        <w:tc>
          <w:tcPr>
            <w:tcW w:w="5660" w:type="dxa"/>
            <w:vAlign w:val="bottom"/>
            <w:tcBorders>
              <w:bottom w:val="single" w:sz="8" w:color="C0C0C0"/>
              <w:right w:val="single" w:sz="8" w:color="C0C0C0"/>
            </w:tcBorders>
            <w:gridSpan w:val="3"/>
          </w:tcPr>
          <w:p>
            <w:pPr>
              <w:ind w:left="20"/>
              <w:spacing w:after="0" w:line="255" w:lineRule="exact"/>
              <w:rPr>
                <w:sz w:val="20"/>
                <w:szCs w:val="20"/>
                <w:color w:val="auto"/>
              </w:rPr>
            </w:pPr>
            <w:r>
              <w:rPr>
                <w:rFonts w:ascii="Arial" w:cs="Arial" w:eastAsia="Arial" w:hAnsi="Arial"/>
                <w:sz w:val="18"/>
                <w:szCs w:val="18"/>
                <w:color w:val="auto"/>
              </w:rPr>
              <w:t>Retirement Trust, a New York trust]</w:t>
            </w:r>
            <w:r>
              <w:rPr>
                <w:rFonts w:ascii="Arial" w:cs="Arial" w:eastAsia="Arial" w:hAnsi="Arial"/>
                <w:sz w:val="23"/>
                <w:szCs w:val="23"/>
                <w:color w:val="auto"/>
                <w:vertAlign w:val="superscript"/>
              </w:rPr>
              <w:t>A</w:t>
            </w:r>
          </w:p>
        </w:tc>
        <w:tc>
          <w:tcPr>
            <w:tcW w:w="0" w:type="dxa"/>
            <w:vAlign w:val="bottom"/>
          </w:tcPr>
          <w:p>
            <w:pPr>
              <w:spacing w:after="0"/>
              <w:rPr>
                <w:sz w:val="1"/>
                <w:szCs w:val="1"/>
                <w:color w:val="auto"/>
              </w:rPr>
            </w:pPr>
          </w:p>
        </w:tc>
      </w:tr>
      <w:tr>
        <w:trPr>
          <w:trHeight w:val="243"/>
        </w:trPr>
        <w:tc>
          <w:tcPr>
            <w:tcW w:w="3520" w:type="dxa"/>
            <w:vAlign w:val="bottom"/>
            <w:tcBorders>
              <w:left w:val="single" w:sz="8" w:color="C0C0C0"/>
              <w:bottom w:val="single" w:sz="8" w:color="C0C0C0"/>
            </w:tcBorders>
          </w:tcPr>
          <w:p>
            <w:pPr>
              <w:spacing w:after="0"/>
              <w:rPr>
                <w:sz w:val="21"/>
                <w:szCs w:val="21"/>
                <w:color w:val="auto"/>
              </w:rPr>
            </w:pPr>
          </w:p>
        </w:tc>
        <w:tc>
          <w:tcPr>
            <w:tcW w:w="640" w:type="dxa"/>
            <w:vAlign w:val="bottom"/>
            <w:tcBorders>
              <w:bottom w:val="single" w:sz="8" w:color="C0C0C0"/>
            </w:tcBorders>
          </w:tcPr>
          <w:p>
            <w:pPr>
              <w:spacing w:after="0"/>
              <w:rPr>
                <w:sz w:val="21"/>
                <w:szCs w:val="21"/>
                <w:color w:val="auto"/>
              </w:rPr>
            </w:pPr>
          </w:p>
        </w:tc>
        <w:tc>
          <w:tcPr>
            <w:tcW w:w="260" w:type="dxa"/>
            <w:vAlign w:val="bottom"/>
            <w:tcBorders>
              <w:bottom w:val="single" w:sz="8" w:color="C0C0C0"/>
            </w:tcBorders>
          </w:tcPr>
          <w:p>
            <w:pPr>
              <w:spacing w:after="0"/>
              <w:rPr>
                <w:sz w:val="21"/>
                <w:szCs w:val="21"/>
                <w:color w:val="auto"/>
              </w:rPr>
            </w:pPr>
          </w:p>
        </w:tc>
        <w:tc>
          <w:tcPr>
            <w:tcW w:w="420" w:type="dxa"/>
            <w:vAlign w:val="bottom"/>
            <w:tcBorders>
              <w:bottom w:val="single" w:sz="8" w:color="C0C0C0"/>
              <w:right w:val="single" w:sz="8" w:color="C0C0C0"/>
            </w:tcBorders>
          </w:tcPr>
          <w:p>
            <w:pPr>
              <w:spacing w:after="0"/>
              <w:rPr>
                <w:sz w:val="21"/>
                <w:szCs w:val="21"/>
                <w:color w:val="auto"/>
              </w:rPr>
            </w:pPr>
          </w:p>
        </w:tc>
        <w:tc>
          <w:tcPr>
            <w:tcW w:w="1220" w:type="dxa"/>
            <w:vAlign w:val="bottom"/>
            <w:tcBorders>
              <w:bottom w:val="single" w:sz="8" w:color="C0C0C0"/>
            </w:tcBorders>
          </w:tcPr>
          <w:p>
            <w:pPr>
              <w:spacing w:after="0"/>
              <w:rPr>
                <w:sz w:val="21"/>
                <w:szCs w:val="21"/>
                <w:color w:val="auto"/>
              </w:rPr>
            </w:pPr>
          </w:p>
        </w:tc>
        <w:tc>
          <w:tcPr>
            <w:tcW w:w="260" w:type="dxa"/>
            <w:vAlign w:val="bottom"/>
            <w:tcBorders>
              <w:bottom w:val="single" w:sz="8" w:color="C0C0C0"/>
            </w:tcBorders>
          </w:tcPr>
          <w:p>
            <w:pPr>
              <w:spacing w:after="0"/>
              <w:rPr>
                <w:sz w:val="21"/>
                <w:szCs w:val="21"/>
                <w:color w:val="auto"/>
              </w:rPr>
            </w:pPr>
          </w:p>
        </w:tc>
        <w:tc>
          <w:tcPr>
            <w:tcW w:w="4180" w:type="dxa"/>
            <w:vAlign w:val="bottom"/>
            <w:tcBorders>
              <w:bottom w:val="single" w:sz="8" w:color="C0C0C0"/>
              <w:right w:val="single" w:sz="8" w:color="C0C0C0"/>
            </w:tcBorders>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3520" w:type="dxa"/>
            <w:vAlign w:val="bottom"/>
            <w:tcBorders>
              <w:left w:val="single" w:sz="8" w:color="C0C0C0"/>
              <w:bottom w:val="single" w:sz="8" w:color="C0C0C0"/>
            </w:tcBorders>
          </w:tcPr>
          <w:p>
            <w:pPr>
              <w:ind w:left="40"/>
              <w:spacing w:after="0" w:line="255" w:lineRule="exact"/>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Name of Plan:</w:t>
            </w:r>
            <w:r>
              <w:rPr>
                <w:rFonts w:ascii="Arial" w:cs="Arial" w:eastAsia="Arial" w:hAnsi="Arial"/>
                <w:sz w:val="18"/>
                <w:szCs w:val="18"/>
                <w:color w:val="auto"/>
              </w:rPr>
              <w:t xml:space="preserve"> ] </w:t>
            </w:r>
            <w:r>
              <w:rPr>
                <w:rFonts w:ascii="Arial" w:cs="Arial" w:eastAsia="Arial" w:hAnsi="Arial"/>
                <w:sz w:val="23"/>
                <w:szCs w:val="23"/>
                <w:color w:val="auto"/>
                <w:vertAlign w:val="superscript"/>
              </w:rPr>
              <w:t>A</w:t>
            </w:r>
          </w:p>
        </w:tc>
        <w:tc>
          <w:tcPr>
            <w:tcW w:w="640" w:type="dxa"/>
            <w:vAlign w:val="bottom"/>
            <w:tcBorders>
              <w:bottom w:val="single" w:sz="8" w:color="C0C0C0"/>
            </w:tcBorders>
          </w:tcPr>
          <w:p>
            <w:pPr>
              <w:spacing w:after="0"/>
              <w:rPr>
                <w:sz w:val="22"/>
                <w:szCs w:val="22"/>
                <w:color w:val="auto"/>
              </w:rPr>
            </w:pPr>
          </w:p>
        </w:tc>
        <w:tc>
          <w:tcPr>
            <w:tcW w:w="260" w:type="dxa"/>
            <w:vAlign w:val="bottom"/>
            <w:tcBorders>
              <w:bottom w:val="single" w:sz="8" w:color="C0C0C0"/>
            </w:tcBorders>
          </w:tcPr>
          <w:p>
            <w:pPr>
              <w:spacing w:after="0"/>
              <w:rPr>
                <w:sz w:val="22"/>
                <w:szCs w:val="22"/>
                <w:color w:val="auto"/>
              </w:rPr>
            </w:pPr>
          </w:p>
        </w:tc>
        <w:tc>
          <w:tcPr>
            <w:tcW w:w="420" w:type="dxa"/>
            <w:vAlign w:val="bottom"/>
            <w:tcBorders>
              <w:bottom w:val="single" w:sz="8" w:color="C0C0C0"/>
              <w:right w:val="single" w:sz="8" w:color="C0C0C0"/>
            </w:tcBorders>
          </w:tcPr>
          <w:p>
            <w:pPr>
              <w:spacing w:after="0"/>
              <w:rPr>
                <w:sz w:val="22"/>
                <w:szCs w:val="22"/>
                <w:color w:val="auto"/>
              </w:rPr>
            </w:pPr>
          </w:p>
        </w:tc>
        <w:tc>
          <w:tcPr>
            <w:tcW w:w="5660" w:type="dxa"/>
            <w:vAlign w:val="bottom"/>
            <w:tcBorders>
              <w:bottom w:val="single" w:sz="8" w:color="C0C0C0"/>
              <w:right w:val="single" w:sz="8" w:color="C0C0C0"/>
            </w:tcBorders>
            <w:gridSpan w:val="3"/>
          </w:tcPr>
          <w:p>
            <w:pPr>
              <w:ind w:left="20"/>
              <w:spacing w:after="0" w:line="255" w:lineRule="exact"/>
              <w:rPr>
                <w:sz w:val="20"/>
                <w:szCs w:val="20"/>
                <w:color w:val="auto"/>
              </w:rPr>
            </w:pPr>
            <w:r>
              <w:rPr>
                <w:rFonts w:ascii="Arial" w:cs="Arial" w:eastAsia="Arial" w:hAnsi="Arial"/>
                <w:sz w:val="18"/>
                <w:szCs w:val="18"/>
                <w:color w:val="auto"/>
              </w:rPr>
              <w:t>[Vita Salaried Retirement Plan]</w:t>
            </w:r>
            <w:r>
              <w:rPr>
                <w:rFonts w:ascii="Arial" w:cs="Arial" w:eastAsia="Arial" w:hAnsi="Arial"/>
                <w:sz w:val="23"/>
                <w:szCs w:val="23"/>
                <w:color w:val="auto"/>
                <w:vertAlign w:val="superscript"/>
              </w:rPr>
              <w:t>A</w:t>
            </w:r>
          </w:p>
        </w:tc>
        <w:tc>
          <w:tcPr>
            <w:tcW w:w="0" w:type="dxa"/>
            <w:vAlign w:val="bottom"/>
          </w:tcPr>
          <w:p>
            <w:pPr>
              <w:spacing w:after="0"/>
              <w:rPr>
                <w:sz w:val="1"/>
                <w:szCs w:val="1"/>
                <w:color w:val="auto"/>
              </w:rPr>
            </w:pPr>
          </w:p>
        </w:tc>
      </w:tr>
      <w:tr>
        <w:trPr>
          <w:trHeight w:val="243"/>
        </w:trPr>
        <w:tc>
          <w:tcPr>
            <w:tcW w:w="3520" w:type="dxa"/>
            <w:vAlign w:val="bottom"/>
            <w:tcBorders>
              <w:left w:val="single" w:sz="8" w:color="C0C0C0"/>
              <w:bottom w:val="single" w:sz="8" w:color="C0C0C0"/>
            </w:tcBorders>
          </w:tcPr>
          <w:p>
            <w:pPr>
              <w:spacing w:after="0"/>
              <w:rPr>
                <w:sz w:val="21"/>
                <w:szCs w:val="21"/>
                <w:color w:val="auto"/>
              </w:rPr>
            </w:pPr>
          </w:p>
        </w:tc>
        <w:tc>
          <w:tcPr>
            <w:tcW w:w="640" w:type="dxa"/>
            <w:vAlign w:val="bottom"/>
            <w:tcBorders>
              <w:bottom w:val="single" w:sz="8" w:color="C0C0C0"/>
            </w:tcBorders>
          </w:tcPr>
          <w:p>
            <w:pPr>
              <w:spacing w:after="0"/>
              <w:rPr>
                <w:sz w:val="21"/>
                <w:szCs w:val="21"/>
                <w:color w:val="auto"/>
              </w:rPr>
            </w:pPr>
          </w:p>
        </w:tc>
        <w:tc>
          <w:tcPr>
            <w:tcW w:w="260" w:type="dxa"/>
            <w:vAlign w:val="bottom"/>
            <w:tcBorders>
              <w:bottom w:val="single" w:sz="8" w:color="C0C0C0"/>
            </w:tcBorders>
          </w:tcPr>
          <w:p>
            <w:pPr>
              <w:spacing w:after="0"/>
              <w:rPr>
                <w:sz w:val="21"/>
                <w:szCs w:val="21"/>
                <w:color w:val="auto"/>
              </w:rPr>
            </w:pPr>
          </w:p>
        </w:tc>
        <w:tc>
          <w:tcPr>
            <w:tcW w:w="420" w:type="dxa"/>
            <w:vAlign w:val="bottom"/>
            <w:tcBorders>
              <w:bottom w:val="single" w:sz="8" w:color="C0C0C0"/>
              <w:right w:val="single" w:sz="8" w:color="C0C0C0"/>
            </w:tcBorders>
          </w:tcPr>
          <w:p>
            <w:pPr>
              <w:spacing w:after="0"/>
              <w:rPr>
                <w:sz w:val="21"/>
                <w:szCs w:val="21"/>
                <w:color w:val="auto"/>
              </w:rPr>
            </w:pPr>
          </w:p>
        </w:tc>
        <w:tc>
          <w:tcPr>
            <w:tcW w:w="1220" w:type="dxa"/>
            <w:vAlign w:val="bottom"/>
            <w:tcBorders>
              <w:bottom w:val="single" w:sz="8" w:color="C0C0C0"/>
            </w:tcBorders>
          </w:tcPr>
          <w:p>
            <w:pPr>
              <w:spacing w:after="0"/>
              <w:rPr>
                <w:sz w:val="21"/>
                <w:szCs w:val="21"/>
                <w:color w:val="auto"/>
              </w:rPr>
            </w:pPr>
          </w:p>
        </w:tc>
        <w:tc>
          <w:tcPr>
            <w:tcW w:w="260" w:type="dxa"/>
            <w:vAlign w:val="bottom"/>
            <w:tcBorders>
              <w:bottom w:val="single" w:sz="8" w:color="C0C0C0"/>
            </w:tcBorders>
          </w:tcPr>
          <w:p>
            <w:pPr>
              <w:spacing w:after="0"/>
              <w:rPr>
                <w:sz w:val="21"/>
                <w:szCs w:val="21"/>
                <w:color w:val="auto"/>
              </w:rPr>
            </w:pPr>
          </w:p>
        </w:tc>
        <w:tc>
          <w:tcPr>
            <w:tcW w:w="4180" w:type="dxa"/>
            <w:vAlign w:val="bottom"/>
            <w:tcBorders>
              <w:bottom w:val="single" w:sz="8" w:color="C0C0C0"/>
              <w:right w:val="single" w:sz="8" w:color="C0C0C0"/>
            </w:tcBorders>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3520" w:type="dxa"/>
            <w:vAlign w:val="bottom"/>
            <w:tcBorders>
              <w:left w:val="single" w:sz="8" w:color="C0C0C0"/>
              <w:bottom w:val="single" w:sz="8" w:color="C0C0C0"/>
            </w:tcBorders>
          </w:tcPr>
          <w:p>
            <w:pPr>
              <w:ind w:left="40"/>
              <w:spacing w:after="0"/>
              <w:rPr>
                <w:sz w:val="20"/>
                <w:szCs w:val="20"/>
                <w:color w:val="auto"/>
              </w:rPr>
            </w:pPr>
            <w:r>
              <w:rPr>
                <w:rFonts w:ascii="Arial" w:cs="Arial" w:eastAsia="Arial" w:hAnsi="Arial"/>
                <w:sz w:val="18"/>
                <w:szCs w:val="18"/>
                <w:i w:val="1"/>
                <w:iCs w:val="1"/>
                <w:color w:val="auto"/>
              </w:rPr>
              <w:t>Group Annuity Contract Number:</w:t>
            </w:r>
          </w:p>
        </w:tc>
        <w:tc>
          <w:tcPr>
            <w:tcW w:w="640" w:type="dxa"/>
            <w:vAlign w:val="bottom"/>
            <w:tcBorders>
              <w:bottom w:val="single" w:sz="8" w:color="C0C0C0"/>
            </w:tcBorders>
          </w:tcPr>
          <w:p>
            <w:pPr>
              <w:spacing w:after="0"/>
              <w:rPr>
                <w:sz w:val="22"/>
                <w:szCs w:val="22"/>
                <w:color w:val="auto"/>
              </w:rPr>
            </w:pPr>
          </w:p>
        </w:tc>
        <w:tc>
          <w:tcPr>
            <w:tcW w:w="260" w:type="dxa"/>
            <w:vAlign w:val="bottom"/>
            <w:tcBorders>
              <w:bottom w:val="single" w:sz="8" w:color="C0C0C0"/>
            </w:tcBorders>
          </w:tcPr>
          <w:p>
            <w:pPr>
              <w:spacing w:after="0"/>
              <w:rPr>
                <w:sz w:val="22"/>
                <w:szCs w:val="22"/>
                <w:color w:val="auto"/>
              </w:rPr>
            </w:pPr>
          </w:p>
        </w:tc>
        <w:tc>
          <w:tcPr>
            <w:tcW w:w="420" w:type="dxa"/>
            <w:vAlign w:val="bottom"/>
            <w:tcBorders>
              <w:bottom w:val="single" w:sz="8" w:color="C0C0C0"/>
              <w:right w:val="single" w:sz="8" w:color="C0C0C0"/>
            </w:tcBorders>
          </w:tcPr>
          <w:p>
            <w:pPr>
              <w:spacing w:after="0"/>
              <w:rPr>
                <w:sz w:val="22"/>
                <w:szCs w:val="22"/>
                <w:color w:val="auto"/>
              </w:rPr>
            </w:pPr>
          </w:p>
        </w:tc>
        <w:tc>
          <w:tcPr>
            <w:tcW w:w="5660" w:type="dxa"/>
            <w:vAlign w:val="bottom"/>
            <w:tcBorders>
              <w:bottom w:val="single" w:sz="8" w:color="C0C0C0"/>
              <w:right w:val="single" w:sz="8" w:color="C0C0C0"/>
            </w:tcBorders>
            <w:gridSpan w:val="3"/>
          </w:tcPr>
          <w:p>
            <w:pPr>
              <w:ind w:left="20"/>
              <w:spacing w:after="0" w:line="255" w:lineRule="exact"/>
              <w:rPr>
                <w:sz w:val="20"/>
                <w:szCs w:val="20"/>
                <w:color w:val="auto"/>
              </w:rPr>
            </w:pPr>
            <w:r>
              <w:rPr>
                <w:rFonts w:ascii="Arial" w:cs="Arial" w:eastAsia="Arial" w:hAnsi="Arial"/>
                <w:sz w:val="18"/>
                <w:szCs w:val="18"/>
                <w:color w:val="auto"/>
              </w:rPr>
              <w:t>[Article P of GA-300</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23"/>
                <w:szCs w:val="23"/>
                <w:b w:val="1"/>
                <w:bCs w:val="1"/>
                <w:color w:val="auto"/>
                <w:vertAlign w:val="superscript"/>
              </w:rPr>
              <w:t>A</w:t>
            </w:r>
          </w:p>
        </w:tc>
        <w:tc>
          <w:tcPr>
            <w:tcW w:w="0" w:type="dxa"/>
            <w:vAlign w:val="bottom"/>
          </w:tcPr>
          <w:p>
            <w:pPr>
              <w:spacing w:after="0"/>
              <w:rPr>
                <w:sz w:val="1"/>
                <w:szCs w:val="1"/>
                <w:color w:val="auto"/>
              </w:rPr>
            </w:pPr>
          </w:p>
        </w:tc>
      </w:tr>
      <w:tr>
        <w:trPr>
          <w:trHeight w:val="243"/>
        </w:trPr>
        <w:tc>
          <w:tcPr>
            <w:tcW w:w="3520" w:type="dxa"/>
            <w:vAlign w:val="bottom"/>
            <w:tcBorders>
              <w:left w:val="single" w:sz="8" w:color="C0C0C0"/>
              <w:bottom w:val="single" w:sz="8" w:color="C0C0C0"/>
            </w:tcBorders>
          </w:tcPr>
          <w:p>
            <w:pPr>
              <w:spacing w:after="0"/>
              <w:rPr>
                <w:sz w:val="21"/>
                <w:szCs w:val="21"/>
                <w:color w:val="auto"/>
              </w:rPr>
            </w:pPr>
          </w:p>
        </w:tc>
        <w:tc>
          <w:tcPr>
            <w:tcW w:w="640" w:type="dxa"/>
            <w:vAlign w:val="bottom"/>
            <w:tcBorders>
              <w:bottom w:val="single" w:sz="8" w:color="C0C0C0"/>
            </w:tcBorders>
          </w:tcPr>
          <w:p>
            <w:pPr>
              <w:spacing w:after="0"/>
              <w:rPr>
                <w:sz w:val="21"/>
                <w:szCs w:val="21"/>
                <w:color w:val="auto"/>
              </w:rPr>
            </w:pPr>
          </w:p>
        </w:tc>
        <w:tc>
          <w:tcPr>
            <w:tcW w:w="260" w:type="dxa"/>
            <w:vAlign w:val="bottom"/>
            <w:tcBorders>
              <w:bottom w:val="single" w:sz="8" w:color="C0C0C0"/>
            </w:tcBorders>
          </w:tcPr>
          <w:p>
            <w:pPr>
              <w:spacing w:after="0"/>
              <w:rPr>
                <w:sz w:val="21"/>
                <w:szCs w:val="21"/>
                <w:color w:val="auto"/>
              </w:rPr>
            </w:pPr>
          </w:p>
        </w:tc>
        <w:tc>
          <w:tcPr>
            <w:tcW w:w="420" w:type="dxa"/>
            <w:vAlign w:val="bottom"/>
            <w:tcBorders>
              <w:bottom w:val="single" w:sz="8" w:color="C0C0C0"/>
              <w:right w:val="single" w:sz="8" w:color="C0C0C0"/>
            </w:tcBorders>
          </w:tcPr>
          <w:p>
            <w:pPr>
              <w:spacing w:after="0"/>
              <w:rPr>
                <w:sz w:val="21"/>
                <w:szCs w:val="21"/>
                <w:color w:val="auto"/>
              </w:rPr>
            </w:pPr>
          </w:p>
        </w:tc>
        <w:tc>
          <w:tcPr>
            <w:tcW w:w="1220" w:type="dxa"/>
            <w:vAlign w:val="bottom"/>
            <w:tcBorders>
              <w:bottom w:val="single" w:sz="8" w:color="C0C0C0"/>
            </w:tcBorders>
          </w:tcPr>
          <w:p>
            <w:pPr>
              <w:spacing w:after="0"/>
              <w:rPr>
                <w:sz w:val="21"/>
                <w:szCs w:val="21"/>
                <w:color w:val="auto"/>
              </w:rPr>
            </w:pPr>
          </w:p>
        </w:tc>
        <w:tc>
          <w:tcPr>
            <w:tcW w:w="260" w:type="dxa"/>
            <w:vAlign w:val="bottom"/>
            <w:tcBorders>
              <w:bottom w:val="single" w:sz="8" w:color="C0C0C0"/>
            </w:tcBorders>
          </w:tcPr>
          <w:p>
            <w:pPr>
              <w:spacing w:after="0"/>
              <w:rPr>
                <w:sz w:val="21"/>
                <w:szCs w:val="21"/>
                <w:color w:val="auto"/>
              </w:rPr>
            </w:pPr>
          </w:p>
        </w:tc>
        <w:tc>
          <w:tcPr>
            <w:tcW w:w="4180" w:type="dxa"/>
            <w:vAlign w:val="bottom"/>
            <w:tcBorders>
              <w:bottom w:val="single" w:sz="8" w:color="C0C0C0"/>
              <w:right w:val="single" w:sz="8" w:color="C0C0C0"/>
            </w:tcBorders>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3520" w:type="dxa"/>
            <w:vAlign w:val="bottom"/>
            <w:tcBorders>
              <w:left w:val="single" w:sz="8" w:color="C0C0C0"/>
            </w:tcBorders>
          </w:tcPr>
          <w:p>
            <w:pPr>
              <w:ind w:left="40"/>
              <w:spacing w:after="0"/>
              <w:rPr>
                <w:sz w:val="20"/>
                <w:szCs w:val="20"/>
                <w:color w:val="auto"/>
              </w:rPr>
            </w:pPr>
            <w:r>
              <w:rPr>
                <w:rFonts w:ascii="Arial" w:cs="Arial" w:eastAsia="Arial" w:hAnsi="Arial"/>
                <w:sz w:val="18"/>
                <w:szCs w:val="18"/>
                <w:i w:val="1"/>
                <w:iCs w:val="1"/>
                <w:color w:val="auto"/>
              </w:rPr>
              <w:t>Form of Annuity:</w:t>
            </w: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Borders>
              <w:right w:val="single" w:sz="8" w:color="C0C0C0"/>
            </w:tcBorders>
          </w:tcPr>
          <w:p>
            <w:pPr>
              <w:spacing w:after="0"/>
              <w:rPr>
                <w:sz w:val="20"/>
                <w:szCs w:val="20"/>
                <w:color w:val="auto"/>
              </w:rPr>
            </w:pPr>
          </w:p>
        </w:tc>
        <w:tc>
          <w:tcPr>
            <w:tcW w:w="5660" w:type="dxa"/>
            <w:vAlign w:val="bottom"/>
            <w:tcBorders>
              <w:right w:val="single" w:sz="8" w:color="C0C0C0"/>
            </w:tcBorders>
            <w:gridSpan w:val="3"/>
          </w:tcPr>
          <w:p>
            <w:pPr>
              <w:ind w:left="20"/>
              <w:spacing w:after="0"/>
              <w:rPr>
                <w:sz w:val="20"/>
                <w:szCs w:val="20"/>
                <w:color w:val="auto"/>
              </w:rPr>
            </w:pPr>
            <w:r>
              <w:rPr>
                <w:rFonts w:ascii="Arial" w:cs="Arial" w:eastAsia="Arial" w:hAnsi="Arial"/>
                <w:sz w:val="18"/>
                <w:szCs w:val="18"/>
                <w:color w:val="auto"/>
              </w:rPr>
              <w:t>Single Life Annuity</w:t>
            </w:r>
          </w:p>
        </w:tc>
        <w:tc>
          <w:tcPr>
            <w:tcW w:w="0" w:type="dxa"/>
            <w:vAlign w:val="bottom"/>
          </w:tcPr>
          <w:p>
            <w:pPr>
              <w:spacing w:after="0"/>
              <w:rPr>
                <w:sz w:val="1"/>
                <w:szCs w:val="1"/>
                <w:color w:val="auto"/>
              </w:rPr>
            </w:pPr>
          </w:p>
        </w:tc>
      </w:tr>
      <w:tr>
        <w:trPr>
          <w:trHeight w:val="21"/>
        </w:trPr>
        <w:tc>
          <w:tcPr>
            <w:tcW w:w="3520" w:type="dxa"/>
            <w:vAlign w:val="bottom"/>
            <w:tcBorders>
              <w:left w:val="single" w:sz="8" w:color="C0C0C0"/>
              <w:bottom w:val="single" w:sz="8" w:color="C0C0C0"/>
            </w:tcBorders>
          </w:tcPr>
          <w:p>
            <w:pPr>
              <w:spacing w:after="0" w:line="20" w:lineRule="exact"/>
              <w:rPr>
                <w:sz w:val="1"/>
                <w:szCs w:val="1"/>
                <w:color w:val="auto"/>
              </w:rPr>
            </w:pPr>
          </w:p>
        </w:tc>
        <w:tc>
          <w:tcPr>
            <w:tcW w:w="640" w:type="dxa"/>
            <w:vAlign w:val="bottom"/>
            <w:tcBorders>
              <w:bottom w:val="single" w:sz="8" w:color="C0C0C0"/>
            </w:tcBorders>
          </w:tcPr>
          <w:p>
            <w:pPr>
              <w:spacing w:after="0" w:line="20" w:lineRule="exact"/>
              <w:rPr>
                <w:sz w:val="1"/>
                <w:szCs w:val="1"/>
                <w:color w:val="auto"/>
              </w:rPr>
            </w:pPr>
          </w:p>
        </w:tc>
        <w:tc>
          <w:tcPr>
            <w:tcW w:w="260" w:type="dxa"/>
            <w:vAlign w:val="bottom"/>
            <w:tcBorders>
              <w:bottom w:val="single" w:sz="8" w:color="C0C0C0"/>
            </w:tcBorders>
          </w:tcPr>
          <w:p>
            <w:pPr>
              <w:spacing w:after="0" w:line="20" w:lineRule="exact"/>
              <w:rPr>
                <w:sz w:val="1"/>
                <w:szCs w:val="1"/>
                <w:color w:val="auto"/>
              </w:rPr>
            </w:pPr>
          </w:p>
        </w:tc>
        <w:tc>
          <w:tcPr>
            <w:tcW w:w="420" w:type="dxa"/>
            <w:vAlign w:val="bottom"/>
            <w:tcBorders>
              <w:bottom w:val="single" w:sz="8" w:color="C0C0C0"/>
              <w:right w:val="single" w:sz="8" w:color="C0C0C0"/>
            </w:tcBorders>
          </w:tcPr>
          <w:p>
            <w:pPr>
              <w:spacing w:after="0" w:line="20" w:lineRule="exact"/>
              <w:rPr>
                <w:sz w:val="1"/>
                <w:szCs w:val="1"/>
                <w:color w:val="auto"/>
              </w:rPr>
            </w:pPr>
          </w:p>
        </w:tc>
        <w:tc>
          <w:tcPr>
            <w:tcW w:w="1220" w:type="dxa"/>
            <w:vAlign w:val="bottom"/>
            <w:tcBorders>
              <w:bottom w:val="single" w:sz="8" w:color="C0C0C0"/>
            </w:tcBorders>
          </w:tcPr>
          <w:p>
            <w:pPr>
              <w:spacing w:after="0" w:line="20" w:lineRule="exact"/>
              <w:rPr>
                <w:sz w:val="1"/>
                <w:szCs w:val="1"/>
                <w:color w:val="auto"/>
              </w:rPr>
            </w:pPr>
          </w:p>
        </w:tc>
        <w:tc>
          <w:tcPr>
            <w:tcW w:w="260" w:type="dxa"/>
            <w:vAlign w:val="bottom"/>
            <w:tcBorders>
              <w:bottom w:val="single" w:sz="8" w:color="C0C0C0"/>
            </w:tcBorders>
          </w:tcPr>
          <w:p>
            <w:pPr>
              <w:spacing w:after="0" w:line="20" w:lineRule="exact"/>
              <w:rPr>
                <w:sz w:val="1"/>
                <w:szCs w:val="1"/>
                <w:color w:val="auto"/>
              </w:rPr>
            </w:pPr>
          </w:p>
        </w:tc>
        <w:tc>
          <w:tcPr>
            <w:tcW w:w="4180" w:type="dxa"/>
            <w:vAlign w:val="bottom"/>
            <w:tcBorders>
              <w:bottom w:val="single" w:sz="8" w:color="C0C0C0"/>
              <w:right w:val="single" w:sz="8" w:color="C0C0C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3"/>
        </w:trPr>
        <w:tc>
          <w:tcPr>
            <w:tcW w:w="3520" w:type="dxa"/>
            <w:vAlign w:val="bottom"/>
            <w:tcBorders>
              <w:left w:val="single" w:sz="8" w:color="C0C0C0"/>
              <w:bottom w:val="single" w:sz="8" w:color="C0C0C0"/>
            </w:tcBorders>
          </w:tcPr>
          <w:p>
            <w:pPr>
              <w:spacing w:after="0"/>
              <w:rPr>
                <w:sz w:val="21"/>
                <w:szCs w:val="21"/>
                <w:color w:val="auto"/>
              </w:rPr>
            </w:pPr>
          </w:p>
        </w:tc>
        <w:tc>
          <w:tcPr>
            <w:tcW w:w="640" w:type="dxa"/>
            <w:vAlign w:val="bottom"/>
            <w:tcBorders>
              <w:bottom w:val="single" w:sz="8" w:color="C0C0C0"/>
            </w:tcBorders>
          </w:tcPr>
          <w:p>
            <w:pPr>
              <w:spacing w:after="0"/>
              <w:rPr>
                <w:sz w:val="21"/>
                <w:szCs w:val="21"/>
                <w:color w:val="auto"/>
              </w:rPr>
            </w:pPr>
          </w:p>
        </w:tc>
        <w:tc>
          <w:tcPr>
            <w:tcW w:w="260" w:type="dxa"/>
            <w:vAlign w:val="bottom"/>
            <w:tcBorders>
              <w:bottom w:val="single" w:sz="8" w:color="C0C0C0"/>
            </w:tcBorders>
          </w:tcPr>
          <w:p>
            <w:pPr>
              <w:spacing w:after="0"/>
              <w:rPr>
                <w:sz w:val="21"/>
                <w:szCs w:val="21"/>
                <w:color w:val="auto"/>
              </w:rPr>
            </w:pPr>
          </w:p>
        </w:tc>
        <w:tc>
          <w:tcPr>
            <w:tcW w:w="420" w:type="dxa"/>
            <w:vAlign w:val="bottom"/>
            <w:tcBorders>
              <w:bottom w:val="single" w:sz="8" w:color="C0C0C0"/>
              <w:right w:val="single" w:sz="8" w:color="C0C0C0"/>
            </w:tcBorders>
          </w:tcPr>
          <w:p>
            <w:pPr>
              <w:spacing w:after="0"/>
              <w:rPr>
                <w:sz w:val="21"/>
                <w:szCs w:val="21"/>
                <w:color w:val="auto"/>
              </w:rPr>
            </w:pPr>
          </w:p>
        </w:tc>
        <w:tc>
          <w:tcPr>
            <w:tcW w:w="1220" w:type="dxa"/>
            <w:vAlign w:val="bottom"/>
            <w:tcBorders>
              <w:bottom w:val="single" w:sz="8" w:color="C0C0C0"/>
            </w:tcBorders>
          </w:tcPr>
          <w:p>
            <w:pPr>
              <w:spacing w:after="0"/>
              <w:rPr>
                <w:sz w:val="21"/>
                <w:szCs w:val="21"/>
                <w:color w:val="auto"/>
              </w:rPr>
            </w:pPr>
          </w:p>
        </w:tc>
        <w:tc>
          <w:tcPr>
            <w:tcW w:w="260" w:type="dxa"/>
            <w:vAlign w:val="bottom"/>
            <w:tcBorders>
              <w:bottom w:val="single" w:sz="8" w:color="C0C0C0"/>
            </w:tcBorders>
          </w:tcPr>
          <w:p>
            <w:pPr>
              <w:spacing w:after="0"/>
              <w:rPr>
                <w:sz w:val="21"/>
                <w:szCs w:val="21"/>
                <w:color w:val="auto"/>
              </w:rPr>
            </w:pPr>
          </w:p>
        </w:tc>
        <w:tc>
          <w:tcPr>
            <w:tcW w:w="4180" w:type="dxa"/>
            <w:vAlign w:val="bottom"/>
            <w:tcBorders>
              <w:bottom w:val="single" w:sz="8" w:color="C0C0C0"/>
              <w:right w:val="single" w:sz="8" w:color="C0C0C0"/>
            </w:tcBorders>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3520" w:type="dxa"/>
            <w:vAlign w:val="bottom"/>
            <w:tcBorders>
              <w:left w:val="single" w:sz="8" w:color="C0C0C0"/>
            </w:tcBorders>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Borders>
              <w:right w:val="single" w:sz="8" w:color="C0C0C0"/>
            </w:tcBorders>
          </w:tcPr>
          <w:p>
            <w:pPr>
              <w:spacing w:after="0"/>
              <w:rPr>
                <w:sz w:val="18"/>
                <w:szCs w:val="18"/>
                <w:color w:val="auto"/>
              </w:rPr>
            </w:pPr>
          </w:p>
        </w:tc>
        <w:tc>
          <w:tcPr>
            <w:tcW w:w="5660" w:type="dxa"/>
            <w:vAlign w:val="bottom"/>
            <w:tcBorders>
              <w:right w:val="single" w:sz="8" w:color="C0C0C0"/>
            </w:tcBorders>
            <w:gridSpan w:val="3"/>
          </w:tcPr>
          <w:p>
            <w:pPr>
              <w:ind w:left="20"/>
              <w:spacing w:after="0"/>
              <w:rPr>
                <w:sz w:val="20"/>
                <w:szCs w:val="20"/>
                <w:color w:val="auto"/>
              </w:rPr>
            </w:pPr>
            <w:r>
              <w:rPr>
                <w:rFonts w:ascii="Arial" w:cs="Arial" w:eastAsia="Arial" w:hAnsi="Arial"/>
                <w:sz w:val="18"/>
                <w:szCs w:val="18"/>
                <w:color w:val="auto"/>
              </w:rPr>
              <w:t>[Special Benefit Rider</w:t>
            </w:r>
          </w:p>
        </w:tc>
        <w:tc>
          <w:tcPr>
            <w:tcW w:w="0" w:type="dxa"/>
            <w:vAlign w:val="bottom"/>
          </w:tcPr>
          <w:p>
            <w:pPr>
              <w:spacing w:after="0"/>
              <w:rPr>
                <w:sz w:val="1"/>
                <w:szCs w:val="1"/>
                <w:color w:val="auto"/>
              </w:rPr>
            </w:pPr>
          </w:p>
        </w:tc>
      </w:tr>
      <w:tr>
        <w:trPr>
          <w:trHeight w:val="213"/>
        </w:trPr>
        <w:tc>
          <w:tcPr>
            <w:tcW w:w="3520" w:type="dxa"/>
            <w:vAlign w:val="bottom"/>
            <w:tcBorders>
              <w:left w:val="single" w:sz="8" w:color="C0C0C0"/>
            </w:tcBorders>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Borders>
              <w:right w:val="single" w:sz="8" w:color="C0C0C0"/>
            </w:tcBorders>
          </w:tcPr>
          <w:p>
            <w:pPr>
              <w:spacing w:after="0"/>
              <w:rPr>
                <w:sz w:val="18"/>
                <w:szCs w:val="18"/>
                <w:color w:val="auto"/>
              </w:rPr>
            </w:pPr>
          </w:p>
        </w:tc>
        <w:tc>
          <w:tcPr>
            <w:tcW w:w="5660" w:type="dxa"/>
            <w:vAlign w:val="bottom"/>
            <w:tcBorders>
              <w:right w:val="single" w:sz="8" w:color="C0C0C0"/>
            </w:tcBorders>
            <w:gridSpan w:val="3"/>
          </w:tcPr>
          <w:p>
            <w:pPr>
              <w:ind w:left="20"/>
              <w:spacing w:after="0"/>
              <w:rPr>
                <w:sz w:val="20"/>
                <w:szCs w:val="20"/>
                <w:color w:val="auto"/>
              </w:rPr>
            </w:pPr>
            <w:r>
              <w:rPr>
                <w:rFonts w:ascii="Arial" w:cs="Arial" w:eastAsia="Arial" w:hAnsi="Arial"/>
                <w:sz w:val="18"/>
                <w:szCs w:val="18"/>
                <w:color w:val="auto"/>
              </w:rPr>
              <w:t>Level Benefit Rider</w:t>
            </w:r>
          </w:p>
        </w:tc>
        <w:tc>
          <w:tcPr>
            <w:tcW w:w="0" w:type="dxa"/>
            <w:vAlign w:val="bottom"/>
          </w:tcPr>
          <w:p>
            <w:pPr>
              <w:spacing w:after="0"/>
              <w:rPr>
                <w:sz w:val="1"/>
                <w:szCs w:val="1"/>
                <w:color w:val="auto"/>
              </w:rPr>
            </w:pPr>
          </w:p>
        </w:tc>
      </w:tr>
      <w:tr>
        <w:trPr>
          <w:trHeight w:val="213"/>
        </w:trPr>
        <w:tc>
          <w:tcPr>
            <w:tcW w:w="3520" w:type="dxa"/>
            <w:vAlign w:val="bottom"/>
            <w:tcBorders>
              <w:left w:val="single" w:sz="8" w:color="C0C0C0"/>
            </w:tcBorders>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Borders>
              <w:right w:val="single" w:sz="8" w:color="C0C0C0"/>
            </w:tcBorders>
          </w:tcPr>
          <w:p>
            <w:pPr>
              <w:spacing w:after="0"/>
              <w:rPr>
                <w:sz w:val="18"/>
                <w:szCs w:val="18"/>
                <w:color w:val="auto"/>
              </w:rPr>
            </w:pPr>
          </w:p>
        </w:tc>
        <w:tc>
          <w:tcPr>
            <w:tcW w:w="5660" w:type="dxa"/>
            <w:vAlign w:val="bottom"/>
            <w:tcBorders>
              <w:right w:val="single" w:sz="8" w:color="C0C0C0"/>
            </w:tcBorders>
            <w:gridSpan w:val="3"/>
          </w:tcPr>
          <w:p>
            <w:pPr>
              <w:ind w:left="20"/>
              <w:spacing w:after="0"/>
              <w:rPr>
                <w:sz w:val="20"/>
                <w:szCs w:val="20"/>
                <w:color w:val="auto"/>
              </w:rPr>
            </w:pPr>
            <w:r>
              <w:rPr>
                <w:rFonts w:ascii="Arial" w:cs="Arial" w:eastAsia="Arial" w:hAnsi="Arial"/>
                <w:sz w:val="18"/>
                <w:szCs w:val="18"/>
                <w:color w:val="auto"/>
              </w:rPr>
              <w:t>Refund Death Benefit Rider</w:t>
            </w:r>
          </w:p>
        </w:tc>
        <w:tc>
          <w:tcPr>
            <w:tcW w:w="0" w:type="dxa"/>
            <w:vAlign w:val="bottom"/>
          </w:tcPr>
          <w:p>
            <w:pPr>
              <w:spacing w:after="0"/>
              <w:rPr>
                <w:sz w:val="1"/>
                <w:szCs w:val="1"/>
                <w:color w:val="auto"/>
              </w:rPr>
            </w:pPr>
          </w:p>
        </w:tc>
      </w:tr>
      <w:tr>
        <w:trPr>
          <w:trHeight w:val="255"/>
        </w:trPr>
        <w:tc>
          <w:tcPr>
            <w:tcW w:w="3520" w:type="dxa"/>
            <w:vAlign w:val="bottom"/>
            <w:tcBorders>
              <w:left w:val="single" w:sz="8" w:color="C0C0C0"/>
              <w:bottom w:val="single" w:sz="8" w:color="C0C0C0"/>
            </w:tcBorders>
          </w:tcPr>
          <w:p>
            <w:pPr>
              <w:ind w:left="40"/>
              <w:spacing w:after="0"/>
              <w:rPr>
                <w:sz w:val="20"/>
                <w:szCs w:val="20"/>
                <w:color w:val="auto"/>
              </w:rPr>
            </w:pPr>
            <w:r>
              <w:rPr>
                <w:rFonts w:ascii="Arial" w:cs="Arial" w:eastAsia="Arial" w:hAnsi="Arial"/>
                <w:sz w:val="18"/>
                <w:szCs w:val="18"/>
                <w:i w:val="1"/>
                <w:iCs w:val="1"/>
                <w:color w:val="auto"/>
              </w:rPr>
              <w:t>Annuity Riders:</w:t>
            </w:r>
          </w:p>
        </w:tc>
        <w:tc>
          <w:tcPr>
            <w:tcW w:w="640" w:type="dxa"/>
            <w:vAlign w:val="bottom"/>
            <w:tcBorders>
              <w:bottom w:val="single" w:sz="8" w:color="C0C0C0"/>
            </w:tcBorders>
          </w:tcPr>
          <w:p>
            <w:pPr>
              <w:spacing w:after="0"/>
              <w:rPr>
                <w:sz w:val="22"/>
                <w:szCs w:val="22"/>
                <w:color w:val="auto"/>
              </w:rPr>
            </w:pPr>
          </w:p>
        </w:tc>
        <w:tc>
          <w:tcPr>
            <w:tcW w:w="260" w:type="dxa"/>
            <w:vAlign w:val="bottom"/>
            <w:tcBorders>
              <w:bottom w:val="single" w:sz="8" w:color="C0C0C0"/>
            </w:tcBorders>
          </w:tcPr>
          <w:p>
            <w:pPr>
              <w:spacing w:after="0"/>
              <w:rPr>
                <w:sz w:val="22"/>
                <w:szCs w:val="22"/>
                <w:color w:val="auto"/>
              </w:rPr>
            </w:pPr>
          </w:p>
        </w:tc>
        <w:tc>
          <w:tcPr>
            <w:tcW w:w="420" w:type="dxa"/>
            <w:vAlign w:val="bottom"/>
            <w:tcBorders>
              <w:bottom w:val="single" w:sz="8" w:color="C0C0C0"/>
              <w:right w:val="single" w:sz="8" w:color="C0C0C0"/>
            </w:tcBorders>
          </w:tcPr>
          <w:p>
            <w:pPr>
              <w:spacing w:after="0"/>
              <w:rPr>
                <w:sz w:val="22"/>
                <w:szCs w:val="22"/>
                <w:color w:val="auto"/>
              </w:rPr>
            </w:pPr>
          </w:p>
        </w:tc>
        <w:tc>
          <w:tcPr>
            <w:tcW w:w="5660" w:type="dxa"/>
            <w:vAlign w:val="bottom"/>
            <w:tcBorders>
              <w:bottom w:val="single" w:sz="8" w:color="C0C0C0"/>
              <w:right w:val="single" w:sz="8" w:color="C0C0C0"/>
            </w:tcBorders>
            <w:gridSpan w:val="3"/>
          </w:tcPr>
          <w:p>
            <w:pPr>
              <w:ind w:left="20"/>
              <w:spacing w:after="0" w:line="255" w:lineRule="exact"/>
              <w:rPr>
                <w:sz w:val="20"/>
                <w:szCs w:val="20"/>
                <w:color w:val="auto"/>
              </w:rPr>
            </w:pPr>
            <w:r>
              <w:rPr>
                <w:rFonts w:ascii="Arial" w:cs="Arial" w:eastAsia="Arial" w:hAnsi="Arial"/>
                <w:sz w:val="18"/>
                <w:szCs w:val="18"/>
                <w:color w:val="auto"/>
              </w:rPr>
              <w:t xml:space="preserve">None] </w:t>
            </w:r>
            <w:r>
              <w:rPr>
                <w:rFonts w:ascii="Arial" w:cs="Arial" w:eastAsia="Arial" w:hAnsi="Arial"/>
                <w:sz w:val="23"/>
                <w:szCs w:val="23"/>
                <w:color w:val="auto"/>
                <w:vertAlign w:val="superscript"/>
              </w:rPr>
              <w:t>A</w:t>
            </w:r>
          </w:p>
        </w:tc>
        <w:tc>
          <w:tcPr>
            <w:tcW w:w="0" w:type="dxa"/>
            <w:vAlign w:val="bottom"/>
          </w:tcPr>
          <w:p>
            <w:pPr>
              <w:spacing w:after="0"/>
              <w:rPr>
                <w:sz w:val="1"/>
                <w:szCs w:val="1"/>
                <w:color w:val="auto"/>
              </w:rPr>
            </w:pPr>
          </w:p>
        </w:tc>
      </w:tr>
      <w:tr>
        <w:trPr>
          <w:trHeight w:val="243"/>
        </w:trPr>
        <w:tc>
          <w:tcPr>
            <w:tcW w:w="3520" w:type="dxa"/>
            <w:vAlign w:val="bottom"/>
            <w:tcBorders>
              <w:left w:val="single" w:sz="8" w:color="C0C0C0"/>
              <w:bottom w:val="single" w:sz="8" w:color="C0C0C0"/>
            </w:tcBorders>
          </w:tcPr>
          <w:p>
            <w:pPr>
              <w:spacing w:after="0"/>
              <w:rPr>
                <w:sz w:val="21"/>
                <w:szCs w:val="21"/>
                <w:color w:val="auto"/>
              </w:rPr>
            </w:pPr>
          </w:p>
        </w:tc>
        <w:tc>
          <w:tcPr>
            <w:tcW w:w="640" w:type="dxa"/>
            <w:vAlign w:val="bottom"/>
            <w:tcBorders>
              <w:bottom w:val="single" w:sz="8" w:color="C0C0C0"/>
            </w:tcBorders>
          </w:tcPr>
          <w:p>
            <w:pPr>
              <w:spacing w:after="0"/>
              <w:rPr>
                <w:sz w:val="21"/>
                <w:szCs w:val="21"/>
                <w:color w:val="auto"/>
              </w:rPr>
            </w:pPr>
          </w:p>
        </w:tc>
        <w:tc>
          <w:tcPr>
            <w:tcW w:w="260" w:type="dxa"/>
            <w:vAlign w:val="bottom"/>
            <w:tcBorders>
              <w:bottom w:val="single" w:sz="8" w:color="C0C0C0"/>
            </w:tcBorders>
          </w:tcPr>
          <w:p>
            <w:pPr>
              <w:spacing w:after="0"/>
              <w:rPr>
                <w:sz w:val="21"/>
                <w:szCs w:val="21"/>
                <w:color w:val="auto"/>
              </w:rPr>
            </w:pPr>
          </w:p>
        </w:tc>
        <w:tc>
          <w:tcPr>
            <w:tcW w:w="420" w:type="dxa"/>
            <w:vAlign w:val="bottom"/>
            <w:tcBorders>
              <w:bottom w:val="single" w:sz="8" w:color="C0C0C0"/>
              <w:right w:val="single" w:sz="8" w:color="C0C0C0"/>
            </w:tcBorders>
          </w:tcPr>
          <w:p>
            <w:pPr>
              <w:spacing w:after="0"/>
              <w:rPr>
                <w:sz w:val="21"/>
                <w:szCs w:val="21"/>
                <w:color w:val="auto"/>
              </w:rPr>
            </w:pPr>
          </w:p>
        </w:tc>
        <w:tc>
          <w:tcPr>
            <w:tcW w:w="1220" w:type="dxa"/>
            <w:vAlign w:val="bottom"/>
            <w:tcBorders>
              <w:bottom w:val="single" w:sz="8" w:color="C0C0C0"/>
            </w:tcBorders>
          </w:tcPr>
          <w:p>
            <w:pPr>
              <w:spacing w:after="0"/>
              <w:rPr>
                <w:sz w:val="21"/>
                <w:szCs w:val="21"/>
                <w:color w:val="auto"/>
              </w:rPr>
            </w:pPr>
          </w:p>
        </w:tc>
        <w:tc>
          <w:tcPr>
            <w:tcW w:w="260" w:type="dxa"/>
            <w:vAlign w:val="bottom"/>
            <w:tcBorders>
              <w:bottom w:val="single" w:sz="8" w:color="C0C0C0"/>
            </w:tcBorders>
          </w:tcPr>
          <w:p>
            <w:pPr>
              <w:spacing w:after="0"/>
              <w:rPr>
                <w:sz w:val="21"/>
                <w:szCs w:val="21"/>
                <w:color w:val="auto"/>
              </w:rPr>
            </w:pPr>
          </w:p>
        </w:tc>
        <w:tc>
          <w:tcPr>
            <w:tcW w:w="4180" w:type="dxa"/>
            <w:vAlign w:val="bottom"/>
            <w:tcBorders>
              <w:bottom w:val="single" w:sz="8" w:color="C0C0C0"/>
              <w:right w:val="single" w:sz="8" w:color="C0C0C0"/>
            </w:tcBorders>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3520" w:type="dxa"/>
            <w:vAlign w:val="bottom"/>
            <w:tcBorders>
              <w:left w:val="single" w:sz="8" w:color="C0C0C0"/>
            </w:tcBorders>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Borders>
              <w:right w:val="single" w:sz="8" w:color="C0C0C0"/>
            </w:tcBorders>
          </w:tcPr>
          <w:p>
            <w:pPr>
              <w:spacing w:after="0"/>
              <w:rPr>
                <w:sz w:val="18"/>
                <w:szCs w:val="18"/>
                <w:color w:val="auto"/>
              </w:rPr>
            </w:pPr>
          </w:p>
        </w:tc>
        <w:tc>
          <w:tcPr>
            <w:tcW w:w="5660" w:type="dxa"/>
            <w:vAlign w:val="bottom"/>
            <w:tcBorders>
              <w:right w:val="single" w:sz="8" w:color="C0C0C0"/>
            </w:tcBorders>
            <w:gridSpan w:val="3"/>
          </w:tcPr>
          <w:p>
            <w:pPr>
              <w:ind w:left="20"/>
              <w:spacing w:after="0"/>
              <w:rPr>
                <w:sz w:val="20"/>
                <w:szCs w:val="20"/>
                <w:color w:val="auto"/>
              </w:rPr>
            </w:pPr>
            <w:r>
              <w:rPr>
                <w:rFonts w:ascii="Arial" w:cs="Arial" w:eastAsia="Arial" w:hAnsi="Arial"/>
                <w:sz w:val="18"/>
                <w:szCs w:val="18"/>
                <w:color w:val="auto"/>
              </w:rPr>
              <w:t>[Post-Retirement Marriage Conversion Option</w:t>
            </w:r>
          </w:p>
        </w:tc>
        <w:tc>
          <w:tcPr>
            <w:tcW w:w="0" w:type="dxa"/>
            <w:vAlign w:val="bottom"/>
          </w:tcPr>
          <w:p>
            <w:pPr>
              <w:spacing w:after="0"/>
              <w:rPr>
                <w:sz w:val="1"/>
                <w:szCs w:val="1"/>
                <w:color w:val="auto"/>
              </w:rPr>
            </w:pPr>
          </w:p>
        </w:tc>
      </w:tr>
      <w:tr>
        <w:trPr>
          <w:trHeight w:val="213"/>
        </w:trPr>
        <w:tc>
          <w:tcPr>
            <w:tcW w:w="3520" w:type="dxa"/>
            <w:vAlign w:val="bottom"/>
            <w:tcBorders>
              <w:left w:val="single" w:sz="8" w:color="C0C0C0"/>
            </w:tcBorders>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Borders>
              <w:right w:val="single" w:sz="8" w:color="C0C0C0"/>
            </w:tcBorders>
          </w:tcPr>
          <w:p>
            <w:pPr>
              <w:spacing w:after="0"/>
              <w:rPr>
                <w:sz w:val="18"/>
                <w:szCs w:val="18"/>
                <w:color w:val="auto"/>
              </w:rPr>
            </w:pPr>
          </w:p>
        </w:tc>
        <w:tc>
          <w:tcPr>
            <w:tcW w:w="5660" w:type="dxa"/>
            <w:vAlign w:val="bottom"/>
            <w:tcBorders>
              <w:right w:val="single" w:sz="8" w:color="C0C0C0"/>
            </w:tcBorders>
            <w:gridSpan w:val="3"/>
          </w:tcPr>
          <w:p>
            <w:pPr>
              <w:ind w:left="20"/>
              <w:spacing w:after="0"/>
              <w:rPr>
                <w:sz w:val="20"/>
                <w:szCs w:val="20"/>
                <w:color w:val="auto"/>
              </w:rPr>
            </w:pPr>
            <w:r>
              <w:rPr>
                <w:rFonts w:ascii="Arial" w:cs="Arial" w:eastAsia="Arial" w:hAnsi="Arial"/>
                <w:sz w:val="18"/>
                <w:szCs w:val="18"/>
                <w:color w:val="auto"/>
              </w:rPr>
              <w:t>Disabled Age 55 Conversion Option</w:t>
            </w:r>
          </w:p>
        </w:tc>
        <w:tc>
          <w:tcPr>
            <w:tcW w:w="0" w:type="dxa"/>
            <w:vAlign w:val="bottom"/>
          </w:tcPr>
          <w:p>
            <w:pPr>
              <w:spacing w:after="0"/>
              <w:rPr>
                <w:sz w:val="1"/>
                <w:szCs w:val="1"/>
                <w:color w:val="auto"/>
              </w:rPr>
            </w:pPr>
          </w:p>
        </w:tc>
      </w:tr>
      <w:tr>
        <w:trPr>
          <w:trHeight w:val="307"/>
        </w:trPr>
        <w:tc>
          <w:tcPr>
            <w:tcW w:w="3520" w:type="dxa"/>
            <w:vAlign w:val="bottom"/>
            <w:tcBorders>
              <w:left w:val="single" w:sz="8" w:color="C0C0C0"/>
            </w:tcBorders>
            <w:vMerge w:val="restart"/>
          </w:tcPr>
          <w:p>
            <w:pPr>
              <w:ind w:left="40"/>
              <w:spacing w:after="0"/>
              <w:rPr>
                <w:sz w:val="20"/>
                <w:szCs w:val="20"/>
                <w:color w:val="auto"/>
              </w:rPr>
            </w:pPr>
            <w:r>
              <w:rPr>
                <w:rFonts w:ascii="Arial" w:cs="Arial" w:eastAsia="Arial" w:hAnsi="Arial"/>
                <w:sz w:val="18"/>
                <w:szCs w:val="18"/>
                <w:i w:val="1"/>
                <w:iCs w:val="1"/>
                <w:color w:val="auto"/>
              </w:rPr>
              <w:t>Conversion Options:</w:t>
            </w: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Borders>
              <w:right w:val="single" w:sz="8" w:color="C0C0C0"/>
            </w:tcBorders>
          </w:tcPr>
          <w:p>
            <w:pPr>
              <w:spacing w:after="0"/>
              <w:rPr>
                <w:sz w:val="24"/>
                <w:szCs w:val="24"/>
                <w:color w:val="auto"/>
              </w:rPr>
            </w:pPr>
          </w:p>
        </w:tc>
        <w:tc>
          <w:tcPr>
            <w:tcW w:w="5660" w:type="dxa"/>
            <w:vAlign w:val="bottom"/>
            <w:tcBorders>
              <w:right w:val="single" w:sz="8" w:color="C0C0C0"/>
            </w:tcBorders>
            <w:gridSpan w:val="3"/>
          </w:tcPr>
          <w:p>
            <w:pPr>
              <w:ind w:left="20"/>
              <w:spacing w:after="0"/>
              <w:rPr>
                <w:sz w:val="20"/>
                <w:szCs w:val="20"/>
                <w:color w:val="auto"/>
              </w:rPr>
            </w:pPr>
            <w:r>
              <w:rPr>
                <w:rFonts w:ascii="Arial" w:cs="Arial" w:eastAsia="Arial" w:hAnsi="Arial"/>
                <w:sz w:val="18"/>
                <w:szCs w:val="18"/>
                <w:color w:val="auto"/>
              </w:rPr>
              <w:t xml:space="preserve">None] </w:t>
            </w:r>
            <w:r>
              <w:rPr>
                <w:rFonts w:ascii="Arial" w:cs="Arial" w:eastAsia="Arial" w:hAnsi="Arial"/>
                <w:sz w:val="23"/>
                <w:szCs w:val="23"/>
                <w:color w:val="auto"/>
                <w:vertAlign w:val="superscript"/>
              </w:rPr>
              <w:t>A</w:t>
            </w:r>
          </w:p>
        </w:tc>
        <w:tc>
          <w:tcPr>
            <w:tcW w:w="0" w:type="dxa"/>
            <w:vAlign w:val="bottom"/>
          </w:tcPr>
          <w:p>
            <w:pPr>
              <w:spacing w:after="0"/>
              <w:rPr>
                <w:sz w:val="1"/>
                <w:szCs w:val="1"/>
                <w:color w:val="auto"/>
              </w:rPr>
            </w:pPr>
          </w:p>
        </w:tc>
      </w:tr>
      <w:tr>
        <w:trPr>
          <w:trHeight w:val="127"/>
        </w:trPr>
        <w:tc>
          <w:tcPr>
            <w:tcW w:w="3520" w:type="dxa"/>
            <w:vAlign w:val="bottom"/>
            <w:tcBorders>
              <w:left w:val="single" w:sz="8" w:color="C0C0C0"/>
            </w:tcBorders>
            <w:vMerge w:val="continue"/>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Borders>
              <w:right w:val="single" w:sz="8" w:color="C0C0C0"/>
            </w:tcBorders>
          </w:tcPr>
          <w:p>
            <w:pPr>
              <w:spacing w:after="0"/>
              <w:rPr>
                <w:sz w:val="11"/>
                <w:szCs w:val="11"/>
                <w:color w:val="auto"/>
              </w:rPr>
            </w:pPr>
          </w:p>
        </w:tc>
        <w:tc>
          <w:tcPr>
            <w:tcW w:w="1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180" w:type="dxa"/>
            <w:vAlign w:val="bottom"/>
            <w:tcBorders>
              <w:right w:val="single" w:sz="8" w:color="C0C0C0"/>
            </w:tcBorders>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3520" w:type="dxa"/>
            <w:vAlign w:val="bottom"/>
            <w:tcBorders>
              <w:left w:val="single" w:sz="8" w:color="C0C0C0"/>
              <w:bottom w:val="single" w:sz="8" w:color="C0C0C0"/>
            </w:tcBorders>
          </w:tcPr>
          <w:p>
            <w:pPr>
              <w:spacing w:after="0" w:line="20" w:lineRule="exact"/>
              <w:rPr>
                <w:sz w:val="1"/>
                <w:szCs w:val="1"/>
                <w:color w:val="auto"/>
              </w:rPr>
            </w:pPr>
          </w:p>
        </w:tc>
        <w:tc>
          <w:tcPr>
            <w:tcW w:w="640" w:type="dxa"/>
            <w:vAlign w:val="bottom"/>
            <w:tcBorders>
              <w:bottom w:val="single" w:sz="8" w:color="C0C0C0"/>
            </w:tcBorders>
          </w:tcPr>
          <w:p>
            <w:pPr>
              <w:spacing w:after="0" w:line="20" w:lineRule="exact"/>
              <w:rPr>
                <w:sz w:val="1"/>
                <w:szCs w:val="1"/>
                <w:color w:val="auto"/>
              </w:rPr>
            </w:pPr>
          </w:p>
        </w:tc>
        <w:tc>
          <w:tcPr>
            <w:tcW w:w="260" w:type="dxa"/>
            <w:vAlign w:val="bottom"/>
            <w:tcBorders>
              <w:bottom w:val="single" w:sz="8" w:color="C0C0C0"/>
            </w:tcBorders>
          </w:tcPr>
          <w:p>
            <w:pPr>
              <w:spacing w:after="0" w:line="20" w:lineRule="exact"/>
              <w:rPr>
                <w:sz w:val="1"/>
                <w:szCs w:val="1"/>
                <w:color w:val="auto"/>
              </w:rPr>
            </w:pPr>
          </w:p>
        </w:tc>
        <w:tc>
          <w:tcPr>
            <w:tcW w:w="420" w:type="dxa"/>
            <w:vAlign w:val="bottom"/>
            <w:tcBorders>
              <w:bottom w:val="single" w:sz="8" w:color="C0C0C0"/>
              <w:right w:val="single" w:sz="8" w:color="C0C0C0"/>
            </w:tcBorders>
          </w:tcPr>
          <w:p>
            <w:pPr>
              <w:spacing w:after="0" w:line="20" w:lineRule="exact"/>
              <w:rPr>
                <w:sz w:val="1"/>
                <w:szCs w:val="1"/>
                <w:color w:val="auto"/>
              </w:rPr>
            </w:pPr>
          </w:p>
        </w:tc>
        <w:tc>
          <w:tcPr>
            <w:tcW w:w="1220" w:type="dxa"/>
            <w:vAlign w:val="bottom"/>
            <w:tcBorders>
              <w:bottom w:val="single" w:sz="8" w:color="C0C0C0"/>
            </w:tcBorders>
          </w:tcPr>
          <w:p>
            <w:pPr>
              <w:spacing w:after="0" w:line="20" w:lineRule="exact"/>
              <w:rPr>
                <w:sz w:val="1"/>
                <w:szCs w:val="1"/>
                <w:color w:val="auto"/>
              </w:rPr>
            </w:pPr>
          </w:p>
        </w:tc>
        <w:tc>
          <w:tcPr>
            <w:tcW w:w="260" w:type="dxa"/>
            <w:vAlign w:val="bottom"/>
            <w:tcBorders>
              <w:bottom w:val="single" w:sz="8" w:color="C0C0C0"/>
            </w:tcBorders>
          </w:tcPr>
          <w:p>
            <w:pPr>
              <w:spacing w:after="0" w:line="20" w:lineRule="exact"/>
              <w:rPr>
                <w:sz w:val="1"/>
                <w:szCs w:val="1"/>
                <w:color w:val="auto"/>
              </w:rPr>
            </w:pPr>
          </w:p>
        </w:tc>
        <w:tc>
          <w:tcPr>
            <w:tcW w:w="4180" w:type="dxa"/>
            <w:vAlign w:val="bottom"/>
            <w:tcBorders>
              <w:bottom w:val="single" w:sz="8" w:color="C0C0C0"/>
              <w:right w:val="single" w:sz="8" w:color="C0C0C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3"/>
        </w:trPr>
        <w:tc>
          <w:tcPr>
            <w:tcW w:w="3520" w:type="dxa"/>
            <w:vAlign w:val="bottom"/>
            <w:tcBorders>
              <w:left w:val="single" w:sz="8" w:color="C0C0C0"/>
              <w:bottom w:val="single" w:sz="8" w:color="C0C0C0"/>
            </w:tcBorders>
          </w:tcPr>
          <w:p>
            <w:pPr>
              <w:spacing w:after="0"/>
              <w:rPr>
                <w:sz w:val="21"/>
                <w:szCs w:val="21"/>
                <w:color w:val="auto"/>
              </w:rPr>
            </w:pPr>
          </w:p>
        </w:tc>
        <w:tc>
          <w:tcPr>
            <w:tcW w:w="640" w:type="dxa"/>
            <w:vAlign w:val="bottom"/>
            <w:tcBorders>
              <w:bottom w:val="single" w:sz="8" w:color="C0C0C0"/>
            </w:tcBorders>
          </w:tcPr>
          <w:p>
            <w:pPr>
              <w:spacing w:after="0"/>
              <w:rPr>
                <w:sz w:val="21"/>
                <w:szCs w:val="21"/>
                <w:color w:val="auto"/>
              </w:rPr>
            </w:pPr>
          </w:p>
        </w:tc>
        <w:tc>
          <w:tcPr>
            <w:tcW w:w="260" w:type="dxa"/>
            <w:vAlign w:val="bottom"/>
            <w:tcBorders>
              <w:bottom w:val="single" w:sz="8" w:color="C0C0C0"/>
            </w:tcBorders>
          </w:tcPr>
          <w:p>
            <w:pPr>
              <w:spacing w:after="0"/>
              <w:rPr>
                <w:sz w:val="21"/>
                <w:szCs w:val="21"/>
                <w:color w:val="auto"/>
              </w:rPr>
            </w:pPr>
          </w:p>
        </w:tc>
        <w:tc>
          <w:tcPr>
            <w:tcW w:w="420" w:type="dxa"/>
            <w:vAlign w:val="bottom"/>
            <w:tcBorders>
              <w:bottom w:val="single" w:sz="8" w:color="C0C0C0"/>
              <w:right w:val="single" w:sz="8" w:color="C0C0C0"/>
            </w:tcBorders>
          </w:tcPr>
          <w:p>
            <w:pPr>
              <w:spacing w:after="0"/>
              <w:rPr>
                <w:sz w:val="21"/>
                <w:szCs w:val="21"/>
                <w:color w:val="auto"/>
              </w:rPr>
            </w:pPr>
          </w:p>
        </w:tc>
        <w:tc>
          <w:tcPr>
            <w:tcW w:w="1220" w:type="dxa"/>
            <w:vAlign w:val="bottom"/>
            <w:tcBorders>
              <w:bottom w:val="single" w:sz="8" w:color="C0C0C0"/>
            </w:tcBorders>
          </w:tcPr>
          <w:p>
            <w:pPr>
              <w:spacing w:after="0"/>
              <w:rPr>
                <w:sz w:val="21"/>
                <w:szCs w:val="21"/>
                <w:color w:val="auto"/>
              </w:rPr>
            </w:pPr>
          </w:p>
        </w:tc>
        <w:tc>
          <w:tcPr>
            <w:tcW w:w="260" w:type="dxa"/>
            <w:vAlign w:val="bottom"/>
            <w:tcBorders>
              <w:bottom w:val="single" w:sz="8" w:color="C0C0C0"/>
            </w:tcBorders>
          </w:tcPr>
          <w:p>
            <w:pPr>
              <w:spacing w:after="0"/>
              <w:rPr>
                <w:sz w:val="21"/>
                <w:szCs w:val="21"/>
                <w:color w:val="auto"/>
              </w:rPr>
            </w:pPr>
          </w:p>
        </w:tc>
        <w:tc>
          <w:tcPr>
            <w:tcW w:w="4180" w:type="dxa"/>
            <w:vAlign w:val="bottom"/>
            <w:tcBorders>
              <w:bottom w:val="single" w:sz="8" w:color="C0C0C0"/>
              <w:right w:val="single" w:sz="8" w:color="C0C0C0"/>
            </w:tcBorders>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3520" w:type="dxa"/>
            <w:vAlign w:val="bottom"/>
            <w:tcBorders>
              <w:left w:val="single" w:sz="8" w:color="C0C0C0"/>
              <w:bottom w:val="single" w:sz="8" w:color="C0C0C0"/>
            </w:tcBorders>
          </w:tcPr>
          <w:p>
            <w:pPr>
              <w:ind w:left="40"/>
              <w:spacing w:after="0"/>
              <w:rPr>
                <w:sz w:val="20"/>
                <w:szCs w:val="20"/>
                <w:color w:val="auto"/>
              </w:rPr>
            </w:pPr>
            <w:r>
              <w:rPr>
                <w:rFonts w:ascii="Arial" w:cs="Arial" w:eastAsia="Arial" w:hAnsi="Arial"/>
                <w:sz w:val="18"/>
                <w:szCs w:val="18"/>
                <w:i w:val="1"/>
                <w:iCs w:val="1"/>
                <w:color w:val="auto"/>
              </w:rPr>
              <w:t>Annuity Commencement Date:</w:t>
            </w:r>
          </w:p>
        </w:tc>
        <w:tc>
          <w:tcPr>
            <w:tcW w:w="640" w:type="dxa"/>
            <w:vAlign w:val="bottom"/>
            <w:tcBorders>
              <w:bottom w:val="single" w:sz="8" w:color="C0C0C0"/>
            </w:tcBorders>
          </w:tcPr>
          <w:p>
            <w:pPr>
              <w:spacing w:after="0"/>
              <w:rPr>
                <w:sz w:val="22"/>
                <w:szCs w:val="22"/>
                <w:color w:val="auto"/>
              </w:rPr>
            </w:pPr>
          </w:p>
        </w:tc>
        <w:tc>
          <w:tcPr>
            <w:tcW w:w="260" w:type="dxa"/>
            <w:vAlign w:val="bottom"/>
            <w:tcBorders>
              <w:bottom w:val="single" w:sz="8" w:color="C0C0C0"/>
            </w:tcBorders>
          </w:tcPr>
          <w:p>
            <w:pPr>
              <w:spacing w:after="0"/>
              <w:rPr>
                <w:sz w:val="22"/>
                <w:szCs w:val="22"/>
                <w:color w:val="auto"/>
              </w:rPr>
            </w:pPr>
          </w:p>
        </w:tc>
        <w:tc>
          <w:tcPr>
            <w:tcW w:w="420" w:type="dxa"/>
            <w:vAlign w:val="bottom"/>
            <w:tcBorders>
              <w:bottom w:val="single" w:sz="8" w:color="C0C0C0"/>
              <w:right w:val="single" w:sz="8" w:color="C0C0C0"/>
            </w:tcBorders>
          </w:tcPr>
          <w:p>
            <w:pPr>
              <w:spacing w:after="0"/>
              <w:rPr>
                <w:sz w:val="22"/>
                <w:szCs w:val="22"/>
                <w:color w:val="auto"/>
              </w:rPr>
            </w:pPr>
          </w:p>
        </w:tc>
        <w:tc>
          <w:tcPr>
            <w:tcW w:w="5660" w:type="dxa"/>
            <w:vAlign w:val="bottom"/>
            <w:tcBorders>
              <w:bottom w:val="single" w:sz="8" w:color="C0C0C0"/>
              <w:right w:val="single" w:sz="8" w:color="C0C0C0"/>
            </w:tcBorders>
            <w:gridSpan w:val="3"/>
          </w:tcPr>
          <w:p>
            <w:pPr>
              <w:ind w:left="20"/>
              <w:spacing w:after="0" w:line="255" w:lineRule="exact"/>
              <w:rPr>
                <w:sz w:val="20"/>
                <w:szCs w:val="20"/>
                <w:color w:val="auto"/>
              </w:rPr>
            </w:pPr>
            <w:r>
              <w:rPr>
                <w:rFonts w:ascii="Arial" w:cs="Arial" w:eastAsia="Arial" w:hAnsi="Arial"/>
                <w:sz w:val="18"/>
                <w:szCs w:val="18"/>
                <w:color w:val="auto"/>
              </w:rPr>
              <w:t>[Date</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23"/>
                <w:szCs w:val="23"/>
                <w:b w:val="1"/>
                <w:bCs w:val="1"/>
                <w:color w:val="auto"/>
                <w:vertAlign w:val="superscript"/>
              </w:rPr>
              <w:t>A</w:t>
            </w:r>
          </w:p>
        </w:tc>
        <w:tc>
          <w:tcPr>
            <w:tcW w:w="0" w:type="dxa"/>
            <w:vAlign w:val="bottom"/>
          </w:tcPr>
          <w:p>
            <w:pPr>
              <w:spacing w:after="0"/>
              <w:rPr>
                <w:sz w:val="1"/>
                <w:szCs w:val="1"/>
                <w:color w:val="auto"/>
              </w:rPr>
            </w:pPr>
          </w:p>
        </w:tc>
      </w:tr>
      <w:tr>
        <w:trPr>
          <w:trHeight w:val="243"/>
        </w:trPr>
        <w:tc>
          <w:tcPr>
            <w:tcW w:w="3520" w:type="dxa"/>
            <w:vAlign w:val="bottom"/>
            <w:tcBorders>
              <w:left w:val="single" w:sz="8" w:color="C0C0C0"/>
              <w:bottom w:val="single" w:sz="8" w:color="C0C0C0"/>
            </w:tcBorders>
          </w:tcPr>
          <w:p>
            <w:pPr>
              <w:spacing w:after="0"/>
              <w:rPr>
                <w:sz w:val="21"/>
                <w:szCs w:val="21"/>
                <w:color w:val="auto"/>
              </w:rPr>
            </w:pPr>
          </w:p>
        </w:tc>
        <w:tc>
          <w:tcPr>
            <w:tcW w:w="640" w:type="dxa"/>
            <w:vAlign w:val="bottom"/>
            <w:tcBorders>
              <w:bottom w:val="single" w:sz="8" w:color="C0C0C0"/>
            </w:tcBorders>
          </w:tcPr>
          <w:p>
            <w:pPr>
              <w:spacing w:after="0"/>
              <w:rPr>
                <w:sz w:val="21"/>
                <w:szCs w:val="21"/>
                <w:color w:val="auto"/>
              </w:rPr>
            </w:pPr>
          </w:p>
        </w:tc>
        <w:tc>
          <w:tcPr>
            <w:tcW w:w="260" w:type="dxa"/>
            <w:vAlign w:val="bottom"/>
            <w:tcBorders>
              <w:bottom w:val="single" w:sz="8" w:color="C0C0C0"/>
            </w:tcBorders>
          </w:tcPr>
          <w:p>
            <w:pPr>
              <w:spacing w:after="0"/>
              <w:rPr>
                <w:sz w:val="21"/>
                <w:szCs w:val="21"/>
                <w:color w:val="auto"/>
              </w:rPr>
            </w:pPr>
          </w:p>
        </w:tc>
        <w:tc>
          <w:tcPr>
            <w:tcW w:w="420" w:type="dxa"/>
            <w:vAlign w:val="bottom"/>
            <w:tcBorders>
              <w:bottom w:val="single" w:sz="8" w:color="C0C0C0"/>
              <w:right w:val="single" w:sz="8" w:color="C0C0C0"/>
            </w:tcBorders>
          </w:tcPr>
          <w:p>
            <w:pPr>
              <w:spacing w:after="0"/>
              <w:rPr>
                <w:sz w:val="21"/>
                <w:szCs w:val="21"/>
                <w:color w:val="auto"/>
              </w:rPr>
            </w:pPr>
          </w:p>
        </w:tc>
        <w:tc>
          <w:tcPr>
            <w:tcW w:w="1220" w:type="dxa"/>
            <w:vAlign w:val="bottom"/>
            <w:tcBorders>
              <w:bottom w:val="single" w:sz="8" w:color="C0C0C0"/>
            </w:tcBorders>
          </w:tcPr>
          <w:p>
            <w:pPr>
              <w:spacing w:after="0"/>
              <w:rPr>
                <w:sz w:val="21"/>
                <w:szCs w:val="21"/>
                <w:color w:val="auto"/>
              </w:rPr>
            </w:pPr>
          </w:p>
        </w:tc>
        <w:tc>
          <w:tcPr>
            <w:tcW w:w="260" w:type="dxa"/>
            <w:vAlign w:val="bottom"/>
            <w:tcBorders>
              <w:bottom w:val="single" w:sz="8" w:color="C0C0C0"/>
            </w:tcBorders>
          </w:tcPr>
          <w:p>
            <w:pPr>
              <w:spacing w:after="0"/>
              <w:rPr>
                <w:sz w:val="21"/>
                <w:szCs w:val="21"/>
                <w:color w:val="auto"/>
              </w:rPr>
            </w:pPr>
          </w:p>
        </w:tc>
        <w:tc>
          <w:tcPr>
            <w:tcW w:w="4180" w:type="dxa"/>
            <w:vAlign w:val="bottom"/>
            <w:tcBorders>
              <w:bottom w:val="single" w:sz="8" w:color="C0C0C0"/>
              <w:right w:val="single" w:sz="8" w:color="C0C0C0"/>
            </w:tcBorders>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3520" w:type="dxa"/>
            <w:vAlign w:val="bottom"/>
            <w:tcBorders>
              <w:left w:val="single" w:sz="8" w:color="C0C0C0"/>
              <w:bottom w:val="single" w:sz="8" w:color="C0C0C0"/>
            </w:tcBorders>
          </w:tcPr>
          <w:p>
            <w:pPr>
              <w:ind w:left="40"/>
              <w:spacing w:after="0" w:line="255" w:lineRule="exact"/>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Original Retirement Date:</w:t>
            </w:r>
            <w:r>
              <w:rPr>
                <w:rFonts w:ascii="Arial" w:cs="Arial" w:eastAsia="Arial" w:hAnsi="Arial"/>
                <w:sz w:val="18"/>
                <w:szCs w:val="18"/>
                <w:color w:val="auto"/>
              </w:rPr>
              <w:t xml:space="preserve"> ] </w:t>
            </w:r>
            <w:r>
              <w:rPr>
                <w:rFonts w:ascii="Arial" w:cs="Arial" w:eastAsia="Arial" w:hAnsi="Arial"/>
                <w:sz w:val="23"/>
                <w:szCs w:val="23"/>
                <w:color w:val="auto"/>
                <w:vertAlign w:val="superscript"/>
              </w:rPr>
              <w:t>A</w:t>
            </w:r>
          </w:p>
        </w:tc>
        <w:tc>
          <w:tcPr>
            <w:tcW w:w="640" w:type="dxa"/>
            <w:vAlign w:val="bottom"/>
            <w:tcBorders>
              <w:bottom w:val="single" w:sz="8" w:color="C0C0C0"/>
            </w:tcBorders>
          </w:tcPr>
          <w:p>
            <w:pPr>
              <w:spacing w:after="0"/>
              <w:rPr>
                <w:sz w:val="22"/>
                <w:szCs w:val="22"/>
                <w:color w:val="auto"/>
              </w:rPr>
            </w:pPr>
          </w:p>
        </w:tc>
        <w:tc>
          <w:tcPr>
            <w:tcW w:w="260" w:type="dxa"/>
            <w:vAlign w:val="bottom"/>
            <w:tcBorders>
              <w:bottom w:val="single" w:sz="8" w:color="C0C0C0"/>
            </w:tcBorders>
          </w:tcPr>
          <w:p>
            <w:pPr>
              <w:spacing w:after="0"/>
              <w:rPr>
                <w:sz w:val="22"/>
                <w:szCs w:val="22"/>
                <w:color w:val="auto"/>
              </w:rPr>
            </w:pPr>
          </w:p>
        </w:tc>
        <w:tc>
          <w:tcPr>
            <w:tcW w:w="420" w:type="dxa"/>
            <w:vAlign w:val="bottom"/>
            <w:tcBorders>
              <w:bottom w:val="single" w:sz="8" w:color="C0C0C0"/>
              <w:right w:val="single" w:sz="8" w:color="C0C0C0"/>
            </w:tcBorders>
          </w:tcPr>
          <w:p>
            <w:pPr>
              <w:spacing w:after="0"/>
              <w:rPr>
                <w:sz w:val="22"/>
                <w:szCs w:val="22"/>
                <w:color w:val="auto"/>
              </w:rPr>
            </w:pPr>
          </w:p>
        </w:tc>
        <w:tc>
          <w:tcPr>
            <w:tcW w:w="5660" w:type="dxa"/>
            <w:vAlign w:val="bottom"/>
            <w:tcBorders>
              <w:bottom w:val="single" w:sz="8" w:color="C0C0C0"/>
              <w:right w:val="single" w:sz="8" w:color="C0C0C0"/>
            </w:tcBorders>
            <w:gridSpan w:val="3"/>
          </w:tcPr>
          <w:p>
            <w:pPr>
              <w:ind w:left="20"/>
              <w:spacing w:after="0" w:line="255" w:lineRule="exact"/>
              <w:rPr>
                <w:sz w:val="20"/>
                <w:szCs w:val="20"/>
                <w:color w:val="auto"/>
              </w:rPr>
            </w:pPr>
            <w:r>
              <w:rPr>
                <w:rFonts w:ascii="Arial" w:cs="Arial" w:eastAsia="Arial" w:hAnsi="Arial"/>
                <w:sz w:val="18"/>
                <w:szCs w:val="18"/>
                <w:color w:val="auto"/>
              </w:rPr>
              <w:t>[Date</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23"/>
                <w:szCs w:val="23"/>
                <w:b w:val="1"/>
                <w:bCs w:val="1"/>
                <w:color w:val="auto"/>
                <w:vertAlign w:val="superscript"/>
              </w:rPr>
              <w:t>A</w:t>
            </w:r>
          </w:p>
        </w:tc>
        <w:tc>
          <w:tcPr>
            <w:tcW w:w="0" w:type="dxa"/>
            <w:vAlign w:val="bottom"/>
          </w:tcPr>
          <w:p>
            <w:pPr>
              <w:spacing w:after="0"/>
              <w:rPr>
                <w:sz w:val="1"/>
                <w:szCs w:val="1"/>
                <w:color w:val="auto"/>
              </w:rPr>
            </w:pPr>
          </w:p>
        </w:tc>
      </w:tr>
      <w:tr>
        <w:trPr>
          <w:trHeight w:val="243"/>
        </w:trPr>
        <w:tc>
          <w:tcPr>
            <w:tcW w:w="3520" w:type="dxa"/>
            <w:vAlign w:val="bottom"/>
            <w:tcBorders>
              <w:left w:val="single" w:sz="8" w:color="C0C0C0"/>
              <w:bottom w:val="single" w:sz="8" w:color="C0C0C0"/>
            </w:tcBorders>
          </w:tcPr>
          <w:p>
            <w:pPr>
              <w:spacing w:after="0"/>
              <w:rPr>
                <w:sz w:val="21"/>
                <w:szCs w:val="21"/>
                <w:color w:val="auto"/>
              </w:rPr>
            </w:pPr>
          </w:p>
        </w:tc>
        <w:tc>
          <w:tcPr>
            <w:tcW w:w="640" w:type="dxa"/>
            <w:vAlign w:val="bottom"/>
            <w:tcBorders>
              <w:bottom w:val="single" w:sz="8" w:color="C0C0C0"/>
            </w:tcBorders>
          </w:tcPr>
          <w:p>
            <w:pPr>
              <w:spacing w:after="0"/>
              <w:rPr>
                <w:sz w:val="21"/>
                <w:szCs w:val="21"/>
                <w:color w:val="auto"/>
              </w:rPr>
            </w:pPr>
          </w:p>
        </w:tc>
        <w:tc>
          <w:tcPr>
            <w:tcW w:w="260" w:type="dxa"/>
            <w:vAlign w:val="bottom"/>
            <w:tcBorders>
              <w:bottom w:val="single" w:sz="8" w:color="C0C0C0"/>
            </w:tcBorders>
          </w:tcPr>
          <w:p>
            <w:pPr>
              <w:spacing w:after="0"/>
              <w:rPr>
                <w:sz w:val="21"/>
                <w:szCs w:val="21"/>
                <w:color w:val="auto"/>
              </w:rPr>
            </w:pPr>
          </w:p>
        </w:tc>
        <w:tc>
          <w:tcPr>
            <w:tcW w:w="420" w:type="dxa"/>
            <w:vAlign w:val="bottom"/>
            <w:tcBorders>
              <w:bottom w:val="single" w:sz="8" w:color="C0C0C0"/>
              <w:right w:val="single" w:sz="8" w:color="C0C0C0"/>
            </w:tcBorders>
          </w:tcPr>
          <w:p>
            <w:pPr>
              <w:spacing w:after="0"/>
              <w:rPr>
                <w:sz w:val="21"/>
                <w:szCs w:val="21"/>
                <w:color w:val="auto"/>
              </w:rPr>
            </w:pPr>
          </w:p>
        </w:tc>
        <w:tc>
          <w:tcPr>
            <w:tcW w:w="1220" w:type="dxa"/>
            <w:vAlign w:val="bottom"/>
            <w:tcBorders>
              <w:bottom w:val="single" w:sz="8" w:color="C0C0C0"/>
            </w:tcBorders>
          </w:tcPr>
          <w:p>
            <w:pPr>
              <w:spacing w:after="0"/>
              <w:rPr>
                <w:sz w:val="21"/>
                <w:szCs w:val="21"/>
                <w:color w:val="auto"/>
              </w:rPr>
            </w:pPr>
          </w:p>
        </w:tc>
        <w:tc>
          <w:tcPr>
            <w:tcW w:w="260" w:type="dxa"/>
            <w:vAlign w:val="bottom"/>
            <w:tcBorders>
              <w:bottom w:val="single" w:sz="8" w:color="C0C0C0"/>
            </w:tcBorders>
          </w:tcPr>
          <w:p>
            <w:pPr>
              <w:spacing w:after="0"/>
              <w:rPr>
                <w:sz w:val="21"/>
                <w:szCs w:val="21"/>
                <w:color w:val="auto"/>
              </w:rPr>
            </w:pPr>
          </w:p>
        </w:tc>
        <w:tc>
          <w:tcPr>
            <w:tcW w:w="4180" w:type="dxa"/>
            <w:vAlign w:val="bottom"/>
            <w:tcBorders>
              <w:bottom w:val="single" w:sz="8" w:color="C0C0C0"/>
              <w:right w:val="single" w:sz="8" w:color="C0C0C0"/>
            </w:tcBorders>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3520" w:type="dxa"/>
            <w:vAlign w:val="bottom"/>
            <w:tcBorders>
              <w:left w:val="single" w:sz="8" w:color="C0C0C0"/>
              <w:bottom w:val="single" w:sz="8" w:color="C0C0C0"/>
            </w:tcBorders>
          </w:tcPr>
          <w:p>
            <w:pPr>
              <w:ind w:left="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Covered Life Amount:</w:t>
            </w:r>
            <w:r>
              <w:rPr>
                <w:rFonts w:ascii="Arial" w:cs="Arial" w:eastAsia="Arial" w:hAnsi="Arial"/>
                <w:sz w:val="18"/>
                <w:szCs w:val="18"/>
                <w:color w:val="auto"/>
              </w:rPr>
              <w:t xml:space="preserve"> ] </w:t>
            </w:r>
            <w:r>
              <w:rPr>
                <w:rFonts w:ascii="Arial" w:cs="Arial" w:eastAsia="Arial" w:hAnsi="Arial"/>
                <w:sz w:val="23"/>
                <w:szCs w:val="23"/>
                <w:color w:val="auto"/>
                <w:vertAlign w:val="superscript"/>
              </w:rPr>
              <w:t>A</w:t>
            </w:r>
          </w:p>
        </w:tc>
        <w:tc>
          <w:tcPr>
            <w:tcW w:w="640" w:type="dxa"/>
            <w:vAlign w:val="bottom"/>
            <w:tcBorders>
              <w:bottom w:val="single" w:sz="8" w:color="C0C0C0"/>
            </w:tcBorders>
          </w:tcPr>
          <w:p>
            <w:pPr>
              <w:spacing w:after="0"/>
              <w:rPr>
                <w:sz w:val="24"/>
                <w:szCs w:val="24"/>
                <w:color w:val="auto"/>
              </w:rPr>
            </w:pPr>
          </w:p>
        </w:tc>
        <w:tc>
          <w:tcPr>
            <w:tcW w:w="260" w:type="dxa"/>
            <w:vAlign w:val="bottom"/>
            <w:tcBorders>
              <w:bottom w:val="single" w:sz="8" w:color="C0C0C0"/>
            </w:tcBorders>
          </w:tcPr>
          <w:p>
            <w:pPr>
              <w:spacing w:after="0"/>
              <w:rPr>
                <w:sz w:val="24"/>
                <w:szCs w:val="24"/>
                <w:color w:val="auto"/>
              </w:rPr>
            </w:pPr>
          </w:p>
        </w:tc>
        <w:tc>
          <w:tcPr>
            <w:tcW w:w="420" w:type="dxa"/>
            <w:vAlign w:val="bottom"/>
            <w:tcBorders>
              <w:bottom w:val="single" w:sz="8" w:color="C0C0C0"/>
              <w:right w:val="single" w:sz="8" w:color="C0C0C0"/>
            </w:tcBorders>
          </w:tcPr>
          <w:p>
            <w:pPr>
              <w:spacing w:after="0"/>
              <w:rPr>
                <w:sz w:val="24"/>
                <w:szCs w:val="24"/>
                <w:color w:val="auto"/>
              </w:rPr>
            </w:pPr>
          </w:p>
        </w:tc>
        <w:tc>
          <w:tcPr>
            <w:tcW w:w="5660" w:type="dxa"/>
            <w:vAlign w:val="bottom"/>
            <w:tcBorders>
              <w:bottom w:val="single" w:sz="8" w:color="C0C0C0"/>
              <w:right w:val="single" w:sz="8" w:color="C0C0C0"/>
            </w:tcBorders>
            <w:gridSpan w:val="3"/>
          </w:tcPr>
          <w:p>
            <w:pPr>
              <w:ind w:left="20"/>
              <w:spacing w:after="0"/>
              <w:rPr>
                <w:sz w:val="20"/>
                <w:szCs w:val="20"/>
                <w:color w:val="auto"/>
              </w:rPr>
            </w:pPr>
            <w:r>
              <w:rPr>
                <w:rFonts w:ascii="Arial" w:cs="Arial" w:eastAsia="Arial" w:hAnsi="Arial"/>
                <w:sz w:val="18"/>
                <w:szCs w:val="18"/>
                <w:color w:val="auto"/>
              </w:rPr>
              <w:t xml:space="preserve">[See “Payment Terms” Provision ] </w:t>
            </w:r>
            <w:r>
              <w:rPr>
                <w:rFonts w:ascii="Arial" w:cs="Arial" w:eastAsia="Arial" w:hAnsi="Arial"/>
                <w:sz w:val="23"/>
                <w:szCs w:val="23"/>
                <w:color w:val="auto"/>
                <w:vertAlign w:val="superscript"/>
              </w:rPr>
              <w:t>A</w:t>
            </w:r>
          </w:p>
        </w:tc>
        <w:tc>
          <w:tcPr>
            <w:tcW w:w="0" w:type="dxa"/>
            <w:vAlign w:val="bottom"/>
          </w:tcPr>
          <w:p>
            <w:pPr>
              <w:spacing w:after="0"/>
              <w:rPr>
                <w:sz w:val="1"/>
                <w:szCs w:val="1"/>
                <w:color w:val="auto"/>
              </w:rPr>
            </w:pPr>
          </w:p>
        </w:tc>
      </w:tr>
      <w:tr>
        <w:trPr>
          <w:trHeight w:val="243"/>
        </w:trPr>
        <w:tc>
          <w:tcPr>
            <w:tcW w:w="3520" w:type="dxa"/>
            <w:vAlign w:val="bottom"/>
            <w:tcBorders>
              <w:left w:val="single" w:sz="8" w:color="C0C0C0"/>
              <w:bottom w:val="single" w:sz="8" w:color="C0C0C0"/>
            </w:tcBorders>
          </w:tcPr>
          <w:p>
            <w:pPr>
              <w:spacing w:after="0"/>
              <w:rPr>
                <w:sz w:val="21"/>
                <w:szCs w:val="21"/>
                <w:color w:val="auto"/>
              </w:rPr>
            </w:pPr>
          </w:p>
        </w:tc>
        <w:tc>
          <w:tcPr>
            <w:tcW w:w="640" w:type="dxa"/>
            <w:vAlign w:val="bottom"/>
            <w:tcBorders>
              <w:bottom w:val="single" w:sz="8" w:color="C0C0C0"/>
            </w:tcBorders>
          </w:tcPr>
          <w:p>
            <w:pPr>
              <w:spacing w:after="0"/>
              <w:rPr>
                <w:sz w:val="21"/>
                <w:szCs w:val="21"/>
                <w:color w:val="auto"/>
              </w:rPr>
            </w:pPr>
          </w:p>
        </w:tc>
        <w:tc>
          <w:tcPr>
            <w:tcW w:w="260" w:type="dxa"/>
            <w:vAlign w:val="bottom"/>
            <w:tcBorders>
              <w:bottom w:val="single" w:sz="8" w:color="C0C0C0"/>
            </w:tcBorders>
          </w:tcPr>
          <w:p>
            <w:pPr>
              <w:spacing w:after="0"/>
              <w:rPr>
                <w:sz w:val="21"/>
                <w:szCs w:val="21"/>
                <w:color w:val="auto"/>
              </w:rPr>
            </w:pPr>
          </w:p>
        </w:tc>
        <w:tc>
          <w:tcPr>
            <w:tcW w:w="420" w:type="dxa"/>
            <w:vAlign w:val="bottom"/>
            <w:tcBorders>
              <w:bottom w:val="single" w:sz="8" w:color="C0C0C0"/>
              <w:right w:val="single" w:sz="8" w:color="C0C0C0"/>
            </w:tcBorders>
          </w:tcPr>
          <w:p>
            <w:pPr>
              <w:spacing w:after="0"/>
              <w:rPr>
                <w:sz w:val="21"/>
                <w:szCs w:val="21"/>
                <w:color w:val="auto"/>
              </w:rPr>
            </w:pPr>
          </w:p>
        </w:tc>
        <w:tc>
          <w:tcPr>
            <w:tcW w:w="1220" w:type="dxa"/>
            <w:vAlign w:val="bottom"/>
            <w:tcBorders>
              <w:bottom w:val="single" w:sz="8" w:color="C0C0C0"/>
            </w:tcBorders>
          </w:tcPr>
          <w:p>
            <w:pPr>
              <w:spacing w:after="0"/>
              <w:rPr>
                <w:sz w:val="21"/>
                <w:szCs w:val="21"/>
                <w:color w:val="auto"/>
              </w:rPr>
            </w:pPr>
          </w:p>
        </w:tc>
        <w:tc>
          <w:tcPr>
            <w:tcW w:w="260" w:type="dxa"/>
            <w:vAlign w:val="bottom"/>
            <w:tcBorders>
              <w:bottom w:val="single" w:sz="8" w:color="C0C0C0"/>
            </w:tcBorders>
          </w:tcPr>
          <w:p>
            <w:pPr>
              <w:spacing w:after="0"/>
              <w:rPr>
                <w:sz w:val="21"/>
                <w:szCs w:val="21"/>
                <w:color w:val="auto"/>
              </w:rPr>
            </w:pPr>
          </w:p>
        </w:tc>
        <w:tc>
          <w:tcPr>
            <w:tcW w:w="4180" w:type="dxa"/>
            <w:vAlign w:val="bottom"/>
            <w:tcBorders>
              <w:bottom w:val="single" w:sz="8" w:color="C0C0C0"/>
              <w:right w:val="single" w:sz="8" w:color="C0C0C0"/>
            </w:tcBorders>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3520" w:type="dxa"/>
            <w:vAlign w:val="bottom"/>
            <w:tcBorders>
              <w:left w:val="single" w:sz="8" w:color="C0C0C0"/>
              <w:bottom w:val="single" w:sz="8" w:color="C0C0C0"/>
            </w:tcBorders>
          </w:tcPr>
          <w:p>
            <w:pPr>
              <w:ind w:left="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Pre 62+1 Pension Amount</w:t>
            </w:r>
            <w:r>
              <w:rPr>
                <w:rFonts w:ascii="Arial" w:cs="Arial" w:eastAsia="Arial" w:hAnsi="Arial"/>
                <w:sz w:val="18"/>
                <w:szCs w:val="18"/>
                <w:color w:val="auto"/>
              </w:rPr>
              <w:t xml:space="preserve">] </w:t>
            </w:r>
            <w:r>
              <w:rPr>
                <w:rFonts w:ascii="Arial" w:cs="Arial" w:eastAsia="Arial" w:hAnsi="Arial"/>
                <w:sz w:val="23"/>
                <w:szCs w:val="23"/>
                <w:color w:val="auto"/>
                <w:vertAlign w:val="superscript"/>
              </w:rPr>
              <w:t>A</w:t>
            </w:r>
          </w:p>
        </w:tc>
        <w:tc>
          <w:tcPr>
            <w:tcW w:w="640" w:type="dxa"/>
            <w:vAlign w:val="bottom"/>
            <w:tcBorders>
              <w:bottom w:val="single" w:sz="8" w:color="C0C0C0"/>
            </w:tcBorders>
          </w:tcPr>
          <w:p>
            <w:pPr>
              <w:spacing w:after="0"/>
              <w:rPr>
                <w:sz w:val="24"/>
                <w:szCs w:val="24"/>
                <w:color w:val="auto"/>
              </w:rPr>
            </w:pPr>
          </w:p>
        </w:tc>
        <w:tc>
          <w:tcPr>
            <w:tcW w:w="260" w:type="dxa"/>
            <w:vAlign w:val="bottom"/>
            <w:tcBorders>
              <w:bottom w:val="single" w:sz="8" w:color="C0C0C0"/>
            </w:tcBorders>
          </w:tcPr>
          <w:p>
            <w:pPr>
              <w:spacing w:after="0"/>
              <w:rPr>
                <w:sz w:val="24"/>
                <w:szCs w:val="24"/>
                <w:color w:val="auto"/>
              </w:rPr>
            </w:pPr>
          </w:p>
        </w:tc>
        <w:tc>
          <w:tcPr>
            <w:tcW w:w="420" w:type="dxa"/>
            <w:vAlign w:val="bottom"/>
            <w:tcBorders>
              <w:bottom w:val="single" w:sz="8" w:color="C0C0C0"/>
              <w:right w:val="single" w:sz="8" w:color="C0C0C0"/>
            </w:tcBorders>
          </w:tcPr>
          <w:p>
            <w:pPr>
              <w:spacing w:after="0"/>
              <w:rPr>
                <w:sz w:val="24"/>
                <w:szCs w:val="24"/>
                <w:color w:val="auto"/>
              </w:rPr>
            </w:pPr>
          </w:p>
        </w:tc>
        <w:tc>
          <w:tcPr>
            <w:tcW w:w="5660" w:type="dxa"/>
            <w:vAlign w:val="bottom"/>
            <w:tcBorders>
              <w:bottom w:val="single" w:sz="8" w:color="C0C0C0"/>
              <w:right w:val="single" w:sz="8" w:color="C0C0C0"/>
            </w:tcBorders>
            <w:gridSpan w:val="3"/>
          </w:tcPr>
          <w:p>
            <w:pPr>
              <w:ind w:left="20"/>
              <w:spacing w:after="0"/>
              <w:rPr>
                <w:sz w:val="20"/>
                <w:szCs w:val="20"/>
                <w:color w:val="auto"/>
              </w:rPr>
            </w:pPr>
            <w:r>
              <w:rPr>
                <w:rFonts w:ascii="Arial" w:cs="Arial" w:eastAsia="Arial" w:hAnsi="Arial"/>
                <w:sz w:val="18"/>
                <w:szCs w:val="18"/>
                <w:color w:val="auto"/>
              </w:rPr>
              <w:t xml:space="preserve">[$XXX.XX subject to stated limitations] </w:t>
            </w:r>
            <w:r>
              <w:rPr>
                <w:rFonts w:ascii="Arial" w:cs="Arial" w:eastAsia="Arial" w:hAnsi="Arial"/>
                <w:sz w:val="23"/>
                <w:szCs w:val="23"/>
                <w:color w:val="auto"/>
                <w:vertAlign w:val="superscript"/>
              </w:rPr>
              <w:t>A</w:t>
            </w:r>
          </w:p>
        </w:tc>
        <w:tc>
          <w:tcPr>
            <w:tcW w:w="0" w:type="dxa"/>
            <w:vAlign w:val="bottom"/>
          </w:tcPr>
          <w:p>
            <w:pPr>
              <w:spacing w:after="0"/>
              <w:rPr>
                <w:sz w:val="1"/>
                <w:szCs w:val="1"/>
                <w:color w:val="auto"/>
              </w:rPr>
            </w:pPr>
          </w:p>
        </w:tc>
      </w:tr>
      <w:tr>
        <w:trPr>
          <w:trHeight w:val="243"/>
        </w:trPr>
        <w:tc>
          <w:tcPr>
            <w:tcW w:w="3520" w:type="dxa"/>
            <w:vAlign w:val="bottom"/>
            <w:tcBorders>
              <w:left w:val="single" w:sz="8" w:color="C0C0C0"/>
              <w:bottom w:val="single" w:sz="8" w:color="C0C0C0"/>
            </w:tcBorders>
          </w:tcPr>
          <w:p>
            <w:pPr>
              <w:spacing w:after="0"/>
              <w:rPr>
                <w:sz w:val="21"/>
                <w:szCs w:val="21"/>
                <w:color w:val="auto"/>
              </w:rPr>
            </w:pPr>
          </w:p>
        </w:tc>
        <w:tc>
          <w:tcPr>
            <w:tcW w:w="640" w:type="dxa"/>
            <w:vAlign w:val="bottom"/>
            <w:tcBorders>
              <w:bottom w:val="single" w:sz="8" w:color="C0C0C0"/>
            </w:tcBorders>
          </w:tcPr>
          <w:p>
            <w:pPr>
              <w:spacing w:after="0"/>
              <w:rPr>
                <w:sz w:val="21"/>
                <w:szCs w:val="21"/>
                <w:color w:val="auto"/>
              </w:rPr>
            </w:pPr>
          </w:p>
        </w:tc>
        <w:tc>
          <w:tcPr>
            <w:tcW w:w="260" w:type="dxa"/>
            <w:vAlign w:val="bottom"/>
            <w:tcBorders>
              <w:bottom w:val="single" w:sz="8" w:color="C0C0C0"/>
            </w:tcBorders>
          </w:tcPr>
          <w:p>
            <w:pPr>
              <w:spacing w:after="0"/>
              <w:rPr>
                <w:sz w:val="21"/>
                <w:szCs w:val="21"/>
                <w:color w:val="auto"/>
              </w:rPr>
            </w:pPr>
          </w:p>
        </w:tc>
        <w:tc>
          <w:tcPr>
            <w:tcW w:w="420" w:type="dxa"/>
            <w:vAlign w:val="bottom"/>
            <w:tcBorders>
              <w:bottom w:val="single" w:sz="8" w:color="C0C0C0"/>
              <w:right w:val="single" w:sz="8" w:color="C0C0C0"/>
            </w:tcBorders>
          </w:tcPr>
          <w:p>
            <w:pPr>
              <w:spacing w:after="0"/>
              <w:rPr>
                <w:sz w:val="21"/>
                <w:szCs w:val="21"/>
                <w:color w:val="auto"/>
              </w:rPr>
            </w:pPr>
          </w:p>
        </w:tc>
        <w:tc>
          <w:tcPr>
            <w:tcW w:w="1220" w:type="dxa"/>
            <w:vAlign w:val="bottom"/>
            <w:tcBorders>
              <w:bottom w:val="single" w:sz="8" w:color="C0C0C0"/>
            </w:tcBorders>
          </w:tcPr>
          <w:p>
            <w:pPr>
              <w:spacing w:after="0"/>
              <w:rPr>
                <w:sz w:val="21"/>
                <w:szCs w:val="21"/>
                <w:color w:val="auto"/>
              </w:rPr>
            </w:pPr>
          </w:p>
        </w:tc>
        <w:tc>
          <w:tcPr>
            <w:tcW w:w="260" w:type="dxa"/>
            <w:vAlign w:val="bottom"/>
            <w:tcBorders>
              <w:bottom w:val="single" w:sz="8" w:color="C0C0C0"/>
            </w:tcBorders>
          </w:tcPr>
          <w:p>
            <w:pPr>
              <w:spacing w:after="0"/>
              <w:rPr>
                <w:sz w:val="21"/>
                <w:szCs w:val="21"/>
                <w:color w:val="auto"/>
              </w:rPr>
            </w:pPr>
          </w:p>
        </w:tc>
        <w:tc>
          <w:tcPr>
            <w:tcW w:w="4180" w:type="dxa"/>
            <w:vAlign w:val="bottom"/>
            <w:tcBorders>
              <w:bottom w:val="single" w:sz="8" w:color="C0C0C0"/>
              <w:right w:val="single" w:sz="8" w:color="C0C0C0"/>
            </w:tcBorders>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3520" w:type="dxa"/>
            <w:vAlign w:val="bottom"/>
            <w:tcBorders>
              <w:left w:val="single" w:sz="8" w:color="C0C0C0"/>
              <w:bottom w:val="single" w:sz="8" w:color="C0C0C0"/>
            </w:tcBorders>
          </w:tcPr>
          <w:p>
            <w:pPr>
              <w:ind w:left="40"/>
              <w:spacing w:after="0" w:line="255" w:lineRule="exact"/>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Post 62+1 Pension Amount</w:t>
            </w:r>
            <w:r>
              <w:rPr>
                <w:rFonts w:ascii="Arial" w:cs="Arial" w:eastAsia="Arial" w:hAnsi="Arial"/>
                <w:sz w:val="18"/>
                <w:szCs w:val="18"/>
                <w:color w:val="auto"/>
              </w:rPr>
              <w:t xml:space="preserve">] </w:t>
            </w:r>
            <w:r>
              <w:rPr>
                <w:rFonts w:ascii="Arial" w:cs="Arial" w:eastAsia="Arial" w:hAnsi="Arial"/>
                <w:sz w:val="23"/>
                <w:szCs w:val="23"/>
                <w:color w:val="auto"/>
                <w:vertAlign w:val="superscript"/>
              </w:rPr>
              <w:t>A</w:t>
            </w:r>
          </w:p>
        </w:tc>
        <w:tc>
          <w:tcPr>
            <w:tcW w:w="640" w:type="dxa"/>
            <w:vAlign w:val="bottom"/>
            <w:tcBorders>
              <w:bottom w:val="single" w:sz="8" w:color="C0C0C0"/>
            </w:tcBorders>
          </w:tcPr>
          <w:p>
            <w:pPr>
              <w:spacing w:after="0"/>
              <w:rPr>
                <w:sz w:val="22"/>
                <w:szCs w:val="22"/>
                <w:color w:val="auto"/>
              </w:rPr>
            </w:pPr>
          </w:p>
        </w:tc>
        <w:tc>
          <w:tcPr>
            <w:tcW w:w="260" w:type="dxa"/>
            <w:vAlign w:val="bottom"/>
            <w:tcBorders>
              <w:bottom w:val="single" w:sz="8" w:color="C0C0C0"/>
            </w:tcBorders>
          </w:tcPr>
          <w:p>
            <w:pPr>
              <w:spacing w:after="0"/>
              <w:rPr>
                <w:sz w:val="22"/>
                <w:szCs w:val="22"/>
                <w:color w:val="auto"/>
              </w:rPr>
            </w:pPr>
          </w:p>
        </w:tc>
        <w:tc>
          <w:tcPr>
            <w:tcW w:w="420" w:type="dxa"/>
            <w:vAlign w:val="bottom"/>
            <w:tcBorders>
              <w:bottom w:val="single" w:sz="8" w:color="C0C0C0"/>
              <w:right w:val="single" w:sz="8" w:color="C0C0C0"/>
            </w:tcBorders>
          </w:tcPr>
          <w:p>
            <w:pPr>
              <w:spacing w:after="0"/>
              <w:rPr>
                <w:sz w:val="22"/>
                <w:szCs w:val="22"/>
                <w:color w:val="auto"/>
              </w:rPr>
            </w:pPr>
          </w:p>
        </w:tc>
        <w:tc>
          <w:tcPr>
            <w:tcW w:w="5660" w:type="dxa"/>
            <w:vAlign w:val="bottom"/>
            <w:tcBorders>
              <w:bottom w:val="single" w:sz="8" w:color="C0C0C0"/>
              <w:right w:val="single" w:sz="8" w:color="C0C0C0"/>
            </w:tcBorders>
            <w:gridSpan w:val="3"/>
          </w:tcPr>
          <w:p>
            <w:pPr>
              <w:ind w:left="20"/>
              <w:spacing w:after="0" w:line="255" w:lineRule="exact"/>
              <w:rPr>
                <w:sz w:val="20"/>
                <w:szCs w:val="20"/>
                <w:color w:val="auto"/>
              </w:rPr>
            </w:pPr>
            <w:r>
              <w:rPr>
                <w:rFonts w:ascii="Arial" w:cs="Arial" w:eastAsia="Arial" w:hAnsi="Arial"/>
                <w:sz w:val="18"/>
                <w:szCs w:val="18"/>
                <w:color w:val="auto"/>
              </w:rPr>
              <w:t xml:space="preserve">[$XXX.XX subject to stated limitations] </w:t>
            </w:r>
            <w:r>
              <w:rPr>
                <w:rFonts w:ascii="Arial" w:cs="Arial" w:eastAsia="Arial" w:hAnsi="Arial"/>
                <w:sz w:val="23"/>
                <w:szCs w:val="23"/>
                <w:color w:val="auto"/>
                <w:vertAlign w:val="superscript"/>
              </w:rPr>
              <w:t>A</w:t>
            </w:r>
          </w:p>
        </w:tc>
        <w:tc>
          <w:tcPr>
            <w:tcW w:w="0" w:type="dxa"/>
            <w:vAlign w:val="bottom"/>
          </w:tcPr>
          <w:p>
            <w:pPr>
              <w:spacing w:after="0"/>
              <w:rPr>
                <w:sz w:val="1"/>
                <w:szCs w:val="1"/>
                <w:color w:val="auto"/>
              </w:rPr>
            </w:pPr>
          </w:p>
        </w:tc>
      </w:tr>
      <w:tr>
        <w:trPr>
          <w:trHeight w:val="243"/>
        </w:trPr>
        <w:tc>
          <w:tcPr>
            <w:tcW w:w="3520" w:type="dxa"/>
            <w:vAlign w:val="bottom"/>
            <w:tcBorders>
              <w:left w:val="single" w:sz="8" w:color="C0C0C0"/>
              <w:bottom w:val="single" w:sz="8" w:color="C0C0C0"/>
            </w:tcBorders>
          </w:tcPr>
          <w:p>
            <w:pPr>
              <w:spacing w:after="0"/>
              <w:rPr>
                <w:sz w:val="21"/>
                <w:szCs w:val="21"/>
                <w:color w:val="auto"/>
              </w:rPr>
            </w:pPr>
          </w:p>
        </w:tc>
        <w:tc>
          <w:tcPr>
            <w:tcW w:w="640" w:type="dxa"/>
            <w:vAlign w:val="bottom"/>
            <w:tcBorders>
              <w:bottom w:val="single" w:sz="8" w:color="C0C0C0"/>
            </w:tcBorders>
          </w:tcPr>
          <w:p>
            <w:pPr>
              <w:spacing w:after="0"/>
              <w:rPr>
                <w:sz w:val="21"/>
                <w:szCs w:val="21"/>
                <w:color w:val="auto"/>
              </w:rPr>
            </w:pPr>
          </w:p>
        </w:tc>
        <w:tc>
          <w:tcPr>
            <w:tcW w:w="260" w:type="dxa"/>
            <w:vAlign w:val="bottom"/>
            <w:tcBorders>
              <w:bottom w:val="single" w:sz="8" w:color="C0C0C0"/>
            </w:tcBorders>
          </w:tcPr>
          <w:p>
            <w:pPr>
              <w:spacing w:after="0"/>
              <w:rPr>
                <w:sz w:val="21"/>
                <w:szCs w:val="21"/>
                <w:color w:val="auto"/>
              </w:rPr>
            </w:pPr>
          </w:p>
        </w:tc>
        <w:tc>
          <w:tcPr>
            <w:tcW w:w="420" w:type="dxa"/>
            <w:vAlign w:val="bottom"/>
            <w:tcBorders>
              <w:bottom w:val="single" w:sz="8" w:color="C0C0C0"/>
              <w:right w:val="single" w:sz="8" w:color="C0C0C0"/>
            </w:tcBorders>
          </w:tcPr>
          <w:p>
            <w:pPr>
              <w:spacing w:after="0"/>
              <w:rPr>
                <w:sz w:val="21"/>
                <w:szCs w:val="21"/>
                <w:color w:val="auto"/>
              </w:rPr>
            </w:pPr>
          </w:p>
        </w:tc>
        <w:tc>
          <w:tcPr>
            <w:tcW w:w="1220" w:type="dxa"/>
            <w:vAlign w:val="bottom"/>
            <w:tcBorders>
              <w:bottom w:val="single" w:sz="8" w:color="C0C0C0"/>
            </w:tcBorders>
          </w:tcPr>
          <w:p>
            <w:pPr>
              <w:spacing w:after="0"/>
              <w:rPr>
                <w:sz w:val="21"/>
                <w:szCs w:val="21"/>
                <w:color w:val="auto"/>
              </w:rPr>
            </w:pPr>
          </w:p>
        </w:tc>
        <w:tc>
          <w:tcPr>
            <w:tcW w:w="260" w:type="dxa"/>
            <w:vAlign w:val="bottom"/>
            <w:tcBorders>
              <w:bottom w:val="single" w:sz="8" w:color="C0C0C0"/>
            </w:tcBorders>
          </w:tcPr>
          <w:p>
            <w:pPr>
              <w:spacing w:after="0"/>
              <w:rPr>
                <w:sz w:val="21"/>
                <w:szCs w:val="21"/>
                <w:color w:val="auto"/>
              </w:rPr>
            </w:pPr>
          </w:p>
        </w:tc>
        <w:tc>
          <w:tcPr>
            <w:tcW w:w="4180" w:type="dxa"/>
            <w:vAlign w:val="bottom"/>
            <w:tcBorders>
              <w:bottom w:val="single" w:sz="8" w:color="C0C0C0"/>
              <w:right w:val="single" w:sz="8" w:color="C0C0C0"/>
            </w:tcBorders>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3520" w:type="dxa"/>
            <w:vAlign w:val="bottom"/>
            <w:tcBorders>
              <w:left w:val="single" w:sz="8" w:color="C0C0C0"/>
              <w:bottom w:val="single" w:sz="8" w:color="C0C0C0"/>
            </w:tcBorders>
          </w:tcPr>
          <w:p>
            <w:pPr>
              <w:ind w:left="40"/>
              <w:spacing w:after="0" w:line="255" w:lineRule="exact"/>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Maximum Refund Death Benefit:</w:t>
            </w:r>
            <w:r>
              <w:rPr>
                <w:rFonts w:ascii="Arial" w:cs="Arial" w:eastAsia="Arial" w:hAnsi="Arial"/>
                <w:sz w:val="18"/>
                <w:szCs w:val="18"/>
                <w:color w:val="auto"/>
              </w:rPr>
              <w:t xml:space="preserve"> ] </w:t>
            </w:r>
            <w:r>
              <w:rPr>
                <w:rFonts w:ascii="Arial" w:cs="Arial" w:eastAsia="Arial" w:hAnsi="Arial"/>
                <w:sz w:val="23"/>
                <w:szCs w:val="23"/>
                <w:color w:val="auto"/>
                <w:vertAlign w:val="superscript"/>
              </w:rPr>
              <w:t>A</w:t>
            </w:r>
          </w:p>
        </w:tc>
        <w:tc>
          <w:tcPr>
            <w:tcW w:w="640" w:type="dxa"/>
            <w:vAlign w:val="bottom"/>
            <w:tcBorders>
              <w:bottom w:val="single" w:sz="8" w:color="C0C0C0"/>
            </w:tcBorders>
          </w:tcPr>
          <w:p>
            <w:pPr>
              <w:spacing w:after="0"/>
              <w:rPr>
                <w:sz w:val="22"/>
                <w:szCs w:val="22"/>
                <w:color w:val="auto"/>
              </w:rPr>
            </w:pPr>
          </w:p>
        </w:tc>
        <w:tc>
          <w:tcPr>
            <w:tcW w:w="260" w:type="dxa"/>
            <w:vAlign w:val="bottom"/>
            <w:tcBorders>
              <w:bottom w:val="single" w:sz="8" w:color="C0C0C0"/>
            </w:tcBorders>
          </w:tcPr>
          <w:p>
            <w:pPr>
              <w:spacing w:after="0"/>
              <w:rPr>
                <w:sz w:val="22"/>
                <w:szCs w:val="22"/>
                <w:color w:val="auto"/>
              </w:rPr>
            </w:pPr>
          </w:p>
        </w:tc>
        <w:tc>
          <w:tcPr>
            <w:tcW w:w="420" w:type="dxa"/>
            <w:vAlign w:val="bottom"/>
            <w:tcBorders>
              <w:bottom w:val="single" w:sz="8" w:color="C0C0C0"/>
              <w:right w:val="single" w:sz="8" w:color="C0C0C0"/>
            </w:tcBorders>
          </w:tcPr>
          <w:p>
            <w:pPr>
              <w:spacing w:after="0"/>
              <w:rPr>
                <w:sz w:val="22"/>
                <w:szCs w:val="22"/>
                <w:color w:val="auto"/>
              </w:rPr>
            </w:pPr>
          </w:p>
        </w:tc>
        <w:tc>
          <w:tcPr>
            <w:tcW w:w="5660" w:type="dxa"/>
            <w:vAlign w:val="bottom"/>
            <w:tcBorders>
              <w:bottom w:val="single" w:sz="8" w:color="C0C0C0"/>
              <w:right w:val="single" w:sz="8" w:color="C0C0C0"/>
            </w:tcBorders>
            <w:gridSpan w:val="3"/>
          </w:tcPr>
          <w:p>
            <w:pPr>
              <w:ind w:left="20"/>
              <w:spacing w:after="0" w:line="255" w:lineRule="exact"/>
              <w:rPr>
                <w:sz w:val="20"/>
                <w:szCs w:val="20"/>
                <w:color w:val="auto"/>
              </w:rPr>
            </w:pPr>
            <w:r>
              <w:rPr>
                <w:rFonts w:ascii="Arial" w:cs="Arial" w:eastAsia="Arial" w:hAnsi="Arial"/>
                <w:sz w:val="18"/>
                <w:szCs w:val="18"/>
                <w:color w:val="auto"/>
              </w:rPr>
              <w:t xml:space="preserve">[$XXX.XX] </w:t>
            </w:r>
            <w:r>
              <w:rPr>
                <w:rFonts w:ascii="Arial" w:cs="Arial" w:eastAsia="Arial" w:hAnsi="Arial"/>
                <w:sz w:val="23"/>
                <w:szCs w:val="23"/>
                <w:color w:val="auto"/>
                <w:vertAlign w:val="superscript"/>
              </w:rPr>
              <w:t>A</w:t>
            </w:r>
          </w:p>
        </w:tc>
        <w:tc>
          <w:tcPr>
            <w:tcW w:w="0" w:type="dxa"/>
            <w:vAlign w:val="bottom"/>
          </w:tcPr>
          <w:p>
            <w:pPr>
              <w:spacing w:after="0"/>
              <w:rPr>
                <w:sz w:val="1"/>
                <w:szCs w:val="1"/>
                <w:color w:val="auto"/>
              </w:rPr>
            </w:pPr>
          </w:p>
        </w:tc>
      </w:tr>
      <w:tr>
        <w:trPr>
          <w:trHeight w:val="243"/>
        </w:trPr>
        <w:tc>
          <w:tcPr>
            <w:tcW w:w="3520" w:type="dxa"/>
            <w:vAlign w:val="bottom"/>
            <w:tcBorders>
              <w:left w:val="single" w:sz="8" w:color="C0C0C0"/>
              <w:bottom w:val="single" w:sz="8" w:color="C0C0C0"/>
            </w:tcBorders>
          </w:tcPr>
          <w:p>
            <w:pPr>
              <w:spacing w:after="0"/>
              <w:rPr>
                <w:sz w:val="21"/>
                <w:szCs w:val="21"/>
                <w:color w:val="auto"/>
              </w:rPr>
            </w:pPr>
          </w:p>
        </w:tc>
        <w:tc>
          <w:tcPr>
            <w:tcW w:w="640" w:type="dxa"/>
            <w:vAlign w:val="bottom"/>
            <w:tcBorders>
              <w:bottom w:val="single" w:sz="8" w:color="C0C0C0"/>
            </w:tcBorders>
          </w:tcPr>
          <w:p>
            <w:pPr>
              <w:spacing w:after="0"/>
              <w:rPr>
                <w:sz w:val="21"/>
                <w:szCs w:val="21"/>
                <w:color w:val="auto"/>
              </w:rPr>
            </w:pPr>
          </w:p>
        </w:tc>
        <w:tc>
          <w:tcPr>
            <w:tcW w:w="260" w:type="dxa"/>
            <w:vAlign w:val="bottom"/>
            <w:tcBorders>
              <w:bottom w:val="single" w:sz="8" w:color="C0C0C0"/>
            </w:tcBorders>
          </w:tcPr>
          <w:p>
            <w:pPr>
              <w:spacing w:after="0"/>
              <w:rPr>
                <w:sz w:val="21"/>
                <w:szCs w:val="21"/>
                <w:color w:val="auto"/>
              </w:rPr>
            </w:pPr>
          </w:p>
        </w:tc>
        <w:tc>
          <w:tcPr>
            <w:tcW w:w="420" w:type="dxa"/>
            <w:vAlign w:val="bottom"/>
            <w:tcBorders>
              <w:bottom w:val="single" w:sz="8" w:color="C0C0C0"/>
              <w:right w:val="single" w:sz="8" w:color="C0C0C0"/>
            </w:tcBorders>
          </w:tcPr>
          <w:p>
            <w:pPr>
              <w:spacing w:after="0"/>
              <w:rPr>
                <w:sz w:val="21"/>
                <w:szCs w:val="21"/>
                <w:color w:val="auto"/>
              </w:rPr>
            </w:pPr>
          </w:p>
        </w:tc>
        <w:tc>
          <w:tcPr>
            <w:tcW w:w="1220" w:type="dxa"/>
            <w:vAlign w:val="bottom"/>
            <w:tcBorders>
              <w:bottom w:val="single" w:sz="8" w:color="C0C0C0"/>
            </w:tcBorders>
          </w:tcPr>
          <w:p>
            <w:pPr>
              <w:spacing w:after="0"/>
              <w:rPr>
                <w:sz w:val="21"/>
                <w:szCs w:val="21"/>
                <w:color w:val="auto"/>
              </w:rPr>
            </w:pPr>
          </w:p>
        </w:tc>
        <w:tc>
          <w:tcPr>
            <w:tcW w:w="260" w:type="dxa"/>
            <w:vAlign w:val="bottom"/>
            <w:tcBorders>
              <w:bottom w:val="single" w:sz="8" w:color="C0C0C0"/>
            </w:tcBorders>
          </w:tcPr>
          <w:p>
            <w:pPr>
              <w:spacing w:after="0"/>
              <w:rPr>
                <w:sz w:val="21"/>
                <w:szCs w:val="21"/>
                <w:color w:val="auto"/>
              </w:rPr>
            </w:pPr>
          </w:p>
        </w:tc>
        <w:tc>
          <w:tcPr>
            <w:tcW w:w="4180" w:type="dxa"/>
            <w:vAlign w:val="bottom"/>
            <w:tcBorders>
              <w:bottom w:val="single" w:sz="8" w:color="C0C0C0"/>
              <w:right w:val="single" w:sz="8" w:color="C0C0C0"/>
            </w:tcBorders>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3520" w:type="dxa"/>
            <w:vAlign w:val="bottom"/>
            <w:tcBorders>
              <w:left w:val="single" w:sz="8" w:color="C0C0C0"/>
              <w:bottom w:val="single" w:sz="8" w:color="C0C0C0"/>
            </w:tcBorders>
          </w:tcPr>
          <w:p>
            <w:pPr>
              <w:ind w:left="40"/>
              <w:spacing w:after="0" w:line="255" w:lineRule="exact"/>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Beneficiary(ies):</w:t>
            </w:r>
            <w:r>
              <w:rPr>
                <w:rFonts w:ascii="Arial" w:cs="Arial" w:eastAsia="Arial" w:hAnsi="Arial"/>
                <w:sz w:val="18"/>
                <w:szCs w:val="18"/>
                <w:color w:val="auto"/>
              </w:rPr>
              <w:t xml:space="preserve"> ] </w:t>
            </w:r>
            <w:r>
              <w:rPr>
                <w:rFonts w:ascii="Arial" w:cs="Arial" w:eastAsia="Arial" w:hAnsi="Arial"/>
                <w:sz w:val="23"/>
                <w:szCs w:val="23"/>
                <w:color w:val="auto"/>
                <w:vertAlign w:val="superscript"/>
              </w:rPr>
              <w:t>A</w:t>
            </w:r>
          </w:p>
        </w:tc>
        <w:tc>
          <w:tcPr>
            <w:tcW w:w="640" w:type="dxa"/>
            <w:vAlign w:val="bottom"/>
            <w:tcBorders>
              <w:bottom w:val="single" w:sz="8" w:color="C0C0C0"/>
            </w:tcBorders>
          </w:tcPr>
          <w:p>
            <w:pPr>
              <w:spacing w:after="0"/>
              <w:rPr>
                <w:sz w:val="22"/>
                <w:szCs w:val="22"/>
                <w:color w:val="auto"/>
              </w:rPr>
            </w:pPr>
          </w:p>
        </w:tc>
        <w:tc>
          <w:tcPr>
            <w:tcW w:w="260" w:type="dxa"/>
            <w:vAlign w:val="bottom"/>
            <w:tcBorders>
              <w:bottom w:val="single" w:sz="8" w:color="C0C0C0"/>
            </w:tcBorders>
          </w:tcPr>
          <w:p>
            <w:pPr>
              <w:spacing w:after="0"/>
              <w:rPr>
                <w:sz w:val="22"/>
                <w:szCs w:val="22"/>
                <w:color w:val="auto"/>
              </w:rPr>
            </w:pPr>
          </w:p>
        </w:tc>
        <w:tc>
          <w:tcPr>
            <w:tcW w:w="420" w:type="dxa"/>
            <w:vAlign w:val="bottom"/>
            <w:tcBorders>
              <w:bottom w:val="single" w:sz="8" w:color="C0C0C0"/>
              <w:right w:val="single" w:sz="8" w:color="C0C0C0"/>
            </w:tcBorders>
          </w:tcPr>
          <w:p>
            <w:pPr>
              <w:spacing w:after="0"/>
              <w:rPr>
                <w:sz w:val="22"/>
                <w:szCs w:val="22"/>
                <w:color w:val="auto"/>
              </w:rPr>
            </w:pPr>
          </w:p>
        </w:tc>
        <w:tc>
          <w:tcPr>
            <w:tcW w:w="5660" w:type="dxa"/>
            <w:vAlign w:val="bottom"/>
            <w:tcBorders>
              <w:bottom w:val="single" w:sz="8" w:color="C0C0C0"/>
              <w:right w:val="single" w:sz="8" w:color="C0C0C0"/>
            </w:tcBorders>
            <w:gridSpan w:val="3"/>
          </w:tcPr>
          <w:p>
            <w:pPr>
              <w:ind w:left="20"/>
              <w:spacing w:after="0" w:line="255" w:lineRule="exact"/>
              <w:rPr>
                <w:sz w:val="20"/>
                <w:szCs w:val="20"/>
                <w:color w:val="auto"/>
              </w:rPr>
            </w:pPr>
            <w:r>
              <w:rPr>
                <w:rFonts w:ascii="Arial" w:cs="Arial" w:eastAsia="Arial" w:hAnsi="Arial"/>
                <w:sz w:val="18"/>
                <w:szCs w:val="18"/>
                <w:color w:val="auto"/>
              </w:rPr>
              <w:t>[Name(s)/As shown on Prudential's records</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23"/>
                <w:szCs w:val="23"/>
                <w:b w:val="1"/>
                <w:bCs w:val="1"/>
                <w:color w:val="auto"/>
                <w:vertAlign w:val="superscript"/>
              </w:rPr>
              <w:t>A</w:t>
            </w:r>
            <w:r>
              <w:rPr>
                <w:rFonts w:ascii="Arial" w:cs="Arial" w:eastAsia="Arial" w:hAnsi="Arial"/>
                <w:sz w:val="18"/>
                <w:szCs w:val="18"/>
                <w:color w:val="auto"/>
              </w:rPr>
              <w:t xml:space="preserve"> [Shares(s)</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23"/>
                <w:szCs w:val="23"/>
                <w:b w:val="1"/>
                <w:bCs w:val="1"/>
                <w:color w:val="auto"/>
                <w:vertAlign w:val="superscript"/>
              </w:rPr>
              <w:t>A</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940"/>
          </w:cols>
          <w:pgMar w:left="720" w:top="753" w:right="239" w:bottom="1440" w:gutter="0" w:footer="0" w:header="0"/>
        </w:sectPr>
      </w:pPr>
    </w:p>
    <w:p>
      <w:pPr>
        <w:spacing w:after="0" w:line="13" w:lineRule="exact"/>
        <w:rPr>
          <w:sz w:val="20"/>
          <w:szCs w:val="20"/>
          <w:color w:val="auto"/>
        </w:rPr>
      </w:pPr>
    </w:p>
    <w:p>
      <w:pPr>
        <w:jc w:val="center"/>
        <w:ind w:right="480"/>
        <w:spacing w:after="0"/>
        <w:rPr>
          <w:sz w:val="20"/>
          <w:szCs w:val="20"/>
          <w:color w:val="auto"/>
        </w:rPr>
      </w:pPr>
      <w:r>
        <w:rPr>
          <w:rFonts w:ascii="Arial" w:cs="Arial" w:eastAsia="Arial" w:hAnsi="Arial"/>
          <w:sz w:val="15"/>
          <w:szCs w:val="15"/>
          <w:color w:val="auto"/>
        </w:rPr>
        <w:t>Appendix 1.3 - 1</w:t>
      </w:r>
    </w:p>
    <w:p>
      <w:pPr>
        <w:sectPr>
          <w:pgSz w:w="11900" w:h="16838" w:orient="portrait"/>
          <w:cols w:equalWidth="0" w:num="1">
            <w:col w:w="10940"/>
          </w:cols>
          <w:pgMar w:left="720" w:top="753" w:right="239" w:bottom="1440" w:gutter="0" w:footer="0" w:header="0"/>
          <w:type w:val="continuous"/>
        </w:sectPr>
      </w:pPr>
    </w:p>
    <w:bookmarkStart w:id="115" w:name="page116"/>
    <w:bookmarkEnd w:id="115"/>
    <w:tbl>
      <w:tblPr>
        <w:tblLayout w:type="fixed"/>
        <w:tblInd w:w="490" w:type="dxa"/>
        <w:tblCellMar>
          <w:top w:w="0" w:type="dxa"/>
          <w:left w:w="0" w:type="dxa"/>
          <w:bottom w:w="0" w:type="dxa"/>
          <w:right w:w="0" w:type="dxa"/>
        </w:tblCellMar>
      </w:tblPr>
      <w:tr>
        <w:trPr>
          <w:trHeight w:val="263"/>
        </w:trPr>
        <w:tc>
          <w:tcPr>
            <w:tcW w:w="4840" w:type="dxa"/>
            <w:vAlign w:val="bottom"/>
            <w:tcBorders>
              <w:top w:val="single" w:sz="8" w:color="C0C0C0"/>
              <w:left w:val="single" w:sz="8" w:color="C0C0C0"/>
              <w:bottom w:val="single" w:sz="8" w:color="C0C0C0"/>
              <w:right w:val="single" w:sz="8" w:color="C0C0C0"/>
            </w:tcBorders>
          </w:tcPr>
          <w:p>
            <w:pPr>
              <w:spacing w:after="0"/>
              <w:rPr>
                <w:sz w:val="22"/>
                <w:szCs w:val="22"/>
                <w:color w:val="auto"/>
              </w:rPr>
            </w:pPr>
          </w:p>
        </w:tc>
        <w:tc>
          <w:tcPr>
            <w:tcW w:w="5660" w:type="dxa"/>
            <w:vAlign w:val="bottom"/>
            <w:tcBorders>
              <w:top w:val="single" w:sz="8" w:color="C0C0C0"/>
              <w:bottom w:val="single" w:sz="8" w:color="C0C0C0"/>
              <w:right w:val="single" w:sz="8" w:color="C0C0C0"/>
            </w:tcBorders>
          </w:tcPr>
          <w:p>
            <w:pPr>
              <w:spacing w:after="0"/>
              <w:rPr>
                <w:sz w:val="22"/>
                <w:szCs w:val="22"/>
                <w:color w:val="auto"/>
              </w:rPr>
            </w:pPr>
          </w:p>
        </w:tc>
      </w:tr>
      <w:tr>
        <w:trPr>
          <w:trHeight w:val="255"/>
        </w:trPr>
        <w:tc>
          <w:tcPr>
            <w:tcW w:w="4840" w:type="dxa"/>
            <w:vAlign w:val="bottom"/>
            <w:tcBorders>
              <w:left w:val="single" w:sz="8" w:color="C0C0C0"/>
              <w:bottom w:val="single" w:sz="8" w:color="C0C0C0"/>
              <w:right w:val="single" w:sz="8" w:color="C0C0C0"/>
            </w:tcBorders>
          </w:tcPr>
          <w:p>
            <w:pPr>
              <w:ind w:left="40"/>
              <w:spacing w:after="0" w:line="255" w:lineRule="exact"/>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Part A Basic Benefit:</w:t>
            </w:r>
            <w:r>
              <w:rPr>
                <w:rFonts w:ascii="Arial" w:cs="Arial" w:eastAsia="Arial" w:hAnsi="Arial"/>
                <w:sz w:val="18"/>
                <w:szCs w:val="18"/>
                <w:color w:val="auto"/>
              </w:rPr>
              <w:t xml:space="preserve"> ] </w:t>
            </w:r>
            <w:r>
              <w:rPr>
                <w:rFonts w:ascii="Arial" w:cs="Arial" w:eastAsia="Arial" w:hAnsi="Arial"/>
                <w:sz w:val="23"/>
                <w:szCs w:val="23"/>
                <w:color w:val="auto"/>
                <w:vertAlign w:val="superscript"/>
              </w:rPr>
              <w:t>A</w:t>
            </w:r>
          </w:p>
        </w:tc>
        <w:tc>
          <w:tcPr>
            <w:tcW w:w="5660" w:type="dxa"/>
            <w:vAlign w:val="bottom"/>
            <w:tcBorders>
              <w:bottom w:val="single" w:sz="8" w:color="C0C0C0"/>
              <w:right w:val="single" w:sz="8" w:color="C0C0C0"/>
            </w:tcBorders>
          </w:tcPr>
          <w:p>
            <w:pPr>
              <w:ind w:left="20"/>
              <w:spacing w:after="0" w:line="255" w:lineRule="exact"/>
              <w:rPr>
                <w:sz w:val="20"/>
                <w:szCs w:val="20"/>
                <w:color w:val="auto"/>
              </w:rPr>
            </w:pPr>
            <w:r>
              <w:rPr>
                <w:rFonts w:ascii="Arial" w:cs="Arial" w:eastAsia="Arial" w:hAnsi="Arial"/>
                <w:sz w:val="18"/>
                <w:szCs w:val="18"/>
                <w:color w:val="auto"/>
              </w:rPr>
              <w:t xml:space="preserve">[$XXX.XX] </w:t>
            </w:r>
            <w:r>
              <w:rPr>
                <w:rFonts w:ascii="Arial" w:cs="Arial" w:eastAsia="Arial" w:hAnsi="Arial"/>
                <w:sz w:val="23"/>
                <w:szCs w:val="23"/>
                <w:color w:val="auto"/>
                <w:vertAlign w:val="superscript"/>
              </w:rPr>
              <w:t>A</w:t>
            </w:r>
          </w:p>
        </w:tc>
      </w:tr>
      <w:tr>
        <w:trPr>
          <w:trHeight w:val="243"/>
        </w:trPr>
        <w:tc>
          <w:tcPr>
            <w:tcW w:w="4840" w:type="dxa"/>
            <w:vAlign w:val="bottom"/>
            <w:tcBorders>
              <w:left w:val="single" w:sz="8" w:color="C0C0C0"/>
              <w:bottom w:val="single" w:sz="8" w:color="C0C0C0"/>
              <w:right w:val="single" w:sz="8" w:color="C0C0C0"/>
            </w:tcBorders>
          </w:tcPr>
          <w:p>
            <w:pPr>
              <w:spacing w:after="0"/>
              <w:rPr>
                <w:sz w:val="21"/>
                <w:szCs w:val="21"/>
                <w:color w:val="auto"/>
              </w:rPr>
            </w:pPr>
          </w:p>
        </w:tc>
        <w:tc>
          <w:tcPr>
            <w:tcW w:w="5660" w:type="dxa"/>
            <w:vAlign w:val="bottom"/>
            <w:tcBorders>
              <w:bottom w:val="single" w:sz="8" w:color="C0C0C0"/>
              <w:right w:val="single" w:sz="8" w:color="C0C0C0"/>
            </w:tcBorders>
          </w:tcPr>
          <w:p>
            <w:pPr>
              <w:spacing w:after="0"/>
              <w:rPr>
                <w:sz w:val="21"/>
                <w:szCs w:val="21"/>
                <w:color w:val="auto"/>
              </w:rPr>
            </w:pPr>
          </w:p>
        </w:tc>
      </w:tr>
      <w:tr>
        <w:trPr>
          <w:trHeight w:val="255"/>
        </w:trPr>
        <w:tc>
          <w:tcPr>
            <w:tcW w:w="4840" w:type="dxa"/>
            <w:vAlign w:val="bottom"/>
            <w:tcBorders>
              <w:left w:val="single" w:sz="8" w:color="C0C0C0"/>
              <w:bottom w:val="single" w:sz="8" w:color="C0C0C0"/>
              <w:right w:val="single" w:sz="8" w:color="C0C0C0"/>
            </w:tcBorders>
          </w:tcPr>
          <w:p>
            <w:pPr>
              <w:ind w:left="40"/>
              <w:spacing w:after="0" w:line="255" w:lineRule="exact"/>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Pre 1985 Covered Life Part B Primary Amount:</w:t>
            </w:r>
            <w:r>
              <w:rPr>
                <w:rFonts w:ascii="Arial" w:cs="Arial" w:eastAsia="Arial" w:hAnsi="Arial"/>
                <w:sz w:val="18"/>
                <w:szCs w:val="18"/>
                <w:color w:val="auto"/>
              </w:rPr>
              <w:t xml:space="preserve"> ] </w:t>
            </w:r>
            <w:r>
              <w:rPr>
                <w:rFonts w:ascii="Arial" w:cs="Arial" w:eastAsia="Arial" w:hAnsi="Arial"/>
                <w:sz w:val="23"/>
                <w:szCs w:val="23"/>
                <w:color w:val="auto"/>
                <w:vertAlign w:val="superscript"/>
              </w:rPr>
              <w:t>A</w:t>
            </w:r>
          </w:p>
        </w:tc>
        <w:tc>
          <w:tcPr>
            <w:tcW w:w="5660" w:type="dxa"/>
            <w:vAlign w:val="bottom"/>
            <w:tcBorders>
              <w:bottom w:val="single" w:sz="8" w:color="C0C0C0"/>
              <w:right w:val="single" w:sz="8" w:color="C0C0C0"/>
            </w:tcBorders>
          </w:tcPr>
          <w:p>
            <w:pPr>
              <w:ind w:left="20"/>
              <w:spacing w:after="0" w:line="255" w:lineRule="exact"/>
              <w:rPr>
                <w:sz w:val="20"/>
                <w:szCs w:val="20"/>
                <w:color w:val="auto"/>
              </w:rPr>
            </w:pPr>
            <w:r>
              <w:rPr>
                <w:rFonts w:ascii="Arial" w:cs="Arial" w:eastAsia="Arial" w:hAnsi="Arial"/>
                <w:sz w:val="18"/>
                <w:szCs w:val="18"/>
                <w:color w:val="auto"/>
              </w:rPr>
              <w:t xml:space="preserve">[$XXX.XX] </w:t>
            </w:r>
            <w:r>
              <w:rPr>
                <w:rFonts w:ascii="Arial" w:cs="Arial" w:eastAsia="Arial" w:hAnsi="Arial"/>
                <w:sz w:val="23"/>
                <w:szCs w:val="23"/>
                <w:color w:val="auto"/>
                <w:vertAlign w:val="superscript"/>
              </w:rPr>
              <w:t>A</w:t>
            </w:r>
          </w:p>
        </w:tc>
      </w:tr>
      <w:tr>
        <w:trPr>
          <w:trHeight w:val="243"/>
        </w:trPr>
        <w:tc>
          <w:tcPr>
            <w:tcW w:w="4840" w:type="dxa"/>
            <w:vAlign w:val="bottom"/>
            <w:tcBorders>
              <w:left w:val="single" w:sz="8" w:color="C0C0C0"/>
              <w:bottom w:val="single" w:sz="8" w:color="C0C0C0"/>
              <w:right w:val="single" w:sz="8" w:color="C0C0C0"/>
            </w:tcBorders>
          </w:tcPr>
          <w:p>
            <w:pPr>
              <w:spacing w:after="0"/>
              <w:rPr>
                <w:sz w:val="21"/>
                <w:szCs w:val="21"/>
                <w:color w:val="auto"/>
              </w:rPr>
            </w:pPr>
          </w:p>
        </w:tc>
        <w:tc>
          <w:tcPr>
            <w:tcW w:w="5660" w:type="dxa"/>
            <w:vAlign w:val="bottom"/>
            <w:tcBorders>
              <w:bottom w:val="single" w:sz="8" w:color="C0C0C0"/>
              <w:right w:val="single" w:sz="8" w:color="C0C0C0"/>
            </w:tcBorders>
          </w:tcPr>
          <w:p>
            <w:pPr>
              <w:spacing w:after="0"/>
              <w:rPr>
                <w:sz w:val="21"/>
                <w:szCs w:val="21"/>
                <w:color w:val="auto"/>
              </w:rPr>
            </w:pPr>
          </w:p>
        </w:tc>
      </w:tr>
      <w:tr>
        <w:trPr>
          <w:trHeight w:val="255"/>
        </w:trPr>
        <w:tc>
          <w:tcPr>
            <w:tcW w:w="4840" w:type="dxa"/>
            <w:vAlign w:val="bottom"/>
            <w:tcBorders>
              <w:left w:val="single" w:sz="8" w:color="C0C0C0"/>
              <w:bottom w:val="single" w:sz="8" w:color="C0C0C0"/>
              <w:right w:val="single" w:sz="8" w:color="C0C0C0"/>
            </w:tcBorders>
          </w:tcPr>
          <w:p>
            <w:pPr>
              <w:ind w:left="40"/>
              <w:spacing w:after="0" w:line="255" w:lineRule="exact"/>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Post 1985 Covered Life Part B Primary Amount:</w:t>
            </w:r>
            <w:r>
              <w:rPr>
                <w:rFonts w:ascii="Arial" w:cs="Arial" w:eastAsia="Arial" w:hAnsi="Arial"/>
                <w:sz w:val="18"/>
                <w:szCs w:val="18"/>
                <w:color w:val="auto"/>
              </w:rPr>
              <w:t xml:space="preserve"> ] </w:t>
            </w:r>
            <w:r>
              <w:rPr>
                <w:rFonts w:ascii="Arial" w:cs="Arial" w:eastAsia="Arial" w:hAnsi="Arial"/>
                <w:sz w:val="23"/>
                <w:szCs w:val="23"/>
                <w:color w:val="auto"/>
                <w:vertAlign w:val="superscript"/>
              </w:rPr>
              <w:t>A</w:t>
            </w:r>
          </w:p>
        </w:tc>
        <w:tc>
          <w:tcPr>
            <w:tcW w:w="5660" w:type="dxa"/>
            <w:vAlign w:val="bottom"/>
            <w:tcBorders>
              <w:bottom w:val="single" w:sz="8" w:color="C0C0C0"/>
              <w:right w:val="single" w:sz="8" w:color="C0C0C0"/>
            </w:tcBorders>
          </w:tcPr>
          <w:p>
            <w:pPr>
              <w:ind w:left="20"/>
              <w:spacing w:after="0" w:line="255" w:lineRule="exact"/>
              <w:rPr>
                <w:sz w:val="20"/>
                <w:szCs w:val="20"/>
                <w:color w:val="auto"/>
              </w:rPr>
            </w:pPr>
            <w:r>
              <w:rPr>
                <w:rFonts w:ascii="Arial" w:cs="Arial" w:eastAsia="Arial" w:hAnsi="Arial"/>
                <w:sz w:val="18"/>
                <w:szCs w:val="18"/>
                <w:color w:val="auto"/>
              </w:rPr>
              <w:t xml:space="preserve">[$XXX.XX] </w:t>
            </w:r>
            <w:r>
              <w:rPr>
                <w:rFonts w:ascii="Arial" w:cs="Arial" w:eastAsia="Arial" w:hAnsi="Arial"/>
                <w:sz w:val="23"/>
                <w:szCs w:val="23"/>
                <w:color w:val="auto"/>
                <w:vertAlign w:val="superscript"/>
              </w:rPr>
              <w:t>A</w:t>
            </w:r>
          </w:p>
        </w:tc>
      </w:tr>
      <w:tr>
        <w:trPr>
          <w:trHeight w:val="243"/>
        </w:trPr>
        <w:tc>
          <w:tcPr>
            <w:tcW w:w="4840" w:type="dxa"/>
            <w:vAlign w:val="bottom"/>
            <w:tcBorders>
              <w:left w:val="single" w:sz="8" w:color="C0C0C0"/>
              <w:bottom w:val="single" w:sz="8" w:color="C0C0C0"/>
              <w:right w:val="single" w:sz="8" w:color="C0C0C0"/>
            </w:tcBorders>
          </w:tcPr>
          <w:p>
            <w:pPr>
              <w:spacing w:after="0"/>
              <w:rPr>
                <w:sz w:val="21"/>
                <w:szCs w:val="21"/>
                <w:color w:val="auto"/>
              </w:rPr>
            </w:pPr>
          </w:p>
        </w:tc>
        <w:tc>
          <w:tcPr>
            <w:tcW w:w="5660" w:type="dxa"/>
            <w:vAlign w:val="bottom"/>
            <w:tcBorders>
              <w:bottom w:val="single" w:sz="8" w:color="C0C0C0"/>
              <w:right w:val="single" w:sz="8" w:color="C0C0C0"/>
            </w:tcBorders>
          </w:tcPr>
          <w:p>
            <w:pPr>
              <w:spacing w:after="0"/>
              <w:rPr>
                <w:sz w:val="21"/>
                <w:szCs w:val="21"/>
                <w:color w:val="auto"/>
              </w:rPr>
            </w:pPr>
          </w:p>
        </w:tc>
      </w:tr>
      <w:tr>
        <w:trPr>
          <w:trHeight w:val="255"/>
        </w:trPr>
        <w:tc>
          <w:tcPr>
            <w:tcW w:w="4840" w:type="dxa"/>
            <w:vAlign w:val="bottom"/>
            <w:tcBorders>
              <w:left w:val="single" w:sz="8" w:color="C0C0C0"/>
              <w:bottom w:val="single" w:sz="8" w:color="C0C0C0"/>
              <w:right w:val="single" w:sz="8" w:color="C0C0C0"/>
            </w:tcBorders>
          </w:tcPr>
          <w:p>
            <w:pPr>
              <w:ind w:left="40"/>
              <w:spacing w:after="0" w:line="255" w:lineRule="exact"/>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Contingent Life:</w:t>
            </w:r>
            <w:r>
              <w:rPr>
                <w:rFonts w:ascii="Arial" w:cs="Arial" w:eastAsia="Arial" w:hAnsi="Arial"/>
                <w:sz w:val="18"/>
                <w:szCs w:val="18"/>
                <w:color w:val="auto"/>
              </w:rPr>
              <w:t xml:space="preserve"> ] </w:t>
            </w:r>
            <w:r>
              <w:rPr>
                <w:rFonts w:ascii="Arial" w:cs="Arial" w:eastAsia="Arial" w:hAnsi="Arial"/>
                <w:sz w:val="23"/>
                <w:szCs w:val="23"/>
                <w:color w:val="auto"/>
                <w:vertAlign w:val="superscript"/>
              </w:rPr>
              <w:t>A</w:t>
            </w:r>
          </w:p>
        </w:tc>
        <w:tc>
          <w:tcPr>
            <w:tcW w:w="5660" w:type="dxa"/>
            <w:vAlign w:val="bottom"/>
            <w:tcBorders>
              <w:bottom w:val="single" w:sz="8" w:color="C0C0C0"/>
              <w:right w:val="single" w:sz="8" w:color="C0C0C0"/>
            </w:tcBorders>
          </w:tcPr>
          <w:p>
            <w:pPr>
              <w:ind w:left="20"/>
              <w:spacing w:after="0" w:line="255" w:lineRule="exact"/>
              <w:rPr>
                <w:sz w:val="20"/>
                <w:szCs w:val="20"/>
                <w:color w:val="auto"/>
              </w:rPr>
            </w:pPr>
            <w:r>
              <w:rPr>
                <w:rFonts w:ascii="Arial" w:cs="Arial" w:eastAsia="Arial" w:hAnsi="Arial"/>
                <w:sz w:val="18"/>
                <w:szCs w:val="18"/>
                <w:color w:val="auto"/>
              </w:rPr>
              <w:t xml:space="preserve">[Contingent Life Name] </w:t>
            </w:r>
            <w:r>
              <w:rPr>
                <w:rFonts w:ascii="Arial" w:cs="Arial" w:eastAsia="Arial" w:hAnsi="Arial"/>
                <w:sz w:val="23"/>
                <w:szCs w:val="23"/>
                <w:color w:val="auto"/>
                <w:vertAlign w:val="superscript"/>
              </w:rPr>
              <w:t>A</w:t>
            </w:r>
          </w:p>
        </w:tc>
      </w:tr>
      <w:tr>
        <w:trPr>
          <w:trHeight w:val="243"/>
        </w:trPr>
        <w:tc>
          <w:tcPr>
            <w:tcW w:w="4840" w:type="dxa"/>
            <w:vAlign w:val="bottom"/>
            <w:tcBorders>
              <w:left w:val="single" w:sz="8" w:color="C0C0C0"/>
              <w:bottom w:val="single" w:sz="8" w:color="C0C0C0"/>
              <w:right w:val="single" w:sz="8" w:color="C0C0C0"/>
            </w:tcBorders>
          </w:tcPr>
          <w:p>
            <w:pPr>
              <w:spacing w:after="0"/>
              <w:rPr>
                <w:sz w:val="21"/>
                <w:szCs w:val="21"/>
                <w:color w:val="auto"/>
              </w:rPr>
            </w:pPr>
          </w:p>
        </w:tc>
        <w:tc>
          <w:tcPr>
            <w:tcW w:w="5660" w:type="dxa"/>
            <w:vAlign w:val="bottom"/>
            <w:tcBorders>
              <w:bottom w:val="single" w:sz="8" w:color="C0C0C0"/>
              <w:right w:val="single" w:sz="8" w:color="C0C0C0"/>
            </w:tcBorders>
          </w:tcPr>
          <w:p>
            <w:pPr>
              <w:spacing w:after="0"/>
              <w:rPr>
                <w:sz w:val="21"/>
                <w:szCs w:val="21"/>
                <w:color w:val="auto"/>
              </w:rPr>
            </w:pPr>
          </w:p>
        </w:tc>
      </w:tr>
      <w:tr>
        <w:trPr>
          <w:trHeight w:val="255"/>
        </w:trPr>
        <w:tc>
          <w:tcPr>
            <w:tcW w:w="4840" w:type="dxa"/>
            <w:vAlign w:val="bottom"/>
            <w:tcBorders>
              <w:left w:val="single" w:sz="8" w:color="C0C0C0"/>
              <w:bottom w:val="single" w:sz="8" w:color="C0C0C0"/>
              <w:right w:val="single" w:sz="8" w:color="C0C0C0"/>
            </w:tcBorders>
          </w:tcPr>
          <w:p>
            <w:pPr>
              <w:ind w:left="40"/>
              <w:spacing w:after="0" w:line="255" w:lineRule="exact"/>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Contingent Life's Sex and Date of Birth:</w:t>
            </w:r>
            <w:r>
              <w:rPr>
                <w:rFonts w:ascii="Arial" w:cs="Arial" w:eastAsia="Arial" w:hAnsi="Arial"/>
                <w:sz w:val="18"/>
                <w:szCs w:val="18"/>
                <w:color w:val="auto"/>
              </w:rPr>
              <w:t xml:space="preserve"> ] </w:t>
            </w:r>
            <w:r>
              <w:rPr>
                <w:rFonts w:ascii="Arial" w:cs="Arial" w:eastAsia="Arial" w:hAnsi="Arial"/>
                <w:sz w:val="23"/>
                <w:szCs w:val="23"/>
                <w:color w:val="auto"/>
                <w:vertAlign w:val="superscript"/>
              </w:rPr>
              <w:t>A</w:t>
            </w:r>
          </w:p>
        </w:tc>
        <w:tc>
          <w:tcPr>
            <w:tcW w:w="5660" w:type="dxa"/>
            <w:vAlign w:val="bottom"/>
            <w:tcBorders>
              <w:bottom w:val="single" w:sz="8" w:color="C0C0C0"/>
              <w:right w:val="single" w:sz="8" w:color="C0C0C0"/>
            </w:tcBorders>
          </w:tcPr>
          <w:p>
            <w:pPr>
              <w:ind w:left="20"/>
              <w:spacing w:after="0" w:line="255" w:lineRule="exact"/>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Male/Female, Date]</w:t>
            </w:r>
            <w:r>
              <w:rPr>
                <w:rFonts w:ascii="Arial" w:cs="Arial" w:eastAsia="Arial" w:hAnsi="Arial"/>
                <w:sz w:val="18"/>
                <w:szCs w:val="18"/>
                <w:b w:val="1"/>
                <w:bCs w:val="1"/>
                <w:color w:val="auto"/>
              </w:rPr>
              <w:t xml:space="preserve"> </w:t>
            </w:r>
            <w:r>
              <w:rPr>
                <w:rFonts w:ascii="Arial" w:cs="Arial" w:eastAsia="Arial" w:hAnsi="Arial"/>
                <w:sz w:val="23"/>
                <w:szCs w:val="23"/>
                <w:color w:val="auto"/>
                <w:vertAlign w:val="superscript"/>
              </w:rPr>
              <w:t>A</w:t>
            </w:r>
          </w:p>
        </w:tc>
      </w:tr>
      <w:tr>
        <w:trPr>
          <w:trHeight w:val="243"/>
        </w:trPr>
        <w:tc>
          <w:tcPr>
            <w:tcW w:w="4840" w:type="dxa"/>
            <w:vAlign w:val="bottom"/>
            <w:tcBorders>
              <w:left w:val="single" w:sz="8" w:color="C0C0C0"/>
              <w:bottom w:val="single" w:sz="8" w:color="C0C0C0"/>
              <w:right w:val="single" w:sz="8" w:color="C0C0C0"/>
            </w:tcBorders>
          </w:tcPr>
          <w:p>
            <w:pPr>
              <w:spacing w:after="0"/>
              <w:rPr>
                <w:sz w:val="21"/>
                <w:szCs w:val="21"/>
                <w:color w:val="auto"/>
              </w:rPr>
            </w:pPr>
          </w:p>
        </w:tc>
        <w:tc>
          <w:tcPr>
            <w:tcW w:w="5660" w:type="dxa"/>
            <w:vAlign w:val="bottom"/>
            <w:tcBorders>
              <w:bottom w:val="single" w:sz="8" w:color="C0C0C0"/>
              <w:right w:val="single" w:sz="8" w:color="C0C0C0"/>
            </w:tcBorders>
          </w:tcPr>
          <w:p>
            <w:pPr>
              <w:spacing w:after="0"/>
              <w:rPr>
                <w:sz w:val="21"/>
                <w:szCs w:val="21"/>
                <w:color w:val="auto"/>
              </w:rPr>
            </w:pPr>
          </w:p>
        </w:tc>
      </w:tr>
      <w:tr>
        <w:trPr>
          <w:trHeight w:val="255"/>
        </w:trPr>
        <w:tc>
          <w:tcPr>
            <w:tcW w:w="4840" w:type="dxa"/>
            <w:vAlign w:val="bottom"/>
            <w:tcBorders>
              <w:left w:val="single" w:sz="8" w:color="C0C0C0"/>
              <w:bottom w:val="single" w:sz="8" w:color="C0C0C0"/>
              <w:right w:val="single" w:sz="8" w:color="C0C0C0"/>
            </w:tcBorders>
          </w:tcPr>
          <w:p>
            <w:pPr>
              <w:ind w:left="40"/>
              <w:spacing w:after="0" w:line="255" w:lineRule="exact"/>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Contingent Life Level Rider Eligibility</w:t>
            </w:r>
            <w:r>
              <w:rPr>
                <w:rFonts w:ascii="Arial" w:cs="Arial" w:eastAsia="Arial" w:hAnsi="Arial"/>
                <w:sz w:val="18"/>
                <w:szCs w:val="18"/>
                <w:color w:val="auto"/>
              </w:rPr>
              <w:t xml:space="preserve">] </w:t>
            </w:r>
            <w:r>
              <w:rPr>
                <w:rFonts w:ascii="Arial" w:cs="Arial" w:eastAsia="Arial" w:hAnsi="Arial"/>
                <w:sz w:val="23"/>
                <w:szCs w:val="23"/>
                <w:color w:val="auto"/>
                <w:vertAlign w:val="superscript"/>
              </w:rPr>
              <w:t>A</w:t>
            </w:r>
          </w:p>
        </w:tc>
        <w:tc>
          <w:tcPr>
            <w:tcW w:w="5660" w:type="dxa"/>
            <w:vAlign w:val="bottom"/>
            <w:tcBorders>
              <w:bottom w:val="single" w:sz="8" w:color="C0C0C0"/>
              <w:right w:val="single" w:sz="8" w:color="C0C0C0"/>
            </w:tcBorders>
          </w:tcPr>
          <w:p>
            <w:pPr>
              <w:ind w:left="20"/>
              <w:spacing w:after="0" w:line="255" w:lineRule="exact"/>
              <w:rPr>
                <w:sz w:val="20"/>
                <w:szCs w:val="20"/>
                <w:color w:val="auto"/>
              </w:rPr>
            </w:pPr>
            <w:r>
              <w:rPr>
                <w:rFonts w:ascii="Arial" w:cs="Arial" w:eastAsia="Arial" w:hAnsi="Arial"/>
                <w:sz w:val="18"/>
                <w:szCs w:val="18"/>
                <w:color w:val="auto"/>
              </w:rPr>
              <w:t xml:space="preserve">[Yes/No] </w:t>
            </w:r>
            <w:r>
              <w:rPr>
                <w:rFonts w:ascii="Arial" w:cs="Arial" w:eastAsia="Arial" w:hAnsi="Arial"/>
                <w:sz w:val="23"/>
                <w:szCs w:val="23"/>
                <w:color w:val="auto"/>
                <w:vertAlign w:val="superscript"/>
              </w:rPr>
              <w:t>A</w:t>
            </w:r>
          </w:p>
        </w:tc>
      </w:tr>
      <w:tr>
        <w:trPr>
          <w:trHeight w:val="243"/>
        </w:trPr>
        <w:tc>
          <w:tcPr>
            <w:tcW w:w="4840" w:type="dxa"/>
            <w:vAlign w:val="bottom"/>
            <w:tcBorders>
              <w:left w:val="single" w:sz="8" w:color="C0C0C0"/>
              <w:bottom w:val="single" w:sz="8" w:color="C0C0C0"/>
              <w:right w:val="single" w:sz="8" w:color="C0C0C0"/>
            </w:tcBorders>
          </w:tcPr>
          <w:p>
            <w:pPr>
              <w:spacing w:after="0"/>
              <w:rPr>
                <w:sz w:val="21"/>
                <w:szCs w:val="21"/>
                <w:color w:val="auto"/>
              </w:rPr>
            </w:pPr>
          </w:p>
        </w:tc>
        <w:tc>
          <w:tcPr>
            <w:tcW w:w="5660" w:type="dxa"/>
            <w:vAlign w:val="bottom"/>
            <w:tcBorders>
              <w:bottom w:val="single" w:sz="8" w:color="C0C0C0"/>
              <w:right w:val="single" w:sz="8" w:color="C0C0C0"/>
            </w:tcBorders>
          </w:tcPr>
          <w:p>
            <w:pPr>
              <w:spacing w:after="0"/>
              <w:rPr>
                <w:sz w:val="21"/>
                <w:szCs w:val="21"/>
                <w:color w:val="auto"/>
              </w:rPr>
            </w:pPr>
          </w:p>
        </w:tc>
      </w:tr>
      <w:tr>
        <w:trPr>
          <w:trHeight w:val="255"/>
        </w:trPr>
        <w:tc>
          <w:tcPr>
            <w:tcW w:w="4840" w:type="dxa"/>
            <w:vAlign w:val="bottom"/>
            <w:tcBorders>
              <w:left w:val="single" w:sz="8" w:color="C0C0C0"/>
              <w:bottom w:val="single" w:sz="8" w:color="C0C0C0"/>
              <w:right w:val="single" w:sz="8" w:color="C0C0C0"/>
            </w:tcBorders>
          </w:tcPr>
          <w:p>
            <w:pPr>
              <w:ind w:left="40"/>
              <w:spacing w:after="0" w:line="255" w:lineRule="exact"/>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Disability Temporary Benefit</w:t>
            </w:r>
            <w:r>
              <w:rPr>
                <w:rFonts w:ascii="Arial" w:cs="Arial" w:eastAsia="Arial" w:hAnsi="Arial"/>
                <w:sz w:val="18"/>
                <w:szCs w:val="18"/>
                <w:color w:val="auto"/>
              </w:rPr>
              <w:t xml:space="preserve">] </w:t>
            </w:r>
            <w:r>
              <w:rPr>
                <w:rFonts w:ascii="Arial" w:cs="Arial" w:eastAsia="Arial" w:hAnsi="Arial"/>
                <w:sz w:val="23"/>
                <w:szCs w:val="23"/>
                <w:color w:val="auto"/>
                <w:vertAlign w:val="superscript"/>
              </w:rPr>
              <w:t>A</w:t>
            </w:r>
          </w:p>
        </w:tc>
        <w:tc>
          <w:tcPr>
            <w:tcW w:w="5660" w:type="dxa"/>
            <w:vAlign w:val="bottom"/>
            <w:tcBorders>
              <w:bottom w:val="single" w:sz="8" w:color="C0C0C0"/>
              <w:right w:val="single" w:sz="8" w:color="C0C0C0"/>
            </w:tcBorders>
          </w:tcPr>
          <w:p>
            <w:pPr>
              <w:ind w:left="20"/>
              <w:spacing w:after="0" w:line="255" w:lineRule="exact"/>
              <w:rPr>
                <w:sz w:val="20"/>
                <w:szCs w:val="20"/>
                <w:color w:val="auto"/>
              </w:rPr>
            </w:pPr>
            <w:r>
              <w:rPr>
                <w:rFonts w:ascii="Arial" w:cs="Arial" w:eastAsia="Arial" w:hAnsi="Arial"/>
                <w:sz w:val="18"/>
                <w:szCs w:val="18"/>
                <w:color w:val="auto"/>
              </w:rPr>
              <w:t xml:space="preserve">[$XXX.XX] </w:t>
            </w:r>
            <w:r>
              <w:rPr>
                <w:rFonts w:ascii="Arial" w:cs="Arial" w:eastAsia="Arial" w:hAnsi="Arial"/>
                <w:sz w:val="23"/>
                <w:szCs w:val="23"/>
                <w:color w:val="auto"/>
                <w:vertAlign w:val="superscript"/>
              </w:rPr>
              <w:t>A</w:t>
            </w:r>
          </w:p>
        </w:tc>
      </w:tr>
      <w:tr>
        <w:trPr>
          <w:trHeight w:val="243"/>
        </w:trPr>
        <w:tc>
          <w:tcPr>
            <w:tcW w:w="4840" w:type="dxa"/>
            <w:vAlign w:val="bottom"/>
            <w:tcBorders>
              <w:left w:val="single" w:sz="8" w:color="C0C0C0"/>
              <w:bottom w:val="single" w:sz="8" w:color="C0C0C0"/>
              <w:right w:val="single" w:sz="8" w:color="C0C0C0"/>
            </w:tcBorders>
          </w:tcPr>
          <w:p>
            <w:pPr>
              <w:spacing w:after="0"/>
              <w:rPr>
                <w:sz w:val="21"/>
                <w:szCs w:val="21"/>
                <w:color w:val="auto"/>
              </w:rPr>
            </w:pPr>
          </w:p>
        </w:tc>
        <w:tc>
          <w:tcPr>
            <w:tcW w:w="5660" w:type="dxa"/>
            <w:vAlign w:val="bottom"/>
            <w:tcBorders>
              <w:bottom w:val="single" w:sz="8" w:color="C0C0C0"/>
              <w:right w:val="single" w:sz="8" w:color="C0C0C0"/>
            </w:tcBorders>
          </w:tcPr>
          <w:p>
            <w:pPr>
              <w:spacing w:after="0"/>
              <w:rPr>
                <w:sz w:val="21"/>
                <w:szCs w:val="21"/>
                <w:color w:val="auto"/>
              </w:rPr>
            </w:pPr>
          </w:p>
        </w:tc>
      </w:tr>
      <w:tr>
        <w:trPr>
          <w:trHeight w:val="280"/>
        </w:trPr>
        <w:tc>
          <w:tcPr>
            <w:tcW w:w="4840" w:type="dxa"/>
            <w:vAlign w:val="bottom"/>
            <w:tcBorders>
              <w:left w:val="single" w:sz="8" w:color="C0C0C0"/>
              <w:bottom w:val="single" w:sz="8" w:color="C0C0C0"/>
              <w:right w:val="single" w:sz="8" w:color="C0C0C0"/>
            </w:tcBorders>
          </w:tcPr>
          <w:p>
            <w:pPr>
              <w:ind w:left="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Disability Age 55 Pre 62+1 Pension Amount</w:t>
            </w:r>
            <w:r>
              <w:rPr>
                <w:rFonts w:ascii="Arial" w:cs="Arial" w:eastAsia="Arial" w:hAnsi="Arial"/>
                <w:sz w:val="18"/>
                <w:szCs w:val="18"/>
                <w:color w:val="auto"/>
              </w:rPr>
              <w:t xml:space="preserve">] </w:t>
            </w:r>
            <w:r>
              <w:rPr>
                <w:rFonts w:ascii="Arial" w:cs="Arial" w:eastAsia="Arial" w:hAnsi="Arial"/>
                <w:sz w:val="23"/>
                <w:szCs w:val="23"/>
                <w:color w:val="auto"/>
                <w:vertAlign w:val="superscript"/>
              </w:rPr>
              <w:t>A</w:t>
            </w:r>
          </w:p>
        </w:tc>
        <w:tc>
          <w:tcPr>
            <w:tcW w:w="5660" w:type="dxa"/>
            <w:vAlign w:val="bottom"/>
            <w:tcBorders>
              <w:bottom w:val="single" w:sz="8" w:color="C0C0C0"/>
              <w:right w:val="single" w:sz="8" w:color="C0C0C0"/>
            </w:tcBorders>
          </w:tcPr>
          <w:p>
            <w:pPr>
              <w:ind w:left="20"/>
              <w:spacing w:after="0"/>
              <w:rPr>
                <w:sz w:val="20"/>
                <w:szCs w:val="20"/>
                <w:color w:val="auto"/>
              </w:rPr>
            </w:pPr>
            <w:r>
              <w:rPr>
                <w:rFonts w:ascii="Arial" w:cs="Arial" w:eastAsia="Arial" w:hAnsi="Arial"/>
                <w:sz w:val="18"/>
                <w:szCs w:val="18"/>
                <w:color w:val="auto"/>
              </w:rPr>
              <w:t xml:space="preserve">[$XXX.XX subject to stated limitations] </w:t>
            </w:r>
            <w:r>
              <w:rPr>
                <w:rFonts w:ascii="Arial" w:cs="Arial" w:eastAsia="Arial" w:hAnsi="Arial"/>
                <w:sz w:val="23"/>
                <w:szCs w:val="23"/>
                <w:color w:val="auto"/>
                <w:vertAlign w:val="superscript"/>
              </w:rPr>
              <w:t>A</w:t>
            </w:r>
          </w:p>
        </w:tc>
      </w:tr>
      <w:tr>
        <w:trPr>
          <w:trHeight w:val="243"/>
        </w:trPr>
        <w:tc>
          <w:tcPr>
            <w:tcW w:w="4840" w:type="dxa"/>
            <w:vAlign w:val="bottom"/>
            <w:tcBorders>
              <w:left w:val="single" w:sz="8" w:color="C0C0C0"/>
              <w:bottom w:val="single" w:sz="8" w:color="C0C0C0"/>
              <w:right w:val="single" w:sz="8" w:color="C0C0C0"/>
            </w:tcBorders>
          </w:tcPr>
          <w:p>
            <w:pPr>
              <w:spacing w:after="0"/>
              <w:rPr>
                <w:sz w:val="21"/>
                <w:szCs w:val="21"/>
                <w:color w:val="auto"/>
              </w:rPr>
            </w:pPr>
          </w:p>
        </w:tc>
        <w:tc>
          <w:tcPr>
            <w:tcW w:w="5660" w:type="dxa"/>
            <w:vAlign w:val="bottom"/>
            <w:tcBorders>
              <w:bottom w:val="single" w:sz="8" w:color="C0C0C0"/>
              <w:right w:val="single" w:sz="8" w:color="C0C0C0"/>
            </w:tcBorders>
          </w:tcPr>
          <w:p>
            <w:pPr>
              <w:spacing w:after="0"/>
              <w:rPr>
                <w:sz w:val="21"/>
                <w:szCs w:val="21"/>
                <w:color w:val="auto"/>
              </w:rPr>
            </w:pPr>
          </w:p>
        </w:tc>
      </w:tr>
      <w:tr>
        <w:trPr>
          <w:trHeight w:val="255"/>
        </w:trPr>
        <w:tc>
          <w:tcPr>
            <w:tcW w:w="4840" w:type="dxa"/>
            <w:vAlign w:val="bottom"/>
            <w:tcBorders>
              <w:left w:val="single" w:sz="8" w:color="C0C0C0"/>
              <w:bottom w:val="single" w:sz="8" w:color="C0C0C0"/>
              <w:right w:val="single" w:sz="8" w:color="C0C0C0"/>
            </w:tcBorders>
          </w:tcPr>
          <w:p>
            <w:pPr>
              <w:ind w:left="40"/>
              <w:spacing w:after="0" w:line="255" w:lineRule="exact"/>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Disability Age 55 Post 62+1 Pension Amount</w:t>
            </w:r>
            <w:r>
              <w:rPr>
                <w:rFonts w:ascii="Arial" w:cs="Arial" w:eastAsia="Arial" w:hAnsi="Arial"/>
                <w:sz w:val="18"/>
                <w:szCs w:val="18"/>
                <w:color w:val="auto"/>
              </w:rPr>
              <w:t xml:space="preserve">] </w:t>
            </w:r>
            <w:r>
              <w:rPr>
                <w:rFonts w:ascii="Arial" w:cs="Arial" w:eastAsia="Arial" w:hAnsi="Arial"/>
                <w:sz w:val="23"/>
                <w:szCs w:val="23"/>
                <w:color w:val="auto"/>
                <w:vertAlign w:val="superscript"/>
              </w:rPr>
              <w:t>A</w:t>
            </w:r>
          </w:p>
        </w:tc>
        <w:tc>
          <w:tcPr>
            <w:tcW w:w="5660" w:type="dxa"/>
            <w:vAlign w:val="bottom"/>
            <w:tcBorders>
              <w:bottom w:val="single" w:sz="8" w:color="C0C0C0"/>
              <w:right w:val="single" w:sz="8" w:color="C0C0C0"/>
            </w:tcBorders>
          </w:tcPr>
          <w:p>
            <w:pPr>
              <w:ind w:left="20"/>
              <w:spacing w:after="0" w:line="255" w:lineRule="exact"/>
              <w:rPr>
                <w:sz w:val="20"/>
                <w:szCs w:val="20"/>
                <w:color w:val="auto"/>
              </w:rPr>
            </w:pPr>
            <w:r>
              <w:rPr>
                <w:rFonts w:ascii="Arial" w:cs="Arial" w:eastAsia="Arial" w:hAnsi="Arial"/>
                <w:sz w:val="18"/>
                <w:szCs w:val="18"/>
                <w:color w:val="auto"/>
              </w:rPr>
              <w:t xml:space="preserve">[$XXX.XX subject to stated limitations] </w:t>
            </w:r>
            <w:r>
              <w:rPr>
                <w:rFonts w:ascii="Arial" w:cs="Arial" w:eastAsia="Arial" w:hAnsi="Arial"/>
                <w:sz w:val="23"/>
                <w:szCs w:val="23"/>
                <w:color w:val="auto"/>
                <w:vertAlign w:val="superscript"/>
              </w:rPr>
              <w:t>A</w:t>
            </w:r>
          </w:p>
        </w:tc>
      </w:tr>
      <w:tr>
        <w:trPr>
          <w:trHeight w:val="243"/>
        </w:trPr>
        <w:tc>
          <w:tcPr>
            <w:tcW w:w="4840" w:type="dxa"/>
            <w:vAlign w:val="bottom"/>
            <w:tcBorders>
              <w:left w:val="single" w:sz="8" w:color="C0C0C0"/>
              <w:bottom w:val="single" w:sz="8" w:color="C0C0C0"/>
              <w:right w:val="single" w:sz="8" w:color="C0C0C0"/>
            </w:tcBorders>
          </w:tcPr>
          <w:p>
            <w:pPr>
              <w:spacing w:after="0"/>
              <w:rPr>
                <w:sz w:val="21"/>
                <w:szCs w:val="21"/>
                <w:color w:val="auto"/>
              </w:rPr>
            </w:pPr>
          </w:p>
        </w:tc>
        <w:tc>
          <w:tcPr>
            <w:tcW w:w="5660" w:type="dxa"/>
            <w:vAlign w:val="bottom"/>
            <w:tcBorders>
              <w:bottom w:val="single" w:sz="8" w:color="C0C0C0"/>
              <w:right w:val="single" w:sz="8" w:color="C0C0C0"/>
            </w:tcBorders>
          </w:tcPr>
          <w:p>
            <w:pPr>
              <w:spacing w:after="0"/>
              <w:rPr>
                <w:sz w:val="21"/>
                <w:szCs w:val="21"/>
                <w:color w:val="auto"/>
              </w:rPr>
            </w:pPr>
          </w:p>
        </w:tc>
      </w:tr>
      <w:tr>
        <w:trPr>
          <w:trHeight w:val="255"/>
        </w:trPr>
        <w:tc>
          <w:tcPr>
            <w:tcW w:w="4840" w:type="dxa"/>
            <w:vAlign w:val="bottom"/>
            <w:tcBorders>
              <w:left w:val="single" w:sz="8" w:color="C0C0C0"/>
              <w:bottom w:val="single" w:sz="8" w:color="C0C0C0"/>
              <w:right w:val="single" w:sz="8" w:color="C0C0C0"/>
            </w:tcBorders>
          </w:tcPr>
          <w:p>
            <w:pPr>
              <w:ind w:left="40"/>
              <w:spacing w:after="0" w:line="255" w:lineRule="exact"/>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Special Benefit Amount</w:t>
            </w:r>
            <w:r>
              <w:rPr>
                <w:rFonts w:ascii="Arial" w:cs="Arial" w:eastAsia="Arial" w:hAnsi="Arial"/>
                <w:sz w:val="18"/>
                <w:szCs w:val="18"/>
                <w:color w:val="auto"/>
              </w:rPr>
              <w:t xml:space="preserve">] </w:t>
            </w:r>
            <w:r>
              <w:rPr>
                <w:rFonts w:ascii="Arial" w:cs="Arial" w:eastAsia="Arial" w:hAnsi="Arial"/>
                <w:sz w:val="23"/>
                <w:szCs w:val="23"/>
                <w:color w:val="auto"/>
                <w:vertAlign w:val="superscript"/>
              </w:rPr>
              <w:t>A</w:t>
            </w:r>
          </w:p>
        </w:tc>
        <w:tc>
          <w:tcPr>
            <w:tcW w:w="5660" w:type="dxa"/>
            <w:vAlign w:val="bottom"/>
            <w:tcBorders>
              <w:bottom w:val="single" w:sz="8" w:color="C0C0C0"/>
              <w:right w:val="single" w:sz="8" w:color="C0C0C0"/>
            </w:tcBorders>
          </w:tcPr>
          <w:p>
            <w:pPr>
              <w:ind w:left="20"/>
              <w:spacing w:after="0" w:line="255" w:lineRule="exact"/>
              <w:rPr>
                <w:sz w:val="20"/>
                <w:szCs w:val="20"/>
                <w:color w:val="auto"/>
              </w:rPr>
            </w:pPr>
            <w:r>
              <w:rPr>
                <w:rFonts w:ascii="Arial" w:cs="Arial" w:eastAsia="Arial" w:hAnsi="Arial"/>
                <w:sz w:val="18"/>
                <w:szCs w:val="18"/>
                <w:color w:val="auto"/>
              </w:rPr>
              <w:t xml:space="preserve">[$XXX.XX] </w:t>
            </w:r>
            <w:r>
              <w:rPr>
                <w:rFonts w:ascii="Arial" w:cs="Arial" w:eastAsia="Arial" w:hAnsi="Arial"/>
                <w:sz w:val="23"/>
                <w:szCs w:val="23"/>
                <w:color w:val="auto"/>
                <w:vertAlign w:val="superscript"/>
              </w:rPr>
              <w:t>A</w:t>
            </w:r>
          </w:p>
        </w:tc>
      </w:tr>
      <w:tr>
        <w:trPr>
          <w:trHeight w:val="243"/>
        </w:trPr>
        <w:tc>
          <w:tcPr>
            <w:tcW w:w="4840" w:type="dxa"/>
            <w:vAlign w:val="bottom"/>
            <w:tcBorders>
              <w:left w:val="single" w:sz="8" w:color="C0C0C0"/>
              <w:bottom w:val="single" w:sz="8" w:color="C0C0C0"/>
              <w:right w:val="single" w:sz="8" w:color="C0C0C0"/>
            </w:tcBorders>
          </w:tcPr>
          <w:p>
            <w:pPr>
              <w:spacing w:after="0"/>
              <w:rPr>
                <w:sz w:val="21"/>
                <w:szCs w:val="21"/>
                <w:color w:val="auto"/>
              </w:rPr>
            </w:pPr>
          </w:p>
        </w:tc>
        <w:tc>
          <w:tcPr>
            <w:tcW w:w="5660" w:type="dxa"/>
            <w:vAlign w:val="bottom"/>
            <w:tcBorders>
              <w:bottom w:val="single" w:sz="8" w:color="C0C0C0"/>
              <w:right w:val="single" w:sz="8" w:color="C0C0C0"/>
            </w:tcBorders>
          </w:tcPr>
          <w:p>
            <w:pPr>
              <w:spacing w:after="0"/>
              <w:rPr>
                <w:sz w:val="21"/>
                <w:szCs w:val="21"/>
                <w:color w:val="auto"/>
              </w:rPr>
            </w:pPr>
          </w:p>
        </w:tc>
      </w:tr>
      <w:tr>
        <w:trPr>
          <w:trHeight w:val="255"/>
        </w:trPr>
        <w:tc>
          <w:tcPr>
            <w:tcW w:w="4840" w:type="dxa"/>
            <w:vAlign w:val="bottom"/>
            <w:tcBorders>
              <w:left w:val="single" w:sz="8" w:color="C0C0C0"/>
              <w:bottom w:val="single" w:sz="8" w:color="C0C0C0"/>
              <w:right w:val="single" w:sz="8" w:color="C0C0C0"/>
            </w:tcBorders>
          </w:tcPr>
          <w:p>
            <w:pPr>
              <w:ind w:left="40"/>
              <w:spacing w:after="0" w:line="255" w:lineRule="exact"/>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Level Benefit Amount</w:t>
            </w:r>
            <w:r>
              <w:rPr>
                <w:rFonts w:ascii="Arial" w:cs="Arial" w:eastAsia="Arial" w:hAnsi="Arial"/>
                <w:sz w:val="18"/>
                <w:szCs w:val="18"/>
                <w:color w:val="auto"/>
              </w:rPr>
              <w:t xml:space="preserve">] </w:t>
            </w:r>
            <w:r>
              <w:rPr>
                <w:rFonts w:ascii="Arial" w:cs="Arial" w:eastAsia="Arial" w:hAnsi="Arial"/>
                <w:sz w:val="23"/>
                <w:szCs w:val="23"/>
                <w:color w:val="auto"/>
                <w:vertAlign w:val="superscript"/>
              </w:rPr>
              <w:t>A</w:t>
            </w:r>
          </w:p>
        </w:tc>
        <w:tc>
          <w:tcPr>
            <w:tcW w:w="5660" w:type="dxa"/>
            <w:vAlign w:val="bottom"/>
            <w:tcBorders>
              <w:bottom w:val="single" w:sz="8" w:color="C0C0C0"/>
              <w:right w:val="single" w:sz="8" w:color="C0C0C0"/>
            </w:tcBorders>
          </w:tcPr>
          <w:p>
            <w:pPr>
              <w:ind w:left="20"/>
              <w:spacing w:after="0" w:line="255" w:lineRule="exact"/>
              <w:rPr>
                <w:sz w:val="20"/>
                <w:szCs w:val="20"/>
                <w:color w:val="auto"/>
              </w:rPr>
            </w:pPr>
            <w:r>
              <w:rPr>
                <w:rFonts w:ascii="Arial" w:cs="Arial" w:eastAsia="Arial" w:hAnsi="Arial"/>
                <w:sz w:val="18"/>
                <w:szCs w:val="18"/>
                <w:color w:val="auto"/>
              </w:rPr>
              <w:t xml:space="preserve">[$XXX.XX subject to stated limitations] </w:t>
            </w:r>
            <w:r>
              <w:rPr>
                <w:rFonts w:ascii="Arial" w:cs="Arial" w:eastAsia="Arial" w:hAnsi="Arial"/>
                <w:sz w:val="23"/>
                <w:szCs w:val="23"/>
                <w:color w:val="auto"/>
                <w:vertAlign w:val="superscript"/>
              </w:rPr>
              <w:t>A</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benefits of the policy providing your coverage are governed primarily by the law of a state other than Florida.]</w:t>
      </w:r>
      <w:r>
        <w:rPr>
          <w:rFonts w:ascii="Arial" w:cs="Arial" w:eastAsia="Arial" w:hAnsi="Arial"/>
          <w:sz w:val="26"/>
          <w:szCs w:val="26"/>
          <w:b w:val="1"/>
          <w:bCs w:val="1"/>
          <w:color w:val="auto"/>
          <w:vertAlign w:val="superscript"/>
        </w:rPr>
        <w:t>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Appendix 1.3 - 2</w:t>
      </w:r>
    </w:p>
    <w:p>
      <w:pPr>
        <w:sectPr>
          <w:pgSz w:w="11900" w:h="16838" w:orient="portrait"/>
          <w:cols w:equalWidth="0" w:num="1">
            <w:col w:w="10960"/>
          </w:cols>
          <w:pgMar w:left="240" w:top="670" w:right="699" w:bottom="1440" w:gutter="0" w:footer="0" w:header="0"/>
        </w:sectPr>
      </w:pPr>
    </w:p>
    <w:bookmarkStart w:id="116" w:name="page117"/>
    <w:bookmarkEnd w:id="116"/>
    <w:p>
      <w:pPr>
        <w:jc w:val="center"/>
        <w:spacing w:after="0"/>
        <w:rPr>
          <w:sz w:val="20"/>
          <w:szCs w:val="20"/>
          <w:color w:val="auto"/>
        </w:rPr>
      </w:pPr>
      <w:r>
        <w:rPr>
          <w:rFonts w:ascii="Arial" w:cs="Arial" w:eastAsia="Arial" w:hAnsi="Arial"/>
          <w:sz w:val="17"/>
          <w:szCs w:val="17"/>
          <w:b w:val="1"/>
          <w:bCs w:val="1"/>
          <w:color w:val="auto"/>
        </w:rPr>
        <w:t>Prudential's Guarantee:</w:t>
      </w:r>
    </w:p>
    <w:p>
      <w:pPr>
        <w:spacing w:after="0" w:line="205" w:lineRule="exact"/>
        <w:rPr>
          <w:sz w:val="20"/>
          <w:szCs w:val="20"/>
          <w:color w:val="auto"/>
        </w:rPr>
      </w:pPr>
    </w:p>
    <w:p>
      <w:pPr>
        <w:ind w:right="100"/>
        <w:spacing w:after="0" w:line="258" w:lineRule="auto"/>
        <w:rPr>
          <w:sz w:val="20"/>
          <w:szCs w:val="20"/>
          <w:color w:val="auto"/>
        </w:rPr>
      </w:pPr>
      <w:r>
        <w:rPr>
          <w:rFonts w:ascii="Arial" w:cs="Arial" w:eastAsia="Arial" w:hAnsi="Arial"/>
          <w:sz w:val="17"/>
          <w:szCs w:val="17"/>
          <w:color w:val="auto"/>
        </w:rPr>
        <w:t>This Certificate describes the monthly payments irrevocably guaranteed to you by The Prudential Insurance Company of America ("</w:t>
      </w:r>
      <w:r>
        <w:rPr>
          <w:rFonts w:ascii="Arial" w:cs="Arial" w:eastAsia="Arial" w:hAnsi="Arial"/>
          <w:sz w:val="17"/>
          <w:szCs w:val="17"/>
          <w:b w:val="1"/>
          <w:bCs w:val="1"/>
          <w:color w:val="auto"/>
        </w:rPr>
        <w:t>Prudential</w:t>
      </w:r>
      <w:r>
        <w:rPr>
          <w:rFonts w:ascii="Arial" w:cs="Arial" w:eastAsia="Arial" w:hAnsi="Arial"/>
          <w:sz w:val="17"/>
          <w:szCs w:val="17"/>
          <w:color w:val="auto"/>
        </w:rPr>
        <w:t>") under the Group Annuity Contract referred to above (the "</w:t>
      </w:r>
      <w:r>
        <w:rPr>
          <w:rFonts w:ascii="Arial" w:cs="Arial" w:eastAsia="Arial" w:hAnsi="Arial"/>
          <w:sz w:val="17"/>
          <w:szCs w:val="17"/>
          <w:b w:val="1"/>
          <w:bCs w:val="1"/>
          <w:color w:val="auto"/>
        </w:rPr>
        <w:t>Contract</w:t>
      </w:r>
      <w:r>
        <w:rPr>
          <w:rFonts w:ascii="Arial" w:cs="Arial" w:eastAsia="Arial" w:hAnsi="Arial"/>
          <w:sz w:val="17"/>
          <w:szCs w:val="17"/>
          <w:color w:val="auto"/>
        </w:rPr>
        <w:t xml:space="preserve">"). Prudential will make the payments owed by it under the Contract when those payments are due. We do not owe any payments to anyone under this Annuity Form if you have died before the </w:t>
      </w:r>
      <w:r>
        <w:rPr>
          <w:rFonts w:ascii="Arial" w:cs="Arial" w:eastAsia="Arial" w:hAnsi="Arial"/>
          <w:sz w:val="17"/>
          <w:szCs w:val="17"/>
          <w:i w:val="1"/>
          <w:iCs w:val="1"/>
          <w:color w:val="auto"/>
        </w:rPr>
        <w:t>Annuity Commencement Date</w:t>
      </w:r>
      <w:r>
        <w:rPr>
          <w:rFonts w:ascii="Arial" w:cs="Arial" w:eastAsia="Arial" w:hAnsi="Arial"/>
          <w:sz w:val="17"/>
          <w:szCs w:val="17"/>
          <w:color w:val="auto"/>
        </w:rPr>
        <w: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Definitions &amp; References:</w:t>
      </w:r>
    </w:p>
    <w:p>
      <w:pPr>
        <w:spacing w:after="0" w:line="205"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Capitalized terms in this Certificate, which are in italics, are defined on the front of this Certificate. Those in bold are defined in other parts of this Certificate. “</w:t>
      </w:r>
      <w:r>
        <w:rPr>
          <w:rFonts w:ascii="Arial" w:cs="Arial" w:eastAsia="Arial" w:hAnsi="Arial"/>
          <w:sz w:val="17"/>
          <w:szCs w:val="17"/>
          <w:b w:val="1"/>
          <w:bCs w:val="1"/>
          <w:color w:val="auto"/>
        </w:rPr>
        <w:t>You</w:t>
      </w:r>
      <w:r>
        <w:rPr>
          <w:rFonts w:ascii="Arial" w:cs="Arial" w:eastAsia="Arial" w:hAnsi="Arial"/>
          <w:sz w:val="17"/>
          <w:szCs w:val="17"/>
          <w:color w:val="auto"/>
        </w:rPr>
        <w:t>” and “</w:t>
      </w:r>
      <w:r>
        <w:rPr>
          <w:rFonts w:ascii="Arial" w:cs="Arial" w:eastAsia="Arial" w:hAnsi="Arial"/>
          <w:sz w:val="17"/>
          <w:szCs w:val="17"/>
          <w:b w:val="1"/>
          <w:bCs w:val="1"/>
          <w:color w:val="auto"/>
        </w:rPr>
        <w:t>your</w:t>
      </w:r>
      <w:r>
        <w:rPr>
          <w:rFonts w:ascii="Arial" w:cs="Arial" w:eastAsia="Arial" w:hAnsi="Arial"/>
          <w:sz w:val="17"/>
          <w:szCs w:val="17"/>
          <w:color w:val="auto"/>
        </w:rPr>
        <w:t xml:space="preserve">” means the </w:t>
      </w:r>
      <w:r>
        <w:rPr>
          <w:rFonts w:ascii="Arial" w:cs="Arial" w:eastAsia="Arial" w:hAnsi="Arial"/>
          <w:sz w:val="17"/>
          <w:szCs w:val="17"/>
          <w:i w:val="1"/>
          <w:iCs w:val="1"/>
          <w:color w:val="auto"/>
        </w:rPr>
        <w:t>"Covered Life."</w:t>
      </w:r>
      <w:r>
        <w:rPr>
          <w:rFonts w:ascii="Arial" w:cs="Arial" w:eastAsia="Arial" w:hAnsi="Arial"/>
          <w:sz w:val="17"/>
          <w:szCs w:val="17"/>
          <w:color w:val="auto"/>
        </w:rPr>
        <w:t xml:space="preserve"> "</w:t>
      </w:r>
      <w:r>
        <w:rPr>
          <w:rFonts w:ascii="Arial" w:cs="Arial" w:eastAsia="Arial" w:hAnsi="Arial"/>
          <w:sz w:val="17"/>
          <w:szCs w:val="17"/>
          <w:b w:val="1"/>
          <w:bCs w:val="1"/>
          <w:color w:val="auto"/>
        </w:rPr>
        <w:t>We</w:t>
      </w:r>
      <w:r>
        <w:rPr>
          <w:rFonts w:ascii="Arial" w:cs="Arial" w:eastAsia="Arial" w:hAnsi="Arial"/>
          <w:sz w:val="17"/>
          <w:szCs w:val="17"/>
          <w:color w:val="auto"/>
        </w:rPr>
        <w:t>," "</w:t>
      </w:r>
      <w:r>
        <w:rPr>
          <w:rFonts w:ascii="Arial" w:cs="Arial" w:eastAsia="Arial" w:hAnsi="Arial"/>
          <w:sz w:val="17"/>
          <w:szCs w:val="17"/>
          <w:b w:val="1"/>
          <w:bCs w:val="1"/>
          <w:color w:val="auto"/>
        </w:rPr>
        <w:t>us</w:t>
      </w:r>
      <w:r>
        <w:rPr>
          <w:rFonts w:ascii="Arial" w:cs="Arial" w:eastAsia="Arial" w:hAnsi="Arial"/>
          <w:sz w:val="17"/>
          <w:szCs w:val="17"/>
          <w:color w:val="auto"/>
        </w:rPr>
        <w:t>" and "</w:t>
      </w:r>
      <w:r>
        <w:rPr>
          <w:rFonts w:ascii="Arial" w:cs="Arial" w:eastAsia="Arial" w:hAnsi="Arial"/>
          <w:sz w:val="17"/>
          <w:szCs w:val="17"/>
          <w:b w:val="1"/>
          <w:bCs w:val="1"/>
          <w:color w:val="auto"/>
        </w:rPr>
        <w:t>our</w:t>
      </w:r>
      <w:r>
        <w:rPr>
          <w:rFonts w:ascii="Arial" w:cs="Arial" w:eastAsia="Arial" w:hAnsi="Arial"/>
          <w:sz w:val="17"/>
          <w:szCs w:val="17"/>
          <w:color w:val="auto"/>
        </w:rPr>
        <w:t>" means Prudential. "</w:t>
      </w:r>
      <w:r>
        <w:rPr>
          <w:rFonts w:ascii="Arial" w:cs="Arial" w:eastAsia="Arial" w:hAnsi="Arial"/>
          <w:sz w:val="17"/>
          <w:szCs w:val="17"/>
          <w:b w:val="1"/>
          <w:bCs w:val="1"/>
          <w:color w:val="auto"/>
        </w:rPr>
        <w:t>Payee</w:t>
      </w:r>
      <w:r>
        <w:rPr>
          <w:rFonts w:ascii="Arial" w:cs="Arial" w:eastAsia="Arial" w:hAnsi="Arial"/>
          <w:sz w:val="17"/>
          <w:szCs w:val="17"/>
          <w:color w:val="auto"/>
        </w:rPr>
        <w:t>" means the Covered Life and anyone else with an existing or future right to receive payments under this Annuity, but no Payee (other than the Covered Life) may make any changes or exercise any rights until the Payee has begun receiving payments. “</w:t>
      </w:r>
      <w:r>
        <w:rPr>
          <w:rFonts w:ascii="Arial" w:cs="Arial" w:eastAsia="Arial" w:hAnsi="Arial"/>
          <w:sz w:val="17"/>
          <w:szCs w:val="17"/>
          <w:b w:val="1"/>
          <w:bCs w:val="1"/>
          <w:color w:val="auto"/>
        </w:rPr>
        <w:t>Representative</w:t>
      </w:r>
      <w:r>
        <w:rPr>
          <w:rFonts w:ascii="Arial" w:cs="Arial" w:eastAsia="Arial" w:hAnsi="Arial"/>
          <w:sz w:val="17"/>
          <w:szCs w:val="17"/>
          <w:color w:val="auto"/>
        </w:rPr>
        <w:t>” means, with respect to a Payee, an individual or entity that has been duly appointed in accordance with the Contract to represent the Payee, such as a guardian.</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Payment Terms:</w:t>
      </w:r>
    </w:p>
    <w:p>
      <w:pPr>
        <w:spacing w:after="0" w:line="209" w:lineRule="exact"/>
        <w:rPr>
          <w:sz w:val="20"/>
          <w:szCs w:val="20"/>
          <w:color w:val="auto"/>
        </w:rPr>
      </w:pPr>
    </w:p>
    <w:p>
      <w:pPr>
        <w:ind w:right="60"/>
        <w:spacing w:after="0" w:line="334" w:lineRule="auto"/>
        <w:rPr>
          <w:sz w:val="20"/>
          <w:szCs w:val="20"/>
          <w:color w:val="auto"/>
        </w:rPr>
      </w:pPr>
      <w:r>
        <w:rPr>
          <w:rFonts w:ascii="Arial" w:cs="Arial" w:eastAsia="Arial" w:hAnsi="Arial"/>
          <w:sz w:val="15"/>
          <w:szCs w:val="15"/>
          <w:color w:val="auto"/>
        </w:rPr>
        <w:t>“Single Life Annuity,” is the Annuity Form having the payment terms specified in this Payment Terms section. Payments may also be made in accordance with any of the following Riders if specified in the Table of Information on the front of this Certificate. Those riders are also described below in this Payment Terms section.</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Special Benefit Rider</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Level Benefit Rider</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Refund Death Benefit Rider</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and</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color w:val="auto"/>
        </w:rPr>
        <w:t>together with any of the following Option(s) if specified in the Table of Information:</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Post-Retirement Marriage Conversion Option</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Disabled Age 55 Conversion Option</w:t>
      </w:r>
    </w:p>
    <w:p>
      <w:pPr>
        <w:spacing w:after="0" w:line="193" w:lineRule="exact"/>
        <w:rPr>
          <w:sz w:val="20"/>
          <w:szCs w:val="20"/>
          <w:color w:val="auto"/>
        </w:rPr>
      </w:pPr>
    </w:p>
    <w:p>
      <w:pPr>
        <w:ind w:right="20"/>
        <w:spacing w:after="0" w:line="252" w:lineRule="auto"/>
        <w:rPr>
          <w:sz w:val="20"/>
          <w:szCs w:val="20"/>
          <w:color w:val="auto"/>
        </w:rPr>
      </w:pPr>
      <w:r>
        <w:rPr>
          <w:rFonts w:ascii="Arial" w:cs="Arial" w:eastAsia="Arial" w:hAnsi="Arial"/>
          <w:sz w:val="17"/>
          <w:szCs w:val="17"/>
          <w:color w:val="auto"/>
        </w:rPr>
        <w:t xml:space="preserve">If the Table of Information specifies that you have a Conversion Option to cancel this Annuity Form, the following will apply. If you exercise the option, your rights under this Annuity Form are cancelled. Also, the rights of the </w:t>
      </w:r>
      <w:r>
        <w:rPr>
          <w:rFonts w:ascii="Arial" w:cs="Arial" w:eastAsia="Arial" w:hAnsi="Arial"/>
          <w:sz w:val="17"/>
          <w:szCs w:val="17"/>
          <w:i w:val="1"/>
          <w:iCs w:val="1"/>
          <w:color w:val="auto"/>
        </w:rPr>
        <w:t>Beneficiary</w:t>
      </w:r>
      <w:r>
        <w:rPr>
          <w:rFonts w:ascii="Arial" w:cs="Arial" w:eastAsia="Arial" w:hAnsi="Arial"/>
          <w:sz w:val="17"/>
          <w:szCs w:val="17"/>
          <w:color w:val="auto"/>
        </w:rPr>
        <w:t xml:space="preserve"> are cancelled. After the effective date of the conversion, we will not owe any further payments under this Annuity Form. As a result of your exercise of a conversion option, you will become entitled to another Annuity Form. We will notify you of the new Annuity Form and related payment amounts.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General Payment Terms</w:t>
      </w:r>
    </w:p>
    <w:p>
      <w:pPr>
        <w:spacing w:after="0" w:line="205" w:lineRule="exact"/>
        <w:rPr>
          <w:sz w:val="20"/>
          <w:szCs w:val="20"/>
          <w:color w:val="auto"/>
        </w:rPr>
      </w:pPr>
    </w:p>
    <w:p>
      <w:pPr>
        <w:jc w:val="both"/>
        <w:ind w:right="180"/>
        <w:spacing w:after="0" w:line="334" w:lineRule="auto"/>
        <w:rPr>
          <w:sz w:val="20"/>
          <w:szCs w:val="20"/>
          <w:color w:val="auto"/>
        </w:rPr>
      </w:pPr>
      <w:r>
        <w:rPr>
          <w:rFonts w:ascii="Arial" w:cs="Arial" w:eastAsia="Arial" w:hAnsi="Arial"/>
          <w:sz w:val="15"/>
          <w:szCs w:val="15"/>
          <w:color w:val="auto"/>
        </w:rPr>
        <w:t xml:space="preserve">During your lifetime, we will make monthly payments to you equal to your “Covered Life Amount”. We owe the first monthly payment on the </w:t>
      </w:r>
      <w:r>
        <w:rPr>
          <w:rFonts w:ascii="Arial" w:cs="Arial" w:eastAsia="Arial" w:hAnsi="Arial"/>
          <w:sz w:val="15"/>
          <w:szCs w:val="15"/>
          <w:i w:val="1"/>
          <w:iCs w:val="1"/>
          <w:color w:val="auto"/>
        </w:rPr>
        <w:t>Annuity Commencement</w:t>
      </w:r>
      <w:r>
        <w:rPr>
          <w:rFonts w:ascii="Arial" w:cs="Arial" w:eastAsia="Arial" w:hAnsi="Arial"/>
          <w:sz w:val="15"/>
          <w:szCs w:val="15"/>
          <w:color w:val="auto"/>
        </w:rPr>
        <w:t xml:space="preserve"> </w:t>
      </w:r>
      <w:r>
        <w:rPr>
          <w:rFonts w:ascii="Arial" w:cs="Arial" w:eastAsia="Arial" w:hAnsi="Arial"/>
          <w:sz w:val="15"/>
          <w:szCs w:val="15"/>
          <w:i w:val="1"/>
          <w:iCs w:val="1"/>
          <w:color w:val="auto"/>
        </w:rPr>
        <w:t>Date</w:t>
      </w:r>
      <w:r>
        <w:rPr>
          <w:rFonts w:ascii="Arial" w:cs="Arial" w:eastAsia="Arial" w:hAnsi="Arial"/>
          <w:sz w:val="15"/>
          <w:szCs w:val="15"/>
          <w:color w:val="auto"/>
        </w:rPr>
        <w:t>. We will pay subsequent monthly payments on the first day of each month. Our last monthly payment to you will be on the first day of the month in which you die.</w:t>
      </w:r>
    </w:p>
    <w:p>
      <w:pPr>
        <w:spacing w:after="0" w:line="121" w:lineRule="exact"/>
        <w:rPr>
          <w:sz w:val="20"/>
          <w:szCs w:val="20"/>
          <w:color w:val="auto"/>
        </w:rPr>
      </w:pPr>
    </w:p>
    <w:p>
      <w:pPr>
        <w:ind w:right="120"/>
        <w:spacing w:after="0" w:line="266" w:lineRule="auto"/>
        <w:rPr>
          <w:sz w:val="20"/>
          <w:szCs w:val="20"/>
          <w:color w:val="auto"/>
        </w:rPr>
      </w:pPr>
      <w:r>
        <w:rPr>
          <w:rFonts w:ascii="Arial" w:cs="Arial" w:eastAsia="Arial" w:hAnsi="Arial"/>
          <w:sz w:val="17"/>
          <w:szCs w:val="17"/>
          <w:color w:val="auto"/>
        </w:rPr>
        <w:t xml:space="preserve">If you have a Refund Death Benefit Rider, we may owe a Refund Death Benefit to the designated </w:t>
      </w:r>
      <w:r>
        <w:rPr>
          <w:rFonts w:ascii="Arial" w:cs="Arial" w:eastAsia="Arial" w:hAnsi="Arial"/>
          <w:sz w:val="17"/>
          <w:szCs w:val="17"/>
          <w:i w:val="1"/>
          <w:iCs w:val="1"/>
          <w:color w:val="auto"/>
        </w:rPr>
        <w:t>Beneficiary</w:t>
      </w:r>
      <w:r>
        <w:rPr>
          <w:rFonts w:ascii="Arial" w:cs="Arial" w:eastAsia="Arial" w:hAnsi="Arial"/>
          <w:sz w:val="17"/>
          <w:szCs w:val="17"/>
          <w:color w:val="auto"/>
        </w:rPr>
        <w:t xml:space="preserve"> for your Annuity Form. After you die, we will determine if we owe such payment. The following explains how we will determine if a payment is owed by us under this rider.</w:t>
      </w:r>
    </w:p>
    <w:p>
      <w:pPr>
        <w:spacing w:after="0" w:line="168" w:lineRule="exact"/>
        <w:rPr>
          <w:sz w:val="20"/>
          <w:szCs w:val="20"/>
          <w:color w:val="auto"/>
        </w:rPr>
      </w:pPr>
    </w:p>
    <w:p>
      <w:pPr>
        <w:jc w:val="both"/>
        <w:ind w:right="60"/>
        <w:spacing w:after="0" w:line="256" w:lineRule="auto"/>
        <w:rPr>
          <w:sz w:val="20"/>
          <w:szCs w:val="20"/>
          <w:color w:val="auto"/>
        </w:rPr>
      </w:pPr>
      <w:r>
        <w:rPr>
          <w:rFonts w:ascii="Arial" w:cs="Arial" w:eastAsia="Arial" w:hAnsi="Arial"/>
          <w:sz w:val="17"/>
          <w:szCs w:val="17"/>
          <w:color w:val="auto"/>
        </w:rPr>
        <w:t xml:space="preserve">The amount of the Refund Death Benefit, if any, will equal the </w:t>
      </w:r>
      <w:r>
        <w:rPr>
          <w:rFonts w:ascii="Arial" w:cs="Arial" w:eastAsia="Arial" w:hAnsi="Arial"/>
          <w:sz w:val="17"/>
          <w:szCs w:val="17"/>
          <w:i w:val="1"/>
          <w:iCs w:val="1"/>
          <w:color w:val="auto"/>
        </w:rPr>
        <w:t>Maximum Refund Death Benefit</w:t>
      </w:r>
      <w:r>
        <w:rPr>
          <w:rFonts w:ascii="Arial" w:cs="Arial" w:eastAsia="Arial" w:hAnsi="Arial"/>
          <w:sz w:val="17"/>
          <w:szCs w:val="17"/>
          <w:color w:val="auto"/>
        </w:rPr>
        <w:t xml:space="preserve"> (as specified in the Table of Information) less the Pre 1985 Part B Primary Amounts and the Post 1985 Part B Primary Amounts (as specified in the Table of Information) paid by us after the </w:t>
      </w:r>
      <w:r>
        <w:rPr>
          <w:rFonts w:ascii="Arial" w:cs="Arial" w:eastAsia="Arial" w:hAnsi="Arial"/>
          <w:sz w:val="17"/>
          <w:szCs w:val="17"/>
          <w:i w:val="1"/>
          <w:iCs w:val="1"/>
          <w:color w:val="auto"/>
        </w:rPr>
        <w:t>Annuity Commencement Date</w:t>
      </w:r>
      <w:r>
        <w:rPr>
          <w:rFonts w:ascii="Arial" w:cs="Arial" w:eastAsia="Arial" w:hAnsi="Arial"/>
          <w:sz w:val="17"/>
          <w:szCs w:val="17"/>
          <w:color w:val="auto"/>
        </w:rPr>
        <w:t xml:space="preserve"> to you (or to any related alternate payee, arising, for example, from a domestic relations order).</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amounts, names, or values apply to your Single Life Annuity:</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“Covered Life Amount” equals an amount that depends on whether you are younger or older than sixty-two years and one month (“62 + 1”).</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Appendix 1.3 - 3</w:t>
      </w:r>
    </w:p>
    <w:p>
      <w:pPr>
        <w:sectPr>
          <w:pgSz w:w="11900" w:h="16838" w:orient="portrait"/>
          <w:cols w:equalWidth="0" w:num="1">
            <w:col w:w="11420"/>
          </w:cols>
          <w:pgMar w:left="240" w:top="549" w:right="239" w:bottom="1440" w:gutter="0" w:footer="0" w:header="0"/>
        </w:sectPr>
      </w:pPr>
    </w:p>
    <w:bookmarkStart w:id="117" w:name="page118"/>
    <w:bookmarkEnd w:id="117"/>
    <w:p>
      <w:pPr>
        <w:ind w:left="1200"/>
        <w:spacing w:after="0"/>
        <w:rPr>
          <w:sz w:val="20"/>
          <w:szCs w:val="20"/>
          <w:color w:val="auto"/>
        </w:rPr>
      </w:pPr>
      <w:r>
        <w:rPr>
          <w:rFonts w:ascii="Arial" w:cs="Arial" w:eastAsia="Arial" w:hAnsi="Arial"/>
          <w:sz w:val="17"/>
          <w:szCs w:val="17"/>
          <w:color w:val="auto"/>
        </w:rPr>
        <w:t>If you are younger than 62+1, the Covered Life Amount equals the “Pre 62+1 Pension Amount” specified in the Table of Information.</w:t>
      </w:r>
    </w:p>
    <w:p>
      <w:pPr>
        <w:spacing w:after="0" w:line="205"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If you are older than 62+1, the Covered Life Amount equals the “Post 62+1 Pension Amount” specified in the Table of Information.</w:t>
      </w:r>
    </w:p>
    <w:p>
      <w:pPr>
        <w:spacing w:after="0" w:line="205" w:lineRule="exact"/>
        <w:rPr>
          <w:sz w:val="20"/>
          <w:szCs w:val="20"/>
          <w:color w:val="auto"/>
        </w:rPr>
      </w:pPr>
    </w:p>
    <w:p>
      <w:pPr>
        <w:ind w:right="280"/>
        <w:spacing w:after="0" w:line="256" w:lineRule="auto"/>
        <w:rPr>
          <w:sz w:val="20"/>
          <w:szCs w:val="20"/>
          <w:color w:val="auto"/>
        </w:rPr>
      </w:pPr>
      <w:r>
        <w:rPr>
          <w:rFonts w:ascii="Arial" w:cs="Arial" w:eastAsia="Arial" w:hAnsi="Arial"/>
          <w:sz w:val="17"/>
          <w:szCs w:val="17"/>
          <w:color w:val="auto"/>
        </w:rPr>
        <w:t>If you have a Special Benefit Rider, then the “Covered Life Amount” will be increased after your sixty-fifth (65th) birthday. The increase will start on first day of the month after your 65th birthday. If your 65th birthday falls on the first day of a month, the increase will start on that day. The amount of the increase will be the amount specified as the “Special Benefit Amount” in the Table of Information.</w:t>
      </w:r>
    </w:p>
    <w:p>
      <w:pPr>
        <w:spacing w:after="0" w:line="176" w:lineRule="exact"/>
        <w:rPr>
          <w:sz w:val="20"/>
          <w:szCs w:val="20"/>
          <w:color w:val="auto"/>
        </w:rPr>
      </w:pPr>
    </w:p>
    <w:p>
      <w:pPr>
        <w:ind w:right="100"/>
        <w:spacing w:after="0" w:line="256" w:lineRule="auto"/>
        <w:rPr>
          <w:sz w:val="20"/>
          <w:szCs w:val="20"/>
          <w:color w:val="auto"/>
        </w:rPr>
      </w:pPr>
      <w:r>
        <w:rPr>
          <w:rFonts w:ascii="Arial" w:cs="Arial" w:eastAsia="Arial" w:hAnsi="Arial"/>
          <w:sz w:val="17"/>
          <w:szCs w:val="17"/>
          <w:color w:val="auto"/>
        </w:rPr>
        <w:t xml:space="preserve">If you have a Level Benefit Rider, then the “Covered Life Amount” will be increased by Three Hundred Dollars ($300.00) after your sixty-fifth (65th) birthday. The increase will start on first day of the month after your 65th birthday. If your 65th birthday falls on the first day of a month, the increase will start on that day. During your lifetime, we do not owe your </w:t>
      </w:r>
      <w:r>
        <w:rPr>
          <w:rFonts w:ascii="Arial" w:cs="Arial" w:eastAsia="Arial" w:hAnsi="Arial"/>
          <w:sz w:val="17"/>
          <w:szCs w:val="17"/>
          <w:i w:val="1"/>
          <w:iCs w:val="1"/>
          <w:color w:val="auto"/>
        </w:rPr>
        <w:t>Contingent Life</w:t>
      </w:r>
      <w:r>
        <w:rPr>
          <w:rFonts w:ascii="Arial" w:cs="Arial" w:eastAsia="Arial" w:hAnsi="Arial"/>
          <w:sz w:val="17"/>
          <w:szCs w:val="17"/>
          <w:color w:val="auto"/>
        </w:rPr>
        <w:t xml:space="preserve"> any benefits under the Level Benefit Rider.</w:t>
      </w:r>
    </w:p>
    <w:p>
      <w:pPr>
        <w:spacing w:after="0" w:line="176"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 xml:space="preserve">The Table of Information may specify that there is a </w:t>
      </w:r>
      <w:r>
        <w:rPr>
          <w:rFonts w:ascii="Arial" w:cs="Arial" w:eastAsia="Arial" w:hAnsi="Arial"/>
          <w:sz w:val="17"/>
          <w:szCs w:val="17"/>
          <w:i w:val="1"/>
          <w:iCs w:val="1"/>
          <w:color w:val="auto"/>
        </w:rPr>
        <w:t>Contingent Life</w:t>
      </w:r>
      <w:r>
        <w:rPr>
          <w:rFonts w:ascii="Arial" w:cs="Arial" w:eastAsia="Arial" w:hAnsi="Arial"/>
          <w:sz w:val="17"/>
          <w:szCs w:val="17"/>
          <w:color w:val="auto"/>
        </w:rPr>
        <w:t xml:space="preserve"> corresponding to you and that the </w:t>
      </w:r>
      <w:r>
        <w:rPr>
          <w:rFonts w:ascii="Arial" w:cs="Arial" w:eastAsia="Arial" w:hAnsi="Arial"/>
          <w:sz w:val="17"/>
          <w:szCs w:val="17"/>
          <w:i w:val="1"/>
          <w:iCs w:val="1"/>
          <w:color w:val="auto"/>
        </w:rPr>
        <w:t>Contingent Life</w:t>
      </w:r>
      <w:r>
        <w:rPr>
          <w:rFonts w:ascii="Arial" w:cs="Arial" w:eastAsia="Arial" w:hAnsi="Arial"/>
          <w:sz w:val="17"/>
          <w:szCs w:val="17"/>
          <w:color w:val="auto"/>
        </w:rPr>
        <w:t xml:space="preserve"> is eligible for a Level Benefit Rider. If so, after you die, we may owe additional monthly payments. We will owe additional monthly payments if and when two conditions are met. The </w:t>
      </w:r>
      <w:r>
        <w:rPr>
          <w:rFonts w:ascii="Arial" w:cs="Arial" w:eastAsia="Arial" w:hAnsi="Arial"/>
          <w:sz w:val="17"/>
          <w:szCs w:val="17"/>
          <w:i w:val="1"/>
          <w:iCs w:val="1"/>
          <w:color w:val="auto"/>
        </w:rPr>
        <w:t>Contingent Life</w:t>
      </w:r>
      <w:r>
        <w:rPr>
          <w:rFonts w:ascii="Arial" w:cs="Arial" w:eastAsia="Arial" w:hAnsi="Arial"/>
          <w:sz w:val="17"/>
          <w:szCs w:val="17"/>
          <w:color w:val="auto"/>
        </w:rPr>
        <w:t xml:space="preserve"> must be alive when you die. The </w:t>
      </w:r>
      <w:r>
        <w:rPr>
          <w:rFonts w:ascii="Arial" w:cs="Arial" w:eastAsia="Arial" w:hAnsi="Arial"/>
          <w:sz w:val="17"/>
          <w:szCs w:val="17"/>
          <w:i w:val="1"/>
          <w:iCs w:val="1"/>
          <w:color w:val="auto"/>
        </w:rPr>
        <w:t>Contingent Life</w:t>
      </w:r>
      <w:r>
        <w:rPr>
          <w:rFonts w:ascii="Arial" w:cs="Arial" w:eastAsia="Arial" w:hAnsi="Arial"/>
          <w:sz w:val="17"/>
          <w:szCs w:val="17"/>
          <w:color w:val="auto"/>
        </w:rPr>
        <w:t xml:space="preserve"> must be older than sixty-five (65) years. If such conditions are met we will pay the first payment on the first day of the month following your death. Later monthly payments will be made on the first day of each month. We will pay the last payment on the first day of the month in which such Contingent Life dies. The amount of the payments will equal the $300.00.</w:t>
      </w:r>
    </w:p>
    <w:p>
      <w:pPr>
        <w:spacing w:after="0" w:line="179"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If a portion of your Pre 62+1 Covered Life Amount is attributable to a “</w:t>
      </w:r>
      <w:r>
        <w:rPr>
          <w:rFonts w:ascii="Arial" w:cs="Arial" w:eastAsia="Arial" w:hAnsi="Arial"/>
          <w:sz w:val="17"/>
          <w:szCs w:val="17"/>
          <w:i w:val="1"/>
          <w:iCs w:val="1"/>
          <w:color w:val="auto"/>
        </w:rPr>
        <w:t>Disability Temporary Amount</w:t>
      </w:r>
      <w:r>
        <w:rPr>
          <w:rFonts w:ascii="Arial" w:cs="Arial" w:eastAsia="Arial" w:hAnsi="Arial"/>
          <w:sz w:val="17"/>
          <w:szCs w:val="17"/>
          <w:color w:val="auto"/>
        </w:rPr>
        <w:t xml:space="preserve">” as specified in the Table of Information, then the following applies. You may be eligible to receive social security disability benefits from the Federal Government. In any month that you receive such benefits before you reach 62+1, we do not owe you such </w:t>
      </w:r>
      <w:r>
        <w:rPr>
          <w:rFonts w:ascii="Arial" w:cs="Arial" w:eastAsia="Arial" w:hAnsi="Arial"/>
          <w:sz w:val="17"/>
          <w:szCs w:val="17"/>
          <w:i w:val="1"/>
          <w:iCs w:val="1"/>
          <w:color w:val="auto"/>
        </w:rPr>
        <w:t>Disability Temporary Amount</w:t>
      </w:r>
      <w:r>
        <w:rPr>
          <w:rFonts w:ascii="Arial" w:cs="Arial" w:eastAsia="Arial" w:hAnsi="Arial"/>
          <w:sz w:val="17"/>
          <w:szCs w:val="17"/>
          <w:color w:val="auto"/>
        </w:rPr>
        <w:t xml:space="preserve"> and we may deduct any overpayments made to you.</w:t>
      </w:r>
    </w:p>
    <w:p>
      <w:pPr>
        <w:spacing w:after="0" w:line="176"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b w:val="1"/>
          <w:bCs w:val="1"/>
          <w:i w:val="1"/>
          <w:iCs w:val="1"/>
          <w:color w:val="auto"/>
        </w:rPr>
        <w:t>Terms relating to Conversion Conditions</w:t>
      </w:r>
      <w:r>
        <w:rPr>
          <w:rFonts w:ascii="Arial" w:cs="Arial" w:eastAsia="Arial" w:hAnsi="Arial"/>
          <w:sz w:val="16"/>
          <w:szCs w:val="16"/>
          <w:color w:val="auto"/>
        </w:rPr>
        <w:t>. If no Conversion Options are identified for you on the Table of Information, then the following Conversion Conditions do not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apply to you. If the Table of Information shows that Conversion Options apply, then the following Conversion Conditions apply to you.</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Conversion Conditions</w:t>
      </w:r>
      <w:r>
        <w:rPr>
          <w:rFonts w:ascii="Arial" w:cs="Arial" w:eastAsia="Arial" w:hAnsi="Arial"/>
          <w:sz w:val="17"/>
          <w:szCs w:val="17"/>
          <w:color w:val="auto"/>
        </w:rPr>
        <w:t>” means the following:</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(i) With respect to Disabled Age 55 Conversion Option,</w:t>
      </w:r>
    </w:p>
    <w:p>
      <w:pPr>
        <w:spacing w:after="0" w:line="205" w:lineRule="exact"/>
        <w:rPr>
          <w:sz w:val="20"/>
          <w:szCs w:val="20"/>
          <w:color w:val="auto"/>
        </w:rPr>
      </w:pPr>
    </w:p>
    <w:p>
      <w:pPr>
        <w:ind w:left="280" w:hanging="280"/>
        <w:spacing w:after="0"/>
        <w:tabs>
          <w:tab w:leader="none" w:pos="280" w:val="left"/>
        </w:tabs>
        <w:numPr>
          <w:ilvl w:val="0"/>
          <w:numId w:val="145"/>
        </w:numPr>
        <w:rPr>
          <w:rFonts w:ascii="Arial" w:cs="Arial" w:eastAsia="Arial" w:hAnsi="Arial"/>
          <w:sz w:val="15"/>
          <w:szCs w:val="15"/>
          <w:color w:val="auto"/>
        </w:rPr>
      </w:pPr>
      <w:r>
        <w:rPr>
          <w:rFonts w:ascii="Arial" w:cs="Arial" w:eastAsia="Arial" w:hAnsi="Arial"/>
          <w:sz w:val="15"/>
          <w:szCs w:val="15"/>
          <w:color w:val="auto"/>
        </w:rPr>
        <w:t xml:space="preserve">means that a </w:t>
      </w:r>
      <w:r>
        <w:rPr>
          <w:rFonts w:ascii="Arial" w:cs="Arial" w:eastAsia="Arial" w:hAnsi="Arial"/>
          <w:sz w:val="15"/>
          <w:szCs w:val="15"/>
          <w:i w:val="1"/>
          <w:iCs w:val="1"/>
          <w:color w:val="auto"/>
        </w:rPr>
        <w:t>Covered Life</w:t>
      </w:r>
      <w:r>
        <w:rPr>
          <w:rFonts w:ascii="Arial" w:cs="Arial" w:eastAsia="Arial" w:hAnsi="Arial"/>
          <w:sz w:val="15"/>
          <w:szCs w:val="15"/>
          <w:color w:val="auto"/>
        </w:rPr>
        <w:t xml:space="preserve"> (such </w:t>
      </w:r>
      <w:r>
        <w:rPr>
          <w:rFonts w:ascii="Arial" w:cs="Arial" w:eastAsia="Arial" w:hAnsi="Arial"/>
          <w:sz w:val="15"/>
          <w:szCs w:val="15"/>
          <w:i w:val="1"/>
          <w:iCs w:val="1"/>
          <w:color w:val="auto"/>
        </w:rPr>
        <w:t>Covered Life</w:t>
      </w:r>
      <w:r>
        <w:rPr>
          <w:rFonts w:ascii="Arial" w:cs="Arial" w:eastAsia="Arial" w:hAnsi="Arial"/>
          <w:sz w:val="15"/>
          <w:szCs w:val="15"/>
          <w:color w:val="auto"/>
        </w:rPr>
        <w:t xml:space="preserve"> being “you” or “your”) is shown on the Table of Information as having a “Disabled Age 55” Conversion Option, and</w:t>
      </w:r>
    </w:p>
    <w:p>
      <w:pPr>
        <w:spacing w:after="0" w:line="228" w:lineRule="exact"/>
        <w:rPr>
          <w:rFonts w:ascii="Arial" w:cs="Arial" w:eastAsia="Arial" w:hAnsi="Arial"/>
          <w:sz w:val="15"/>
          <w:szCs w:val="15"/>
          <w:color w:val="auto"/>
        </w:rPr>
      </w:pPr>
    </w:p>
    <w:p>
      <w:pPr>
        <w:ind w:left="260" w:hanging="260"/>
        <w:spacing w:after="0"/>
        <w:tabs>
          <w:tab w:leader="none" w:pos="260" w:val="left"/>
        </w:tabs>
        <w:numPr>
          <w:ilvl w:val="0"/>
          <w:numId w:val="145"/>
        </w:numPr>
        <w:rPr>
          <w:rFonts w:ascii="Arial" w:cs="Arial" w:eastAsia="Arial" w:hAnsi="Arial"/>
          <w:sz w:val="17"/>
          <w:szCs w:val="17"/>
          <w:color w:val="auto"/>
        </w:rPr>
      </w:pPr>
      <w:r>
        <w:rPr>
          <w:rFonts w:ascii="Arial" w:cs="Arial" w:eastAsia="Arial" w:hAnsi="Arial"/>
          <w:sz w:val="17"/>
          <w:szCs w:val="17"/>
          <w:color w:val="auto"/>
        </w:rPr>
        <w:t>you demonstrate that your age is 55 years.</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(ii) With respect to the Post-Retirement Marriage Conversion Option,</w:t>
      </w:r>
    </w:p>
    <w:p>
      <w:pPr>
        <w:spacing w:after="0" w:line="205" w:lineRule="exact"/>
        <w:rPr>
          <w:sz w:val="20"/>
          <w:szCs w:val="20"/>
          <w:color w:val="auto"/>
        </w:rPr>
      </w:pPr>
    </w:p>
    <w:p>
      <w:pPr>
        <w:ind w:right="460"/>
        <w:spacing w:after="0" w:line="266" w:lineRule="auto"/>
        <w:tabs>
          <w:tab w:leader="none" w:pos="273" w:val="left"/>
        </w:tabs>
        <w:numPr>
          <w:ilvl w:val="0"/>
          <w:numId w:val="146"/>
        </w:numPr>
        <w:rPr>
          <w:rFonts w:ascii="Arial" w:cs="Arial" w:eastAsia="Arial" w:hAnsi="Arial"/>
          <w:sz w:val="17"/>
          <w:szCs w:val="17"/>
          <w:color w:val="auto"/>
        </w:rPr>
      </w:pPr>
      <w:r>
        <w:rPr>
          <w:rFonts w:ascii="Arial" w:cs="Arial" w:eastAsia="Arial" w:hAnsi="Arial"/>
          <w:sz w:val="17"/>
          <w:szCs w:val="17"/>
          <w:color w:val="auto"/>
        </w:rPr>
        <w:t xml:space="preserve">means that a </w:t>
      </w:r>
      <w:r>
        <w:rPr>
          <w:rFonts w:ascii="Arial" w:cs="Arial" w:eastAsia="Arial" w:hAnsi="Arial"/>
          <w:sz w:val="17"/>
          <w:szCs w:val="17"/>
          <w:i w:val="1"/>
          <w:iCs w:val="1"/>
          <w:color w:val="auto"/>
        </w:rPr>
        <w:t>Covered Life</w:t>
      </w:r>
      <w:r>
        <w:rPr>
          <w:rFonts w:ascii="Arial" w:cs="Arial" w:eastAsia="Arial" w:hAnsi="Arial"/>
          <w:sz w:val="17"/>
          <w:szCs w:val="17"/>
          <w:color w:val="auto"/>
        </w:rPr>
        <w:t xml:space="preserve"> (such </w:t>
      </w:r>
      <w:r>
        <w:rPr>
          <w:rFonts w:ascii="Arial" w:cs="Arial" w:eastAsia="Arial" w:hAnsi="Arial"/>
          <w:sz w:val="17"/>
          <w:szCs w:val="17"/>
          <w:i w:val="1"/>
          <w:iCs w:val="1"/>
          <w:color w:val="auto"/>
        </w:rPr>
        <w:t>Covered Life</w:t>
      </w:r>
      <w:r>
        <w:rPr>
          <w:rFonts w:ascii="Arial" w:cs="Arial" w:eastAsia="Arial" w:hAnsi="Arial"/>
          <w:sz w:val="17"/>
          <w:szCs w:val="17"/>
          <w:color w:val="auto"/>
        </w:rPr>
        <w:t xml:space="preserve"> being “you” or “your”) is shown on the Table of Information as having a “Post-Retirement Marriage” Conversion Option, and</w:t>
      </w:r>
    </w:p>
    <w:p>
      <w:pPr>
        <w:spacing w:after="0" w:line="167" w:lineRule="exact"/>
        <w:rPr>
          <w:rFonts w:ascii="Arial" w:cs="Arial" w:eastAsia="Arial" w:hAnsi="Arial"/>
          <w:sz w:val="17"/>
          <w:szCs w:val="17"/>
          <w:color w:val="auto"/>
        </w:rPr>
      </w:pPr>
    </w:p>
    <w:p>
      <w:pPr>
        <w:ind w:left="260" w:hanging="260"/>
        <w:spacing w:after="0"/>
        <w:tabs>
          <w:tab w:leader="none" w:pos="260" w:val="left"/>
        </w:tabs>
        <w:numPr>
          <w:ilvl w:val="0"/>
          <w:numId w:val="146"/>
        </w:numPr>
        <w:rPr>
          <w:rFonts w:ascii="Arial" w:cs="Arial" w:eastAsia="Arial" w:hAnsi="Arial"/>
          <w:sz w:val="17"/>
          <w:szCs w:val="17"/>
          <w:color w:val="auto"/>
        </w:rPr>
      </w:pPr>
      <w:r>
        <w:rPr>
          <w:rFonts w:ascii="Arial" w:cs="Arial" w:eastAsia="Arial" w:hAnsi="Arial"/>
          <w:sz w:val="17"/>
          <w:szCs w:val="17"/>
          <w:color w:val="auto"/>
        </w:rPr>
        <w:t>You became married for the first time, or became re-married, after June 30, 2011, and</w:t>
      </w:r>
    </w:p>
    <w:p>
      <w:pPr>
        <w:spacing w:after="0" w:line="205" w:lineRule="exact"/>
        <w:rPr>
          <w:rFonts w:ascii="Arial" w:cs="Arial" w:eastAsia="Arial" w:hAnsi="Arial"/>
          <w:sz w:val="17"/>
          <w:szCs w:val="17"/>
          <w:color w:val="auto"/>
        </w:rPr>
      </w:pPr>
    </w:p>
    <w:p>
      <w:pPr>
        <w:ind w:left="260" w:hanging="260"/>
        <w:spacing w:after="0"/>
        <w:tabs>
          <w:tab w:leader="none" w:pos="260" w:val="left"/>
        </w:tabs>
        <w:numPr>
          <w:ilvl w:val="0"/>
          <w:numId w:val="146"/>
        </w:numPr>
        <w:rPr>
          <w:rFonts w:ascii="Arial" w:cs="Arial" w:eastAsia="Arial" w:hAnsi="Arial"/>
          <w:sz w:val="17"/>
          <w:szCs w:val="17"/>
          <w:color w:val="auto"/>
        </w:rPr>
      </w:pPr>
      <w:r>
        <w:rPr>
          <w:rFonts w:ascii="Arial" w:cs="Arial" w:eastAsia="Arial" w:hAnsi="Arial"/>
          <w:sz w:val="17"/>
          <w:szCs w:val="17"/>
          <w:color w:val="auto"/>
        </w:rPr>
        <w:t>You exercise this option within 18-months after such marriage or re-marriage, and</w:t>
      </w:r>
    </w:p>
    <w:p>
      <w:pPr>
        <w:spacing w:after="0" w:line="205" w:lineRule="exact"/>
        <w:rPr>
          <w:rFonts w:ascii="Arial" w:cs="Arial" w:eastAsia="Arial" w:hAnsi="Arial"/>
          <w:sz w:val="17"/>
          <w:szCs w:val="17"/>
          <w:color w:val="auto"/>
        </w:rPr>
      </w:pPr>
    </w:p>
    <w:p>
      <w:pPr>
        <w:ind w:left="280" w:hanging="280"/>
        <w:spacing w:after="0"/>
        <w:tabs>
          <w:tab w:leader="none" w:pos="280" w:val="left"/>
        </w:tabs>
        <w:numPr>
          <w:ilvl w:val="0"/>
          <w:numId w:val="146"/>
        </w:numPr>
        <w:rPr>
          <w:rFonts w:ascii="Arial" w:cs="Arial" w:eastAsia="Arial" w:hAnsi="Arial"/>
          <w:sz w:val="17"/>
          <w:szCs w:val="17"/>
          <w:color w:val="auto"/>
        </w:rPr>
      </w:pPr>
      <w:r>
        <w:rPr>
          <w:rFonts w:ascii="Arial" w:cs="Arial" w:eastAsia="Arial" w:hAnsi="Arial"/>
          <w:sz w:val="17"/>
          <w:szCs w:val="17"/>
          <w:color w:val="auto"/>
        </w:rPr>
        <w:t>You supply us with evidence of such marriage or re-marriage.</w:t>
      </w:r>
    </w:p>
    <w:p>
      <w:pPr>
        <w:spacing w:after="0" w:line="200" w:lineRule="exact"/>
        <w:rPr>
          <w:sz w:val="20"/>
          <w:szCs w:val="20"/>
          <w:color w:val="auto"/>
        </w:rPr>
      </w:pPr>
    </w:p>
    <w:p>
      <w:pPr>
        <w:spacing w:after="0" w:line="205" w:lineRule="exact"/>
        <w:rPr>
          <w:sz w:val="20"/>
          <w:szCs w:val="20"/>
          <w:color w:val="auto"/>
        </w:rPr>
      </w:pPr>
    </w:p>
    <w:p>
      <w:pPr>
        <w:ind w:right="460"/>
        <w:spacing w:after="0" w:line="27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Conversion Options</w:t>
      </w:r>
      <w:r>
        <w:rPr>
          <w:rFonts w:ascii="Arial" w:cs="Arial" w:eastAsia="Arial" w:hAnsi="Arial"/>
          <w:sz w:val="16"/>
          <w:szCs w:val="16"/>
          <w:color w:val="auto"/>
        </w:rPr>
        <w:t xml:space="preserve">” means, if the “Disabled Age 55 Conversion Option,” and/or the “Post-Retirement Marriage Conversion Option,” is specified in the Table of Information as applicable to you, and if such option is attached to an Annuity Form eligible for such option, the following options may convert the benefit from one Annuity Form to another Annuity Form. A Conversion Option cannot be exercised by a </w:t>
      </w:r>
      <w:r>
        <w:rPr>
          <w:rFonts w:ascii="Arial" w:cs="Arial" w:eastAsia="Arial" w:hAnsi="Arial"/>
          <w:sz w:val="16"/>
          <w:szCs w:val="16"/>
          <w:i w:val="1"/>
          <w:iCs w:val="1"/>
          <w:color w:val="auto"/>
        </w:rPr>
        <w:t>Contingent Life</w:t>
      </w:r>
      <w:r>
        <w:rPr>
          <w:rFonts w:ascii="Arial" w:cs="Arial" w:eastAsia="Arial" w:hAnsi="Arial"/>
          <w:sz w:val="16"/>
          <w:szCs w:val="16"/>
          <w:color w:val="auto"/>
        </w:rPr>
        <w:t xml:space="preserve"> or a </w:t>
      </w:r>
      <w:r>
        <w:rPr>
          <w:rFonts w:ascii="Arial" w:cs="Arial" w:eastAsia="Arial" w:hAnsi="Arial"/>
          <w:sz w:val="16"/>
          <w:szCs w:val="16"/>
          <w:i w:val="1"/>
          <w:iCs w:val="1"/>
          <w:color w:val="auto"/>
        </w:rPr>
        <w:t>Beneficiary</w:t>
      </w:r>
      <w:r>
        <w:rPr>
          <w:rFonts w:ascii="Arial" w:cs="Arial" w:eastAsia="Arial" w:hAnsi="Arial"/>
          <w:sz w:val="16"/>
          <w:szCs w:val="16"/>
          <w:color w:val="auto"/>
        </w:rPr>
        <w:t>.</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Appendix 1.3 - 4</w:t>
      </w:r>
    </w:p>
    <w:p>
      <w:pPr>
        <w:sectPr>
          <w:pgSz w:w="11900" w:h="16838" w:orient="portrait"/>
          <w:cols w:equalWidth="0" w:num="1">
            <w:col w:w="11400"/>
          </w:cols>
          <w:pgMar w:left="240" w:top="553" w:right="259" w:bottom="1440" w:gutter="0" w:footer="0" w:header="0"/>
        </w:sectPr>
      </w:pPr>
    </w:p>
    <w:bookmarkStart w:id="118" w:name="page119"/>
    <w:bookmarkEnd w:id="118"/>
    <w:p>
      <w:pPr>
        <w:ind w:right="60"/>
        <w:spacing w:after="0" w:line="298" w:lineRule="auto"/>
        <w:rPr>
          <w:sz w:val="20"/>
          <w:szCs w:val="20"/>
          <w:color w:val="auto"/>
        </w:rPr>
      </w:pPr>
      <w:r>
        <w:rPr>
          <w:rFonts w:ascii="Arial" w:cs="Arial" w:eastAsia="Arial" w:hAnsi="Arial"/>
          <w:sz w:val="16"/>
          <w:szCs w:val="16"/>
          <w:color w:val="auto"/>
        </w:rPr>
        <w:t>(i)“Disabled Age 55 Conversion Option” means, if you are specified in the Table of Information as having a “Disabled Age 55” Conversion Option (because such person retired from the Plan under a disability retirement prior to age 55) and also as receiving a distribution of one of the following Annuity Forms:</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Single Life Annuity</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Spousal Joint and Survivor Annuity</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then such option is available to such </w:t>
      </w:r>
      <w:r>
        <w:rPr>
          <w:rFonts w:ascii="Arial" w:cs="Arial" w:eastAsia="Arial" w:hAnsi="Arial"/>
          <w:sz w:val="17"/>
          <w:szCs w:val="17"/>
          <w:i w:val="1"/>
          <w:iCs w:val="1"/>
          <w:color w:val="auto"/>
        </w:rPr>
        <w:t>Covered Life</w:t>
      </w:r>
      <w:r>
        <w:rPr>
          <w:rFonts w:ascii="Arial" w:cs="Arial" w:eastAsia="Arial" w:hAnsi="Arial"/>
          <w:sz w:val="17"/>
          <w:szCs w:val="17"/>
          <w:color w:val="auto"/>
        </w:rPr>
        <w:t xml:space="preserve"> (“you” or “your”).</w:t>
      </w:r>
    </w:p>
    <w:p>
      <w:pPr>
        <w:spacing w:after="0" w:line="205" w:lineRule="exact"/>
        <w:rPr>
          <w:sz w:val="20"/>
          <w:szCs w:val="20"/>
          <w:color w:val="auto"/>
        </w:rPr>
      </w:pPr>
    </w:p>
    <w:p>
      <w:pPr>
        <w:ind w:right="200"/>
        <w:spacing w:after="0" w:line="256" w:lineRule="auto"/>
        <w:rPr>
          <w:sz w:val="20"/>
          <w:szCs w:val="20"/>
          <w:color w:val="auto"/>
        </w:rPr>
      </w:pPr>
      <w:r>
        <w:rPr>
          <w:rFonts w:ascii="Arial" w:cs="Arial" w:eastAsia="Arial" w:hAnsi="Arial"/>
          <w:sz w:val="17"/>
          <w:szCs w:val="17"/>
          <w:color w:val="auto"/>
        </w:rPr>
        <w:t>When you reach age 55, you may exercise this option to convert your current Annuity Form. Before your option exercise can become effective, you must satisfy the applicable Conversion Conditions. You can select your new Annuity Form from the following list. However, if you are married at the time you exercise this option, we will automatically convert your Annuity Form into a Spousal Joint and Survivor Annuity absent a qualified election.</w:t>
      </w:r>
    </w:p>
    <w:p>
      <w:pPr>
        <w:spacing w:after="0" w:line="176"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Single Life Annuity: If you elect this Annuity Form, the pre-62+1 Pension Amount payable to you will equal the sum of two numbers. The first number equals your Disability Age 55 Pre-62+1 Pension Amount (as specified in the Table of Information). The second number equals your Disability Temporary Annuity (if specified on the Table of Information) where there has been a denial of Social Security Disability benefits. Your post-62+1 Pension Amount will equal your Disability Age 55 Post 62+1 Pension Amount (as specified in the Table of Information).</w:t>
      </w:r>
    </w:p>
    <w:p>
      <w:pPr>
        <w:spacing w:after="0" w:line="180" w:lineRule="exact"/>
        <w:rPr>
          <w:sz w:val="20"/>
          <w:szCs w:val="20"/>
          <w:color w:val="auto"/>
        </w:rPr>
      </w:pPr>
    </w:p>
    <w:p>
      <w:pPr>
        <w:ind w:right="60"/>
        <w:spacing w:after="0" w:line="289" w:lineRule="auto"/>
        <w:rPr>
          <w:sz w:val="20"/>
          <w:szCs w:val="20"/>
          <w:color w:val="auto"/>
        </w:rPr>
      </w:pPr>
      <w:r>
        <w:rPr>
          <w:rFonts w:ascii="Arial" w:cs="Arial" w:eastAsia="Arial" w:hAnsi="Arial"/>
          <w:sz w:val="15"/>
          <w:szCs w:val="15"/>
          <w:color w:val="auto"/>
        </w:rPr>
        <w:t>Spousal Joint and Survivor Life Annuity: If at the time of your disability, you were married and elected a Contingent Joint and Survivor Life Annuity you are not eligible to make this election at age 55. If you elect this Annuity Form, your pre-62+1 Pension Amount will equal the product obtained by multiplying two numbers and then adding a third number. The first number is your Disability Age 55 Pre-62+1 Pension Amount (as specified in the Table of Information). The second number is your Spousal Joint and Survivor Life Annuity Pop-Up Decrease Factor. The third number is any Disability Temporary Annuity specified for you on the Table of Information where there has been a denial of Social Security Disability benefits. Your post-62+1 Pension Amount will equal the product obtained by multiplying two numbers. The first number is your Disability Age 55 Post 62+1 Pension Amount. The second number is your Spousal Joint and Survivor Life Annuity Pop-Up Decrease Factor.</w:t>
      </w:r>
    </w:p>
    <w:p>
      <w:pPr>
        <w:spacing w:after="0" w:line="156" w:lineRule="exact"/>
        <w:rPr>
          <w:sz w:val="20"/>
          <w:szCs w:val="20"/>
          <w:color w:val="auto"/>
        </w:rPr>
      </w:pPr>
    </w:p>
    <w:p>
      <w:pPr>
        <w:ind w:right="20"/>
        <w:spacing w:after="0" w:line="251" w:lineRule="auto"/>
        <w:rPr>
          <w:sz w:val="20"/>
          <w:szCs w:val="20"/>
          <w:color w:val="auto"/>
        </w:rPr>
      </w:pPr>
      <w:r>
        <w:rPr>
          <w:rFonts w:ascii="Arial" w:cs="Arial" w:eastAsia="Arial" w:hAnsi="Arial"/>
          <w:sz w:val="17"/>
          <w:szCs w:val="17"/>
          <w:color w:val="auto"/>
        </w:rPr>
        <w:t>The amount we will pay your spousal Contingent Life will equal the result of multiplying two numbers. The first number is the Covered Life Amount payable to you pursuant to the foregoing paragraph. The second number is a percentage. The applicable percentage is based on the corresponding Original Retirement Date specified for such Covered Life in the Table of Information or in our records: (1) 65% for an Original Retirement Date on/after October 1, 1999, (2) 60 % for an Original Retirement Date on/after November 1, 1976 and prior to October 1, 1999 (3) 55% for an Original Retirement Date on/after September 1, 1964 and prior to November 1, 1976 and (4) 50 % for an Original Retirement Date prior to September 1, 1964.</w:t>
      </w:r>
    </w:p>
    <w:p>
      <w:pPr>
        <w:spacing w:after="0" w:line="179" w:lineRule="exact"/>
        <w:rPr>
          <w:sz w:val="20"/>
          <w:szCs w:val="20"/>
          <w:color w:val="auto"/>
        </w:rPr>
      </w:pPr>
    </w:p>
    <w:p>
      <w:pPr>
        <w:ind w:right="60"/>
        <w:spacing w:after="0" w:line="266" w:lineRule="auto"/>
        <w:tabs>
          <w:tab w:leader="none" w:pos="245" w:val="left"/>
        </w:tabs>
        <w:numPr>
          <w:ilvl w:val="0"/>
          <w:numId w:val="147"/>
        </w:numPr>
        <w:rPr>
          <w:rFonts w:ascii="Arial" w:cs="Arial" w:eastAsia="Arial" w:hAnsi="Arial"/>
          <w:sz w:val="17"/>
          <w:szCs w:val="17"/>
          <w:color w:val="auto"/>
        </w:rPr>
      </w:pPr>
      <w:r>
        <w:rPr>
          <w:rFonts w:ascii="Arial" w:cs="Arial" w:eastAsia="Arial" w:hAnsi="Arial"/>
          <w:sz w:val="17"/>
          <w:szCs w:val="17"/>
          <w:color w:val="auto"/>
        </w:rPr>
        <w:t xml:space="preserve">“Post-Retirement Marriage Conversion Option” means, if a </w:t>
      </w:r>
      <w:r>
        <w:rPr>
          <w:rFonts w:ascii="Arial" w:cs="Arial" w:eastAsia="Arial" w:hAnsi="Arial"/>
          <w:sz w:val="17"/>
          <w:szCs w:val="17"/>
          <w:i w:val="1"/>
          <w:iCs w:val="1"/>
          <w:color w:val="auto"/>
        </w:rPr>
        <w:t>Covered Life</w:t>
      </w:r>
      <w:r>
        <w:rPr>
          <w:rFonts w:ascii="Arial" w:cs="Arial" w:eastAsia="Arial" w:hAnsi="Arial"/>
          <w:sz w:val="17"/>
          <w:szCs w:val="17"/>
          <w:color w:val="auto"/>
        </w:rPr>
        <w:t xml:space="preserve"> is specified in the Table of Information as having a “Post-Retirement Marriage” Conversion Option and also as receiving a distribution of the following Annuity Form:</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color w:val="auto"/>
        </w:rPr>
        <w:t>Single Life Annuity</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then such option is available to the Covered Life (“you” or “your”).</w:t>
      </w:r>
    </w:p>
    <w:p>
      <w:pPr>
        <w:spacing w:after="0" w:line="205" w:lineRule="exact"/>
        <w:rPr>
          <w:sz w:val="20"/>
          <w:szCs w:val="20"/>
          <w:color w:val="auto"/>
        </w:rPr>
      </w:pPr>
    </w:p>
    <w:p>
      <w:pPr>
        <w:ind w:right="200"/>
        <w:spacing w:after="0" w:line="252" w:lineRule="auto"/>
        <w:rPr>
          <w:sz w:val="20"/>
          <w:szCs w:val="20"/>
          <w:color w:val="auto"/>
        </w:rPr>
      </w:pPr>
      <w:r>
        <w:rPr>
          <w:rFonts w:ascii="Arial" w:cs="Arial" w:eastAsia="Arial" w:hAnsi="Arial"/>
          <w:sz w:val="17"/>
          <w:szCs w:val="17"/>
          <w:color w:val="auto"/>
        </w:rPr>
        <w:t>The option allows you to convert a portion of your monthly payment under a Single Life Annuity into a Spousal Joint and Survivor Annuity Form. Before your option exercise can become effective, you must meet the applicable Conversion Conditions. Also, you must notify us using a form provided by us. The effective date of the conversion is the first day of the month after the conversion is effective, but not sooner than the one-year anniversary of your marriage or re-marriage, and in any event before the 18-month anniversary of the marriage or re-marriage.</w:t>
      </w:r>
    </w:p>
    <w:p>
      <w:pPr>
        <w:spacing w:after="0" w:line="180"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Only </w:t>
      </w:r>
      <w:r>
        <w:rPr>
          <w:rFonts w:ascii="Arial" w:cs="Arial" w:eastAsia="Arial" w:hAnsi="Arial"/>
          <w:sz w:val="15"/>
          <w:szCs w:val="15"/>
          <w:i w:val="1"/>
          <w:iCs w:val="1"/>
          <w:color w:val="auto"/>
        </w:rPr>
        <w:t>Part A Basic Amount</w:t>
      </w:r>
      <w:r>
        <w:rPr>
          <w:rFonts w:ascii="Arial" w:cs="Arial" w:eastAsia="Arial" w:hAnsi="Arial"/>
          <w:sz w:val="15"/>
          <w:szCs w:val="15"/>
          <w:color w:val="auto"/>
        </w:rPr>
        <w:t xml:space="preserve"> (as specified in the Table of Information) may be converted. On the effective date of the conversion, we will reduce the Covered Life Amount.</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The amount of the reduction will equal the result of multiplying two numbers. The first number is the </w:t>
      </w:r>
      <w:r>
        <w:rPr>
          <w:rFonts w:ascii="Arial" w:cs="Arial" w:eastAsia="Arial" w:hAnsi="Arial"/>
          <w:sz w:val="15"/>
          <w:szCs w:val="15"/>
          <w:i w:val="1"/>
          <w:iCs w:val="1"/>
          <w:color w:val="auto"/>
        </w:rPr>
        <w:t>Part A Basic Amount</w:t>
      </w:r>
      <w:r>
        <w:rPr>
          <w:rFonts w:ascii="Arial" w:cs="Arial" w:eastAsia="Arial" w:hAnsi="Arial"/>
          <w:sz w:val="15"/>
          <w:szCs w:val="15"/>
          <w:color w:val="auto"/>
        </w:rPr>
        <w:t xml:space="preserve"> specified for you in the Table of Information.</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The second number is the Spousal Joint &amp; Survivor Life Annuity Pop-Up Decrease Factor.</w:t>
      </w:r>
    </w:p>
    <w:p>
      <w:pPr>
        <w:spacing w:after="0" w:line="193" w:lineRule="exact"/>
        <w:rPr>
          <w:sz w:val="20"/>
          <w:szCs w:val="20"/>
          <w:color w:val="auto"/>
        </w:rPr>
      </w:pPr>
    </w:p>
    <w:p>
      <w:pPr>
        <w:jc w:val="both"/>
        <w:ind w:right="60"/>
        <w:spacing w:after="0" w:line="256" w:lineRule="auto"/>
        <w:rPr>
          <w:sz w:val="20"/>
          <w:szCs w:val="20"/>
          <w:color w:val="auto"/>
        </w:rPr>
      </w:pPr>
      <w:r>
        <w:rPr>
          <w:rFonts w:ascii="Arial" w:cs="Arial" w:eastAsia="Arial" w:hAnsi="Arial"/>
          <w:sz w:val="17"/>
          <w:szCs w:val="17"/>
          <w:color w:val="auto"/>
        </w:rPr>
        <w:t>After the effective date of the conversion, and after you die, we will owe your spouse additional monthly payments. To receive such payments, your spouse must be alive when you die. We will pay the first payment on the first day of the month following your death. We will pay the last payment on the first day of the month in which such spouse dies.</w:t>
      </w:r>
    </w:p>
    <w:p>
      <w:pPr>
        <w:spacing w:after="0" w:line="200" w:lineRule="exact"/>
        <w:rPr>
          <w:sz w:val="20"/>
          <w:szCs w:val="20"/>
          <w:color w:val="auto"/>
        </w:rPr>
      </w:pP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Appendix 1.3 - 5</w:t>
      </w:r>
    </w:p>
    <w:p>
      <w:pPr>
        <w:sectPr>
          <w:pgSz w:w="11900" w:h="16838" w:orient="portrait"/>
          <w:cols w:equalWidth="0" w:num="1">
            <w:col w:w="11360"/>
          </w:cols>
          <w:pgMar w:left="240" w:top="553" w:right="299" w:bottom="1440" w:gutter="0" w:footer="0" w:header="0"/>
        </w:sectPr>
      </w:pPr>
    </w:p>
    <w:bookmarkStart w:id="119" w:name="page120"/>
    <w:bookmarkEnd w:id="119"/>
    <w:p>
      <w:pPr>
        <w:ind w:right="140"/>
        <w:spacing w:after="0" w:line="251" w:lineRule="auto"/>
        <w:rPr>
          <w:sz w:val="20"/>
          <w:szCs w:val="20"/>
          <w:color w:val="auto"/>
        </w:rPr>
      </w:pPr>
      <w:r>
        <w:rPr>
          <w:rFonts w:ascii="Arial" w:cs="Arial" w:eastAsia="Arial" w:hAnsi="Arial"/>
          <w:sz w:val="17"/>
          <w:szCs w:val="17"/>
          <w:color w:val="auto"/>
        </w:rPr>
        <w:t>The amount we will pay such spouse will equal the result of multiplying two numbers. The first number is the Covered Life Amount payable to you, as reduced pursuant to the preceding paragraph. The second number is a percentage. The applicable percentage is based on the corresponding Original Retirement Date specified for such Covered Life in the Table of Information or in our records: (1) 65% for a Original Retirement Date on/after October 1, 1999, (2) 60% for a Original Retirement Date on/after November 1, 1976 and prior to October 1, 1999 (3) 55% for a Original Retirement Date on/after September 1, 1964 and prior to November 1, 1976 and (4) 50% for a Original Retirement Date prior to September 1, 1964.</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Method of Payment:</w:t>
      </w:r>
    </w:p>
    <w:p>
      <w:pPr>
        <w:spacing w:after="0" w:line="209" w:lineRule="exact"/>
        <w:rPr>
          <w:sz w:val="20"/>
          <w:szCs w:val="20"/>
          <w:color w:val="auto"/>
        </w:rPr>
      </w:pPr>
    </w:p>
    <w:p>
      <w:pPr>
        <w:spacing w:after="0" w:line="256" w:lineRule="auto"/>
        <w:rPr>
          <w:sz w:val="20"/>
          <w:szCs w:val="20"/>
          <w:color w:val="auto"/>
        </w:rPr>
      </w:pPr>
      <w:r>
        <w:rPr>
          <w:rFonts w:ascii="Arial" w:cs="Arial" w:eastAsia="Arial" w:hAnsi="Arial"/>
          <w:sz w:val="17"/>
          <w:szCs w:val="17"/>
          <w:color w:val="auto"/>
        </w:rPr>
        <w:t>We will make all payments in U.S. dollars. Payees may elect to receive payments either by check or by direct deposit to a bank or other financial institution chosen by the Payee. Checks are mailed to the last known address for the Payee as shown on our records. Direct deposit may be selected only by using a form supplied for such purpose.</w:t>
      </w:r>
    </w:p>
    <w:p>
      <w:pPr>
        <w:spacing w:after="0" w:line="176"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 xml:space="preserve">By written notice, a Payee may request a change of the mailing address we use for payments by check. By using a form we supply, a Payee may change the bank or other financial institution receiving direct payments. Payees must deliver these items to Prudential as described below under </w:t>
      </w:r>
      <w:r>
        <w:rPr>
          <w:rFonts w:ascii="Arial" w:cs="Arial" w:eastAsia="Arial" w:hAnsi="Arial"/>
          <w:sz w:val="16"/>
          <w:szCs w:val="16"/>
          <w:b w:val="1"/>
          <w:bCs w:val="1"/>
          <w:color w:val="auto"/>
        </w:rPr>
        <w:t>"Correspondence."</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We may change these procedures by sending a letter to the Payee. We will use the address last shown on our records.</w:t>
      </w:r>
    </w:p>
    <w:p>
      <w:pPr>
        <w:spacing w:after="0" w:line="201" w:lineRule="exact"/>
        <w:rPr>
          <w:sz w:val="20"/>
          <w:szCs w:val="20"/>
          <w:color w:val="auto"/>
        </w:rPr>
      </w:pPr>
    </w:p>
    <w:p>
      <w:pPr>
        <w:ind w:left="3000"/>
        <w:spacing w:after="0"/>
        <w:rPr>
          <w:sz w:val="20"/>
          <w:szCs w:val="20"/>
          <w:color w:val="auto"/>
        </w:rPr>
      </w:pPr>
      <w:r>
        <w:rPr>
          <w:rFonts w:ascii="Arial" w:cs="Arial" w:eastAsia="Arial" w:hAnsi="Arial"/>
          <w:sz w:val="17"/>
          <w:szCs w:val="17"/>
          <w:b w:val="1"/>
          <w:bCs w:val="1"/>
          <w:color w:val="auto"/>
        </w:rPr>
        <w:t>Correspondence:</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Mail any notices and forms to the current notice address. The current notice address is:</w:t>
      </w:r>
    </w:p>
    <w:p>
      <w:pPr>
        <w:spacing w:after="0" w:line="205"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The Prudential Insurance Company of America</w:t>
      </w:r>
    </w:p>
    <w:p>
      <w:pPr>
        <w:spacing w:after="0" w:line="17"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[P.O. Box 5370</w:t>
      </w:r>
    </w:p>
    <w:p>
      <w:pPr>
        <w:spacing w:after="0" w:line="5"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Scranton, PA 18505-5370] C</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color w:val="auto"/>
        </w:rPr>
        <w:t>Prudential may change the notice address by sending a letter to the Payee. We will use the address last shown on our records.</w:t>
      </w:r>
    </w:p>
    <w:p>
      <w:pPr>
        <w:spacing w:after="0" w:line="20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All notices must be in writing. Payee must sign all notices and forms. Please refer to the Annuity Certificate Number and the Group Annuity Contract Number (shown on the first page of this Certificate) on all notices and forms sent to us.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[Beneficiaries: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You may change Beneficiaries as described below.</w:t>
      </w:r>
    </w:p>
    <w:p>
      <w:pPr>
        <w:spacing w:after="0" w:line="201"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Selections and changes of Beneficiaries must use a form ("</w:t>
      </w:r>
      <w:r>
        <w:rPr>
          <w:rFonts w:ascii="Arial" w:cs="Arial" w:eastAsia="Arial" w:hAnsi="Arial"/>
          <w:sz w:val="17"/>
          <w:szCs w:val="17"/>
          <w:b w:val="1"/>
          <w:bCs w:val="1"/>
          <w:color w:val="auto"/>
        </w:rPr>
        <w:t>Beneficiary Form</w:t>
      </w:r>
      <w:r>
        <w:rPr>
          <w:rFonts w:ascii="Arial" w:cs="Arial" w:eastAsia="Arial" w:hAnsi="Arial"/>
          <w:sz w:val="17"/>
          <w:szCs w:val="17"/>
          <w:color w:val="auto"/>
        </w:rPr>
        <w:t>") we supply. Beneficiary Forms must be delivered to Prudential as described above under "</w:t>
      </w:r>
      <w:r>
        <w:rPr>
          <w:rFonts w:ascii="Arial" w:cs="Arial" w:eastAsia="Arial" w:hAnsi="Arial"/>
          <w:sz w:val="17"/>
          <w:szCs w:val="17"/>
          <w:b w:val="1"/>
          <w:bCs w:val="1"/>
          <w:color w:val="auto"/>
        </w:rPr>
        <w:t>Correspondence</w:t>
      </w:r>
      <w:r>
        <w:rPr>
          <w:rFonts w:ascii="Arial" w:cs="Arial" w:eastAsia="Arial" w:hAnsi="Arial"/>
          <w:sz w:val="17"/>
          <w:szCs w:val="17"/>
          <w:color w:val="auto"/>
        </w:rPr>
        <w:t>." Selections and changes must comply with all applicable laws, including those relating to spousal waivers. Unless required by law or the Plan, we will not require any existing Beneficiary to consent to a change of Beneficiaries.</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 xml:space="preserve">Beneficiary selection and changes shall take effect on the date you sign the change in Beneficiary form. However, no change shall be effective with respect to any action taken by us before we receive the change in Beneficiary form. Unless otherwise indicated on the Beneficiary designation or change form, the interest of any Beneficiary who dies before you ceases altogether. ] </w:t>
      </w:r>
      <w:r>
        <w:rPr>
          <w:rFonts w:ascii="Arial" w:cs="Arial" w:eastAsia="Arial" w:hAnsi="Arial"/>
          <w:sz w:val="23"/>
          <w:szCs w:val="23"/>
          <w:color w:val="auto"/>
          <w:vertAlign w:val="superscript"/>
        </w:rPr>
        <w:t>D</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Assignment:</w:t>
      </w:r>
    </w:p>
    <w:p>
      <w:pPr>
        <w:spacing w:after="0" w:line="209"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Payees may not assign, pledge, anticipate, accelerate or transfer this Annuity, except as expressly provided in the Contract. Also, Payees may not use a Representative to do the same. To the full extent permitted by law, Annuity payments are not subject to the claims of creditors. Compliance with a domestic relations order meeting the requirements of the Contract will not be considered an impermissible transaction or claim.</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Qualified Domestic Relations Orders:</w:t>
      </w:r>
    </w:p>
    <w:p>
      <w:pPr>
        <w:spacing w:after="0" w:line="209"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Should your Annuity become subject to a Qualified Domestic Relations Order, we may be required to alter monthly payments under the Annuity. We may make payments according to such order, regardless of the Annuity Form selected. This includes any adjustments needed to retroactively implement the order. We may rely upon any Qualified Domestic Relations Order we believe to be valid.</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Appendix 1.3 - 6</w:t>
      </w:r>
    </w:p>
    <w:p>
      <w:pPr>
        <w:sectPr>
          <w:pgSz w:w="11900" w:h="16838" w:orient="portrait"/>
          <w:cols w:equalWidth="0" w:num="1">
            <w:col w:w="11420"/>
          </w:cols>
          <w:pgMar w:left="240" w:top="553" w:right="239" w:bottom="1440" w:gutter="0" w:footer="0" w:header="0"/>
        </w:sectPr>
      </w:pPr>
    </w:p>
    <w:bookmarkStart w:id="120" w:name="page121"/>
    <w:bookmarkEnd w:id="120"/>
    <w:p>
      <w:pPr>
        <w:jc w:val="center"/>
        <w:spacing w:after="0"/>
        <w:rPr>
          <w:sz w:val="20"/>
          <w:szCs w:val="20"/>
          <w:color w:val="auto"/>
        </w:rPr>
      </w:pPr>
      <w:r>
        <w:rPr>
          <w:rFonts w:ascii="Arial" w:cs="Arial" w:eastAsia="Arial" w:hAnsi="Arial"/>
          <w:sz w:val="17"/>
          <w:szCs w:val="17"/>
          <w:b w:val="1"/>
          <w:bCs w:val="1"/>
          <w:color w:val="auto"/>
        </w:rPr>
        <w:t>Reliance Upon Affidavit or Other Evidence:</w:t>
      </w:r>
    </w:p>
    <w:p>
      <w:pPr>
        <w:spacing w:after="0" w:line="20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We may rely upon an affidavit or other evidence to verify relevant facts. Payments we make in reliance upon this information relieve us from any liability under the Contract and this Certificate.</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Misstatements: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If certain information was misstated to us, your annuity payments may or may not be changed as described below.</w:t>
      </w:r>
    </w:p>
    <w:p>
      <w:pPr>
        <w:spacing w:after="0" w:line="17" w:lineRule="exact"/>
        <w:rPr>
          <w:sz w:val="20"/>
          <w:szCs w:val="20"/>
          <w:color w:val="auto"/>
        </w:rPr>
      </w:pPr>
    </w:p>
    <w:p>
      <w:pPr>
        <w:jc w:val="both"/>
        <w:spacing w:after="0" w:line="248" w:lineRule="auto"/>
        <w:rPr>
          <w:sz w:val="20"/>
          <w:szCs w:val="20"/>
          <w:color w:val="auto"/>
        </w:rPr>
      </w:pPr>
      <w:r>
        <w:rPr>
          <w:rFonts w:ascii="Arial" w:cs="Arial" w:eastAsia="Arial" w:hAnsi="Arial"/>
          <w:sz w:val="17"/>
          <w:szCs w:val="17"/>
          <w:color w:val="auto"/>
        </w:rPr>
        <w:t>If a Payee's date of birth, date of death, or sex was misstated to us, then we will not have the right to reduce any annuity payment below the amount determined using the information contained in the Contract. Also, we will not have the obligation to increase any Annuity Payment above the amount determined using the information contained in the Contract.</w:t>
      </w:r>
    </w:p>
    <w:p>
      <w:pPr>
        <w:spacing w:after="0" w:line="183"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If information other than the Payee's date of birth, date of death, or sex was misstated to us, then Prudential will adjust the annuity payment. First we will determine the portion of the premium paid to us to purchase your annuity. The annuity payment amount owed by us will be increased or decreased to equal the amount that could have been purchased using the premium paid for the annuity assuming the misstatement had not happened. Also, Prudential will not change the date of the first monthly payment.</w:t>
      </w:r>
    </w:p>
    <w:p>
      <w:pPr>
        <w:spacing w:after="0" w:line="180" w:lineRule="exact"/>
        <w:rPr>
          <w:sz w:val="20"/>
          <w:szCs w:val="20"/>
          <w:color w:val="auto"/>
        </w:rPr>
      </w:pPr>
    </w:p>
    <w:p>
      <w:pPr>
        <w:jc w:val="both"/>
        <w:spacing w:after="0" w:line="297" w:lineRule="auto"/>
        <w:rPr>
          <w:sz w:val="20"/>
          <w:szCs w:val="20"/>
          <w:color w:val="auto"/>
        </w:rPr>
      </w:pPr>
      <w:r>
        <w:rPr>
          <w:rFonts w:ascii="Arial" w:cs="Arial" w:eastAsia="Arial" w:hAnsi="Arial"/>
          <w:sz w:val="15"/>
          <w:szCs w:val="15"/>
          <w:color w:val="auto"/>
        </w:rPr>
        <w:t>If the corrected annuity payment is less than the annuity payment determined using the misstated information, then the annuity payment will be decreased to the amount calculated as described in the last paragraph above. We may reduce future annuity payments further by amounts previously overpaid by us to the Payee. If the corrected annuity payment is more than the annuity payment calculated using the misstated information, then the annuity payment will be increased to the amount determined as described in the last paragraph above. We will further pay the amount of the underpayments by us in one of the next two annuity payments due with respect to the Payee.</w:t>
      </w:r>
    </w:p>
    <w:p>
      <w:pPr>
        <w:spacing w:after="0" w:line="148"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In addition to changing the amount of annuity payments, the adjustments made pursuant to this section may change other important terms of payment. For example, the form of annuity for a Payee may change. Whether there is any Contingent Life entitled to receive an annuity payment may change. All adjustments made pursuant to this section will be binding upon the Payee.</w:t>
      </w:r>
    </w:p>
    <w:p>
      <w:pPr>
        <w:spacing w:after="0" w:line="176"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Notwithstanding the above, after the Annuity Commencement Date, determinations by us under the Contract in connection with each of the following will reflect any corrections of date of birth or date of death of any Covered Life or Contingent Life (and of any Beneficiary, if applicable), provided to and verified by us after the Annuity Commencement Date: (1) a conversion from one Annuity Form to another Annuity Form, (2) an increase in the Covered Life Amount based on attainment of a certain age and (3) a decrease in the Covered Life Amount based on attainment of a certain age.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Supplemental Information:</w:t>
      </w:r>
    </w:p>
    <w:p>
      <w:pPr>
        <w:spacing w:after="0" w:line="209"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As a condition to making any payment, we may require a Payee to provide certain information not previously supplied. This information may include copies of signed election forms and signed spousal consent forms (where required). If legally required, we may withhold all or a portion of any payment until receiving a Social Security or taxpayer identification number for the Payee and any other items required by law.</w:t>
      </w:r>
    </w:p>
    <w:p>
      <w:pPr>
        <w:spacing w:after="0" w:line="176" w:lineRule="exact"/>
        <w:rPr>
          <w:sz w:val="20"/>
          <w:szCs w:val="20"/>
          <w:color w:val="auto"/>
        </w:rPr>
      </w:pPr>
    </w:p>
    <w:p>
      <w:pPr>
        <w:spacing w:after="0"/>
        <w:rPr>
          <w:sz w:val="20"/>
          <w:szCs w:val="20"/>
          <w:color w:val="auto"/>
        </w:rPr>
      </w:pPr>
      <w:r>
        <w:rPr>
          <w:rFonts w:ascii="Arial" w:cs="Arial" w:eastAsia="Arial" w:hAnsi="Arial"/>
          <w:sz w:val="15"/>
          <w:szCs w:val="15"/>
          <w:color w:val="auto"/>
        </w:rPr>
        <w:t>As a condition to making any payment, we may require satisfactory evidence that any Payee is alive. We may withhold future payments until we receive this evidence.</w:t>
      </w:r>
    </w:p>
    <w:p>
      <w:pPr>
        <w:spacing w:after="0" w:line="228" w:lineRule="exact"/>
        <w:rPr>
          <w:sz w:val="20"/>
          <w:szCs w:val="20"/>
          <w:color w:val="auto"/>
        </w:rPr>
      </w:pPr>
    </w:p>
    <w:p>
      <w:pPr>
        <w:ind w:right="380"/>
        <w:spacing w:after="0" w:line="334" w:lineRule="auto"/>
        <w:rPr>
          <w:sz w:val="20"/>
          <w:szCs w:val="20"/>
          <w:color w:val="auto"/>
        </w:rPr>
      </w:pPr>
      <w:r>
        <w:rPr>
          <w:rFonts w:ascii="Arial" w:cs="Arial" w:eastAsia="Arial" w:hAnsi="Arial"/>
          <w:sz w:val="15"/>
          <w:szCs w:val="15"/>
          <w:color w:val="auto"/>
        </w:rPr>
        <w:t>Payments under this Certificate will be made to a Payee unless a Representative has been duly appointed in accordance with the Contract with respect to a Payee. If a Representative has been appointed, we may fulfill our obligation to a Payee under this Certificate by making payments to the Payee's Representative.</w:t>
      </w:r>
    </w:p>
    <w:p>
      <w:pPr>
        <w:spacing w:after="0" w:line="21" w:lineRule="exact"/>
        <w:rPr>
          <w:sz w:val="20"/>
          <w:szCs w:val="20"/>
          <w:color w:val="auto"/>
        </w:rPr>
      </w:pPr>
    </w:p>
    <w:p>
      <w:pPr>
        <w:ind w:right="280"/>
        <w:spacing w:after="0" w:line="287" w:lineRule="auto"/>
        <w:rPr>
          <w:sz w:val="20"/>
          <w:szCs w:val="20"/>
          <w:color w:val="auto"/>
        </w:rPr>
      </w:pPr>
      <w:r>
        <w:rPr>
          <w:rFonts w:ascii="Arial" w:cs="Arial" w:eastAsia="Arial" w:hAnsi="Arial"/>
          <w:sz w:val="15"/>
          <w:szCs w:val="15"/>
          <w:color w:val="auto"/>
        </w:rPr>
        <w:t>[For any Payee who is shown in the Contract as having been paid, prior to the Annuity Commencement Date, Plan benefits over the amount owed under the Plan, such overpayments shall be deducted from the annuity payments otherwise owed to such persons pursuant to the Payment Terms of this Certificate. Nothing in the prior sentence shall relate to information that may have been misstated to us. Such misstatements are governed by the above Misstatements section.]</w:t>
      </w:r>
      <w:r>
        <w:rPr>
          <w:rFonts w:ascii="Arial" w:cs="Arial" w:eastAsia="Arial" w:hAnsi="Arial"/>
          <w:sz w:val="21"/>
          <w:szCs w:val="21"/>
          <w:color w:val="auto"/>
          <w:vertAlign w:val="superscript"/>
        </w:rPr>
        <w:t>D</w:t>
      </w:r>
    </w:p>
    <w:p>
      <w:pPr>
        <w:spacing w:after="0" w:line="2" w:lineRule="exact"/>
        <w:rPr>
          <w:sz w:val="20"/>
          <w:szCs w:val="20"/>
          <w:color w:val="auto"/>
        </w:rPr>
      </w:pPr>
    </w:p>
    <w:p>
      <w:pPr>
        <w:jc w:val="both"/>
        <w:ind w:right="60"/>
        <w:spacing w:after="0" w:line="306" w:lineRule="auto"/>
        <w:rPr>
          <w:sz w:val="20"/>
          <w:szCs w:val="20"/>
          <w:color w:val="auto"/>
        </w:rPr>
      </w:pPr>
      <w:r>
        <w:rPr>
          <w:rFonts w:ascii="Arial" w:cs="Arial" w:eastAsia="Arial" w:hAnsi="Arial"/>
          <w:sz w:val="15"/>
          <w:szCs w:val="15"/>
          <w:color w:val="auto"/>
        </w:rPr>
        <w:t>[For any Payee who is shown in the Contract as having been paid, prior to the Annuity Commencement Date, Plan benefits that were less than the amount owed under the Plan, such underpayments shall be added to the annuity payments otherwise owed to such persons pursuant to the Payment Terms of this Certificate. Nothing in the prior sentence shall relate to information that may have been misstated to us. Such misstatements are governed by the above Misstatements section.]</w:t>
      </w:r>
      <w:r>
        <w:rPr>
          <w:rFonts w:ascii="Arial" w:cs="Arial" w:eastAsia="Arial" w:hAnsi="Arial"/>
          <w:sz w:val="21"/>
          <w:szCs w:val="21"/>
          <w:color w:val="auto"/>
          <w:vertAlign w:val="superscript"/>
        </w:rPr>
        <w:t>D</w:t>
      </w:r>
    </w:p>
    <w:p>
      <w:pPr>
        <w:spacing w:after="0" w:line="4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Certificate Errors and Replacement Certificate:</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Appendix 1.3 - 7</w:t>
      </w:r>
    </w:p>
    <w:p>
      <w:pPr>
        <w:sectPr>
          <w:pgSz w:w="11900" w:h="16838" w:orient="portrait"/>
          <w:cols w:equalWidth="0" w:num="1">
            <w:col w:w="11420"/>
          </w:cols>
          <w:pgMar w:left="240" w:top="749" w:right="239" w:bottom="1440" w:gutter="0" w:footer="0" w:header="0"/>
        </w:sectPr>
      </w:pPr>
    </w:p>
    <w:bookmarkStart w:id="121" w:name="page122"/>
    <w:bookmarkEnd w:id="121"/>
    <w:p>
      <w:pPr>
        <w:jc w:val="both"/>
        <w:spacing w:after="0" w:line="270" w:lineRule="auto"/>
        <w:rPr>
          <w:sz w:val="20"/>
          <w:szCs w:val="20"/>
          <w:color w:val="auto"/>
        </w:rPr>
      </w:pPr>
      <w:r>
        <w:rPr>
          <w:rFonts w:ascii="Arial" w:cs="Arial" w:eastAsia="Arial" w:hAnsi="Arial"/>
          <w:sz w:val="16"/>
          <w:szCs w:val="16"/>
          <w:color w:val="auto"/>
        </w:rPr>
        <w:t>This Certificate replaces any certificate that you may have previously received with respect to Prudential's guarantee under the Contract. Please review this Certificate carefully and notify us promptly if you feel any information is incorrect. We are not bound by any incorrect information in this Certificate, nor are we bound by any other errors in this Certificate if clearly inconsistent with the terms of the Contract. We may instead continue to comply with the terms of the Contract as if the Certificate initially had been correctly issued. We may issue a corrected Certificate in the same manner the original Certificate was issued, but we will clearly indicate on the face of the new Certificate that it is a "CORRECTED AND REISSUED" Certificate (or other words to that effect).</w:t>
      </w:r>
    </w:p>
    <w:p>
      <w:pPr>
        <w:spacing w:after="0" w:line="167"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 xml:space="preserve">If you exercise an option that changes your </w:t>
      </w:r>
      <w:r>
        <w:rPr>
          <w:rFonts w:ascii="Arial" w:cs="Arial" w:eastAsia="Arial" w:hAnsi="Arial"/>
          <w:sz w:val="17"/>
          <w:szCs w:val="17"/>
          <w:i w:val="1"/>
          <w:iCs w:val="1"/>
          <w:color w:val="auto"/>
        </w:rPr>
        <w:t>Form of Annuity</w:t>
      </w:r>
      <w:r>
        <w:rPr>
          <w:rFonts w:ascii="Arial" w:cs="Arial" w:eastAsia="Arial" w:hAnsi="Arial"/>
          <w:sz w:val="17"/>
          <w:szCs w:val="17"/>
          <w:color w:val="auto"/>
        </w:rPr>
        <w:t xml:space="preserve">, then a replacement certificate will be issued to you. The replacement certificate will describe the payments that you will receive under your changed </w:t>
      </w:r>
      <w:r>
        <w:rPr>
          <w:rFonts w:ascii="Arial" w:cs="Arial" w:eastAsia="Arial" w:hAnsi="Arial"/>
          <w:sz w:val="17"/>
          <w:szCs w:val="17"/>
          <w:i w:val="1"/>
          <w:iCs w:val="1"/>
          <w:color w:val="auto"/>
        </w:rPr>
        <w:t>Form of Annuity.</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Entire Contract:</w:t>
      </w:r>
    </w:p>
    <w:p>
      <w:pPr>
        <w:spacing w:after="0" w:line="209" w:lineRule="exact"/>
        <w:rPr>
          <w:sz w:val="20"/>
          <w:szCs w:val="20"/>
          <w:color w:val="auto"/>
        </w:rPr>
      </w:pPr>
    </w:p>
    <w:p>
      <w:pPr>
        <w:jc w:val="center"/>
        <w:ind w:right="320"/>
        <w:spacing w:after="0"/>
        <w:rPr>
          <w:sz w:val="20"/>
          <w:szCs w:val="20"/>
          <w:color w:val="auto"/>
        </w:rPr>
      </w:pPr>
      <w:r>
        <w:rPr>
          <w:rFonts w:ascii="Arial" w:cs="Arial" w:eastAsia="Arial" w:hAnsi="Arial"/>
          <w:sz w:val="14"/>
          <w:szCs w:val="14"/>
          <w:color w:val="auto"/>
        </w:rPr>
        <w:t>The Contract constitutes the entire agreement between the Contract-Holder and us solely with respect to the annuity payments owed to each payee under the Contract.</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Rights of Payees:</w:t>
      </w:r>
    </w:p>
    <w:p>
      <w:pPr>
        <w:spacing w:after="0" w:line="209" w:lineRule="exact"/>
        <w:rPr>
          <w:sz w:val="20"/>
          <w:szCs w:val="20"/>
          <w:color w:val="auto"/>
        </w:rPr>
      </w:pPr>
    </w:p>
    <w:p>
      <w:pPr>
        <w:ind w:right="440"/>
        <w:spacing w:after="0" w:line="266" w:lineRule="auto"/>
        <w:rPr>
          <w:sz w:val="20"/>
          <w:szCs w:val="20"/>
          <w:color w:val="auto"/>
        </w:rPr>
      </w:pPr>
      <w:r>
        <w:rPr>
          <w:rFonts w:ascii="Arial" w:cs="Arial" w:eastAsia="Arial" w:hAnsi="Arial"/>
          <w:sz w:val="17"/>
          <w:szCs w:val="17"/>
          <w:color w:val="auto"/>
        </w:rPr>
        <w:t>The Payees have the right to receive the annuity payments set forth under this Certificate. Such right to annuity payments is enforceable by the Payees solely against Prudential and no other person including the Plan, Plan sponsor, Contract-Holder or any affiliate thereof.</w:t>
      </w:r>
    </w:p>
    <w:p>
      <w:pPr>
        <w:spacing w:after="0" w:line="164" w:lineRule="exact"/>
        <w:rPr>
          <w:sz w:val="20"/>
          <w:szCs w:val="20"/>
          <w:color w:val="auto"/>
        </w:rPr>
      </w:pPr>
    </w:p>
    <w:p>
      <w:pPr>
        <w:ind w:left="4600"/>
        <w:spacing w:after="0"/>
        <w:rPr>
          <w:sz w:val="20"/>
          <w:szCs w:val="20"/>
          <w:color w:val="auto"/>
        </w:rPr>
      </w:pPr>
      <w:r>
        <w:rPr>
          <w:rFonts w:ascii="Arial" w:cs="Arial" w:eastAsia="Arial" w:hAnsi="Arial"/>
          <w:sz w:val="17"/>
          <w:szCs w:val="17"/>
          <w:b w:val="1"/>
          <w:bCs w:val="1"/>
          <w:color w:val="auto"/>
        </w:rPr>
        <w:t>Prudential Telephone Number:</w:t>
      </w:r>
    </w:p>
    <w:p>
      <w:pPr>
        <w:spacing w:after="0" w:line="209" w:lineRule="exact"/>
        <w:rPr>
          <w:sz w:val="20"/>
          <w:szCs w:val="20"/>
          <w:color w:val="auto"/>
        </w:rPr>
      </w:pPr>
    </w:p>
    <w:p>
      <w:pPr>
        <w:ind w:left="1800"/>
        <w:spacing w:after="0"/>
        <w:rPr>
          <w:sz w:val="20"/>
          <w:szCs w:val="20"/>
          <w:color w:val="auto"/>
        </w:rPr>
      </w:pPr>
      <w:r>
        <w:rPr>
          <w:rFonts w:ascii="Arial" w:cs="Arial" w:eastAsia="Arial" w:hAnsi="Arial"/>
          <w:sz w:val="17"/>
          <w:szCs w:val="17"/>
          <w:color w:val="auto"/>
        </w:rPr>
        <w:t>The Prudential Insurance Company of America</w:t>
      </w:r>
    </w:p>
    <w:p>
      <w:pPr>
        <w:spacing w:after="0" w:line="17" w:lineRule="exact"/>
        <w:rPr>
          <w:sz w:val="20"/>
          <w:szCs w:val="20"/>
          <w:color w:val="auto"/>
        </w:rPr>
      </w:pPr>
    </w:p>
    <w:p>
      <w:pPr>
        <w:ind w:left="1800"/>
        <w:spacing w:after="0"/>
        <w:rPr>
          <w:sz w:val="20"/>
          <w:szCs w:val="20"/>
          <w:color w:val="auto"/>
        </w:rPr>
      </w:pPr>
      <w:r>
        <w:rPr>
          <w:rFonts w:ascii="Arial" w:cs="Arial" w:eastAsia="Arial" w:hAnsi="Arial"/>
          <w:sz w:val="23"/>
          <w:szCs w:val="23"/>
          <w:b w:val="1"/>
          <w:bCs w:val="1"/>
          <w:color w:val="auto"/>
        </w:rPr>
        <w:t>[</w:t>
      </w:r>
      <w:r>
        <w:rPr>
          <w:rFonts w:ascii="Arial" w:cs="Arial" w:eastAsia="Arial" w:hAnsi="Arial"/>
          <w:sz w:val="16"/>
          <w:szCs w:val="16"/>
          <w:color w:val="auto"/>
        </w:rPr>
        <w:t>1-800-621-1089</w:t>
      </w:r>
      <w:r>
        <w:rPr>
          <w:rFonts w:ascii="Arial" w:cs="Arial" w:eastAsia="Arial" w:hAnsi="Arial"/>
          <w:sz w:val="23"/>
          <w:szCs w:val="23"/>
          <w:b w:val="1"/>
          <w:bCs w:val="1"/>
          <w:color w:val="auto"/>
        </w:rPr>
        <w:t>]</w:t>
      </w:r>
      <w:r>
        <w:rPr>
          <w:rFonts w:ascii="Arial" w:cs="Arial" w:eastAsia="Arial" w:hAnsi="Arial"/>
          <w:sz w:val="26"/>
          <w:szCs w:val="26"/>
          <w:b w:val="1"/>
          <w:bCs w:val="1"/>
          <w:color w:val="auto"/>
          <w:vertAlign w:val="superscript"/>
        </w:rPr>
        <w:t>C</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To contact us, please use the above-listed telephone number.</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[Deductions from Annuity Payments:</w:t>
      </w:r>
    </w:p>
    <w:p>
      <w:pPr>
        <w:spacing w:after="0" w:line="222" w:lineRule="exact"/>
        <w:rPr>
          <w:sz w:val="20"/>
          <w:szCs w:val="20"/>
          <w:color w:val="auto"/>
        </w:rPr>
      </w:pPr>
    </w:p>
    <w:p>
      <w:pPr>
        <w:ind w:right="40"/>
        <w:spacing w:after="0" w:line="303" w:lineRule="auto"/>
        <w:rPr>
          <w:sz w:val="20"/>
          <w:szCs w:val="20"/>
          <w:color w:val="auto"/>
        </w:rPr>
      </w:pPr>
      <w:r>
        <w:rPr>
          <w:rFonts w:ascii="Arial" w:cs="Arial" w:eastAsia="Arial" w:hAnsi="Arial"/>
          <w:sz w:val="15"/>
          <w:szCs w:val="15"/>
          <w:color w:val="auto"/>
        </w:rPr>
        <w:t xml:space="preserve">You (or your Contingent Life) may request in writing in a manner specified by us that we deduct a specified amount each month from the amounts we pay to you (or your Contingent Life). The amounts will be applied for payment of your health care premiums and for payment of other benefits that were permitted to be deducted from Plan benefits governed by the Plan. Upon receipt by us of the request, the amount specified in the request shall, subject to our consent, be deducted each month. Deductions will end if we receive a request (in a manner specified by us) from you (or your Contingent Life) to do so. The amount deducted each month shall be transferred on your behalf (or your Contingent Life's behalf) as specified in the request. The amount transferred will be in full settlement of all of our obligations under the Contract with respect to the amount transferred. Deductions by us on your behalf (or on behalf of your Contingent Life) will begin or end, as the case may be, no earlier than the annuity payment that is due at least 30 days following our receipt of the request to begin or end deductions for you or your Contingent Life).] </w:t>
      </w:r>
      <w:r>
        <w:rPr>
          <w:rFonts w:ascii="Arial" w:cs="Arial" w:eastAsia="Arial" w:hAnsi="Arial"/>
          <w:sz w:val="21"/>
          <w:szCs w:val="21"/>
          <w:color w:val="auto"/>
          <w:vertAlign w:val="superscript"/>
        </w:rPr>
        <w:t>D</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Additional Details:</w:t>
      </w:r>
    </w:p>
    <w:p>
      <w:pPr>
        <w:spacing w:after="0" w:line="209" w:lineRule="exact"/>
        <w:rPr>
          <w:sz w:val="20"/>
          <w:szCs w:val="20"/>
          <w:color w:val="auto"/>
        </w:rPr>
      </w:pPr>
    </w:p>
    <w:p>
      <w:pPr>
        <w:ind w:right="640"/>
        <w:spacing w:after="0" w:line="298" w:lineRule="auto"/>
        <w:rPr>
          <w:sz w:val="20"/>
          <w:szCs w:val="20"/>
          <w:color w:val="auto"/>
        </w:rPr>
      </w:pPr>
      <w:r>
        <w:rPr>
          <w:rFonts w:ascii="Arial" w:cs="Arial" w:eastAsia="Arial" w:hAnsi="Arial"/>
          <w:sz w:val="16"/>
          <w:szCs w:val="16"/>
          <w:color w:val="auto"/>
        </w:rPr>
        <w:t>This Certificate contains a summary of certain important terms of the Contract. The Contract contains a more complete description of your rights and Prudential's obligations. The Contract will control in the event of a conflict between the terms of this Certificate and the terms of the Contract.</w:t>
      </w:r>
    </w:p>
    <w:p>
      <w:pPr>
        <w:spacing w:after="0" w:line="200" w:lineRule="exact"/>
        <w:rPr>
          <w:sz w:val="20"/>
          <w:szCs w:val="20"/>
          <w:color w:val="auto"/>
        </w:rPr>
      </w:pPr>
    </w:p>
    <w:p>
      <w:pPr>
        <w:spacing w:after="0" w:line="344" w:lineRule="exact"/>
        <w:rPr>
          <w:sz w:val="20"/>
          <w:szCs w:val="20"/>
          <w:color w:val="auto"/>
        </w:rPr>
      </w:pPr>
    </w:p>
    <w:p>
      <w:pPr>
        <w:jc w:val="both"/>
        <w:ind w:right="400"/>
        <w:spacing w:after="0" w:line="334" w:lineRule="auto"/>
        <w:rPr>
          <w:sz w:val="20"/>
          <w:szCs w:val="20"/>
          <w:color w:val="auto"/>
        </w:rPr>
      </w:pPr>
      <w:r>
        <w:rPr>
          <w:rFonts w:ascii="Arial" w:cs="Arial" w:eastAsia="Arial" w:hAnsi="Arial"/>
          <w:sz w:val="15"/>
          <w:szCs w:val="15"/>
          <w:color w:val="auto"/>
        </w:rPr>
        <w:t>Upon a change in the requirements of applicable law or a regulation administered by a governmental agency, we may change the Contract and/or this Certificate. If a change is made, it may be done without the consent of the Payee. Any change will be made only as strictly necessary to satisfy the requirements of law or regulation.</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Appendix 1.3 - 8</w:t>
      </w:r>
    </w:p>
    <w:p>
      <w:pPr>
        <w:sectPr>
          <w:pgSz w:w="11900" w:h="16838" w:orient="portrait"/>
          <w:cols w:equalWidth="0" w:num="1">
            <w:col w:w="11420"/>
          </w:cols>
          <w:pgMar w:left="240" w:top="753" w:right="239" w:bottom="1440" w:gutter="0" w:footer="0" w:header="0"/>
        </w:sectPr>
      </w:pPr>
    </w:p>
    <w:bookmarkStart w:id="122" w:name="page123"/>
    <w:bookmarkEnd w:id="122"/>
    <w:tbl>
      <w:tblPr>
        <w:tblLayout w:type="fixed"/>
        <w:tblInd w:w="510" w:type="dxa"/>
        <w:tblCellMar>
          <w:top w:w="0" w:type="dxa"/>
          <w:left w:w="0" w:type="dxa"/>
          <w:bottom w:w="0" w:type="dxa"/>
          <w:right w:w="0" w:type="dxa"/>
        </w:tblCellMar>
      </w:tblPr>
      <w:tr>
        <w:trPr>
          <w:trHeight w:val="237"/>
        </w:trPr>
        <w:tc>
          <w:tcPr>
            <w:tcW w:w="3580" w:type="dxa"/>
            <w:vAlign w:val="bottom"/>
          </w:tcPr>
          <w:p>
            <w:pPr>
              <w:spacing w:after="0"/>
              <w:rPr>
                <w:sz w:val="20"/>
                <w:szCs w:val="20"/>
                <w:color w:val="auto"/>
              </w:rPr>
            </w:pPr>
          </w:p>
        </w:tc>
        <w:tc>
          <w:tcPr>
            <w:tcW w:w="4460" w:type="dxa"/>
            <w:vAlign w:val="bottom"/>
            <w:gridSpan w:val="2"/>
          </w:tcPr>
          <w:p>
            <w:pPr>
              <w:ind w:left="100"/>
              <w:spacing w:after="0"/>
              <w:rPr>
                <w:sz w:val="20"/>
                <w:szCs w:val="20"/>
                <w:color w:val="auto"/>
              </w:rPr>
            </w:pPr>
            <w:r>
              <w:rPr>
                <w:rFonts w:ascii="Arial" w:cs="Arial" w:eastAsia="Arial" w:hAnsi="Arial"/>
                <w:sz w:val="18"/>
                <w:szCs w:val="18"/>
                <w:b w:val="1"/>
                <w:bCs w:val="1"/>
                <w:color w:val="auto"/>
              </w:rPr>
              <w:t>INDEX:</w:t>
            </w:r>
          </w:p>
        </w:tc>
      </w:tr>
      <w:tr>
        <w:trPr>
          <w:trHeight w:val="322"/>
        </w:trPr>
        <w:tc>
          <w:tcPr>
            <w:tcW w:w="35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r>
      <w:tr>
        <w:trPr>
          <w:trHeight w:val="234"/>
        </w:trPr>
        <w:tc>
          <w:tcPr>
            <w:tcW w:w="35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Annuity Certificate Section:</w:t>
            </w:r>
          </w:p>
        </w:tc>
        <w:tc>
          <w:tcPr>
            <w:tcW w:w="1260" w:type="dxa"/>
            <w:vAlign w:val="bottom"/>
            <w:tcBorders>
              <w:right w:val="single" w:sz="8" w:color="auto"/>
            </w:tcBorders>
          </w:tcPr>
          <w:p>
            <w:pPr>
              <w:spacing w:after="0"/>
              <w:rPr>
                <w:sz w:val="20"/>
                <w:szCs w:val="20"/>
                <w:color w:val="auto"/>
              </w:rPr>
            </w:pP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Page Number</w:t>
            </w:r>
          </w:p>
        </w:tc>
      </w:tr>
      <w:tr>
        <w:trPr>
          <w:trHeight w:val="21"/>
        </w:trPr>
        <w:tc>
          <w:tcPr>
            <w:tcW w:w="3580" w:type="dxa"/>
            <w:vAlign w:val="bottom"/>
            <w:tcBorders>
              <w:left w:val="single" w:sz="8" w:color="auto"/>
              <w:bottom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c>
          <w:tcPr>
            <w:tcW w:w="3200" w:type="dxa"/>
            <w:vAlign w:val="bottom"/>
            <w:tcBorders>
              <w:bottom w:val="single" w:sz="8" w:color="auto"/>
              <w:right w:val="single" w:sz="8" w:color="auto"/>
            </w:tcBorders>
          </w:tcPr>
          <w:p>
            <w:pPr>
              <w:spacing w:after="0" w:line="20" w:lineRule="exact"/>
              <w:rPr>
                <w:sz w:val="1"/>
                <w:szCs w:val="1"/>
                <w:color w:val="auto"/>
              </w:rPr>
            </w:pPr>
          </w:p>
        </w:tc>
      </w:tr>
      <w:tr>
        <w:trPr>
          <w:trHeight w:val="706"/>
        </w:trPr>
        <w:tc>
          <w:tcPr>
            <w:tcW w:w="3580" w:type="dxa"/>
            <w:vAlign w:val="bottom"/>
            <w:tcBorders>
              <w:left w:val="single" w:sz="8" w:color="auto"/>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c>
          <w:tcPr>
            <w:tcW w:w="3200" w:type="dxa"/>
            <w:vAlign w:val="bottom"/>
            <w:tcBorders>
              <w:bottom w:val="single" w:sz="8" w:color="auto"/>
              <w:right w:val="single" w:sz="8" w:color="auto"/>
            </w:tcBorders>
          </w:tcPr>
          <w:p>
            <w:pPr>
              <w:spacing w:after="0"/>
              <w:rPr>
                <w:sz w:val="24"/>
                <w:szCs w:val="24"/>
                <w:color w:val="auto"/>
              </w:rPr>
            </w:pPr>
          </w:p>
        </w:tc>
      </w:tr>
      <w:tr>
        <w:trPr>
          <w:trHeight w:val="234"/>
        </w:trPr>
        <w:tc>
          <w:tcPr>
            <w:tcW w:w="35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Table of Information</w:t>
            </w:r>
          </w:p>
        </w:tc>
        <w:tc>
          <w:tcPr>
            <w:tcW w:w="1260" w:type="dxa"/>
            <w:vAlign w:val="bottom"/>
            <w:tcBorders>
              <w:right w:val="single" w:sz="8" w:color="auto"/>
            </w:tcBorders>
          </w:tcPr>
          <w:p>
            <w:pPr>
              <w:spacing w:after="0"/>
              <w:rPr>
                <w:sz w:val="20"/>
                <w:szCs w:val="20"/>
                <w:color w:val="auto"/>
              </w:rPr>
            </w:pP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w:t>
            </w:r>
          </w:p>
        </w:tc>
      </w:tr>
      <w:tr>
        <w:trPr>
          <w:trHeight w:val="21"/>
        </w:trPr>
        <w:tc>
          <w:tcPr>
            <w:tcW w:w="3580" w:type="dxa"/>
            <w:vAlign w:val="bottom"/>
            <w:tcBorders>
              <w:left w:val="single" w:sz="8" w:color="auto"/>
              <w:bottom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c>
          <w:tcPr>
            <w:tcW w:w="3200" w:type="dxa"/>
            <w:vAlign w:val="bottom"/>
            <w:tcBorders>
              <w:bottom w:val="single" w:sz="8" w:color="auto"/>
              <w:right w:val="single" w:sz="8" w:color="auto"/>
            </w:tcBorders>
          </w:tcPr>
          <w:p>
            <w:pPr>
              <w:spacing w:after="0" w:line="20" w:lineRule="exact"/>
              <w:rPr>
                <w:sz w:val="1"/>
                <w:szCs w:val="1"/>
                <w:color w:val="auto"/>
              </w:rPr>
            </w:pPr>
          </w:p>
        </w:tc>
      </w:tr>
      <w:tr>
        <w:trPr>
          <w:trHeight w:val="234"/>
        </w:trPr>
        <w:tc>
          <w:tcPr>
            <w:tcW w:w="35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Prudential's Guarantee</w:t>
            </w:r>
          </w:p>
        </w:tc>
        <w:tc>
          <w:tcPr>
            <w:tcW w:w="1260" w:type="dxa"/>
            <w:vAlign w:val="bottom"/>
            <w:tcBorders>
              <w:right w:val="single" w:sz="8" w:color="auto"/>
            </w:tcBorders>
          </w:tcPr>
          <w:p>
            <w:pPr>
              <w:spacing w:after="0"/>
              <w:rPr>
                <w:sz w:val="20"/>
                <w:szCs w:val="20"/>
                <w:color w:val="auto"/>
              </w:rPr>
            </w:pP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2</w:t>
            </w:r>
          </w:p>
        </w:tc>
      </w:tr>
      <w:tr>
        <w:trPr>
          <w:trHeight w:val="21"/>
        </w:trPr>
        <w:tc>
          <w:tcPr>
            <w:tcW w:w="3580" w:type="dxa"/>
            <w:vAlign w:val="bottom"/>
            <w:tcBorders>
              <w:left w:val="single" w:sz="8" w:color="auto"/>
              <w:bottom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c>
          <w:tcPr>
            <w:tcW w:w="3200" w:type="dxa"/>
            <w:vAlign w:val="bottom"/>
            <w:tcBorders>
              <w:bottom w:val="single" w:sz="8" w:color="auto"/>
              <w:right w:val="single" w:sz="8" w:color="auto"/>
            </w:tcBorders>
          </w:tcPr>
          <w:p>
            <w:pPr>
              <w:spacing w:after="0" w:line="20" w:lineRule="exact"/>
              <w:rPr>
                <w:sz w:val="1"/>
                <w:szCs w:val="1"/>
                <w:color w:val="auto"/>
              </w:rPr>
            </w:pPr>
          </w:p>
        </w:tc>
      </w:tr>
      <w:tr>
        <w:trPr>
          <w:trHeight w:val="234"/>
        </w:trPr>
        <w:tc>
          <w:tcPr>
            <w:tcW w:w="35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Definitions &amp; References</w:t>
            </w:r>
          </w:p>
        </w:tc>
        <w:tc>
          <w:tcPr>
            <w:tcW w:w="1260" w:type="dxa"/>
            <w:vAlign w:val="bottom"/>
            <w:tcBorders>
              <w:right w:val="single" w:sz="8" w:color="auto"/>
            </w:tcBorders>
          </w:tcPr>
          <w:p>
            <w:pPr>
              <w:spacing w:after="0"/>
              <w:rPr>
                <w:sz w:val="20"/>
                <w:szCs w:val="20"/>
                <w:color w:val="auto"/>
              </w:rPr>
            </w:pP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2</w:t>
            </w:r>
          </w:p>
        </w:tc>
      </w:tr>
      <w:tr>
        <w:trPr>
          <w:trHeight w:val="21"/>
        </w:trPr>
        <w:tc>
          <w:tcPr>
            <w:tcW w:w="3580" w:type="dxa"/>
            <w:vAlign w:val="bottom"/>
            <w:tcBorders>
              <w:left w:val="single" w:sz="8" w:color="auto"/>
              <w:bottom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c>
          <w:tcPr>
            <w:tcW w:w="3200" w:type="dxa"/>
            <w:vAlign w:val="bottom"/>
            <w:tcBorders>
              <w:bottom w:val="single" w:sz="8" w:color="auto"/>
              <w:right w:val="single" w:sz="8" w:color="auto"/>
            </w:tcBorders>
          </w:tcPr>
          <w:p>
            <w:pPr>
              <w:spacing w:after="0" w:line="20" w:lineRule="exact"/>
              <w:rPr>
                <w:sz w:val="1"/>
                <w:szCs w:val="1"/>
                <w:color w:val="auto"/>
              </w:rPr>
            </w:pPr>
          </w:p>
        </w:tc>
      </w:tr>
      <w:tr>
        <w:trPr>
          <w:trHeight w:val="234"/>
        </w:trPr>
        <w:tc>
          <w:tcPr>
            <w:tcW w:w="35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Payment Terms</w:t>
            </w:r>
          </w:p>
        </w:tc>
        <w:tc>
          <w:tcPr>
            <w:tcW w:w="1260" w:type="dxa"/>
            <w:vAlign w:val="bottom"/>
            <w:tcBorders>
              <w:right w:val="single" w:sz="8" w:color="auto"/>
            </w:tcBorders>
          </w:tcPr>
          <w:p>
            <w:pPr>
              <w:spacing w:after="0"/>
              <w:rPr>
                <w:sz w:val="20"/>
                <w:szCs w:val="20"/>
                <w:color w:val="auto"/>
              </w:rPr>
            </w:pP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2</w:t>
            </w:r>
          </w:p>
        </w:tc>
      </w:tr>
      <w:tr>
        <w:trPr>
          <w:trHeight w:val="21"/>
        </w:trPr>
        <w:tc>
          <w:tcPr>
            <w:tcW w:w="3580" w:type="dxa"/>
            <w:vAlign w:val="bottom"/>
            <w:tcBorders>
              <w:left w:val="single" w:sz="8" w:color="auto"/>
              <w:bottom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c>
          <w:tcPr>
            <w:tcW w:w="3200" w:type="dxa"/>
            <w:vAlign w:val="bottom"/>
            <w:tcBorders>
              <w:bottom w:val="single" w:sz="8" w:color="auto"/>
              <w:right w:val="single" w:sz="8" w:color="auto"/>
            </w:tcBorders>
          </w:tcPr>
          <w:p>
            <w:pPr>
              <w:spacing w:after="0" w:line="20" w:lineRule="exact"/>
              <w:rPr>
                <w:sz w:val="1"/>
                <w:szCs w:val="1"/>
                <w:color w:val="auto"/>
              </w:rPr>
            </w:pPr>
          </w:p>
        </w:tc>
      </w:tr>
      <w:tr>
        <w:trPr>
          <w:trHeight w:val="234"/>
        </w:trPr>
        <w:tc>
          <w:tcPr>
            <w:tcW w:w="35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Method of Payment</w:t>
            </w:r>
          </w:p>
        </w:tc>
        <w:tc>
          <w:tcPr>
            <w:tcW w:w="1260" w:type="dxa"/>
            <w:vAlign w:val="bottom"/>
            <w:tcBorders>
              <w:right w:val="single" w:sz="8" w:color="auto"/>
            </w:tcBorders>
          </w:tcPr>
          <w:p>
            <w:pPr>
              <w:spacing w:after="0"/>
              <w:rPr>
                <w:sz w:val="20"/>
                <w:szCs w:val="20"/>
                <w:color w:val="auto"/>
              </w:rPr>
            </w:pP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5</w:t>
            </w:r>
          </w:p>
        </w:tc>
      </w:tr>
      <w:tr>
        <w:trPr>
          <w:trHeight w:val="21"/>
        </w:trPr>
        <w:tc>
          <w:tcPr>
            <w:tcW w:w="3580" w:type="dxa"/>
            <w:vAlign w:val="bottom"/>
            <w:tcBorders>
              <w:left w:val="single" w:sz="8" w:color="auto"/>
              <w:bottom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c>
          <w:tcPr>
            <w:tcW w:w="3200" w:type="dxa"/>
            <w:vAlign w:val="bottom"/>
            <w:tcBorders>
              <w:bottom w:val="single" w:sz="8" w:color="auto"/>
              <w:right w:val="single" w:sz="8" w:color="auto"/>
            </w:tcBorders>
          </w:tcPr>
          <w:p>
            <w:pPr>
              <w:spacing w:after="0" w:line="20" w:lineRule="exact"/>
              <w:rPr>
                <w:sz w:val="1"/>
                <w:szCs w:val="1"/>
                <w:color w:val="auto"/>
              </w:rPr>
            </w:pPr>
          </w:p>
        </w:tc>
      </w:tr>
      <w:tr>
        <w:trPr>
          <w:trHeight w:val="234"/>
        </w:trPr>
        <w:tc>
          <w:tcPr>
            <w:tcW w:w="35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Correspondence</w:t>
            </w:r>
          </w:p>
        </w:tc>
        <w:tc>
          <w:tcPr>
            <w:tcW w:w="1260" w:type="dxa"/>
            <w:vAlign w:val="bottom"/>
            <w:tcBorders>
              <w:right w:val="single" w:sz="8" w:color="auto"/>
            </w:tcBorders>
          </w:tcPr>
          <w:p>
            <w:pPr>
              <w:spacing w:after="0"/>
              <w:rPr>
                <w:sz w:val="20"/>
                <w:szCs w:val="20"/>
                <w:color w:val="auto"/>
              </w:rPr>
            </w:pP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5</w:t>
            </w:r>
          </w:p>
        </w:tc>
      </w:tr>
      <w:tr>
        <w:trPr>
          <w:trHeight w:val="21"/>
        </w:trPr>
        <w:tc>
          <w:tcPr>
            <w:tcW w:w="3580" w:type="dxa"/>
            <w:vAlign w:val="bottom"/>
            <w:tcBorders>
              <w:left w:val="single" w:sz="8" w:color="auto"/>
              <w:bottom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c>
          <w:tcPr>
            <w:tcW w:w="3200" w:type="dxa"/>
            <w:vAlign w:val="bottom"/>
            <w:tcBorders>
              <w:bottom w:val="single" w:sz="8" w:color="auto"/>
              <w:right w:val="single" w:sz="8" w:color="auto"/>
            </w:tcBorders>
          </w:tcPr>
          <w:p>
            <w:pPr>
              <w:spacing w:after="0" w:line="20" w:lineRule="exact"/>
              <w:rPr>
                <w:sz w:val="1"/>
                <w:szCs w:val="1"/>
                <w:color w:val="auto"/>
              </w:rPr>
            </w:pPr>
          </w:p>
        </w:tc>
      </w:tr>
      <w:tr>
        <w:trPr>
          <w:trHeight w:val="234"/>
        </w:trPr>
        <w:tc>
          <w:tcPr>
            <w:tcW w:w="35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Beneficiaries</w:t>
            </w:r>
          </w:p>
        </w:tc>
        <w:tc>
          <w:tcPr>
            <w:tcW w:w="1260" w:type="dxa"/>
            <w:vAlign w:val="bottom"/>
            <w:tcBorders>
              <w:right w:val="single" w:sz="8" w:color="auto"/>
            </w:tcBorders>
          </w:tcPr>
          <w:p>
            <w:pPr>
              <w:spacing w:after="0"/>
              <w:rPr>
                <w:sz w:val="20"/>
                <w:szCs w:val="20"/>
                <w:color w:val="auto"/>
              </w:rPr>
            </w:pP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5</w:t>
            </w:r>
          </w:p>
        </w:tc>
      </w:tr>
      <w:tr>
        <w:trPr>
          <w:trHeight w:val="21"/>
        </w:trPr>
        <w:tc>
          <w:tcPr>
            <w:tcW w:w="3580" w:type="dxa"/>
            <w:vAlign w:val="bottom"/>
            <w:tcBorders>
              <w:left w:val="single" w:sz="8" w:color="auto"/>
              <w:bottom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c>
          <w:tcPr>
            <w:tcW w:w="3200" w:type="dxa"/>
            <w:vAlign w:val="bottom"/>
            <w:tcBorders>
              <w:bottom w:val="single" w:sz="8" w:color="auto"/>
              <w:right w:val="single" w:sz="8" w:color="auto"/>
            </w:tcBorders>
          </w:tcPr>
          <w:p>
            <w:pPr>
              <w:spacing w:after="0" w:line="20" w:lineRule="exact"/>
              <w:rPr>
                <w:sz w:val="1"/>
                <w:szCs w:val="1"/>
                <w:color w:val="auto"/>
              </w:rPr>
            </w:pPr>
          </w:p>
        </w:tc>
      </w:tr>
      <w:tr>
        <w:trPr>
          <w:trHeight w:val="234"/>
        </w:trPr>
        <w:tc>
          <w:tcPr>
            <w:tcW w:w="35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Assignment</w:t>
            </w:r>
          </w:p>
        </w:tc>
        <w:tc>
          <w:tcPr>
            <w:tcW w:w="1260" w:type="dxa"/>
            <w:vAlign w:val="bottom"/>
            <w:tcBorders>
              <w:right w:val="single" w:sz="8" w:color="auto"/>
            </w:tcBorders>
          </w:tcPr>
          <w:p>
            <w:pPr>
              <w:spacing w:after="0"/>
              <w:rPr>
                <w:sz w:val="20"/>
                <w:szCs w:val="20"/>
                <w:color w:val="auto"/>
              </w:rPr>
            </w:pP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6</w:t>
            </w:r>
          </w:p>
        </w:tc>
      </w:tr>
      <w:tr>
        <w:trPr>
          <w:trHeight w:val="21"/>
        </w:trPr>
        <w:tc>
          <w:tcPr>
            <w:tcW w:w="3580" w:type="dxa"/>
            <w:vAlign w:val="bottom"/>
            <w:tcBorders>
              <w:left w:val="single" w:sz="8" w:color="auto"/>
              <w:bottom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c>
          <w:tcPr>
            <w:tcW w:w="3200" w:type="dxa"/>
            <w:vAlign w:val="bottom"/>
            <w:tcBorders>
              <w:bottom w:val="single" w:sz="8" w:color="auto"/>
              <w:right w:val="single" w:sz="8" w:color="auto"/>
            </w:tcBorders>
          </w:tcPr>
          <w:p>
            <w:pPr>
              <w:spacing w:after="0" w:line="20" w:lineRule="exact"/>
              <w:rPr>
                <w:sz w:val="1"/>
                <w:szCs w:val="1"/>
                <w:color w:val="auto"/>
              </w:rPr>
            </w:pPr>
          </w:p>
        </w:tc>
      </w:tr>
      <w:tr>
        <w:trPr>
          <w:trHeight w:val="234"/>
        </w:trPr>
        <w:tc>
          <w:tcPr>
            <w:tcW w:w="35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Qualified Domestic Relations Orders</w:t>
            </w:r>
          </w:p>
        </w:tc>
        <w:tc>
          <w:tcPr>
            <w:tcW w:w="1260" w:type="dxa"/>
            <w:vAlign w:val="bottom"/>
            <w:tcBorders>
              <w:right w:val="single" w:sz="8" w:color="auto"/>
            </w:tcBorders>
          </w:tcPr>
          <w:p>
            <w:pPr>
              <w:spacing w:after="0"/>
              <w:rPr>
                <w:sz w:val="20"/>
                <w:szCs w:val="20"/>
                <w:color w:val="auto"/>
              </w:rPr>
            </w:pP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6</w:t>
            </w:r>
          </w:p>
        </w:tc>
      </w:tr>
      <w:tr>
        <w:trPr>
          <w:trHeight w:val="21"/>
        </w:trPr>
        <w:tc>
          <w:tcPr>
            <w:tcW w:w="3580" w:type="dxa"/>
            <w:vAlign w:val="bottom"/>
            <w:tcBorders>
              <w:left w:val="single" w:sz="8" w:color="auto"/>
              <w:bottom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c>
          <w:tcPr>
            <w:tcW w:w="3200" w:type="dxa"/>
            <w:vAlign w:val="bottom"/>
            <w:tcBorders>
              <w:bottom w:val="single" w:sz="8" w:color="auto"/>
              <w:right w:val="single" w:sz="8" w:color="auto"/>
            </w:tcBorders>
          </w:tcPr>
          <w:p>
            <w:pPr>
              <w:spacing w:after="0" w:line="20" w:lineRule="exact"/>
              <w:rPr>
                <w:sz w:val="1"/>
                <w:szCs w:val="1"/>
                <w:color w:val="auto"/>
              </w:rPr>
            </w:pPr>
          </w:p>
        </w:tc>
      </w:tr>
      <w:tr>
        <w:trPr>
          <w:trHeight w:val="234"/>
        </w:trPr>
        <w:tc>
          <w:tcPr>
            <w:tcW w:w="35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Reliance Upon Affidavit or Other Evidence</w:t>
            </w:r>
          </w:p>
        </w:tc>
        <w:tc>
          <w:tcPr>
            <w:tcW w:w="1260" w:type="dxa"/>
            <w:vAlign w:val="bottom"/>
            <w:tcBorders>
              <w:right w:val="single" w:sz="8" w:color="auto"/>
            </w:tcBorders>
          </w:tcPr>
          <w:p>
            <w:pPr>
              <w:spacing w:after="0"/>
              <w:rPr>
                <w:sz w:val="20"/>
                <w:szCs w:val="20"/>
                <w:color w:val="auto"/>
              </w:rPr>
            </w:pP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6</w:t>
            </w:r>
          </w:p>
        </w:tc>
      </w:tr>
      <w:tr>
        <w:trPr>
          <w:trHeight w:val="21"/>
        </w:trPr>
        <w:tc>
          <w:tcPr>
            <w:tcW w:w="3580" w:type="dxa"/>
            <w:vAlign w:val="bottom"/>
            <w:tcBorders>
              <w:left w:val="single" w:sz="8" w:color="auto"/>
              <w:bottom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c>
          <w:tcPr>
            <w:tcW w:w="3200" w:type="dxa"/>
            <w:vAlign w:val="bottom"/>
            <w:tcBorders>
              <w:bottom w:val="single" w:sz="8" w:color="auto"/>
              <w:right w:val="single" w:sz="8" w:color="auto"/>
            </w:tcBorders>
          </w:tcPr>
          <w:p>
            <w:pPr>
              <w:spacing w:after="0" w:line="20" w:lineRule="exact"/>
              <w:rPr>
                <w:sz w:val="1"/>
                <w:szCs w:val="1"/>
                <w:color w:val="auto"/>
              </w:rPr>
            </w:pPr>
          </w:p>
        </w:tc>
      </w:tr>
      <w:tr>
        <w:trPr>
          <w:trHeight w:val="234"/>
        </w:trPr>
        <w:tc>
          <w:tcPr>
            <w:tcW w:w="35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Misstatements,</w:t>
            </w:r>
          </w:p>
        </w:tc>
        <w:tc>
          <w:tcPr>
            <w:tcW w:w="1260" w:type="dxa"/>
            <w:vAlign w:val="bottom"/>
            <w:tcBorders>
              <w:right w:val="single" w:sz="8" w:color="auto"/>
            </w:tcBorders>
          </w:tcPr>
          <w:p>
            <w:pPr>
              <w:spacing w:after="0"/>
              <w:rPr>
                <w:sz w:val="20"/>
                <w:szCs w:val="20"/>
                <w:color w:val="auto"/>
              </w:rPr>
            </w:pP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6</w:t>
            </w:r>
          </w:p>
        </w:tc>
      </w:tr>
      <w:tr>
        <w:trPr>
          <w:trHeight w:val="21"/>
        </w:trPr>
        <w:tc>
          <w:tcPr>
            <w:tcW w:w="3580" w:type="dxa"/>
            <w:vAlign w:val="bottom"/>
            <w:tcBorders>
              <w:left w:val="single" w:sz="8" w:color="auto"/>
              <w:bottom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c>
          <w:tcPr>
            <w:tcW w:w="3200" w:type="dxa"/>
            <w:vAlign w:val="bottom"/>
            <w:tcBorders>
              <w:bottom w:val="single" w:sz="8" w:color="auto"/>
              <w:right w:val="single" w:sz="8" w:color="auto"/>
            </w:tcBorders>
          </w:tcPr>
          <w:p>
            <w:pPr>
              <w:spacing w:after="0" w:line="20" w:lineRule="exact"/>
              <w:rPr>
                <w:sz w:val="1"/>
                <w:szCs w:val="1"/>
                <w:color w:val="auto"/>
              </w:rPr>
            </w:pPr>
          </w:p>
        </w:tc>
      </w:tr>
      <w:tr>
        <w:trPr>
          <w:trHeight w:val="234"/>
        </w:trPr>
        <w:tc>
          <w:tcPr>
            <w:tcW w:w="35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Supplemental Information</w:t>
            </w:r>
          </w:p>
        </w:tc>
        <w:tc>
          <w:tcPr>
            <w:tcW w:w="1260" w:type="dxa"/>
            <w:vAlign w:val="bottom"/>
            <w:tcBorders>
              <w:right w:val="single" w:sz="8" w:color="auto"/>
            </w:tcBorders>
          </w:tcPr>
          <w:p>
            <w:pPr>
              <w:spacing w:after="0"/>
              <w:rPr>
                <w:sz w:val="20"/>
                <w:szCs w:val="20"/>
                <w:color w:val="auto"/>
              </w:rPr>
            </w:pP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7</w:t>
            </w:r>
          </w:p>
        </w:tc>
      </w:tr>
      <w:tr>
        <w:trPr>
          <w:trHeight w:val="21"/>
        </w:trPr>
        <w:tc>
          <w:tcPr>
            <w:tcW w:w="3580" w:type="dxa"/>
            <w:vAlign w:val="bottom"/>
            <w:tcBorders>
              <w:left w:val="single" w:sz="8" w:color="auto"/>
              <w:bottom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c>
          <w:tcPr>
            <w:tcW w:w="3200" w:type="dxa"/>
            <w:vAlign w:val="bottom"/>
            <w:tcBorders>
              <w:bottom w:val="single" w:sz="8" w:color="auto"/>
              <w:right w:val="single" w:sz="8" w:color="auto"/>
            </w:tcBorders>
          </w:tcPr>
          <w:p>
            <w:pPr>
              <w:spacing w:after="0" w:line="20" w:lineRule="exact"/>
              <w:rPr>
                <w:sz w:val="1"/>
                <w:szCs w:val="1"/>
                <w:color w:val="auto"/>
              </w:rPr>
            </w:pPr>
          </w:p>
        </w:tc>
      </w:tr>
      <w:tr>
        <w:trPr>
          <w:trHeight w:val="234"/>
        </w:trPr>
        <w:tc>
          <w:tcPr>
            <w:tcW w:w="35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w w:val="95"/>
              </w:rPr>
              <w:t>Certificate Errors and Replacement Certificate</w:t>
            </w:r>
          </w:p>
        </w:tc>
        <w:tc>
          <w:tcPr>
            <w:tcW w:w="1260" w:type="dxa"/>
            <w:vAlign w:val="bottom"/>
            <w:tcBorders>
              <w:right w:val="single" w:sz="8" w:color="auto"/>
            </w:tcBorders>
          </w:tcPr>
          <w:p>
            <w:pPr>
              <w:spacing w:after="0"/>
              <w:rPr>
                <w:sz w:val="20"/>
                <w:szCs w:val="20"/>
                <w:color w:val="auto"/>
              </w:rPr>
            </w:pP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7</w:t>
            </w:r>
          </w:p>
        </w:tc>
      </w:tr>
      <w:tr>
        <w:trPr>
          <w:trHeight w:val="21"/>
        </w:trPr>
        <w:tc>
          <w:tcPr>
            <w:tcW w:w="3580" w:type="dxa"/>
            <w:vAlign w:val="bottom"/>
            <w:tcBorders>
              <w:left w:val="single" w:sz="8" w:color="auto"/>
              <w:bottom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c>
          <w:tcPr>
            <w:tcW w:w="3200" w:type="dxa"/>
            <w:vAlign w:val="bottom"/>
            <w:tcBorders>
              <w:bottom w:val="single" w:sz="8" w:color="auto"/>
              <w:right w:val="single" w:sz="8" w:color="auto"/>
            </w:tcBorders>
          </w:tcPr>
          <w:p>
            <w:pPr>
              <w:spacing w:after="0" w:line="20" w:lineRule="exact"/>
              <w:rPr>
                <w:sz w:val="1"/>
                <w:szCs w:val="1"/>
                <w:color w:val="auto"/>
              </w:rPr>
            </w:pPr>
          </w:p>
        </w:tc>
      </w:tr>
      <w:tr>
        <w:trPr>
          <w:trHeight w:val="234"/>
        </w:trPr>
        <w:tc>
          <w:tcPr>
            <w:tcW w:w="35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Entire Contract</w:t>
            </w:r>
          </w:p>
        </w:tc>
        <w:tc>
          <w:tcPr>
            <w:tcW w:w="1260" w:type="dxa"/>
            <w:vAlign w:val="bottom"/>
            <w:tcBorders>
              <w:right w:val="single" w:sz="8" w:color="auto"/>
            </w:tcBorders>
          </w:tcPr>
          <w:p>
            <w:pPr>
              <w:spacing w:after="0"/>
              <w:rPr>
                <w:sz w:val="20"/>
                <w:szCs w:val="20"/>
                <w:color w:val="auto"/>
              </w:rPr>
            </w:pP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7</w:t>
            </w:r>
          </w:p>
        </w:tc>
      </w:tr>
      <w:tr>
        <w:trPr>
          <w:trHeight w:val="21"/>
        </w:trPr>
        <w:tc>
          <w:tcPr>
            <w:tcW w:w="3580" w:type="dxa"/>
            <w:vAlign w:val="bottom"/>
            <w:tcBorders>
              <w:left w:val="single" w:sz="8" w:color="auto"/>
              <w:bottom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c>
          <w:tcPr>
            <w:tcW w:w="3200" w:type="dxa"/>
            <w:vAlign w:val="bottom"/>
            <w:tcBorders>
              <w:bottom w:val="single" w:sz="8" w:color="auto"/>
              <w:right w:val="single" w:sz="8" w:color="auto"/>
            </w:tcBorders>
          </w:tcPr>
          <w:p>
            <w:pPr>
              <w:spacing w:after="0" w:line="20" w:lineRule="exact"/>
              <w:rPr>
                <w:sz w:val="1"/>
                <w:szCs w:val="1"/>
                <w:color w:val="auto"/>
              </w:rPr>
            </w:pPr>
          </w:p>
        </w:tc>
      </w:tr>
      <w:tr>
        <w:trPr>
          <w:trHeight w:val="234"/>
        </w:trPr>
        <w:tc>
          <w:tcPr>
            <w:tcW w:w="35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Rights of Payees</w:t>
            </w:r>
          </w:p>
        </w:tc>
        <w:tc>
          <w:tcPr>
            <w:tcW w:w="1260" w:type="dxa"/>
            <w:vAlign w:val="bottom"/>
            <w:tcBorders>
              <w:right w:val="single" w:sz="8" w:color="auto"/>
            </w:tcBorders>
          </w:tcPr>
          <w:p>
            <w:pPr>
              <w:spacing w:after="0"/>
              <w:rPr>
                <w:sz w:val="20"/>
                <w:szCs w:val="20"/>
                <w:color w:val="auto"/>
              </w:rPr>
            </w:pP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7</w:t>
            </w:r>
          </w:p>
        </w:tc>
      </w:tr>
      <w:tr>
        <w:trPr>
          <w:trHeight w:val="21"/>
        </w:trPr>
        <w:tc>
          <w:tcPr>
            <w:tcW w:w="3580" w:type="dxa"/>
            <w:vAlign w:val="bottom"/>
            <w:tcBorders>
              <w:left w:val="single" w:sz="8" w:color="auto"/>
              <w:bottom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c>
          <w:tcPr>
            <w:tcW w:w="3200" w:type="dxa"/>
            <w:vAlign w:val="bottom"/>
            <w:tcBorders>
              <w:bottom w:val="single" w:sz="8" w:color="auto"/>
              <w:right w:val="single" w:sz="8" w:color="auto"/>
            </w:tcBorders>
          </w:tcPr>
          <w:p>
            <w:pPr>
              <w:spacing w:after="0" w:line="20" w:lineRule="exact"/>
              <w:rPr>
                <w:sz w:val="1"/>
                <w:szCs w:val="1"/>
                <w:color w:val="auto"/>
              </w:rPr>
            </w:pPr>
          </w:p>
        </w:tc>
      </w:tr>
      <w:tr>
        <w:trPr>
          <w:trHeight w:val="234"/>
        </w:trPr>
        <w:tc>
          <w:tcPr>
            <w:tcW w:w="35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Prudential Telephone Number</w:t>
            </w:r>
          </w:p>
        </w:tc>
        <w:tc>
          <w:tcPr>
            <w:tcW w:w="1260" w:type="dxa"/>
            <w:vAlign w:val="bottom"/>
            <w:tcBorders>
              <w:right w:val="single" w:sz="8" w:color="auto"/>
            </w:tcBorders>
          </w:tcPr>
          <w:p>
            <w:pPr>
              <w:spacing w:after="0"/>
              <w:rPr>
                <w:sz w:val="20"/>
                <w:szCs w:val="20"/>
                <w:color w:val="auto"/>
              </w:rPr>
            </w:pP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7</w:t>
            </w:r>
          </w:p>
        </w:tc>
      </w:tr>
      <w:tr>
        <w:trPr>
          <w:trHeight w:val="21"/>
        </w:trPr>
        <w:tc>
          <w:tcPr>
            <w:tcW w:w="3580" w:type="dxa"/>
            <w:vAlign w:val="bottom"/>
            <w:tcBorders>
              <w:left w:val="single" w:sz="8" w:color="auto"/>
              <w:bottom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c>
          <w:tcPr>
            <w:tcW w:w="3200" w:type="dxa"/>
            <w:vAlign w:val="bottom"/>
            <w:tcBorders>
              <w:bottom w:val="single" w:sz="8" w:color="auto"/>
              <w:right w:val="single" w:sz="8" w:color="auto"/>
            </w:tcBorders>
          </w:tcPr>
          <w:p>
            <w:pPr>
              <w:spacing w:after="0" w:line="20" w:lineRule="exact"/>
              <w:rPr>
                <w:sz w:val="1"/>
                <w:szCs w:val="1"/>
                <w:color w:val="auto"/>
              </w:rPr>
            </w:pPr>
          </w:p>
        </w:tc>
      </w:tr>
      <w:tr>
        <w:trPr>
          <w:trHeight w:val="234"/>
        </w:trPr>
        <w:tc>
          <w:tcPr>
            <w:tcW w:w="35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Deductions from Annuity Payments</w:t>
            </w:r>
          </w:p>
        </w:tc>
        <w:tc>
          <w:tcPr>
            <w:tcW w:w="1260" w:type="dxa"/>
            <w:vAlign w:val="bottom"/>
            <w:tcBorders>
              <w:right w:val="single" w:sz="8" w:color="auto"/>
            </w:tcBorders>
          </w:tcPr>
          <w:p>
            <w:pPr>
              <w:spacing w:after="0"/>
              <w:rPr>
                <w:sz w:val="20"/>
                <w:szCs w:val="20"/>
                <w:color w:val="auto"/>
              </w:rPr>
            </w:pP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8</w:t>
            </w:r>
          </w:p>
        </w:tc>
      </w:tr>
      <w:tr>
        <w:trPr>
          <w:trHeight w:val="21"/>
        </w:trPr>
        <w:tc>
          <w:tcPr>
            <w:tcW w:w="3580" w:type="dxa"/>
            <w:vAlign w:val="bottom"/>
            <w:tcBorders>
              <w:left w:val="single" w:sz="8" w:color="auto"/>
              <w:bottom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c>
          <w:tcPr>
            <w:tcW w:w="3200" w:type="dxa"/>
            <w:vAlign w:val="bottom"/>
            <w:tcBorders>
              <w:bottom w:val="single" w:sz="8" w:color="auto"/>
              <w:right w:val="single" w:sz="8" w:color="auto"/>
            </w:tcBorders>
          </w:tcPr>
          <w:p>
            <w:pPr>
              <w:spacing w:after="0" w:line="20" w:lineRule="exact"/>
              <w:rPr>
                <w:sz w:val="1"/>
                <w:szCs w:val="1"/>
                <w:color w:val="auto"/>
              </w:rPr>
            </w:pPr>
          </w:p>
        </w:tc>
      </w:tr>
      <w:tr>
        <w:trPr>
          <w:trHeight w:val="234"/>
        </w:trPr>
        <w:tc>
          <w:tcPr>
            <w:tcW w:w="35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Additional Details</w:t>
            </w:r>
          </w:p>
        </w:tc>
        <w:tc>
          <w:tcPr>
            <w:tcW w:w="1260" w:type="dxa"/>
            <w:vAlign w:val="bottom"/>
            <w:tcBorders>
              <w:right w:val="single" w:sz="8" w:color="auto"/>
            </w:tcBorders>
          </w:tcPr>
          <w:p>
            <w:pPr>
              <w:spacing w:after="0"/>
              <w:rPr>
                <w:sz w:val="20"/>
                <w:szCs w:val="20"/>
                <w:color w:val="auto"/>
              </w:rPr>
            </w:pP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8</w:t>
            </w:r>
          </w:p>
        </w:tc>
      </w:tr>
      <w:tr>
        <w:trPr>
          <w:trHeight w:val="21"/>
        </w:trPr>
        <w:tc>
          <w:tcPr>
            <w:tcW w:w="3580" w:type="dxa"/>
            <w:vAlign w:val="bottom"/>
            <w:tcBorders>
              <w:left w:val="single" w:sz="8" w:color="auto"/>
              <w:bottom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c>
          <w:tcPr>
            <w:tcW w:w="3200" w:type="dxa"/>
            <w:vAlign w:val="bottom"/>
            <w:tcBorders>
              <w:bottom w:val="single" w:sz="8" w:color="auto"/>
              <w:right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Appendix 1.3 - 9</w:t>
      </w:r>
    </w:p>
    <w:p>
      <w:pPr>
        <w:sectPr>
          <w:pgSz w:w="11900" w:h="16838" w:orient="portrait"/>
          <w:cols w:equalWidth="0" w:num="1">
            <w:col w:w="9019"/>
          </w:cols>
          <w:pgMar w:left="1440" w:top="945" w:right="1440" w:bottom="1440" w:gutter="0" w:footer="0" w:header="0"/>
        </w:sectPr>
      </w:pPr>
    </w:p>
    <w:bookmarkStart w:id="123" w:name="page124"/>
    <w:bookmarkEnd w:id="123"/>
    <w:p>
      <w:pPr>
        <w:jc w:val="right"/>
        <w:spacing w:after="0"/>
        <w:rPr>
          <w:sz w:val="20"/>
          <w:szCs w:val="20"/>
          <w:color w:val="auto"/>
        </w:rPr>
      </w:pPr>
      <w:r>
        <w:rPr>
          <w:rFonts w:ascii="Arial" w:cs="Arial" w:eastAsia="Arial" w:hAnsi="Arial"/>
          <w:sz w:val="20"/>
          <w:szCs w:val="20"/>
          <w:b w:val="1"/>
          <w:bCs w:val="1"/>
          <w:color w:val="auto"/>
        </w:rPr>
        <w:t>THE PRUDENTIAL INSURANCE</w:t>
      </w:r>
    </w:p>
    <w:p>
      <w:pPr>
        <w:spacing w:after="0" w:line="30"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COMPANY OF AMERICA</w:t>
      </w:r>
    </w:p>
    <w:p>
      <w:pPr>
        <w:spacing w:after="0" w:line="8"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Newark, New Jersey</w:t>
      </w:r>
    </w:p>
    <w:p>
      <w:pPr>
        <w:spacing w:after="0" w:line="167"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3720" w:type="dxa"/>
            <w:vAlign w:val="bottom"/>
          </w:tcPr>
          <w:p>
            <w:pPr>
              <w:spacing w:after="0"/>
              <w:rPr>
                <w:sz w:val="17"/>
                <w:szCs w:val="17"/>
                <w:color w:val="auto"/>
              </w:rPr>
            </w:pPr>
          </w:p>
        </w:tc>
        <w:tc>
          <w:tcPr>
            <w:tcW w:w="6780" w:type="dxa"/>
            <w:vAlign w:val="bottom"/>
            <w:gridSpan w:val="6"/>
          </w:tcPr>
          <w:p>
            <w:pPr>
              <w:jc w:val="center"/>
              <w:ind w:right="3740"/>
              <w:spacing w:after="0"/>
              <w:rPr>
                <w:sz w:val="20"/>
                <w:szCs w:val="20"/>
                <w:color w:val="auto"/>
              </w:rPr>
            </w:pPr>
            <w:r>
              <w:rPr>
                <w:rFonts w:ascii="Arial" w:cs="Arial" w:eastAsia="Arial" w:hAnsi="Arial"/>
                <w:sz w:val="18"/>
                <w:szCs w:val="18"/>
                <w:b w:val="1"/>
                <w:bCs w:val="1"/>
                <w:color w:val="auto"/>
              </w:rPr>
              <w:t>ANNUITY CERTIFICATE</w:t>
            </w:r>
          </w:p>
        </w:tc>
      </w:tr>
      <w:tr>
        <w:trPr>
          <w:trHeight w:val="393"/>
        </w:trPr>
        <w:tc>
          <w:tcPr>
            <w:tcW w:w="3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160" w:type="dxa"/>
            <w:vAlign w:val="bottom"/>
            <w:tcBorders>
              <w:top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94"/>
              </w:rPr>
              <w:t>Table of Information</w:t>
            </w:r>
          </w:p>
        </w:tc>
        <w:tc>
          <w:tcPr>
            <w:tcW w:w="4180" w:type="dxa"/>
            <w:vAlign w:val="bottom"/>
          </w:tcPr>
          <w:p>
            <w:pPr>
              <w:spacing w:after="0"/>
              <w:rPr>
                <w:sz w:val="24"/>
                <w:szCs w:val="24"/>
                <w:color w:val="auto"/>
              </w:rPr>
            </w:pPr>
          </w:p>
        </w:tc>
      </w:tr>
      <w:tr>
        <w:trPr>
          <w:trHeight w:val="543"/>
        </w:trPr>
        <w:tc>
          <w:tcPr>
            <w:tcW w:w="3720" w:type="dxa"/>
            <w:vAlign w:val="bottom"/>
            <w:tcBorders>
              <w:bottom w:val="single" w:sz="8" w:color="C0C0C0"/>
            </w:tcBorders>
          </w:tcPr>
          <w:p>
            <w:pPr>
              <w:spacing w:after="0"/>
              <w:rPr>
                <w:sz w:val="24"/>
                <w:szCs w:val="24"/>
                <w:color w:val="auto"/>
              </w:rPr>
            </w:pPr>
          </w:p>
        </w:tc>
        <w:tc>
          <w:tcPr>
            <w:tcW w:w="440" w:type="dxa"/>
            <w:vAlign w:val="bottom"/>
            <w:tcBorders>
              <w:bottom w:val="single" w:sz="8" w:color="C0C0C0"/>
            </w:tcBorders>
          </w:tcPr>
          <w:p>
            <w:pPr>
              <w:spacing w:after="0"/>
              <w:rPr>
                <w:sz w:val="24"/>
                <w:szCs w:val="24"/>
                <w:color w:val="auto"/>
              </w:rPr>
            </w:pPr>
          </w:p>
        </w:tc>
        <w:tc>
          <w:tcPr>
            <w:tcW w:w="260" w:type="dxa"/>
            <w:vAlign w:val="bottom"/>
            <w:tcBorders>
              <w:bottom w:val="single" w:sz="8" w:color="C0C0C0"/>
            </w:tcBorders>
          </w:tcPr>
          <w:p>
            <w:pPr>
              <w:spacing w:after="0"/>
              <w:rPr>
                <w:sz w:val="24"/>
                <w:szCs w:val="24"/>
                <w:color w:val="auto"/>
              </w:rPr>
            </w:pPr>
          </w:p>
        </w:tc>
        <w:tc>
          <w:tcPr>
            <w:tcW w:w="420" w:type="dxa"/>
            <w:vAlign w:val="bottom"/>
            <w:tcBorders>
              <w:top w:val="single" w:sz="8" w:color="auto"/>
              <w:bottom w:val="single" w:sz="8" w:color="C0C0C0"/>
            </w:tcBorders>
          </w:tcPr>
          <w:p>
            <w:pPr>
              <w:spacing w:after="0"/>
              <w:rPr>
                <w:sz w:val="24"/>
                <w:szCs w:val="24"/>
                <w:color w:val="auto"/>
              </w:rPr>
            </w:pPr>
          </w:p>
        </w:tc>
        <w:tc>
          <w:tcPr>
            <w:tcW w:w="1220" w:type="dxa"/>
            <w:vAlign w:val="bottom"/>
            <w:tcBorders>
              <w:top w:val="single" w:sz="8" w:color="auto"/>
              <w:bottom w:val="single" w:sz="8" w:color="C0C0C0"/>
            </w:tcBorders>
          </w:tcPr>
          <w:p>
            <w:pPr>
              <w:spacing w:after="0"/>
              <w:rPr>
                <w:sz w:val="24"/>
                <w:szCs w:val="24"/>
                <w:color w:val="auto"/>
              </w:rPr>
            </w:pPr>
          </w:p>
        </w:tc>
        <w:tc>
          <w:tcPr>
            <w:tcW w:w="260" w:type="dxa"/>
            <w:vAlign w:val="bottom"/>
            <w:tcBorders>
              <w:bottom w:val="single" w:sz="8" w:color="C0C0C0"/>
            </w:tcBorders>
          </w:tcPr>
          <w:p>
            <w:pPr>
              <w:spacing w:after="0"/>
              <w:rPr>
                <w:sz w:val="24"/>
                <w:szCs w:val="24"/>
                <w:color w:val="auto"/>
              </w:rPr>
            </w:pPr>
          </w:p>
        </w:tc>
        <w:tc>
          <w:tcPr>
            <w:tcW w:w="4180" w:type="dxa"/>
            <w:vAlign w:val="bottom"/>
            <w:tcBorders>
              <w:bottom w:val="single" w:sz="8" w:color="C0C0C0"/>
            </w:tcBorders>
          </w:tcPr>
          <w:p>
            <w:pPr>
              <w:spacing w:after="0"/>
              <w:rPr>
                <w:sz w:val="24"/>
                <w:szCs w:val="24"/>
                <w:color w:val="auto"/>
              </w:rPr>
            </w:pPr>
          </w:p>
        </w:tc>
      </w:tr>
      <w:tr>
        <w:trPr>
          <w:trHeight w:val="255"/>
        </w:trPr>
        <w:tc>
          <w:tcPr>
            <w:tcW w:w="3720" w:type="dxa"/>
            <w:vAlign w:val="bottom"/>
            <w:tcBorders>
              <w:left w:val="single" w:sz="8" w:color="C0C0C0"/>
              <w:bottom w:val="single" w:sz="8" w:color="C0C0C0"/>
            </w:tcBorders>
          </w:tcPr>
          <w:p>
            <w:pPr>
              <w:ind w:left="40"/>
              <w:spacing w:after="0"/>
              <w:rPr>
                <w:sz w:val="20"/>
                <w:szCs w:val="20"/>
                <w:color w:val="auto"/>
              </w:rPr>
            </w:pPr>
            <w:r>
              <w:rPr>
                <w:rFonts w:ascii="Arial" w:cs="Arial" w:eastAsia="Arial" w:hAnsi="Arial"/>
                <w:sz w:val="18"/>
                <w:szCs w:val="18"/>
                <w:i w:val="1"/>
                <w:iCs w:val="1"/>
                <w:color w:val="auto"/>
              </w:rPr>
              <w:t>Covered Life:</w:t>
            </w:r>
          </w:p>
        </w:tc>
        <w:tc>
          <w:tcPr>
            <w:tcW w:w="440" w:type="dxa"/>
            <w:vAlign w:val="bottom"/>
            <w:tcBorders>
              <w:bottom w:val="single" w:sz="8" w:color="C0C0C0"/>
            </w:tcBorders>
          </w:tcPr>
          <w:p>
            <w:pPr>
              <w:spacing w:after="0"/>
              <w:rPr>
                <w:sz w:val="22"/>
                <w:szCs w:val="22"/>
                <w:color w:val="auto"/>
              </w:rPr>
            </w:pPr>
          </w:p>
        </w:tc>
        <w:tc>
          <w:tcPr>
            <w:tcW w:w="260" w:type="dxa"/>
            <w:vAlign w:val="bottom"/>
            <w:tcBorders>
              <w:bottom w:val="single" w:sz="8" w:color="C0C0C0"/>
            </w:tcBorders>
          </w:tcPr>
          <w:p>
            <w:pPr>
              <w:spacing w:after="0"/>
              <w:rPr>
                <w:sz w:val="22"/>
                <w:szCs w:val="22"/>
                <w:color w:val="auto"/>
              </w:rPr>
            </w:pPr>
          </w:p>
        </w:tc>
        <w:tc>
          <w:tcPr>
            <w:tcW w:w="420" w:type="dxa"/>
            <w:vAlign w:val="bottom"/>
            <w:tcBorders>
              <w:bottom w:val="single" w:sz="8" w:color="C0C0C0"/>
              <w:right w:val="single" w:sz="8" w:color="C0C0C0"/>
            </w:tcBorders>
          </w:tcPr>
          <w:p>
            <w:pPr>
              <w:spacing w:after="0"/>
              <w:rPr>
                <w:sz w:val="22"/>
                <w:szCs w:val="22"/>
                <w:color w:val="auto"/>
              </w:rPr>
            </w:pPr>
          </w:p>
        </w:tc>
        <w:tc>
          <w:tcPr>
            <w:tcW w:w="5660" w:type="dxa"/>
            <w:vAlign w:val="bottom"/>
            <w:tcBorders>
              <w:bottom w:val="single" w:sz="8" w:color="C0C0C0"/>
              <w:right w:val="single" w:sz="8" w:color="C0C0C0"/>
            </w:tcBorders>
            <w:gridSpan w:val="3"/>
          </w:tcPr>
          <w:p>
            <w:pPr>
              <w:ind w:left="60"/>
              <w:spacing w:after="0" w:line="255" w:lineRule="exact"/>
              <w:rPr>
                <w:sz w:val="20"/>
                <w:szCs w:val="20"/>
                <w:color w:val="auto"/>
              </w:rPr>
            </w:pPr>
            <w:r>
              <w:rPr>
                <w:rFonts w:ascii="Arial" w:cs="Arial" w:eastAsia="Arial" w:hAnsi="Arial"/>
                <w:sz w:val="18"/>
                <w:szCs w:val="18"/>
                <w:color w:val="auto"/>
              </w:rPr>
              <w:t xml:space="preserve">[Covered Life Name] </w:t>
            </w:r>
            <w:r>
              <w:rPr>
                <w:rFonts w:ascii="Arial" w:cs="Arial" w:eastAsia="Arial" w:hAnsi="Arial"/>
                <w:sz w:val="23"/>
                <w:szCs w:val="23"/>
                <w:color w:val="auto"/>
                <w:vertAlign w:val="superscript"/>
              </w:rPr>
              <w:t>A</w:t>
            </w:r>
          </w:p>
        </w:tc>
      </w:tr>
      <w:tr>
        <w:trPr>
          <w:trHeight w:val="243"/>
        </w:trPr>
        <w:tc>
          <w:tcPr>
            <w:tcW w:w="3720" w:type="dxa"/>
            <w:vAlign w:val="bottom"/>
            <w:tcBorders>
              <w:left w:val="single" w:sz="8" w:color="C0C0C0"/>
              <w:bottom w:val="single" w:sz="8" w:color="C0C0C0"/>
            </w:tcBorders>
          </w:tcPr>
          <w:p>
            <w:pPr>
              <w:spacing w:after="0"/>
              <w:rPr>
                <w:sz w:val="21"/>
                <w:szCs w:val="21"/>
                <w:color w:val="auto"/>
              </w:rPr>
            </w:pPr>
          </w:p>
        </w:tc>
        <w:tc>
          <w:tcPr>
            <w:tcW w:w="440" w:type="dxa"/>
            <w:vAlign w:val="bottom"/>
            <w:tcBorders>
              <w:bottom w:val="single" w:sz="8" w:color="C0C0C0"/>
            </w:tcBorders>
          </w:tcPr>
          <w:p>
            <w:pPr>
              <w:spacing w:after="0"/>
              <w:rPr>
                <w:sz w:val="21"/>
                <w:szCs w:val="21"/>
                <w:color w:val="auto"/>
              </w:rPr>
            </w:pPr>
          </w:p>
        </w:tc>
        <w:tc>
          <w:tcPr>
            <w:tcW w:w="260" w:type="dxa"/>
            <w:vAlign w:val="bottom"/>
            <w:tcBorders>
              <w:bottom w:val="single" w:sz="8" w:color="C0C0C0"/>
            </w:tcBorders>
          </w:tcPr>
          <w:p>
            <w:pPr>
              <w:spacing w:after="0"/>
              <w:rPr>
                <w:sz w:val="21"/>
                <w:szCs w:val="21"/>
                <w:color w:val="auto"/>
              </w:rPr>
            </w:pPr>
          </w:p>
        </w:tc>
        <w:tc>
          <w:tcPr>
            <w:tcW w:w="420" w:type="dxa"/>
            <w:vAlign w:val="bottom"/>
            <w:tcBorders>
              <w:bottom w:val="single" w:sz="8" w:color="C0C0C0"/>
              <w:right w:val="single" w:sz="8" w:color="C0C0C0"/>
            </w:tcBorders>
          </w:tcPr>
          <w:p>
            <w:pPr>
              <w:spacing w:after="0"/>
              <w:rPr>
                <w:sz w:val="21"/>
                <w:szCs w:val="21"/>
                <w:color w:val="auto"/>
              </w:rPr>
            </w:pPr>
          </w:p>
        </w:tc>
        <w:tc>
          <w:tcPr>
            <w:tcW w:w="1220" w:type="dxa"/>
            <w:vAlign w:val="bottom"/>
            <w:tcBorders>
              <w:bottom w:val="single" w:sz="8" w:color="C0C0C0"/>
            </w:tcBorders>
          </w:tcPr>
          <w:p>
            <w:pPr>
              <w:spacing w:after="0"/>
              <w:rPr>
                <w:sz w:val="21"/>
                <w:szCs w:val="21"/>
                <w:color w:val="auto"/>
              </w:rPr>
            </w:pPr>
          </w:p>
        </w:tc>
        <w:tc>
          <w:tcPr>
            <w:tcW w:w="260" w:type="dxa"/>
            <w:vAlign w:val="bottom"/>
            <w:tcBorders>
              <w:bottom w:val="single" w:sz="8" w:color="C0C0C0"/>
            </w:tcBorders>
          </w:tcPr>
          <w:p>
            <w:pPr>
              <w:spacing w:after="0"/>
              <w:rPr>
                <w:sz w:val="21"/>
                <w:szCs w:val="21"/>
                <w:color w:val="auto"/>
              </w:rPr>
            </w:pPr>
          </w:p>
        </w:tc>
        <w:tc>
          <w:tcPr>
            <w:tcW w:w="4180" w:type="dxa"/>
            <w:vAlign w:val="bottom"/>
            <w:tcBorders>
              <w:bottom w:val="single" w:sz="8" w:color="C0C0C0"/>
              <w:right w:val="single" w:sz="8" w:color="C0C0C0"/>
            </w:tcBorders>
          </w:tcPr>
          <w:p>
            <w:pPr>
              <w:spacing w:after="0"/>
              <w:rPr>
                <w:sz w:val="21"/>
                <w:szCs w:val="21"/>
                <w:color w:val="auto"/>
              </w:rPr>
            </w:pPr>
          </w:p>
        </w:tc>
      </w:tr>
      <w:tr>
        <w:trPr>
          <w:trHeight w:val="255"/>
        </w:trPr>
        <w:tc>
          <w:tcPr>
            <w:tcW w:w="3720" w:type="dxa"/>
            <w:vAlign w:val="bottom"/>
            <w:tcBorders>
              <w:left w:val="single" w:sz="8" w:color="C0C0C0"/>
              <w:bottom w:val="single" w:sz="8" w:color="C0C0C0"/>
            </w:tcBorders>
          </w:tcPr>
          <w:p>
            <w:pPr>
              <w:ind w:left="40"/>
              <w:spacing w:after="0"/>
              <w:rPr>
                <w:sz w:val="20"/>
                <w:szCs w:val="20"/>
                <w:color w:val="auto"/>
              </w:rPr>
            </w:pPr>
            <w:r>
              <w:rPr>
                <w:rFonts w:ascii="Arial" w:cs="Arial" w:eastAsia="Arial" w:hAnsi="Arial"/>
                <w:sz w:val="18"/>
                <w:szCs w:val="18"/>
                <w:b w:val="1"/>
                <w:bCs w:val="1"/>
                <w:i w:val="1"/>
                <w:iCs w:val="1"/>
                <w:color w:val="auto"/>
              </w:rPr>
              <w:t>Covered Life's Sex and Date of Birth:</w:t>
            </w:r>
          </w:p>
        </w:tc>
        <w:tc>
          <w:tcPr>
            <w:tcW w:w="440" w:type="dxa"/>
            <w:vAlign w:val="bottom"/>
            <w:tcBorders>
              <w:bottom w:val="single" w:sz="8" w:color="C0C0C0"/>
            </w:tcBorders>
          </w:tcPr>
          <w:p>
            <w:pPr>
              <w:spacing w:after="0"/>
              <w:rPr>
                <w:sz w:val="22"/>
                <w:szCs w:val="22"/>
                <w:color w:val="auto"/>
              </w:rPr>
            </w:pPr>
          </w:p>
        </w:tc>
        <w:tc>
          <w:tcPr>
            <w:tcW w:w="260" w:type="dxa"/>
            <w:vAlign w:val="bottom"/>
            <w:tcBorders>
              <w:bottom w:val="single" w:sz="8" w:color="C0C0C0"/>
            </w:tcBorders>
          </w:tcPr>
          <w:p>
            <w:pPr>
              <w:spacing w:after="0"/>
              <w:rPr>
                <w:sz w:val="22"/>
                <w:szCs w:val="22"/>
                <w:color w:val="auto"/>
              </w:rPr>
            </w:pPr>
          </w:p>
        </w:tc>
        <w:tc>
          <w:tcPr>
            <w:tcW w:w="420" w:type="dxa"/>
            <w:vAlign w:val="bottom"/>
            <w:tcBorders>
              <w:bottom w:val="single" w:sz="8" w:color="C0C0C0"/>
              <w:right w:val="single" w:sz="8" w:color="C0C0C0"/>
            </w:tcBorders>
          </w:tcPr>
          <w:p>
            <w:pPr>
              <w:spacing w:after="0"/>
              <w:rPr>
                <w:sz w:val="22"/>
                <w:szCs w:val="22"/>
                <w:color w:val="auto"/>
              </w:rPr>
            </w:pPr>
          </w:p>
        </w:tc>
        <w:tc>
          <w:tcPr>
            <w:tcW w:w="5660" w:type="dxa"/>
            <w:vAlign w:val="bottom"/>
            <w:tcBorders>
              <w:bottom w:val="single" w:sz="8" w:color="C0C0C0"/>
              <w:right w:val="single" w:sz="8" w:color="C0C0C0"/>
            </w:tcBorders>
            <w:gridSpan w:val="3"/>
          </w:tcPr>
          <w:p>
            <w:pPr>
              <w:ind w:left="20"/>
              <w:spacing w:after="0" w:line="255" w:lineRule="exact"/>
              <w:rPr>
                <w:sz w:val="20"/>
                <w:szCs w:val="20"/>
                <w:color w:val="auto"/>
              </w:rPr>
            </w:pPr>
            <w:r>
              <w:rPr>
                <w:rFonts w:ascii="Arial" w:cs="Arial" w:eastAsia="Arial" w:hAnsi="Arial"/>
                <w:sz w:val="18"/>
                <w:szCs w:val="18"/>
                <w:color w:val="auto"/>
              </w:rPr>
              <w:t xml:space="preserve">[Male/Female, Date] </w:t>
            </w:r>
            <w:r>
              <w:rPr>
                <w:rFonts w:ascii="Arial" w:cs="Arial" w:eastAsia="Arial" w:hAnsi="Arial"/>
                <w:sz w:val="23"/>
                <w:szCs w:val="23"/>
                <w:color w:val="auto"/>
                <w:vertAlign w:val="superscript"/>
              </w:rPr>
              <w:t>A</w:t>
            </w:r>
          </w:p>
        </w:tc>
      </w:tr>
      <w:tr>
        <w:trPr>
          <w:trHeight w:val="243"/>
        </w:trPr>
        <w:tc>
          <w:tcPr>
            <w:tcW w:w="3720" w:type="dxa"/>
            <w:vAlign w:val="bottom"/>
            <w:tcBorders>
              <w:left w:val="single" w:sz="8" w:color="C0C0C0"/>
              <w:bottom w:val="single" w:sz="8" w:color="C0C0C0"/>
            </w:tcBorders>
          </w:tcPr>
          <w:p>
            <w:pPr>
              <w:spacing w:after="0"/>
              <w:rPr>
                <w:sz w:val="21"/>
                <w:szCs w:val="21"/>
                <w:color w:val="auto"/>
              </w:rPr>
            </w:pPr>
          </w:p>
        </w:tc>
        <w:tc>
          <w:tcPr>
            <w:tcW w:w="440" w:type="dxa"/>
            <w:vAlign w:val="bottom"/>
            <w:tcBorders>
              <w:bottom w:val="single" w:sz="8" w:color="C0C0C0"/>
            </w:tcBorders>
          </w:tcPr>
          <w:p>
            <w:pPr>
              <w:spacing w:after="0"/>
              <w:rPr>
                <w:sz w:val="21"/>
                <w:szCs w:val="21"/>
                <w:color w:val="auto"/>
              </w:rPr>
            </w:pPr>
          </w:p>
        </w:tc>
        <w:tc>
          <w:tcPr>
            <w:tcW w:w="260" w:type="dxa"/>
            <w:vAlign w:val="bottom"/>
            <w:tcBorders>
              <w:bottom w:val="single" w:sz="8" w:color="C0C0C0"/>
            </w:tcBorders>
          </w:tcPr>
          <w:p>
            <w:pPr>
              <w:spacing w:after="0"/>
              <w:rPr>
                <w:sz w:val="21"/>
                <w:szCs w:val="21"/>
                <w:color w:val="auto"/>
              </w:rPr>
            </w:pPr>
          </w:p>
        </w:tc>
        <w:tc>
          <w:tcPr>
            <w:tcW w:w="420" w:type="dxa"/>
            <w:vAlign w:val="bottom"/>
            <w:tcBorders>
              <w:bottom w:val="single" w:sz="8" w:color="C0C0C0"/>
              <w:right w:val="single" w:sz="8" w:color="C0C0C0"/>
            </w:tcBorders>
          </w:tcPr>
          <w:p>
            <w:pPr>
              <w:spacing w:after="0"/>
              <w:rPr>
                <w:sz w:val="21"/>
                <w:szCs w:val="21"/>
                <w:color w:val="auto"/>
              </w:rPr>
            </w:pPr>
          </w:p>
        </w:tc>
        <w:tc>
          <w:tcPr>
            <w:tcW w:w="1220" w:type="dxa"/>
            <w:vAlign w:val="bottom"/>
            <w:tcBorders>
              <w:bottom w:val="single" w:sz="8" w:color="C0C0C0"/>
            </w:tcBorders>
          </w:tcPr>
          <w:p>
            <w:pPr>
              <w:spacing w:after="0"/>
              <w:rPr>
                <w:sz w:val="21"/>
                <w:szCs w:val="21"/>
                <w:color w:val="auto"/>
              </w:rPr>
            </w:pPr>
          </w:p>
        </w:tc>
        <w:tc>
          <w:tcPr>
            <w:tcW w:w="260" w:type="dxa"/>
            <w:vAlign w:val="bottom"/>
            <w:tcBorders>
              <w:bottom w:val="single" w:sz="8" w:color="C0C0C0"/>
            </w:tcBorders>
          </w:tcPr>
          <w:p>
            <w:pPr>
              <w:spacing w:after="0"/>
              <w:rPr>
                <w:sz w:val="21"/>
                <w:szCs w:val="21"/>
                <w:color w:val="auto"/>
              </w:rPr>
            </w:pPr>
          </w:p>
        </w:tc>
        <w:tc>
          <w:tcPr>
            <w:tcW w:w="4180" w:type="dxa"/>
            <w:vAlign w:val="bottom"/>
            <w:tcBorders>
              <w:bottom w:val="single" w:sz="8" w:color="C0C0C0"/>
              <w:right w:val="single" w:sz="8" w:color="C0C0C0"/>
            </w:tcBorders>
          </w:tcPr>
          <w:p>
            <w:pPr>
              <w:spacing w:after="0"/>
              <w:rPr>
                <w:sz w:val="21"/>
                <w:szCs w:val="21"/>
                <w:color w:val="auto"/>
              </w:rPr>
            </w:pPr>
          </w:p>
        </w:tc>
      </w:tr>
      <w:tr>
        <w:trPr>
          <w:trHeight w:val="255"/>
        </w:trPr>
        <w:tc>
          <w:tcPr>
            <w:tcW w:w="3720" w:type="dxa"/>
            <w:vAlign w:val="bottom"/>
            <w:tcBorders>
              <w:left w:val="single" w:sz="8" w:color="C0C0C0"/>
              <w:bottom w:val="single" w:sz="8" w:color="C0C0C0"/>
            </w:tcBorders>
          </w:tcPr>
          <w:p>
            <w:pPr>
              <w:ind w:left="40"/>
              <w:spacing w:after="0"/>
              <w:rPr>
                <w:sz w:val="20"/>
                <w:szCs w:val="20"/>
                <w:color w:val="auto"/>
              </w:rPr>
            </w:pPr>
            <w:r>
              <w:rPr>
                <w:rFonts w:ascii="Arial" w:cs="Arial" w:eastAsia="Arial" w:hAnsi="Arial"/>
                <w:sz w:val="18"/>
                <w:szCs w:val="18"/>
                <w:i w:val="1"/>
                <w:iCs w:val="1"/>
                <w:color w:val="auto"/>
              </w:rPr>
              <w:t>Annuity Certificate Number:</w:t>
            </w:r>
          </w:p>
        </w:tc>
        <w:tc>
          <w:tcPr>
            <w:tcW w:w="440" w:type="dxa"/>
            <w:vAlign w:val="bottom"/>
            <w:tcBorders>
              <w:bottom w:val="single" w:sz="8" w:color="C0C0C0"/>
            </w:tcBorders>
          </w:tcPr>
          <w:p>
            <w:pPr>
              <w:spacing w:after="0"/>
              <w:rPr>
                <w:sz w:val="22"/>
                <w:szCs w:val="22"/>
                <w:color w:val="auto"/>
              </w:rPr>
            </w:pPr>
          </w:p>
        </w:tc>
        <w:tc>
          <w:tcPr>
            <w:tcW w:w="260" w:type="dxa"/>
            <w:vAlign w:val="bottom"/>
            <w:tcBorders>
              <w:bottom w:val="single" w:sz="8" w:color="C0C0C0"/>
            </w:tcBorders>
          </w:tcPr>
          <w:p>
            <w:pPr>
              <w:spacing w:after="0"/>
              <w:rPr>
                <w:sz w:val="22"/>
                <w:szCs w:val="22"/>
                <w:color w:val="auto"/>
              </w:rPr>
            </w:pPr>
          </w:p>
        </w:tc>
        <w:tc>
          <w:tcPr>
            <w:tcW w:w="420" w:type="dxa"/>
            <w:vAlign w:val="bottom"/>
            <w:tcBorders>
              <w:bottom w:val="single" w:sz="8" w:color="C0C0C0"/>
              <w:right w:val="single" w:sz="8" w:color="C0C0C0"/>
            </w:tcBorders>
          </w:tcPr>
          <w:p>
            <w:pPr>
              <w:spacing w:after="0"/>
              <w:rPr>
                <w:sz w:val="22"/>
                <w:szCs w:val="22"/>
                <w:color w:val="auto"/>
              </w:rPr>
            </w:pPr>
          </w:p>
        </w:tc>
        <w:tc>
          <w:tcPr>
            <w:tcW w:w="5660" w:type="dxa"/>
            <w:vAlign w:val="bottom"/>
            <w:tcBorders>
              <w:bottom w:val="single" w:sz="8" w:color="C0C0C0"/>
              <w:right w:val="single" w:sz="8" w:color="C0C0C0"/>
            </w:tcBorders>
            <w:gridSpan w:val="3"/>
          </w:tcPr>
          <w:p>
            <w:pPr>
              <w:ind w:left="20"/>
              <w:spacing w:after="0" w:line="255" w:lineRule="exact"/>
              <w:rPr>
                <w:sz w:val="20"/>
                <w:szCs w:val="20"/>
                <w:color w:val="auto"/>
              </w:rPr>
            </w:pPr>
            <w:r>
              <w:rPr>
                <w:rFonts w:ascii="Arial" w:cs="Arial" w:eastAsia="Arial" w:hAnsi="Arial"/>
                <w:sz w:val="18"/>
                <w:szCs w:val="18"/>
                <w:color w:val="auto"/>
              </w:rPr>
              <w:t>[Certificate Number</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23"/>
                <w:szCs w:val="23"/>
                <w:b w:val="1"/>
                <w:bCs w:val="1"/>
                <w:color w:val="auto"/>
                <w:vertAlign w:val="superscript"/>
              </w:rPr>
              <w:t>A</w:t>
            </w:r>
          </w:p>
        </w:tc>
      </w:tr>
      <w:tr>
        <w:trPr>
          <w:trHeight w:val="243"/>
        </w:trPr>
        <w:tc>
          <w:tcPr>
            <w:tcW w:w="3720" w:type="dxa"/>
            <w:vAlign w:val="bottom"/>
            <w:tcBorders>
              <w:left w:val="single" w:sz="8" w:color="C0C0C0"/>
              <w:bottom w:val="single" w:sz="8" w:color="C0C0C0"/>
            </w:tcBorders>
          </w:tcPr>
          <w:p>
            <w:pPr>
              <w:spacing w:after="0"/>
              <w:rPr>
                <w:sz w:val="21"/>
                <w:szCs w:val="21"/>
                <w:color w:val="auto"/>
              </w:rPr>
            </w:pPr>
          </w:p>
        </w:tc>
        <w:tc>
          <w:tcPr>
            <w:tcW w:w="440" w:type="dxa"/>
            <w:vAlign w:val="bottom"/>
            <w:tcBorders>
              <w:bottom w:val="single" w:sz="8" w:color="C0C0C0"/>
            </w:tcBorders>
          </w:tcPr>
          <w:p>
            <w:pPr>
              <w:spacing w:after="0"/>
              <w:rPr>
                <w:sz w:val="21"/>
                <w:szCs w:val="21"/>
                <w:color w:val="auto"/>
              </w:rPr>
            </w:pPr>
          </w:p>
        </w:tc>
        <w:tc>
          <w:tcPr>
            <w:tcW w:w="260" w:type="dxa"/>
            <w:vAlign w:val="bottom"/>
            <w:tcBorders>
              <w:bottom w:val="single" w:sz="8" w:color="C0C0C0"/>
            </w:tcBorders>
          </w:tcPr>
          <w:p>
            <w:pPr>
              <w:spacing w:after="0"/>
              <w:rPr>
                <w:sz w:val="21"/>
                <w:szCs w:val="21"/>
                <w:color w:val="auto"/>
              </w:rPr>
            </w:pPr>
          </w:p>
        </w:tc>
        <w:tc>
          <w:tcPr>
            <w:tcW w:w="420" w:type="dxa"/>
            <w:vAlign w:val="bottom"/>
            <w:tcBorders>
              <w:bottom w:val="single" w:sz="8" w:color="C0C0C0"/>
              <w:right w:val="single" w:sz="8" w:color="C0C0C0"/>
            </w:tcBorders>
          </w:tcPr>
          <w:p>
            <w:pPr>
              <w:spacing w:after="0"/>
              <w:rPr>
                <w:sz w:val="21"/>
                <w:szCs w:val="21"/>
                <w:color w:val="auto"/>
              </w:rPr>
            </w:pPr>
          </w:p>
        </w:tc>
        <w:tc>
          <w:tcPr>
            <w:tcW w:w="1220" w:type="dxa"/>
            <w:vAlign w:val="bottom"/>
            <w:tcBorders>
              <w:bottom w:val="single" w:sz="8" w:color="C0C0C0"/>
            </w:tcBorders>
          </w:tcPr>
          <w:p>
            <w:pPr>
              <w:spacing w:after="0"/>
              <w:rPr>
                <w:sz w:val="21"/>
                <w:szCs w:val="21"/>
                <w:color w:val="auto"/>
              </w:rPr>
            </w:pPr>
          </w:p>
        </w:tc>
        <w:tc>
          <w:tcPr>
            <w:tcW w:w="260" w:type="dxa"/>
            <w:vAlign w:val="bottom"/>
            <w:tcBorders>
              <w:bottom w:val="single" w:sz="8" w:color="C0C0C0"/>
            </w:tcBorders>
          </w:tcPr>
          <w:p>
            <w:pPr>
              <w:spacing w:after="0"/>
              <w:rPr>
                <w:sz w:val="21"/>
                <w:szCs w:val="21"/>
                <w:color w:val="auto"/>
              </w:rPr>
            </w:pPr>
          </w:p>
        </w:tc>
        <w:tc>
          <w:tcPr>
            <w:tcW w:w="4180" w:type="dxa"/>
            <w:vAlign w:val="bottom"/>
            <w:tcBorders>
              <w:bottom w:val="single" w:sz="8" w:color="C0C0C0"/>
              <w:right w:val="single" w:sz="8" w:color="C0C0C0"/>
            </w:tcBorders>
          </w:tcPr>
          <w:p>
            <w:pPr>
              <w:spacing w:after="0"/>
              <w:rPr>
                <w:sz w:val="21"/>
                <w:szCs w:val="21"/>
                <w:color w:val="auto"/>
              </w:rPr>
            </w:pPr>
          </w:p>
        </w:tc>
      </w:tr>
      <w:tr>
        <w:trPr>
          <w:trHeight w:val="214"/>
        </w:trPr>
        <w:tc>
          <w:tcPr>
            <w:tcW w:w="3720" w:type="dxa"/>
            <w:vAlign w:val="bottom"/>
            <w:tcBorders>
              <w:left w:val="single" w:sz="8" w:color="C0C0C0"/>
            </w:tcBorders>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Borders>
              <w:right w:val="single" w:sz="8" w:color="C0C0C0"/>
            </w:tcBorders>
          </w:tcPr>
          <w:p>
            <w:pPr>
              <w:spacing w:after="0"/>
              <w:rPr>
                <w:sz w:val="18"/>
                <w:szCs w:val="18"/>
                <w:color w:val="auto"/>
              </w:rPr>
            </w:pPr>
          </w:p>
        </w:tc>
        <w:tc>
          <w:tcPr>
            <w:tcW w:w="5660" w:type="dxa"/>
            <w:vAlign w:val="bottom"/>
            <w:tcBorders>
              <w:right w:val="single" w:sz="8" w:color="C0C0C0"/>
            </w:tcBorders>
            <w:gridSpan w:val="3"/>
          </w:tcPr>
          <w:p>
            <w:pPr>
              <w:ind w:left="20"/>
              <w:spacing w:after="0"/>
              <w:rPr>
                <w:sz w:val="20"/>
                <w:szCs w:val="20"/>
                <w:color w:val="auto"/>
              </w:rPr>
            </w:pPr>
            <w:r>
              <w:rPr>
                <w:rFonts w:ascii="Arial" w:cs="Arial" w:eastAsia="Arial" w:hAnsi="Arial"/>
                <w:sz w:val="18"/>
                <w:szCs w:val="18"/>
                <w:color w:val="auto"/>
              </w:rPr>
              <w:t>[NAME OF TRUST BANK, as Directed Trustee of the Vita Salaried</w:t>
            </w:r>
          </w:p>
        </w:tc>
      </w:tr>
      <w:tr>
        <w:trPr>
          <w:trHeight w:val="255"/>
        </w:trPr>
        <w:tc>
          <w:tcPr>
            <w:tcW w:w="3720" w:type="dxa"/>
            <w:vAlign w:val="bottom"/>
            <w:tcBorders>
              <w:left w:val="single" w:sz="8" w:color="C0C0C0"/>
              <w:bottom w:val="single" w:sz="8" w:color="C0C0C0"/>
            </w:tcBorders>
          </w:tcPr>
          <w:p>
            <w:pPr>
              <w:ind w:left="40"/>
              <w:spacing w:after="0" w:line="255" w:lineRule="exact"/>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Contract-Holder:</w:t>
            </w:r>
            <w:r>
              <w:rPr>
                <w:rFonts w:ascii="Arial" w:cs="Arial" w:eastAsia="Arial" w:hAnsi="Arial"/>
                <w:sz w:val="18"/>
                <w:szCs w:val="18"/>
                <w:color w:val="auto"/>
              </w:rPr>
              <w:t xml:space="preserve"> ] </w:t>
            </w:r>
            <w:r>
              <w:rPr>
                <w:rFonts w:ascii="Arial" w:cs="Arial" w:eastAsia="Arial" w:hAnsi="Arial"/>
                <w:sz w:val="23"/>
                <w:szCs w:val="23"/>
                <w:color w:val="auto"/>
                <w:vertAlign w:val="superscript"/>
              </w:rPr>
              <w:t>A</w:t>
            </w:r>
          </w:p>
        </w:tc>
        <w:tc>
          <w:tcPr>
            <w:tcW w:w="440" w:type="dxa"/>
            <w:vAlign w:val="bottom"/>
            <w:tcBorders>
              <w:bottom w:val="single" w:sz="8" w:color="C0C0C0"/>
            </w:tcBorders>
          </w:tcPr>
          <w:p>
            <w:pPr>
              <w:spacing w:after="0"/>
              <w:rPr>
                <w:sz w:val="22"/>
                <w:szCs w:val="22"/>
                <w:color w:val="auto"/>
              </w:rPr>
            </w:pPr>
          </w:p>
        </w:tc>
        <w:tc>
          <w:tcPr>
            <w:tcW w:w="260" w:type="dxa"/>
            <w:vAlign w:val="bottom"/>
            <w:tcBorders>
              <w:bottom w:val="single" w:sz="8" w:color="C0C0C0"/>
            </w:tcBorders>
          </w:tcPr>
          <w:p>
            <w:pPr>
              <w:spacing w:after="0"/>
              <w:rPr>
                <w:sz w:val="22"/>
                <w:szCs w:val="22"/>
                <w:color w:val="auto"/>
              </w:rPr>
            </w:pPr>
          </w:p>
        </w:tc>
        <w:tc>
          <w:tcPr>
            <w:tcW w:w="420" w:type="dxa"/>
            <w:vAlign w:val="bottom"/>
            <w:tcBorders>
              <w:bottom w:val="single" w:sz="8" w:color="C0C0C0"/>
              <w:right w:val="single" w:sz="8" w:color="C0C0C0"/>
            </w:tcBorders>
          </w:tcPr>
          <w:p>
            <w:pPr>
              <w:spacing w:after="0"/>
              <w:rPr>
                <w:sz w:val="22"/>
                <w:szCs w:val="22"/>
                <w:color w:val="auto"/>
              </w:rPr>
            </w:pPr>
          </w:p>
        </w:tc>
        <w:tc>
          <w:tcPr>
            <w:tcW w:w="5660" w:type="dxa"/>
            <w:vAlign w:val="bottom"/>
            <w:tcBorders>
              <w:bottom w:val="single" w:sz="8" w:color="C0C0C0"/>
              <w:right w:val="single" w:sz="8" w:color="C0C0C0"/>
            </w:tcBorders>
            <w:gridSpan w:val="3"/>
          </w:tcPr>
          <w:p>
            <w:pPr>
              <w:ind w:left="20"/>
              <w:spacing w:after="0" w:line="255" w:lineRule="exact"/>
              <w:rPr>
                <w:sz w:val="20"/>
                <w:szCs w:val="20"/>
                <w:color w:val="auto"/>
              </w:rPr>
            </w:pPr>
            <w:r>
              <w:rPr>
                <w:rFonts w:ascii="Arial" w:cs="Arial" w:eastAsia="Arial" w:hAnsi="Arial"/>
                <w:sz w:val="18"/>
                <w:szCs w:val="18"/>
                <w:color w:val="auto"/>
              </w:rPr>
              <w:t>Retirement Trust, a New York trust]</w:t>
            </w:r>
            <w:r>
              <w:rPr>
                <w:rFonts w:ascii="Arial" w:cs="Arial" w:eastAsia="Arial" w:hAnsi="Arial"/>
                <w:sz w:val="23"/>
                <w:szCs w:val="23"/>
                <w:color w:val="auto"/>
                <w:vertAlign w:val="superscript"/>
              </w:rPr>
              <w:t>A</w:t>
            </w:r>
          </w:p>
        </w:tc>
      </w:tr>
      <w:tr>
        <w:trPr>
          <w:trHeight w:val="243"/>
        </w:trPr>
        <w:tc>
          <w:tcPr>
            <w:tcW w:w="3720" w:type="dxa"/>
            <w:vAlign w:val="bottom"/>
            <w:tcBorders>
              <w:left w:val="single" w:sz="8" w:color="C0C0C0"/>
              <w:bottom w:val="single" w:sz="8" w:color="C0C0C0"/>
            </w:tcBorders>
          </w:tcPr>
          <w:p>
            <w:pPr>
              <w:spacing w:after="0"/>
              <w:rPr>
                <w:sz w:val="21"/>
                <w:szCs w:val="21"/>
                <w:color w:val="auto"/>
              </w:rPr>
            </w:pPr>
          </w:p>
        </w:tc>
        <w:tc>
          <w:tcPr>
            <w:tcW w:w="440" w:type="dxa"/>
            <w:vAlign w:val="bottom"/>
            <w:tcBorders>
              <w:bottom w:val="single" w:sz="8" w:color="C0C0C0"/>
            </w:tcBorders>
          </w:tcPr>
          <w:p>
            <w:pPr>
              <w:spacing w:after="0"/>
              <w:rPr>
                <w:sz w:val="21"/>
                <w:szCs w:val="21"/>
                <w:color w:val="auto"/>
              </w:rPr>
            </w:pPr>
          </w:p>
        </w:tc>
        <w:tc>
          <w:tcPr>
            <w:tcW w:w="260" w:type="dxa"/>
            <w:vAlign w:val="bottom"/>
            <w:tcBorders>
              <w:bottom w:val="single" w:sz="8" w:color="C0C0C0"/>
            </w:tcBorders>
          </w:tcPr>
          <w:p>
            <w:pPr>
              <w:spacing w:after="0"/>
              <w:rPr>
                <w:sz w:val="21"/>
                <w:szCs w:val="21"/>
                <w:color w:val="auto"/>
              </w:rPr>
            </w:pPr>
          </w:p>
        </w:tc>
        <w:tc>
          <w:tcPr>
            <w:tcW w:w="420" w:type="dxa"/>
            <w:vAlign w:val="bottom"/>
            <w:tcBorders>
              <w:bottom w:val="single" w:sz="8" w:color="C0C0C0"/>
              <w:right w:val="single" w:sz="8" w:color="C0C0C0"/>
            </w:tcBorders>
          </w:tcPr>
          <w:p>
            <w:pPr>
              <w:spacing w:after="0"/>
              <w:rPr>
                <w:sz w:val="21"/>
                <w:szCs w:val="21"/>
                <w:color w:val="auto"/>
              </w:rPr>
            </w:pPr>
          </w:p>
        </w:tc>
        <w:tc>
          <w:tcPr>
            <w:tcW w:w="1220" w:type="dxa"/>
            <w:vAlign w:val="bottom"/>
            <w:tcBorders>
              <w:bottom w:val="single" w:sz="8" w:color="C0C0C0"/>
            </w:tcBorders>
          </w:tcPr>
          <w:p>
            <w:pPr>
              <w:spacing w:after="0"/>
              <w:rPr>
                <w:sz w:val="21"/>
                <w:szCs w:val="21"/>
                <w:color w:val="auto"/>
              </w:rPr>
            </w:pPr>
          </w:p>
        </w:tc>
        <w:tc>
          <w:tcPr>
            <w:tcW w:w="260" w:type="dxa"/>
            <w:vAlign w:val="bottom"/>
            <w:tcBorders>
              <w:bottom w:val="single" w:sz="8" w:color="C0C0C0"/>
            </w:tcBorders>
          </w:tcPr>
          <w:p>
            <w:pPr>
              <w:spacing w:after="0"/>
              <w:rPr>
                <w:sz w:val="21"/>
                <w:szCs w:val="21"/>
                <w:color w:val="auto"/>
              </w:rPr>
            </w:pPr>
          </w:p>
        </w:tc>
        <w:tc>
          <w:tcPr>
            <w:tcW w:w="4180" w:type="dxa"/>
            <w:vAlign w:val="bottom"/>
            <w:tcBorders>
              <w:bottom w:val="single" w:sz="8" w:color="C0C0C0"/>
              <w:right w:val="single" w:sz="8" w:color="C0C0C0"/>
            </w:tcBorders>
          </w:tcPr>
          <w:p>
            <w:pPr>
              <w:spacing w:after="0"/>
              <w:rPr>
                <w:sz w:val="21"/>
                <w:szCs w:val="21"/>
                <w:color w:val="auto"/>
              </w:rPr>
            </w:pPr>
          </w:p>
        </w:tc>
      </w:tr>
      <w:tr>
        <w:trPr>
          <w:trHeight w:val="255"/>
        </w:trPr>
        <w:tc>
          <w:tcPr>
            <w:tcW w:w="3720" w:type="dxa"/>
            <w:vAlign w:val="bottom"/>
            <w:tcBorders>
              <w:left w:val="single" w:sz="8" w:color="C0C0C0"/>
              <w:bottom w:val="single" w:sz="8" w:color="C0C0C0"/>
            </w:tcBorders>
          </w:tcPr>
          <w:p>
            <w:pPr>
              <w:ind w:left="40"/>
              <w:spacing w:after="0" w:line="255" w:lineRule="exact"/>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Name of Plan:</w:t>
            </w:r>
            <w:r>
              <w:rPr>
                <w:rFonts w:ascii="Arial" w:cs="Arial" w:eastAsia="Arial" w:hAnsi="Arial"/>
                <w:sz w:val="18"/>
                <w:szCs w:val="18"/>
                <w:color w:val="auto"/>
              </w:rPr>
              <w:t xml:space="preserve"> ] </w:t>
            </w:r>
            <w:r>
              <w:rPr>
                <w:rFonts w:ascii="Arial" w:cs="Arial" w:eastAsia="Arial" w:hAnsi="Arial"/>
                <w:sz w:val="23"/>
                <w:szCs w:val="23"/>
                <w:color w:val="auto"/>
                <w:vertAlign w:val="superscript"/>
              </w:rPr>
              <w:t>A</w:t>
            </w:r>
          </w:p>
        </w:tc>
        <w:tc>
          <w:tcPr>
            <w:tcW w:w="440" w:type="dxa"/>
            <w:vAlign w:val="bottom"/>
            <w:tcBorders>
              <w:bottom w:val="single" w:sz="8" w:color="C0C0C0"/>
            </w:tcBorders>
          </w:tcPr>
          <w:p>
            <w:pPr>
              <w:spacing w:after="0"/>
              <w:rPr>
                <w:sz w:val="22"/>
                <w:szCs w:val="22"/>
                <w:color w:val="auto"/>
              </w:rPr>
            </w:pPr>
          </w:p>
        </w:tc>
        <w:tc>
          <w:tcPr>
            <w:tcW w:w="260" w:type="dxa"/>
            <w:vAlign w:val="bottom"/>
            <w:tcBorders>
              <w:bottom w:val="single" w:sz="8" w:color="C0C0C0"/>
            </w:tcBorders>
          </w:tcPr>
          <w:p>
            <w:pPr>
              <w:spacing w:after="0"/>
              <w:rPr>
                <w:sz w:val="22"/>
                <w:szCs w:val="22"/>
                <w:color w:val="auto"/>
              </w:rPr>
            </w:pPr>
          </w:p>
        </w:tc>
        <w:tc>
          <w:tcPr>
            <w:tcW w:w="420" w:type="dxa"/>
            <w:vAlign w:val="bottom"/>
            <w:tcBorders>
              <w:bottom w:val="single" w:sz="8" w:color="C0C0C0"/>
              <w:right w:val="single" w:sz="8" w:color="C0C0C0"/>
            </w:tcBorders>
          </w:tcPr>
          <w:p>
            <w:pPr>
              <w:spacing w:after="0"/>
              <w:rPr>
                <w:sz w:val="22"/>
                <w:szCs w:val="22"/>
                <w:color w:val="auto"/>
              </w:rPr>
            </w:pPr>
          </w:p>
        </w:tc>
        <w:tc>
          <w:tcPr>
            <w:tcW w:w="5660" w:type="dxa"/>
            <w:vAlign w:val="bottom"/>
            <w:tcBorders>
              <w:bottom w:val="single" w:sz="8" w:color="C0C0C0"/>
              <w:right w:val="single" w:sz="8" w:color="C0C0C0"/>
            </w:tcBorders>
            <w:gridSpan w:val="3"/>
          </w:tcPr>
          <w:p>
            <w:pPr>
              <w:ind w:left="20"/>
              <w:spacing w:after="0" w:line="255" w:lineRule="exact"/>
              <w:rPr>
                <w:sz w:val="20"/>
                <w:szCs w:val="20"/>
                <w:color w:val="auto"/>
              </w:rPr>
            </w:pPr>
            <w:r>
              <w:rPr>
                <w:rFonts w:ascii="Arial" w:cs="Arial" w:eastAsia="Arial" w:hAnsi="Arial"/>
                <w:sz w:val="18"/>
                <w:szCs w:val="18"/>
                <w:color w:val="auto"/>
              </w:rPr>
              <w:t>[Vita Salaried Retirement Plan]</w:t>
            </w:r>
            <w:r>
              <w:rPr>
                <w:rFonts w:ascii="Arial" w:cs="Arial" w:eastAsia="Arial" w:hAnsi="Arial"/>
                <w:sz w:val="23"/>
                <w:szCs w:val="23"/>
                <w:color w:val="auto"/>
                <w:vertAlign w:val="superscript"/>
              </w:rPr>
              <w:t>A</w:t>
            </w:r>
          </w:p>
        </w:tc>
      </w:tr>
      <w:tr>
        <w:trPr>
          <w:trHeight w:val="243"/>
        </w:trPr>
        <w:tc>
          <w:tcPr>
            <w:tcW w:w="3720" w:type="dxa"/>
            <w:vAlign w:val="bottom"/>
            <w:tcBorders>
              <w:left w:val="single" w:sz="8" w:color="C0C0C0"/>
              <w:bottom w:val="single" w:sz="8" w:color="C0C0C0"/>
            </w:tcBorders>
          </w:tcPr>
          <w:p>
            <w:pPr>
              <w:spacing w:after="0"/>
              <w:rPr>
                <w:sz w:val="21"/>
                <w:szCs w:val="21"/>
                <w:color w:val="auto"/>
              </w:rPr>
            </w:pPr>
          </w:p>
        </w:tc>
        <w:tc>
          <w:tcPr>
            <w:tcW w:w="440" w:type="dxa"/>
            <w:vAlign w:val="bottom"/>
            <w:tcBorders>
              <w:bottom w:val="single" w:sz="8" w:color="C0C0C0"/>
            </w:tcBorders>
          </w:tcPr>
          <w:p>
            <w:pPr>
              <w:spacing w:after="0"/>
              <w:rPr>
                <w:sz w:val="21"/>
                <w:szCs w:val="21"/>
                <w:color w:val="auto"/>
              </w:rPr>
            </w:pPr>
          </w:p>
        </w:tc>
        <w:tc>
          <w:tcPr>
            <w:tcW w:w="260" w:type="dxa"/>
            <w:vAlign w:val="bottom"/>
            <w:tcBorders>
              <w:bottom w:val="single" w:sz="8" w:color="C0C0C0"/>
            </w:tcBorders>
          </w:tcPr>
          <w:p>
            <w:pPr>
              <w:spacing w:after="0"/>
              <w:rPr>
                <w:sz w:val="21"/>
                <w:szCs w:val="21"/>
                <w:color w:val="auto"/>
              </w:rPr>
            </w:pPr>
          </w:p>
        </w:tc>
        <w:tc>
          <w:tcPr>
            <w:tcW w:w="420" w:type="dxa"/>
            <w:vAlign w:val="bottom"/>
            <w:tcBorders>
              <w:bottom w:val="single" w:sz="8" w:color="C0C0C0"/>
              <w:right w:val="single" w:sz="8" w:color="C0C0C0"/>
            </w:tcBorders>
          </w:tcPr>
          <w:p>
            <w:pPr>
              <w:spacing w:after="0"/>
              <w:rPr>
                <w:sz w:val="21"/>
                <w:szCs w:val="21"/>
                <w:color w:val="auto"/>
              </w:rPr>
            </w:pPr>
          </w:p>
        </w:tc>
        <w:tc>
          <w:tcPr>
            <w:tcW w:w="1220" w:type="dxa"/>
            <w:vAlign w:val="bottom"/>
            <w:tcBorders>
              <w:bottom w:val="single" w:sz="8" w:color="C0C0C0"/>
            </w:tcBorders>
          </w:tcPr>
          <w:p>
            <w:pPr>
              <w:spacing w:after="0"/>
              <w:rPr>
                <w:sz w:val="21"/>
                <w:szCs w:val="21"/>
                <w:color w:val="auto"/>
              </w:rPr>
            </w:pPr>
          </w:p>
        </w:tc>
        <w:tc>
          <w:tcPr>
            <w:tcW w:w="260" w:type="dxa"/>
            <w:vAlign w:val="bottom"/>
            <w:tcBorders>
              <w:bottom w:val="single" w:sz="8" w:color="C0C0C0"/>
            </w:tcBorders>
          </w:tcPr>
          <w:p>
            <w:pPr>
              <w:spacing w:after="0"/>
              <w:rPr>
                <w:sz w:val="21"/>
                <w:szCs w:val="21"/>
                <w:color w:val="auto"/>
              </w:rPr>
            </w:pPr>
          </w:p>
        </w:tc>
        <w:tc>
          <w:tcPr>
            <w:tcW w:w="4180" w:type="dxa"/>
            <w:vAlign w:val="bottom"/>
            <w:tcBorders>
              <w:bottom w:val="single" w:sz="8" w:color="C0C0C0"/>
              <w:right w:val="single" w:sz="8" w:color="C0C0C0"/>
            </w:tcBorders>
          </w:tcPr>
          <w:p>
            <w:pPr>
              <w:spacing w:after="0"/>
              <w:rPr>
                <w:sz w:val="21"/>
                <w:szCs w:val="21"/>
                <w:color w:val="auto"/>
              </w:rPr>
            </w:pPr>
          </w:p>
        </w:tc>
      </w:tr>
      <w:tr>
        <w:trPr>
          <w:trHeight w:val="255"/>
        </w:trPr>
        <w:tc>
          <w:tcPr>
            <w:tcW w:w="3720" w:type="dxa"/>
            <w:vAlign w:val="bottom"/>
            <w:tcBorders>
              <w:left w:val="single" w:sz="8" w:color="C0C0C0"/>
              <w:bottom w:val="single" w:sz="8" w:color="C0C0C0"/>
            </w:tcBorders>
          </w:tcPr>
          <w:p>
            <w:pPr>
              <w:ind w:left="40"/>
              <w:spacing w:after="0"/>
              <w:rPr>
                <w:sz w:val="20"/>
                <w:szCs w:val="20"/>
                <w:color w:val="auto"/>
              </w:rPr>
            </w:pPr>
            <w:r>
              <w:rPr>
                <w:rFonts w:ascii="Arial" w:cs="Arial" w:eastAsia="Arial" w:hAnsi="Arial"/>
                <w:sz w:val="18"/>
                <w:szCs w:val="18"/>
                <w:i w:val="1"/>
                <w:iCs w:val="1"/>
                <w:color w:val="auto"/>
              </w:rPr>
              <w:t>Group Annuity Contract Number:</w:t>
            </w:r>
          </w:p>
        </w:tc>
        <w:tc>
          <w:tcPr>
            <w:tcW w:w="440" w:type="dxa"/>
            <w:vAlign w:val="bottom"/>
            <w:tcBorders>
              <w:bottom w:val="single" w:sz="8" w:color="C0C0C0"/>
            </w:tcBorders>
          </w:tcPr>
          <w:p>
            <w:pPr>
              <w:spacing w:after="0"/>
              <w:rPr>
                <w:sz w:val="22"/>
                <w:szCs w:val="22"/>
                <w:color w:val="auto"/>
              </w:rPr>
            </w:pPr>
          </w:p>
        </w:tc>
        <w:tc>
          <w:tcPr>
            <w:tcW w:w="260" w:type="dxa"/>
            <w:vAlign w:val="bottom"/>
            <w:tcBorders>
              <w:bottom w:val="single" w:sz="8" w:color="C0C0C0"/>
            </w:tcBorders>
          </w:tcPr>
          <w:p>
            <w:pPr>
              <w:spacing w:after="0"/>
              <w:rPr>
                <w:sz w:val="22"/>
                <w:szCs w:val="22"/>
                <w:color w:val="auto"/>
              </w:rPr>
            </w:pPr>
          </w:p>
        </w:tc>
        <w:tc>
          <w:tcPr>
            <w:tcW w:w="420" w:type="dxa"/>
            <w:vAlign w:val="bottom"/>
            <w:tcBorders>
              <w:bottom w:val="single" w:sz="8" w:color="C0C0C0"/>
              <w:right w:val="single" w:sz="8" w:color="C0C0C0"/>
            </w:tcBorders>
          </w:tcPr>
          <w:p>
            <w:pPr>
              <w:spacing w:after="0"/>
              <w:rPr>
                <w:sz w:val="22"/>
                <w:szCs w:val="22"/>
                <w:color w:val="auto"/>
              </w:rPr>
            </w:pPr>
          </w:p>
        </w:tc>
        <w:tc>
          <w:tcPr>
            <w:tcW w:w="5660" w:type="dxa"/>
            <w:vAlign w:val="bottom"/>
            <w:tcBorders>
              <w:bottom w:val="single" w:sz="8" w:color="C0C0C0"/>
              <w:right w:val="single" w:sz="8" w:color="C0C0C0"/>
            </w:tcBorders>
            <w:gridSpan w:val="3"/>
          </w:tcPr>
          <w:p>
            <w:pPr>
              <w:ind w:left="20"/>
              <w:spacing w:after="0" w:line="255" w:lineRule="exact"/>
              <w:rPr>
                <w:sz w:val="20"/>
                <w:szCs w:val="20"/>
                <w:color w:val="auto"/>
              </w:rPr>
            </w:pPr>
            <w:r>
              <w:rPr>
                <w:rFonts w:ascii="Arial" w:cs="Arial" w:eastAsia="Arial" w:hAnsi="Arial"/>
                <w:sz w:val="18"/>
                <w:szCs w:val="18"/>
                <w:color w:val="auto"/>
              </w:rPr>
              <w:t>[Article P of GA-300</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23"/>
                <w:szCs w:val="23"/>
                <w:b w:val="1"/>
                <w:bCs w:val="1"/>
                <w:color w:val="auto"/>
                <w:vertAlign w:val="superscript"/>
              </w:rPr>
              <w:t>A</w:t>
            </w:r>
          </w:p>
        </w:tc>
      </w:tr>
      <w:tr>
        <w:trPr>
          <w:trHeight w:val="243"/>
        </w:trPr>
        <w:tc>
          <w:tcPr>
            <w:tcW w:w="3720" w:type="dxa"/>
            <w:vAlign w:val="bottom"/>
            <w:tcBorders>
              <w:left w:val="single" w:sz="8" w:color="C0C0C0"/>
              <w:bottom w:val="single" w:sz="8" w:color="C0C0C0"/>
            </w:tcBorders>
          </w:tcPr>
          <w:p>
            <w:pPr>
              <w:spacing w:after="0"/>
              <w:rPr>
                <w:sz w:val="21"/>
                <w:szCs w:val="21"/>
                <w:color w:val="auto"/>
              </w:rPr>
            </w:pPr>
          </w:p>
        </w:tc>
        <w:tc>
          <w:tcPr>
            <w:tcW w:w="440" w:type="dxa"/>
            <w:vAlign w:val="bottom"/>
            <w:tcBorders>
              <w:bottom w:val="single" w:sz="8" w:color="C0C0C0"/>
            </w:tcBorders>
          </w:tcPr>
          <w:p>
            <w:pPr>
              <w:spacing w:after="0"/>
              <w:rPr>
                <w:sz w:val="21"/>
                <w:szCs w:val="21"/>
                <w:color w:val="auto"/>
              </w:rPr>
            </w:pPr>
          </w:p>
        </w:tc>
        <w:tc>
          <w:tcPr>
            <w:tcW w:w="260" w:type="dxa"/>
            <w:vAlign w:val="bottom"/>
            <w:tcBorders>
              <w:bottom w:val="single" w:sz="8" w:color="C0C0C0"/>
            </w:tcBorders>
          </w:tcPr>
          <w:p>
            <w:pPr>
              <w:spacing w:after="0"/>
              <w:rPr>
                <w:sz w:val="21"/>
                <w:szCs w:val="21"/>
                <w:color w:val="auto"/>
              </w:rPr>
            </w:pPr>
          </w:p>
        </w:tc>
        <w:tc>
          <w:tcPr>
            <w:tcW w:w="420" w:type="dxa"/>
            <w:vAlign w:val="bottom"/>
            <w:tcBorders>
              <w:bottom w:val="single" w:sz="8" w:color="C0C0C0"/>
              <w:right w:val="single" w:sz="8" w:color="C0C0C0"/>
            </w:tcBorders>
          </w:tcPr>
          <w:p>
            <w:pPr>
              <w:spacing w:after="0"/>
              <w:rPr>
                <w:sz w:val="21"/>
                <w:szCs w:val="21"/>
                <w:color w:val="auto"/>
              </w:rPr>
            </w:pPr>
          </w:p>
        </w:tc>
        <w:tc>
          <w:tcPr>
            <w:tcW w:w="1220" w:type="dxa"/>
            <w:vAlign w:val="bottom"/>
            <w:tcBorders>
              <w:bottom w:val="single" w:sz="8" w:color="C0C0C0"/>
            </w:tcBorders>
          </w:tcPr>
          <w:p>
            <w:pPr>
              <w:spacing w:after="0"/>
              <w:rPr>
                <w:sz w:val="21"/>
                <w:szCs w:val="21"/>
                <w:color w:val="auto"/>
              </w:rPr>
            </w:pPr>
          </w:p>
        </w:tc>
        <w:tc>
          <w:tcPr>
            <w:tcW w:w="260" w:type="dxa"/>
            <w:vAlign w:val="bottom"/>
            <w:tcBorders>
              <w:bottom w:val="single" w:sz="8" w:color="C0C0C0"/>
            </w:tcBorders>
          </w:tcPr>
          <w:p>
            <w:pPr>
              <w:spacing w:after="0"/>
              <w:rPr>
                <w:sz w:val="21"/>
                <w:szCs w:val="21"/>
                <w:color w:val="auto"/>
              </w:rPr>
            </w:pPr>
          </w:p>
        </w:tc>
        <w:tc>
          <w:tcPr>
            <w:tcW w:w="4180" w:type="dxa"/>
            <w:vAlign w:val="bottom"/>
            <w:tcBorders>
              <w:bottom w:val="single" w:sz="8" w:color="C0C0C0"/>
              <w:right w:val="single" w:sz="8" w:color="C0C0C0"/>
            </w:tcBorders>
          </w:tcPr>
          <w:p>
            <w:pPr>
              <w:spacing w:after="0"/>
              <w:rPr>
                <w:sz w:val="21"/>
                <w:szCs w:val="21"/>
                <w:color w:val="auto"/>
              </w:rPr>
            </w:pPr>
          </w:p>
        </w:tc>
      </w:tr>
      <w:tr>
        <w:trPr>
          <w:trHeight w:val="234"/>
        </w:trPr>
        <w:tc>
          <w:tcPr>
            <w:tcW w:w="3720" w:type="dxa"/>
            <w:vAlign w:val="bottom"/>
            <w:tcBorders>
              <w:left w:val="single" w:sz="8" w:color="C0C0C0"/>
            </w:tcBorders>
          </w:tcPr>
          <w:p>
            <w:pPr>
              <w:ind w:left="260"/>
              <w:spacing w:after="0"/>
              <w:rPr>
                <w:sz w:val="20"/>
                <w:szCs w:val="20"/>
                <w:color w:val="auto"/>
              </w:rPr>
            </w:pPr>
            <w:r>
              <w:rPr>
                <w:rFonts w:ascii="Arial" w:cs="Arial" w:eastAsia="Arial" w:hAnsi="Arial"/>
                <w:sz w:val="18"/>
                <w:szCs w:val="18"/>
                <w:i w:val="1"/>
                <w:iCs w:val="1"/>
                <w:color w:val="auto"/>
              </w:rPr>
              <w:t>Form of Annuity:</w:t>
            </w: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Borders>
              <w:right w:val="single" w:sz="8" w:color="C0C0C0"/>
            </w:tcBorders>
          </w:tcPr>
          <w:p>
            <w:pPr>
              <w:spacing w:after="0"/>
              <w:rPr>
                <w:sz w:val="20"/>
                <w:szCs w:val="20"/>
                <w:color w:val="auto"/>
              </w:rPr>
            </w:pPr>
          </w:p>
        </w:tc>
        <w:tc>
          <w:tcPr>
            <w:tcW w:w="5660" w:type="dxa"/>
            <w:vAlign w:val="bottom"/>
            <w:tcBorders>
              <w:right w:val="single" w:sz="8" w:color="C0C0C0"/>
            </w:tcBorders>
            <w:gridSpan w:val="3"/>
          </w:tcPr>
          <w:p>
            <w:pPr>
              <w:ind w:left="20"/>
              <w:spacing w:after="0"/>
              <w:rPr>
                <w:sz w:val="20"/>
                <w:szCs w:val="20"/>
                <w:color w:val="auto"/>
              </w:rPr>
            </w:pPr>
            <w:r>
              <w:rPr>
                <w:rFonts w:ascii="Arial" w:cs="Arial" w:eastAsia="Arial" w:hAnsi="Arial"/>
                <w:sz w:val="18"/>
                <w:szCs w:val="18"/>
                <w:color w:val="auto"/>
              </w:rPr>
              <w:t>Spousal Joint and Survivor Life Annuity</w:t>
            </w:r>
          </w:p>
        </w:tc>
      </w:tr>
      <w:tr>
        <w:trPr>
          <w:trHeight w:val="21"/>
        </w:trPr>
        <w:tc>
          <w:tcPr>
            <w:tcW w:w="3720" w:type="dxa"/>
            <w:vAlign w:val="bottom"/>
            <w:tcBorders>
              <w:left w:val="single" w:sz="8" w:color="C0C0C0"/>
              <w:bottom w:val="single" w:sz="8" w:color="C0C0C0"/>
            </w:tcBorders>
          </w:tcPr>
          <w:p>
            <w:pPr>
              <w:spacing w:after="0" w:line="20" w:lineRule="exact"/>
              <w:rPr>
                <w:sz w:val="1"/>
                <w:szCs w:val="1"/>
                <w:color w:val="auto"/>
              </w:rPr>
            </w:pPr>
          </w:p>
        </w:tc>
        <w:tc>
          <w:tcPr>
            <w:tcW w:w="440" w:type="dxa"/>
            <w:vAlign w:val="bottom"/>
            <w:tcBorders>
              <w:bottom w:val="single" w:sz="8" w:color="C0C0C0"/>
            </w:tcBorders>
          </w:tcPr>
          <w:p>
            <w:pPr>
              <w:spacing w:after="0" w:line="20" w:lineRule="exact"/>
              <w:rPr>
                <w:sz w:val="1"/>
                <w:szCs w:val="1"/>
                <w:color w:val="auto"/>
              </w:rPr>
            </w:pPr>
          </w:p>
        </w:tc>
        <w:tc>
          <w:tcPr>
            <w:tcW w:w="260" w:type="dxa"/>
            <w:vAlign w:val="bottom"/>
            <w:tcBorders>
              <w:bottom w:val="single" w:sz="8" w:color="C0C0C0"/>
            </w:tcBorders>
          </w:tcPr>
          <w:p>
            <w:pPr>
              <w:spacing w:after="0" w:line="20" w:lineRule="exact"/>
              <w:rPr>
                <w:sz w:val="1"/>
                <w:szCs w:val="1"/>
                <w:color w:val="auto"/>
              </w:rPr>
            </w:pPr>
          </w:p>
        </w:tc>
        <w:tc>
          <w:tcPr>
            <w:tcW w:w="420" w:type="dxa"/>
            <w:vAlign w:val="bottom"/>
            <w:tcBorders>
              <w:bottom w:val="single" w:sz="8" w:color="C0C0C0"/>
              <w:right w:val="single" w:sz="8" w:color="C0C0C0"/>
            </w:tcBorders>
          </w:tcPr>
          <w:p>
            <w:pPr>
              <w:spacing w:after="0" w:line="20" w:lineRule="exact"/>
              <w:rPr>
                <w:sz w:val="1"/>
                <w:szCs w:val="1"/>
                <w:color w:val="auto"/>
              </w:rPr>
            </w:pPr>
          </w:p>
        </w:tc>
        <w:tc>
          <w:tcPr>
            <w:tcW w:w="1220" w:type="dxa"/>
            <w:vAlign w:val="bottom"/>
            <w:tcBorders>
              <w:bottom w:val="single" w:sz="8" w:color="C0C0C0"/>
            </w:tcBorders>
          </w:tcPr>
          <w:p>
            <w:pPr>
              <w:spacing w:after="0" w:line="20" w:lineRule="exact"/>
              <w:rPr>
                <w:sz w:val="1"/>
                <w:szCs w:val="1"/>
                <w:color w:val="auto"/>
              </w:rPr>
            </w:pPr>
          </w:p>
        </w:tc>
        <w:tc>
          <w:tcPr>
            <w:tcW w:w="260" w:type="dxa"/>
            <w:vAlign w:val="bottom"/>
            <w:tcBorders>
              <w:bottom w:val="single" w:sz="8" w:color="C0C0C0"/>
            </w:tcBorders>
          </w:tcPr>
          <w:p>
            <w:pPr>
              <w:spacing w:after="0" w:line="20" w:lineRule="exact"/>
              <w:rPr>
                <w:sz w:val="1"/>
                <w:szCs w:val="1"/>
                <w:color w:val="auto"/>
              </w:rPr>
            </w:pPr>
          </w:p>
        </w:tc>
        <w:tc>
          <w:tcPr>
            <w:tcW w:w="4180" w:type="dxa"/>
            <w:vAlign w:val="bottom"/>
            <w:tcBorders>
              <w:bottom w:val="single" w:sz="8" w:color="C0C0C0"/>
              <w:right w:val="single" w:sz="8" w:color="C0C0C0"/>
            </w:tcBorders>
          </w:tcPr>
          <w:p>
            <w:pPr>
              <w:spacing w:after="0" w:line="20" w:lineRule="exact"/>
              <w:rPr>
                <w:sz w:val="1"/>
                <w:szCs w:val="1"/>
                <w:color w:val="auto"/>
              </w:rPr>
            </w:pPr>
          </w:p>
        </w:tc>
      </w:tr>
      <w:tr>
        <w:trPr>
          <w:trHeight w:val="243"/>
        </w:trPr>
        <w:tc>
          <w:tcPr>
            <w:tcW w:w="3720" w:type="dxa"/>
            <w:vAlign w:val="bottom"/>
            <w:tcBorders>
              <w:left w:val="single" w:sz="8" w:color="C0C0C0"/>
              <w:bottom w:val="single" w:sz="8" w:color="C0C0C0"/>
            </w:tcBorders>
          </w:tcPr>
          <w:p>
            <w:pPr>
              <w:spacing w:after="0"/>
              <w:rPr>
                <w:sz w:val="21"/>
                <w:szCs w:val="21"/>
                <w:color w:val="auto"/>
              </w:rPr>
            </w:pPr>
          </w:p>
        </w:tc>
        <w:tc>
          <w:tcPr>
            <w:tcW w:w="440" w:type="dxa"/>
            <w:vAlign w:val="bottom"/>
            <w:tcBorders>
              <w:bottom w:val="single" w:sz="8" w:color="C0C0C0"/>
            </w:tcBorders>
          </w:tcPr>
          <w:p>
            <w:pPr>
              <w:spacing w:after="0"/>
              <w:rPr>
                <w:sz w:val="21"/>
                <w:szCs w:val="21"/>
                <w:color w:val="auto"/>
              </w:rPr>
            </w:pPr>
          </w:p>
        </w:tc>
        <w:tc>
          <w:tcPr>
            <w:tcW w:w="260" w:type="dxa"/>
            <w:vAlign w:val="bottom"/>
            <w:tcBorders>
              <w:bottom w:val="single" w:sz="8" w:color="C0C0C0"/>
            </w:tcBorders>
          </w:tcPr>
          <w:p>
            <w:pPr>
              <w:spacing w:after="0"/>
              <w:rPr>
                <w:sz w:val="21"/>
                <w:szCs w:val="21"/>
                <w:color w:val="auto"/>
              </w:rPr>
            </w:pPr>
          </w:p>
        </w:tc>
        <w:tc>
          <w:tcPr>
            <w:tcW w:w="420" w:type="dxa"/>
            <w:vAlign w:val="bottom"/>
            <w:tcBorders>
              <w:bottom w:val="single" w:sz="8" w:color="C0C0C0"/>
              <w:right w:val="single" w:sz="8" w:color="C0C0C0"/>
            </w:tcBorders>
          </w:tcPr>
          <w:p>
            <w:pPr>
              <w:spacing w:after="0"/>
              <w:rPr>
                <w:sz w:val="21"/>
                <w:szCs w:val="21"/>
                <w:color w:val="auto"/>
              </w:rPr>
            </w:pPr>
          </w:p>
        </w:tc>
        <w:tc>
          <w:tcPr>
            <w:tcW w:w="1220" w:type="dxa"/>
            <w:vAlign w:val="bottom"/>
            <w:tcBorders>
              <w:bottom w:val="single" w:sz="8" w:color="C0C0C0"/>
            </w:tcBorders>
          </w:tcPr>
          <w:p>
            <w:pPr>
              <w:spacing w:after="0"/>
              <w:rPr>
                <w:sz w:val="21"/>
                <w:szCs w:val="21"/>
                <w:color w:val="auto"/>
              </w:rPr>
            </w:pPr>
          </w:p>
        </w:tc>
        <w:tc>
          <w:tcPr>
            <w:tcW w:w="260" w:type="dxa"/>
            <w:vAlign w:val="bottom"/>
            <w:tcBorders>
              <w:bottom w:val="single" w:sz="8" w:color="C0C0C0"/>
            </w:tcBorders>
          </w:tcPr>
          <w:p>
            <w:pPr>
              <w:spacing w:after="0"/>
              <w:rPr>
                <w:sz w:val="21"/>
                <w:szCs w:val="21"/>
                <w:color w:val="auto"/>
              </w:rPr>
            </w:pPr>
          </w:p>
        </w:tc>
        <w:tc>
          <w:tcPr>
            <w:tcW w:w="4180" w:type="dxa"/>
            <w:vAlign w:val="bottom"/>
            <w:tcBorders>
              <w:bottom w:val="single" w:sz="8" w:color="C0C0C0"/>
              <w:right w:val="single" w:sz="8" w:color="C0C0C0"/>
            </w:tcBorders>
          </w:tcPr>
          <w:p>
            <w:pPr>
              <w:spacing w:after="0"/>
              <w:rPr>
                <w:sz w:val="21"/>
                <w:szCs w:val="21"/>
                <w:color w:val="auto"/>
              </w:rPr>
            </w:pPr>
          </w:p>
        </w:tc>
      </w:tr>
      <w:tr>
        <w:trPr>
          <w:trHeight w:val="214"/>
        </w:trPr>
        <w:tc>
          <w:tcPr>
            <w:tcW w:w="3720" w:type="dxa"/>
            <w:vAlign w:val="bottom"/>
            <w:tcBorders>
              <w:left w:val="single" w:sz="8" w:color="C0C0C0"/>
            </w:tcBorders>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Borders>
              <w:right w:val="single" w:sz="8" w:color="C0C0C0"/>
            </w:tcBorders>
          </w:tcPr>
          <w:p>
            <w:pPr>
              <w:spacing w:after="0"/>
              <w:rPr>
                <w:sz w:val="18"/>
                <w:szCs w:val="18"/>
                <w:color w:val="auto"/>
              </w:rPr>
            </w:pPr>
          </w:p>
        </w:tc>
        <w:tc>
          <w:tcPr>
            <w:tcW w:w="5660" w:type="dxa"/>
            <w:vAlign w:val="bottom"/>
            <w:tcBorders>
              <w:right w:val="single" w:sz="8" w:color="C0C0C0"/>
            </w:tcBorders>
            <w:gridSpan w:val="3"/>
          </w:tcPr>
          <w:p>
            <w:pPr>
              <w:ind w:left="20"/>
              <w:spacing w:after="0"/>
              <w:rPr>
                <w:sz w:val="20"/>
                <w:szCs w:val="20"/>
                <w:color w:val="auto"/>
              </w:rPr>
            </w:pPr>
            <w:r>
              <w:rPr>
                <w:rFonts w:ascii="Arial" w:cs="Arial" w:eastAsia="Arial" w:hAnsi="Arial"/>
                <w:sz w:val="18"/>
                <w:szCs w:val="18"/>
                <w:color w:val="auto"/>
              </w:rPr>
              <w:t>[Special Benefit Rider</w:t>
            </w:r>
          </w:p>
        </w:tc>
      </w:tr>
      <w:tr>
        <w:trPr>
          <w:trHeight w:val="213"/>
        </w:trPr>
        <w:tc>
          <w:tcPr>
            <w:tcW w:w="3720" w:type="dxa"/>
            <w:vAlign w:val="bottom"/>
            <w:tcBorders>
              <w:left w:val="single" w:sz="8" w:color="C0C0C0"/>
            </w:tcBorders>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Borders>
              <w:right w:val="single" w:sz="8" w:color="C0C0C0"/>
            </w:tcBorders>
          </w:tcPr>
          <w:p>
            <w:pPr>
              <w:spacing w:after="0"/>
              <w:rPr>
                <w:sz w:val="18"/>
                <w:szCs w:val="18"/>
                <w:color w:val="auto"/>
              </w:rPr>
            </w:pPr>
          </w:p>
        </w:tc>
        <w:tc>
          <w:tcPr>
            <w:tcW w:w="5660" w:type="dxa"/>
            <w:vAlign w:val="bottom"/>
            <w:tcBorders>
              <w:right w:val="single" w:sz="8" w:color="C0C0C0"/>
            </w:tcBorders>
            <w:gridSpan w:val="3"/>
          </w:tcPr>
          <w:p>
            <w:pPr>
              <w:ind w:left="20"/>
              <w:spacing w:after="0"/>
              <w:rPr>
                <w:sz w:val="20"/>
                <w:szCs w:val="20"/>
                <w:color w:val="auto"/>
              </w:rPr>
            </w:pPr>
            <w:r>
              <w:rPr>
                <w:rFonts w:ascii="Arial" w:cs="Arial" w:eastAsia="Arial" w:hAnsi="Arial"/>
                <w:sz w:val="18"/>
                <w:szCs w:val="18"/>
                <w:color w:val="auto"/>
              </w:rPr>
              <w:t>Level Benefit Rider</w:t>
            </w:r>
          </w:p>
        </w:tc>
      </w:tr>
      <w:tr>
        <w:trPr>
          <w:trHeight w:val="213"/>
        </w:trPr>
        <w:tc>
          <w:tcPr>
            <w:tcW w:w="3720" w:type="dxa"/>
            <w:vAlign w:val="bottom"/>
            <w:tcBorders>
              <w:left w:val="single" w:sz="8" w:color="C0C0C0"/>
            </w:tcBorders>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Borders>
              <w:right w:val="single" w:sz="8" w:color="C0C0C0"/>
            </w:tcBorders>
          </w:tcPr>
          <w:p>
            <w:pPr>
              <w:spacing w:after="0"/>
              <w:rPr>
                <w:sz w:val="18"/>
                <w:szCs w:val="18"/>
                <w:color w:val="auto"/>
              </w:rPr>
            </w:pPr>
          </w:p>
        </w:tc>
        <w:tc>
          <w:tcPr>
            <w:tcW w:w="5660" w:type="dxa"/>
            <w:vAlign w:val="bottom"/>
            <w:tcBorders>
              <w:right w:val="single" w:sz="8" w:color="C0C0C0"/>
            </w:tcBorders>
            <w:gridSpan w:val="3"/>
          </w:tcPr>
          <w:p>
            <w:pPr>
              <w:ind w:left="20"/>
              <w:spacing w:after="0"/>
              <w:rPr>
                <w:sz w:val="20"/>
                <w:szCs w:val="20"/>
                <w:color w:val="auto"/>
              </w:rPr>
            </w:pPr>
            <w:r>
              <w:rPr>
                <w:rFonts w:ascii="Arial" w:cs="Arial" w:eastAsia="Arial" w:hAnsi="Arial"/>
                <w:sz w:val="18"/>
                <w:szCs w:val="18"/>
                <w:color w:val="auto"/>
              </w:rPr>
              <w:t>Pop-Up Rider</w:t>
            </w:r>
          </w:p>
        </w:tc>
      </w:tr>
      <w:tr>
        <w:trPr>
          <w:trHeight w:val="213"/>
        </w:trPr>
        <w:tc>
          <w:tcPr>
            <w:tcW w:w="3720" w:type="dxa"/>
            <w:vAlign w:val="bottom"/>
            <w:tcBorders>
              <w:left w:val="single" w:sz="8" w:color="C0C0C0"/>
            </w:tcBorders>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Borders>
              <w:right w:val="single" w:sz="8" w:color="C0C0C0"/>
            </w:tcBorders>
          </w:tcPr>
          <w:p>
            <w:pPr>
              <w:spacing w:after="0"/>
              <w:rPr>
                <w:sz w:val="18"/>
                <w:szCs w:val="18"/>
                <w:color w:val="auto"/>
              </w:rPr>
            </w:pPr>
          </w:p>
        </w:tc>
        <w:tc>
          <w:tcPr>
            <w:tcW w:w="5660" w:type="dxa"/>
            <w:vAlign w:val="bottom"/>
            <w:tcBorders>
              <w:right w:val="single" w:sz="8" w:color="C0C0C0"/>
            </w:tcBorders>
            <w:gridSpan w:val="3"/>
          </w:tcPr>
          <w:p>
            <w:pPr>
              <w:ind w:left="20"/>
              <w:spacing w:after="0"/>
              <w:rPr>
                <w:sz w:val="20"/>
                <w:szCs w:val="20"/>
                <w:color w:val="auto"/>
              </w:rPr>
            </w:pPr>
            <w:r>
              <w:rPr>
                <w:rFonts w:ascii="Arial" w:cs="Arial" w:eastAsia="Arial" w:hAnsi="Arial"/>
                <w:sz w:val="18"/>
                <w:szCs w:val="18"/>
                <w:color w:val="auto"/>
              </w:rPr>
              <w:t>Refund Death Benefit Rider</w:t>
            </w:r>
          </w:p>
        </w:tc>
      </w:tr>
      <w:tr>
        <w:trPr>
          <w:trHeight w:val="255"/>
        </w:trPr>
        <w:tc>
          <w:tcPr>
            <w:tcW w:w="3720" w:type="dxa"/>
            <w:vAlign w:val="bottom"/>
            <w:tcBorders>
              <w:left w:val="single" w:sz="8" w:color="C0C0C0"/>
              <w:bottom w:val="single" w:sz="8" w:color="C0C0C0"/>
            </w:tcBorders>
          </w:tcPr>
          <w:p>
            <w:pPr>
              <w:ind w:left="260"/>
              <w:spacing w:after="0"/>
              <w:rPr>
                <w:sz w:val="20"/>
                <w:szCs w:val="20"/>
                <w:color w:val="auto"/>
              </w:rPr>
            </w:pPr>
            <w:r>
              <w:rPr>
                <w:rFonts w:ascii="Arial" w:cs="Arial" w:eastAsia="Arial" w:hAnsi="Arial"/>
                <w:sz w:val="18"/>
                <w:szCs w:val="18"/>
                <w:i w:val="1"/>
                <w:iCs w:val="1"/>
                <w:color w:val="auto"/>
              </w:rPr>
              <w:t>Annuity Riders:</w:t>
            </w:r>
          </w:p>
        </w:tc>
        <w:tc>
          <w:tcPr>
            <w:tcW w:w="440" w:type="dxa"/>
            <w:vAlign w:val="bottom"/>
            <w:tcBorders>
              <w:bottom w:val="single" w:sz="8" w:color="C0C0C0"/>
            </w:tcBorders>
          </w:tcPr>
          <w:p>
            <w:pPr>
              <w:spacing w:after="0"/>
              <w:rPr>
                <w:sz w:val="22"/>
                <w:szCs w:val="22"/>
                <w:color w:val="auto"/>
              </w:rPr>
            </w:pPr>
          </w:p>
        </w:tc>
        <w:tc>
          <w:tcPr>
            <w:tcW w:w="260" w:type="dxa"/>
            <w:vAlign w:val="bottom"/>
            <w:tcBorders>
              <w:bottom w:val="single" w:sz="8" w:color="C0C0C0"/>
            </w:tcBorders>
          </w:tcPr>
          <w:p>
            <w:pPr>
              <w:spacing w:after="0"/>
              <w:rPr>
                <w:sz w:val="22"/>
                <w:szCs w:val="22"/>
                <w:color w:val="auto"/>
              </w:rPr>
            </w:pPr>
          </w:p>
        </w:tc>
        <w:tc>
          <w:tcPr>
            <w:tcW w:w="420" w:type="dxa"/>
            <w:vAlign w:val="bottom"/>
            <w:tcBorders>
              <w:bottom w:val="single" w:sz="8" w:color="C0C0C0"/>
              <w:right w:val="single" w:sz="8" w:color="C0C0C0"/>
            </w:tcBorders>
          </w:tcPr>
          <w:p>
            <w:pPr>
              <w:spacing w:after="0"/>
              <w:rPr>
                <w:sz w:val="22"/>
                <w:szCs w:val="22"/>
                <w:color w:val="auto"/>
              </w:rPr>
            </w:pPr>
          </w:p>
        </w:tc>
        <w:tc>
          <w:tcPr>
            <w:tcW w:w="5660" w:type="dxa"/>
            <w:vAlign w:val="bottom"/>
            <w:tcBorders>
              <w:bottom w:val="single" w:sz="8" w:color="C0C0C0"/>
              <w:right w:val="single" w:sz="8" w:color="C0C0C0"/>
            </w:tcBorders>
            <w:gridSpan w:val="3"/>
          </w:tcPr>
          <w:p>
            <w:pPr>
              <w:ind w:left="20"/>
              <w:spacing w:after="0" w:line="255" w:lineRule="exact"/>
              <w:rPr>
                <w:sz w:val="20"/>
                <w:szCs w:val="20"/>
                <w:color w:val="auto"/>
              </w:rPr>
            </w:pPr>
            <w:r>
              <w:rPr>
                <w:rFonts w:ascii="Arial" w:cs="Arial" w:eastAsia="Arial" w:hAnsi="Arial"/>
                <w:sz w:val="18"/>
                <w:szCs w:val="18"/>
                <w:color w:val="auto"/>
              </w:rPr>
              <w:t xml:space="preserve">None] </w:t>
            </w:r>
            <w:r>
              <w:rPr>
                <w:rFonts w:ascii="Arial" w:cs="Arial" w:eastAsia="Arial" w:hAnsi="Arial"/>
                <w:sz w:val="23"/>
                <w:szCs w:val="23"/>
                <w:color w:val="auto"/>
                <w:vertAlign w:val="superscript"/>
              </w:rPr>
              <w:t>A</w:t>
            </w:r>
          </w:p>
        </w:tc>
      </w:tr>
      <w:tr>
        <w:trPr>
          <w:trHeight w:val="243"/>
        </w:trPr>
        <w:tc>
          <w:tcPr>
            <w:tcW w:w="3720" w:type="dxa"/>
            <w:vAlign w:val="bottom"/>
            <w:tcBorders>
              <w:left w:val="single" w:sz="8" w:color="C0C0C0"/>
              <w:bottom w:val="single" w:sz="8" w:color="C0C0C0"/>
            </w:tcBorders>
          </w:tcPr>
          <w:p>
            <w:pPr>
              <w:spacing w:after="0"/>
              <w:rPr>
                <w:sz w:val="21"/>
                <w:szCs w:val="21"/>
                <w:color w:val="auto"/>
              </w:rPr>
            </w:pPr>
          </w:p>
        </w:tc>
        <w:tc>
          <w:tcPr>
            <w:tcW w:w="440" w:type="dxa"/>
            <w:vAlign w:val="bottom"/>
            <w:tcBorders>
              <w:bottom w:val="single" w:sz="8" w:color="C0C0C0"/>
            </w:tcBorders>
          </w:tcPr>
          <w:p>
            <w:pPr>
              <w:spacing w:after="0"/>
              <w:rPr>
                <w:sz w:val="21"/>
                <w:szCs w:val="21"/>
                <w:color w:val="auto"/>
              </w:rPr>
            </w:pPr>
          </w:p>
        </w:tc>
        <w:tc>
          <w:tcPr>
            <w:tcW w:w="260" w:type="dxa"/>
            <w:vAlign w:val="bottom"/>
            <w:tcBorders>
              <w:bottom w:val="single" w:sz="8" w:color="C0C0C0"/>
            </w:tcBorders>
          </w:tcPr>
          <w:p>
            <w:pPr>
              <w:spacing w:after="0"/>
              <w:rPr>
                <w:sz w:val="21"/>
                <w:szCs w:val="21"/>
                <w:color w:val="auto"/>
              </w:rPr>
            </w:pPr>
          </w:p>
        </w:tc>
        <w:tc>
          <w:tcPr>
            <w:tcW w:w="420" w:type="dxa"/>
            <w:vAlign w:val="bottom"/>
            <w:tcBorders>
              <w:bottom w:val="single" w:sz="8" w:color="C0C0C0"/>
              <w:right w:val="single" w:sz="8" w:color="C0C0C0"/>
            </w:tcBorders>
          </w:tcPr>
          <w:p>
            <w:pPr>
              <w:spacing w:after="0"/>
              <w:rPr>
                <w:sz w:val="21"/>
                <w:szCs w:val="21"/>
                <w:color w:val="auto"/>
              </w:rPr>
            </w:pPr>
          </w:p>
        </w:tc>
        <w:tc>
          <w:tcPr>
            <w:tcW w:w="1220" w:type="dxa"/>
            <w:vAlign w:val="bottom"/>
            <w:tcBorders>
              <w:bottom w:val="single" w:sz="8" w:color="C0C0C0"/>
            </w:tcBorders>
          </w:tcPr>
          <w:p>
            <w:pPr>
              <w:spacing w:after="0"/>
              <w:rPr>
                <w:sz w:val="21"/>
                <w:szCs w:val="21"/>
                <w:color w:val="auto"/>
              </w:rPr>
            </w:pPr>
          </w:p>
        </w:tc>
        <w:tc>
          <w:tcPr>
            <w:tcW w:w="260" w:type="dxa"/>
            <w:vAlign w:val="bottom"/>
            <w:tcBorders>
              <w:bottom w:val="single" w:sz="8" w:color="C0C0C0"/>
            </w:tcBorders>
          </w:tcPr>
          <w:p>
            <w:pPr>
              <w:spacing w:after="0"/>
              <w:rPr>
                <w:sz w:val="21"/>
                <w:szCs w:val="21"/>
                <w:color w:val="auto"/>
              </w:rPr>
            </w:pPr>
          </w:p>
        </w:tc>
        <w:tc>
          <w:tcPr>
            <w:tcW w:w="4180" w:type="dxa"/>
            <w:vAlign w:val="bottom"/>
            <w:tcBorders>
              <w:bottom w:val="single" w:sz="8" w:color="C0C0C0"/>
              <w:right w:val="single" w:sz="8" w:color="C0C0C0"/>
            </w:tcBorders>
          </w:tcPr>
          <w:p>
            <w:pPr>
              <w:spacing w:after="0"/>
              <w:rPr>
                <w:sz w:val="21"/>
                <w:szCs w:val="21"/>
                <w:color w:val="auto"/>
              </w:rPr>
            </w:pPr>
          </w:p>
        </w:tc>
      </w:tr>
      <w:tr>
        <w:trPr>
          <w:trHeight w:val="214"/>
        </w:trPr>
        <w:tc>
          <w:tcPr>
            <w:tcW w:w="3720" w:type="dxa"/>
            <w:vAlign w:val="bottom"/>
            <w:tcBorders>
              <w:left w:val="single" w:sz="8" w:color="C0C0C0"/>
            </w:tcBorders>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Borders>
              <w:right w:val="single" w:sz="8" w:color="C0C0C0"/>
            </w:tcBorders>
          </w:tcPr>
          <w:p>
            <w:pPr>
              <w:spacing w:after="0"/>
              <w:rPr>
                <w:sz w:val="18"/>
                <w:szCs w:val="18"/>
                <w:color w:val="auto"/>
              </w:rPr>
            </w:pPr>
          </w:p>
        </w:tc>
        <w:tc>
          <w:tcPr>
            <w:tcW w:w="5660" w:type="dxa"/>
            <w:vAlign w:val="bottom"/>
            <w:tcBorders>
              <w:right w:val="single" w:sz="8" w:color="C0C0C0"/>
            </w:tcBorders>
            <w:gridSpan w:val="3"/>
          </w:tcPr>
          <w:p>
            <w:pPr>
              <w:ind w:left="20"/>
              <w:spacing w:after="0"/>
              <w:rPr>
                <w:sz w:val="20"/>
                <w:szCs w:val="20"/>
                <w:color w:val="auto"/>
              </w:rPr>
            </w:pPr>
            <w:r>
              <w:rPr>
                <w:rFonts w:ascii="Arial" w:cs="Arial" w:eastAsia="Arial" w:hAnsi="Arial"/>
                <w:sz w:val="18"/>
                <w:szCs w:val="18"/>
                <w:color w:val="auto"/>
              </w:rPr>
              <w:t>[General Conversion Option</w:t>
            </w:r>
          </w:p>
        </w:tc>
      </w:tr>
      <w:tr>
        <w:trPr>
          <w:trHeight w:val="213"/>
        </w:trPr>
        <w:tc>
          <w:tcPr>
            <w:tcW w:w="3720" w:type="dxa"/>
            <w:vAlign w:val="bottom"/>
            <w:tcBorders>
              <w:left w:val="single" w:sz="8" w:color="C0C0C0"/>
            </w:tcBorders>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Borders>
              <w:right w:val="single" w:sz="8" w:color="C0C0C0"/>
            </w:tcBorders>
          </w:tcPr>
          <w:p>
            <w:pPr>
              <w:spacing w:after="0"/>
              <w:rPr>
                <w:sz w:val="18"/>
                <w:szCs w:val="18"/>
                <w:color w:val="auto"/>
              </w:rPr>
            </w:pPr>
          </w:p>
        </w:tc>
        <w:tc>
          <w:tcPr>
            <w:tcW w:w="5660" w:type="dxa"/>
            <w:vAlign w:val="bottom"/>
            <w:tcBorders>
              <w:right w:val="single" w:sz="8" w:color="C0C0C0"/>
            </w:tcBorders>
            <w:gridSpan w:val="3"/>
          </w:tcPr>
          <w:p>
            <w:pPr>
              <w:ind w:left="20"/>
              <w:spacing w:after="0"/>
              <w:rPr>
                <w:sz w:val="20"/>
                <w:szCs w:val="20"/>
                <w:color w:val="auto"/>
              </w:rPr>
            </w:pPr>
            <w:r>
              <w:rPr>
                <w:rFonts w:ascii="Arial" w:cs="Arial" w:eastAsia="Arial" w:hAnsi="Arial"/>
                <w:sz w:val="18"/>
                <w:szCs w:val="18"/>
                <w:color w:val="auto"/>
              </w:rPr>
              <w:t>Disabled Age 55 Conversion Option</w:t>
            </w:r>
          </w:p>
        </w:tc>
      </w:tr>
      <w:tr>
        <w:trPr>
          <w:trHeight w:val="307"/>
        </w:trPr>
        <w:tc>
          <w:tcPr>
            <w:tcW w:w="3720" w:type="dxa"/>
            <w:vAlign w:val="bottom"/>
            <w:tcBorders>
              <w:left w:val="single" w:sz="8" w:color="C0C0C0"/>
            </w:tcBorders>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Borders>
              <w:right w:val="single" w:sz="8" w:color="C0C0C0"/>
            </w:tcBorders>
          </w:tcPr>
          <w:p>
            <w:pPr>
              <w:spacing w:after="0"/>
              <w:rPr>
                <w:sz w:val="24"/>
                <w:szCs w:val="24"/>
                <w:color w:val="auto"/>
              </w:rPr>
            </w:pPr>
          </w:p>
        </w:tc>
        <w:tc>
          <w:tcPr>
            <w:tcW w:w="5660" w:type="dxa"/>
            <w:vAlign w:val="bottom"/>
            <w:tcBorders>
              <w:right w:val="single" w:sz="8" w:color="C0C0C0"/>
            </w:tcBorders>
            <w:gridSpan w:val="3"/>
          </w:tcPr>
          <w:p>
            <w:pPr>
              <w:ind w:left="20"/>
              <w:spacing w:after="0"/>
              <w:rPr>
                <w:sz w:val="20"/>
                <w:szCs w:val="20"/>
                <w:color w:val="auto"/>
              </w:rPr>
            </w:pPr>
            <w:r>
              <w:rPr>
                <w:rFonts w:ascii="Arial" w:cs="Arial" w:eastAsia="Arial" w:hAnsi="Arial"/>
                <w:sz w:val="18"/>
                <w:szCs w:val="18"/>
                <w:color w:val="auto"/>
              </w:rPr>
              <w:t xml:space="preserve">None] </w:t>
            </w:r>
            <w:r>
              <w:rPr>
                <w:rFonts w:ascii="Arial" w:cs="Arial" w:eastAsia="Arial" w:hAnsi="Arial"/>
                <w:sz w:val="23"/>
                <w:szCs w:val="23"/>
                <w:color w:val="auto"/>
                <w:vertAlign w:val="superscript"/>
              </w:rPr>
              <w:t>A</w:t>
            </w:r>
          </w:p>
        </w:tc>
      </w:tr>
      <w:tr>
        <w:trPr>
          <w:trHeight w:val="327"/>
        </w:trPr>
        <w:tc>
          <w:tcPr>
            <w:tcW w:w="3720" w:type="dxa"/>
            <w:vAlign w:val="bottom"/>
            <w:tcBorders>
              <w:left w:val="single" w:sz="8" w:color="C0C0C0"/>
            </w:tcBorders>
          </w:tcPr>
          <w:p>
            <w:pPr>
              <w:ind w:left="40"/>
              <w:spacing w:after="0"/>
              <w:rPr>
                <w:sz w:val="20"/>
                <w:szCs w:val="20"/>
                <w:color w:val="auto"/>
              </w:rPr>
            </w:pPr>
            <w:r>
              <w:rPr>
                <w:rFonts w:ascii="Arial" w:cs="Arial" w:eastAsia="Arial" w:hAnsi="Arial"/>
                <w:sz w:val="18"/>
                <w:szCs w:val="18"/>
                <w:i w:val="1"/>
                <w:iCs w:val="1"/>
                <w:color w:val="auto"/>
              </w:rPr>
              <w:t>Conversion Options:</w:t>
            </w: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Borders>
              <w:right w:val="single" w:sz="8" w:color="C0C0C0"/>
            </w:tcBorders>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180" w:type="dxa"/>
            <w:vAlign w:val="bottom"/>
            <w:tcBorders>
              <w:right w:val="single" w:sz="8" w:color="C0C0C0"/>
            </w:tcBorders>
          </w:tcPr>
          <w:p>
            <w:pPr>
              <w:spacing w:after="0"/>
              <w:rPr>
                <w:sz w:val="24"/>
                <w:szCs w:val="24"/>
                <w:color w:val="auto"/>
              </w:rPr>
            </w:pPr>
          </w:p>
        </w:tc>
      </w:tr>
      <w:tr>
        <w:trPr>
          <w:trHeight w:val="21"/>
        </w:trPr>
        <w:tc>
          <w:tcPr>
            <w:tcW w:w="3720" w:type="dxa"/>
            <w:vAlign w:val="bottom"/>
            <w:tcBorders>
              <w:left w:val="single" w:sz="8" w:color="C0C0C0"/>
              <w:bottom w:val="single" w:sz="8" w:color="C0C0C0"/>
            </w:tcBorders>
          </w:tcPr>
          <w:p>
            <w:pPr>
              <w:spacing w:after="0" w:line="20" w:lineRule="exact"/>
              <w:rPr>
                <w:sz w:val="1"/>
                <w:szCs w:val="1"/>
                <w:color w:val="auto"/>
              </w:rPr>
            </w:pPr>
          </w:p>
        </w:tc>
        <w:tc>
          <w:tcPr>
            <w:tcW w:w="440" w:type="dxa"/>
            <w:vAlign w:val="bottom"/>
            <w:tcBorders>
              <w:bottom w:val="single" w:sz="8" w:color="C0C0C0"/>
            </w:tcBorders>
          </w:tcPr>
          <w:p>
            <w:pPr>
              <w:spacing w:after="0" w:line="20" w:lineRule="exact"/>
              <w:rPr>
                <w:sz w:val="1"/>
                <w:szCs w:val="1"/>
                <w:color w:val="auto"/>
              </w:rPr>
            </w:pPr>
          </w:p>
        </w:tc>
        <w:tc>
          <w:tcPr>
            <w:tcW w:w="260" w:type="dxa"/>
            <w:vAlign w:val="bottom"/>
            <w:tcBorders>
              <w:bottom w:val="single" w:sz="8" w:color="C0C0C0"/>
            </w:tcBorders>
          </w:tcPr>
          <w:p>
            <w:pPr>
              <w:spacing w:after="0" w:line="20" w:lineRule="exact"/>
              <w:rPr>
                <w:sz w:val="1"/>
                <w:szCs w:val="1"/>
                <w:color w:val="auto"/>
              </w:rPr>
            </w:pPr>
          </w:p>
        </w:tc>
        <w:tc>
          <w:tcPr>
            <w:tcW w:w="420" w:type="dxa"/>
            <w:vAlign w:val="bottom"/>
            <w:tcBorders>
              <w:bottom w:val="single" w:sz="8" w:color="C0C0C0"/>
              <w:right w:val="single" w:sz="8" w:color="C0C0C0"/>
            </w:tcBorders>
          </w:tcPr>
          <w:p>
            <w:pPr>
              <w:spacing w:after="0" w:line="20" w:lineRule="exact"/>
              <w:rPr>
                <w:sz w:val="1"/>
                <w:szCs w:val="1"/>
                <w:color w:val="auto"/>
              </w:rPr>
            </w:pPr>
          </w:p>
        </w:tc>
        <w:tc>
          <w:tcPr>
            <w:tcW w:w="1220" w:type="dxa"/>
            <w:vAlign w:val="bottom"/>
            <w:tcBorders>
              <w:bottom w:val="single" w:sz="8" w:color="C0C0C0"/>
            </w:tcBorders>
          </w:tcPr>
          <w:p>
            <w:pPr>
              <w:spacing w:after="0" w:line="20" w:lineRule="exact"/>
              <w:rPr>
                <w:sz w:val="1"/>
                <w:szCs w:val="1"/>
                <w:color w:val="auto"/>
              </w:rPr>
            </w:pPr>
          </w:p>
        </w:tc>
        <w:tc>
          <w:tcPr>
            <w:tcW w:w="260" w:type="dxa"/>
            <w:vAlign w:val="bottom"/>
            <w:tcBorders>
              <w:bottom w:val="single" w:sz="8" w:color="C0C0C0"/>
            </w:tcBorders>
          </w:tcPr>
          <w:p>
            <w:pPr>
              <w:spacing w:after="0" w:line="20" w:lineRule="exact"/>
              <w:rPr>
                <w:sz w:val="1"/>
                <w:szCs w:val="1"/>
                <w:color w:val="auto"/>
              </w:rPr>
            </w:pPr>
          </w:p>
        </w:tc>
        <w:tc>
          <w:tcPr>
            <w:tcW w:w="4180" w:type="dxa"/>
            <w:vAlign w:val="bottom"/>
            <w:tcBorders>
              <w:bottom w:val="single" w:sz="8" w:color="C0C0C0"/>
              <w:right w:val="single" w:sz="8" w:color="C0C0C0"/>
            </w:tcBorders>
          </w:tcPr>
          <w:p>
            <w:pPr>
              <w:spacing w:after="0" w:line="20" w:lineRule="exact"/>
              <w:rPr>
                <w:sz w:val="1"/>
                <w:szCs w:val="1"/>
                <w:color w:val="auto"/>
              </w:rPr>
            </w:pPr>
          </w:p>
        </w:tc>
      </w:tr>
      <w:tr>
        <w:trPr>
          <w:trHeight w:val="243"/>
        </w:trPr>
        <w:tc>
          <w:tcPr>
            <w:tcW w:w="3720" w:type="dxa"/>
            <w:vAlign w:val="bottom"/>
            <w:tcBorders>
              <w:left w:val="single" w:sz="8" w:color="C0C0C0"/>
              <w:bottom w:val="single" w:sz="8" w:color="C0C0C0"/>
            </w:tcBorders>
          </w:tcPr>
          <w:p>
            <w:pPr>
              <w:spacing w:after="0"/>
              <w:rPr>
                <w:sz w:val="21"/>
                <w:szCs w:val="21"/>
                <w:color w:val="auto"/>
              </w:rPr>
            </w:pPr>
          </w:p>
        </w:tc>
        <w:tc>
          <w:tcPr>
            <w:tcW w:w="440" w:type="dxa"/>
            <w:vAlign w:val="bottom"/>
            <w:tcBorders>
              <w:bottom w:val="single" w:sz="8" w:color="C0C0C0"/>
            </w:tcBorders>
          </w:tcPr>
          <w:p>
            <w:pPr>
              <w:spacing w:after="0"/>
              <w:rPr>
                <w:sz w:val="21"/>
                <w:szCs w:val="21"/>
                <w:color w:val="auto"/>
              </w:rPr>
            </w:pPr>
          </w:p>
        </w:tc>
        <w:tc>
          <w:tcPr>
            <w:tcW w:w="260" w:type="dxa"/>
            <w:vAlign w:val="bottom"/>
            <w:tcBorders>
              <w:bottom w:val="single" w:sz="8" w:color="C0C0C0"/>
            </w:tcBorders>
          </w:tcPr>
          <w:p>
            <w:pPr>
              <w:spacing w:after="0"/>
              <w:rPr>
                <w:sz w:val="21"/>
                <w:szCs w:val="21"/>
                <w:color w:val="auto"/>
              </w:rPr>
            </w:pPr>
          </w:p>
        </w:tc>
        <w:tc>
          <w:tcPr>
            <w:tcW w:w="420" w:type="dxa"/>
            <w:vAlign w:val="bottom"/>
            <w:tcBorders>
              <w:bottom w:val="single" w:sz="8" w:color="C0C0C0"/>
              <w:right w:val="single" w:sz="8" w:color="C0C0C0"/>
            </w:tcBorders>
          </w:tcPr>
          <w:p>
            <w:pPr>
              <w:spacing w:after="0"/>
              <w:rPr>
                <w:sz w:val="21"/>
                <w:szCs w:val="21"/>
                <w:color w:val="auto"/>
              </w:rPr>
            </w:pPr>
          </w:p>
        </w:tc>
        <w:tc>
          <w:tcPr>
            <w:tcW w:w="1220" w:type="dxa"/>
            <w:vAlign w:val="bottom"/>
            <w:tcBorders>
              <w:bottom w:val="single" w:sz="8" w:color="C0C0C0"/>
            </w:tcBorders>
          </w:tcPr>
          <w:p>
            <w:pPr>
              <w:spacing w:after="0"/>
              <w:rPr>
                <w:sz w:val="21"/>
                <w:szCs w:val="21"/>
                <w:color w:val="auto"/>
              </w:rPr>
            </w:pPr>
          </w:p>
        </w:tc>
        <w:tc>
          <w:tcPr>
            <w:tcW w:w="260" w:type="dxa"/>
            <w:vAlign w:val="bottom"/>
            <w:tcBorders>
              <w:bottom w:val="single" w:sz="8" w:color="C0C0C0"/>
            </w:tcBorders>
          </w:tcPr>
          <w:p>
            <w:pPr>
              <w:spacing w:after="0"/>
              <w:rPr>
                <w:sz w:val="21"/>
                <w:szCs w:val="21"/>
                <w:color w:val="auto"/>
              </w:rPr>
            </w:pPr>
          </w:p>
        </w:tc>
        <w:tc>
          <w:tcPr>
            <w:tcW w:w="4180" w:type="dxa"/>
            <w:vAlign w:val="bottom"/>
            <w:tcBorders>
              <w:bottom w:val="single" w:sz="8" w:color="C0C0C0"/>
              <w:right w:val="single" w:sz="8" w:color="C0C0C0"/>
            </w:tcBorders>
          </w:tcPr>
          <w:p>
            <w:pPr>
              <w:spacing w:after="0"/>
              <w:rPr>
                <w:sz w:val="21"/>
                <w:szCs w:val="21"/>
                <w:color w:val="auto"/>
              </w:rPr>
            </w:pPr>
          </w:p>
        </w:tc>
      </w:tr>
      <w:tr>
        <w:trPr>
          <w:trHeight w:val="255"/>
        </w:trPr>
        <w:tc>
          <w:tcPr>
            <w:tcW w:w="3720" w:type="dxa"/>
            <w:vAlign w:val="bottom"/>
            <w:tcBorders>
              <w:left w:val="single" w:sz="8" w:color="C0C0C0"/>
              <w:bottom w:val="single" w:sz="8" w:color="C0C0C0"/>
            </w:tcBorders>
          </w:tcPr>
          <w:p>
            <w:pPr>
              <w:ind w:left="40"/>
              <w:spacing w:after="0"/>
              <w:rPr>
                <w:sz w:val="20"/>
                <w:szCs w:val="20"/>
                <w:color w:val="auto"/>
              </w:rPr>
            </w:pPr>
            <w:r>
              <w:rPr>
                <w:rFonts w:ascii="Arial" w:cs="Arial" w:eastAsia="Arial" w:hAnsi="Arial"/>
                <w:sz w:val="18"/>
                <w:szCs w:val="18"/>
                <w:i w:val="1"/>
                <w:iCs w:val="1"/>
                <w:color w:val="auto"/>
              </w:rPr>
              <w:t>Annuity Commencement Date:</w:t>
            </w:r>
          </w:p>
        </w:tc>
        <w:tc>
          <w:tcPr>
            <w:tcW w:w="440" w:type="dxa"/>
            <w:vAlign w:val="bottom"/>
            <w:tcBorders>
              <w:bottom w:val="single" w:sz="8" w:color="C0C0C0"/>
            </w:tcBorders>
          </w:tcPr>
          <w:p>
            <w:pPr>
              <w:spacing w:after="0"/>
              <w:rPr>
                <w:sz w:val="22"/>
                <w:szCs w:val="22"/>
                <w:color w:val="auto"/>
              </w:rPr>
            </w:pPr>
          </w:p>
        </w:tc>
        <w:tc>
          <w:tcPr>
            <w:tcW w:w="260" w:type="dxa"/>
            <w:vAlign w:val="bottom"/>
            <w:tcBorders>
              <w:bottom w:val="single" w:sz="8" w:color="C0C0C0"/>
            </w:tcBorders>
          </w:tcPr>
          <w:p>
            <w:pPr>
              <w:spacing w:after="0"/>
              <w:rPr>
                <w:sz w:val="22"/>
                <w:szCs w:val="22"/>
                <w:color w:val="auto"/>
              </w:rPr>
            </w:pPr>
          </w:p>
        </w:tc>
        <w:tc>
          <w:tcPr>
            <w:tcW w:w="420" w:type="dxa"/>
            <w:vAlign w:val="bottom"/>
            <w:tcBorders>
              <w:bottom w:val="single" w:sz="8" w:color="C0C0C0"/>
              <w:right w:val="single" w:sz="8" w:color="C0C0C0"/>
            </w:tcBorders>
          </w:tcPr>
          <w:p>
            <w:pPr>
              <w:spacing w:after="0"/>
              <w:rPr>
                <w:sz w:val="22"/>
                <w:szCs w:val="22"/>
                <w:color w:val="auto"/>
              </w:rPr>
            </w:pPr>
          </w:p>
        </w:tc>
        <w:tc>
          <w:tcPr>
            <w:tcW w:w="5660" w:type="dxa"/>
            <w:vAlign w:val="bottom"/>
            <w:tcBorders>
              <w:bottom w:val="single" w:sz="8" w:color="C0C0C0"/>
              <w:right w:val="single" w:sz="8" w:color="C0C0C0"/>
            </w:tcBorders>
            <w:gridSpan w:val="3"/>
          </w:tcPr>
          <w:p>
            <w:pPr>
              <w:ind w:left="20"/>
              <w:spacing w:after="0" w:line="255" w:lineRule="exact"/>
              <w:rPr>
                <w:sz w:val="20"/>
                <w:szCs w:val="20"/>
                <w:color w:val="auto"/>
              </w:rPr>
            </w:pPr>
            <w:r>
              <w:rPr>
                <w:rFonts w:ascii="Arial" w:cs="Arial" w:eastAsia="Arial" w:hAnsi="Arial"/>
                <w:sz w:val="18"/>
                <w:szCs w:val="18"/>
                <w:color w:val="auto"/>
              </w:rPr>
              <w:t>[Date</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23"/>
                <w:szCs w:val="23"/>
                <w:b w:val="1"/>
                <w:bCs w:val="1"/>
                <w:color w:val="auto"/>
                <w:vertAlign w:val="superscript"/>
              </w:rPr>
              <w:t>A</w:t>
            </w:r>
          </w:p>
        </w:tc>
      </w:tr>
      <w:tr>
        <w:trPr>
          <w:trHeight w:val="243"/>
        </w:trPr>
        <w:tc>
          <w:tcPr>
            <w:tcW w:w="3720" w:type="dxa"/>
            <w:vAlign w:val="bottom"/>
            <w:tcBorders>
              <w:left w:val="single" w:sz="8" w:color="C0C0C0"/>
              <w:bottom w:val="single" w:sz="8" w:color="C0C0C0"/>
            </w:tcBorders>
          </w:tcPr>
          <w:p>
            <w:pPr>
              <w:spacing w:after="0"/>
              <w:rPr>
                <w:sz w:val="21"/>
                <w:szCs w:val="21"/>
                <w:color w:val="auto"/>
              </w:rPr>
            </w:pPr>
          </w:p>
        </w:tc>
        <w:tc>
          <w:tcPr>
            <w:tcW w:w="440" w:type="dxa"/>
            <w:vAlign w:val="bottom"/>
            <w:tcBorders>
              <w:bottom w:val="single" w:sz="8" w:color="C0C0C0"/>
            </w:tcBorders>
          </w:tcPr>
          <w:p>
            <w:pPr>
              <w:spacing w:after="0"/>
              <w:rPr>
                <w:sz w:val="21"/>
                <w:szCs w:val="21"/>
                <w:color w:val="auto"/>
              </w:rPr>
            </w:pPr>
          </w:p>
        </w:tc>
        <w:tc>
          <w:tcPr>
            <w:tcW w:w="260" w:type="dxa"/>
            <w:vAlign w:val="bottom"/>
            <w:tcBorders>
              <w:bottom w:val="single" w:sz="8" w:color="C0C0C0"/>
            </w:tcBorders>
          </w:tcPr>
          <w:p>
            <w:pPr>
              <w:spacing w:after="0"/>
              <w:rPr>
                <w:sz w:val="21"/>
                <w:szCs w:val="21"/>
                <w:color w:val="auto"/>
              </w:rPr>
            </w:pPr>
          </w:p>
        </w:tc>
        <w:tc>
          <w:tcPr>
            <w:tcW w:w="420" w:type="dxa"/>
            <w:vAlign w:val="bottom"/>
            <w:tcBorders>
              <w:bottom w:val="single" w:sz="8" w:color="C0C0C0"/>
              <w:right w:val="single" w:sz="8" w:color="C0C0C0"/>
            </w:tcBorders>
          </w:tcPr>
          <w:p>
            <w:pPr>
              <w:spacing w:after="0"/>
              <w:rPr>
                <w:sz w:val="21"/>
                <w:szCs w:val="21"/>
                <w:color w:val="auto"/>
              </w:rPr>
            </w:pPr>
          </w:p>
        </w:tc>
        <w:tc>
          <w:tcPr>
            <w:tcW w:w="1220" w:type="dxa"/>
            <w:vAlign w:val="bottom"/>
            <w:tcBorders>
              <w:bottom w:val="single" w:sz="8" w:color="C0C0C0"/>
            </w:tcBorders>
          </w:tcPr>
          <w:p>
            <w:pPr>
              <w:spacing w:after="0"/>
              <w:rPr>
                <w:sz w:val="21"/>
                <w:szCs w:val="21"/>
                <w:color w:val="auto"/>
              </w:rPr>
            </w:pPr>
          </w:p>
        </w:tc>
        <w:tc>
          <w:tcPr>
            <w:tcW w:w="260" w:type="dxa"/>
            <w:vAlign w:val="bottom"/>
            <w:tcBorders>
              <w:bottom w:val="single" w:sz="8" w:color="C0C0C0"/>
            </w:tcBorders>
          </w:tcPr>
          <w:p>
            <w:pPr>
              <w:spacing w:after="0"/>
              <w:rPr>
                <w:sz w:val="21"/>
                <w:szCs w:val="21"/>
                <w:color w:val="auto"/>
              </w:rPr>
            </w:pPr>
          </w:p>
        </w:tc>
        <w:tc>
          <w:tcPr>
            <w:tcW w:w="4180" w:type="dxa"/>
            <w:vAlign w:val="bottom"/>
            <w:tcBorders>
              <w:bottom w:val="single" w:sz="8" w:color="C0C0C0"/>
              <w:right w:val="single" w:sz="8" w:color="C0C0C0"/>
            </w:tcBorders>
          </w:tcPr>
          <w:p>
            <w:pPr>
              <w:spacing w:after="0"/>
              <w:rPr>
                <w:sz w:val="21"/>
                <w:szCs w:val="21"/>
                <w:color w:val="auto"/>
              </w:rPr>
            </w:pPr>
          </w:p>
        </w:tc>
      </w:tr>
      <w:tr>
        <w:trPr>
          <w:trHeight w:val="255"/>
        </w:trPr>
        <w:tc>
          <w:tcPr>
            <w:tcW w:w="3720" w:type="dxa"/>
            <w:vAlign w:val="bottom"/>
            <w:tcBorders>
              <w:left w:val="single" w:sz="8" w:color="C0C0C0"/>
              <w:bottom w:val="single" w:sz="8" w:color="C0C0C0"/>
            </w:tcBorders>
          </w:tcPr>
          <w:p>
            <w:pPr>
              <w:ind w:left="40"/>
              <w:spacing w:after="0" w:line="255" w:lineRule="exact"/>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Original Retirement Date:</w:t>
            </w:r>
            <w:r>
              <w:rPr>
                <w:rFonts w:ascii="Arial" w:cs="Arial" w:eastAsia="Arial" w:hAnsi="Arial"/>
                <w:sz w:val="18"/>
                <w:szCs w:val="18"/>
                <w:color w:val="auto"/>
              </w:rPr>
              <w:t xml:space="preserve"> ] </w:t>
            </w:r>
            <w:r>
              <w:rPr>
                <w:rFonts w:ascii="Arial" w:cs="Arial" w:eastAsia="Arial" w:hAnsi="Arial"/>
                <w:sz w:val="23"/>
                <w:szCs w:val="23"/>
                <w:color w:val="auto"/>
                <w:vertAlign w:val="superscript"/>
              </w:rPr>
              <w:t>A</w:t>
            </w:r>
          </w:p>
        </w:tc>
        <w:tc>
          <w:tcPr>
            <w:tcW w:w="440" w:type="dxa"/>
            <w:vAlign w:val="bottom"/>
            <w:tcBorders>
              <w:bottom w:val="single" w:sz="8" w:color="C0C0C0"/>
            </w:tcBorders>
          </w:tcPr>
          <w:p>
            <w:pPr>
              <w:spacing w:after="0"/>
              <w:rPr>
                <w:sz w:val="22"/>
                <w:szCs w:val="22"/>
                <w:color w:val="auto"/>
              </w:rPr>
            </w:pPr>
          </w:p>
        </w:tc>
        <w:tc>
          <w:tcPr>
            <w:tcW w:w="260" w:type="dxa"/>
            <w:vAlign w:val="bottom"/>
            <w:tcBorders>
              <w:bottom w:val="single" w:sz="8" w:color="C0C0C0"/>
            </w:tcBorders>
          </w:tcPr>
          <w:p>
            <w:pPr>
              <w:spacing w:after="0"/>
              <w:rPr>
                <w:sz w:val="22"/>
                <w:szCs w:val="22"/>
                <w:color w:val="auto"/>
              </w:rPr>
            </w:pPr>
          </w:p>
        </w:tc>
        <w:tc>
          <w:tcPr>
            <w:tcW w:w="420" w:type="dxa"/>
            <w:vAlign w:val="bottom"/>
            <w:tcBorders>
              <w:bottom w:val="single" w:sz="8" w:color="C0C0C0"/>
              <w:right w:val="single" w:sz="8" w:color="C0C0C0"/>
            </w:tcBorders>
          </w:tcPr>
          <w:p>
            <w:pPr>
              <w:spacing w:after="0"/>
              <w:rPr>
                <w:sz w:val="22"/>
                <w:szCs w:val="22"/>
                <w:color w:val="auto"/>
              </w:rPr>
            </w:pPr>
          </w:p>
        </w:tc>
        <w:tc>
          <w:tcPr>
            <w:tcW w:w="5660" w:type="dxa"/>
            <w:vAlign w:val="bottom"/>
            <w:tcBorders>
              <w:bottom w:val="single" w:sz="8" w:color="C0C0C0"/>
              <w:right w:val="single" w:sz="8" w:color="C0C0C0"/>
            </w:tcBorders>
            <w:gridSpan w:val="3"/>
          </w:tcPr>
          <w:p>
            <w:pPr>
              <w:ind w:left="20"/>
              <w:spacing w:after="0" w:line="255" w:lineRule="exact"/>
              <w:rPr>
                <w:sz w:val="20"/>
                <w:szCs w:val="20"/>
                <w:color w:val="auto"/>
              </w:rPr>
            </w:pPr>
            <w:r>
              <w:rPr>
                <w:rFonts w:ascii="Arial" w:cs="Arial" w:eastAsia="Arial" w:hAnsi="Arial"/>
                <w:sz w:val="18"/>
                <w:szCs w:val="18"/>
                <w:color w:val="auto"/>
              </w:rPr>
              <w:t>[Date</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23"/>
                <w:szCs w:val="23"/>
                <w:b w:val="1"/>
                <w:bCs w:val="1"/>
                <w:color w:val="auto"/>
                <w:vertAlign w:val="superscript"/>
              </w:rPr>
              <w:t>A</w:t>
            </w:r>
          </w:p>
        </w:tc>
      </w:tr>
      <w:tr>
        <w:trPr>
          <w:trHeight w:val="243"/>
        </w:trPr>
        <w:tc>
          <w:tcPr>
            <w:tcW w:w="3720" w:type="dxa"/>
            <w:vAlign w:val="bottom"/>
            <w:tcBorders>
              <w:left w:val="single" w:sz="8" w:color="C0C0C0"/>
              <w:bottom w:val="single" w:sz="8" w:color="C0C0C0"/>
            </w:tcBorders>
          </w:tcPr>
          <w:p>
            <w:pPr>
              <w:spacing w:after="0"/>
              <w:rPr>
                <w:sz w:val="21"/>
                <w:szCs w:val="21"/>
                <w:color w:val="auto"/>
              </w:rPr>
            </w:pPr>
          </w:p>
        </w:tc>
        <w:tc>
          <w:tcPr>
            <w:tcW w:w="440" w:type="dxa"/>
            <w:vAlign w:val="bottom"/>
            <w:tcBorders>
              <w:bottom w:val="single" w:sz="8" w:color="C0C0C0"/>
            </w:tcBorders>
          </w:tcPr>
          <w:p>
            <w:pPr>
              <w:spacing w:after="0"/>
              <w:rPr>
                <w:sz w:val="21"/>
                <w:szCs w:val="21"/>
                <w:color w:val="auto"/>
              </w:rPr>
            </w:pPr>
          </w:p>
        </w:tc>
        <w:tc>
          <w:tcPr>
            <w:tcW w:w="260" w:type="dxa"/>
            <w:vAlign w:val="bottom"/>
            <w:tcBorders>
              <w:bottom w:val="single" w:sz="8" w:color="C0C0C0"/>
            </w:tcBorders>
          </w:tcPr>
          <w:p>
            <w:pPr>
              <w:spacing w:after="0"/>
              <w:rPr>
                <w:sz w:val="21"/>
                <w:szCs w:val="21"/>
                <w:color w:val="auto"/>
              </w:rPr>
            </w:pPr>
          </w:p>
        </w:tc>
        <w:tc>
          <w:tcPr>
            <w:tcW w:w="420" w:type="dxa"/>
            <w:vAlign w:val="bottom"/>
            <w:tcBorders>
              <w:bottom w:val="single" w:sz="8" w:color="C0C0C0"/>
              <w:right w:val="single" w:sz="8" w:color="C0C0C0"/>
            </w:tcBorders>
          </w:tcPr>
          <w:p>
            <w:pPr>
              <w:spacing w:after="0"/>
              <w:rPr>
                <w:sz w:val="21"/>
                <w:szCs w:val="21"/>
                <w:color w:val="auto"/>
              </w:rPr>
            </w:pPr>
          </w:p>
        </w:tc>
        <w:tc>
          <w:tcPr>
            <w:tcW w:w="1220" w:type="dxa"/>
            <w:vAlign w:val="bottom"/>
            <w:tcBorders>
              <w:bottom w:val="single" w:sz="8" w:color="C0C0C0"/>
            </w:tcBorders>
          </w:tcPr>
          <w:p>
            <w:pPr>
              <w:spacing w:after="0"/>
              <w:rPr>
                <w:sz w:val="21"/>
                <w:szCs w:val="21"/>
                <w:color w:val="auto"/>
              </w:rPr>
            </w:pPr>
          </w:p>
        </w:tc>
        <w:tc>
          <w:tcPr>
            <w:tcW w:w="260" w:type="dxa"/>
            <w:vAlign w:val="bottom"/>
            <w:tcBorders>
              <w:bottom w:val="single" w:sz="8" w:color="C0C0C0"/>
            </w:tcBorders>
          </w:tcPr>
          <w:p>
            <w:pPr>
              <w:spacing w:after="0"/>
              <w:rPr>
                <w:sz w:val="21"/>
                <w:szCs w:val="21"/>
                <w:color w:val="auto"/>
              </w:rPr>
            </w:pPr>
          </w:p>
        </w:tc>
        <w:tc>
          <w:tcPr>
            <w:tcW w:w="4180" w:type="dxa"/>
            <w:vAlign w:val="bottom"/>
            <w:tcBorders>
              <w:bottom w:val="single" w:sz="8" w:color="C0C0C0"/>
              <w:right w:val="single" w:sz="8" w:color="C0C0C0"/>
            </w:tcBorders>
          </w:tcPr>
          <w:p>
            <w:pPr>
              <w:spacing w:after="0"/>
              <w:rPr>
                <w:sz w:val="21"/>
                <w:szCs w:val="21"/>
                <w:color w:val="auto"/>
              </w:rPr>
            </w:pPr>
          </w:p>
        </w:tc>
      </w:tr>
      <w:tr>
        <w:trPr>
          <w:trHeight w:val="280"/>
        </w:trPr>
        <w:tc>
          <w:tcPr>
            <w:tcW w:w="3720" w:type="dxa"/>
            <w:vAlign w:val="bottom"/>
            <w:tcBorders>
              <w:left w:val="single" w:sz="8" w:color="C0C0C0"/>
              <w:bottom w:val="single" w:sz="8" w:color="C0C0C0"/>
            </w:tcBorders>
          </w:tcPr>
          <w:p>
            <w:pPr>
              <w:ind w:left="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Covered Life Amount:</w:t>
            </w:r>
            <w:r>
              <w:rPr>
                <w:rFonts w:ascii="Arial" w:cs="Arial" w:eastAsia="Arial" w:hAnsi="Arial"/>
                <w:sz w:val="18"/>
                <w:szCs w:val="18"/>
                <w:color w:val="auto"/>
              </w:rPr>
              <w:t xml:space="preserve"> ] </w:t>
            </w:r>
            <w:r>
              <w:rPr>
                <w:rFonts w:ascii="Arial" w:cs="Arial" w:eastAsia="Arial" w:hAnsi="Arial"/>
                <w:sz w:val="23"/>
                <w:szCs w:val="23"/>
                <w:color w:val="auto"/>
                <w:vertAlign w:val="superscript"/>
              </w:rPr>
              <w:t>A</w:t>
            </w:r>
          </w:p>
        </w:tc>
        <w:tc>
          <w:tcPr>
            <w:tcW w:w="440" w:type="dxa"/>
            <w:vAlign w:val="bottom"/>
            <w:tcBorders>
              <w:bottom w:val="single" w:sz="8" w:color="C0C0C0"/>
            </w:tcBorders>
          </w:tcPr>
          <w:p>
            <w:pPr>
              <w:spacing w:after="0"/>
              <w:rPr>
                <w:sz w:val="24"/>
                <w:szCs w:val="24"/>
                <w:color w:val="auto"/>
              </w:rPr>
            </w:pPr>
          </w:p>
        </w:tc>
        <w:tc>
          <w:tcPr>
            <w:tcW w:w="260" w:type="dxa"/>
            <w:vAlign w:val="bottom"/>
            <w:tcBorders>
              <w:bottom w:val="single" w:sz="8" w:color="C0C0C0"/>
            </w:tcBorders>
          </w:tcPr>
          <w:p>
            <w:pPr>
              <w:spacing w:after="0"/>
              <w:rPr>
                <w:sz w:val="24"/>
                <w:szCs w:val="24"/>
                <w:color w:val="auto"/>
              </w:rPr>
            </w:pPr>
          </w:p>
        </w:tc>
        <w:tc>
          <w:tcPr>
            <w:tcW w:w="420" w:type="dxa"/>
            <w:vAlign w:val="bottom"/>
            <w:tcBorders>
              <w:bottom w:val="single" w:sz="8" w:color="C0C0C0"/>
              <w:right w:val="single" w:sz="8" w:color="C0C0C0"/>
            </w:tcBorders>
          </w:tcPr>
          <w:p>
            <w:pPr>
              <w:spacing w:after="0"/>
              <w:rPr>
                <w:sz w:val="24"/>
                <w:szCs w:val="24"/>
                <w:color w:val="auto"/>
              </w:rPr>
            </w:pPr>
          </w:p>
        </w:tc>
        <w:tc>
          <w:tcPr>
            <w:tcW w:w="5660" w:type="dxa"/>
            <w:vAlign w:val="bottom"/>
            <w:tcBorders>
              <w:bottom w:val="single" w:sz="8" w:color="C0C0C0"/>
              <w:right w:val="single" w:sz="8" w:color="C0C0C0"/>
            </w:tcBorders>
            <w:gridSpan w:val="3"/>
          </w:tcPr>
          <w:p>
            <w:pPr>
              <w:ind w:left="20"/>
              <w:spacing w:after="0"/>
              <w:rPr>
                <w:sz w:val="20"/>
                <w:szCs w:val="20"/>
                <w:color w:val="auto"/>
              </w:rPr>
            </w:pPr>
            <w:r>
              <w:rPr>
                <w:rFonts w:ascii="Arial" w:cs="Arial" w:eastAsia="Arial" w:hAnsi="Arial"/>
                <w:sz w:val="18"/>
                <w:szCs w:val="18"/>
                <w:color w:val="auto"/>
              </w:rPr>
              <w:t xml:space="preserve">[See “Payment Terms” Provision ] </w:t>
            </w:r>
            <w:r>
              <w:rPr>
                <w:rFonts w:ascii="Arial" w:cs="Arial" w:eastAsia="Arial" w:hAnsi="Arial"/>
                <w:sz w:val="23"/>
                <w:szCs w:val="23"/>
                <w:color w:val="auto"/>
                <w:vertAlign w:val="superscript"/>
              </w:rPr>
              <w:t>A</w:t>
            </w:r>
          </w:p>
        </w:tc>
      </w:tr>
      <w:tr>
        <w:trPr>
          <w:trHeight w:val="243"/>
        </w:trPr>
        <w:tc>
          <w:tcPr>
            <w:tcW w:w="3720" w:type="dxa"/>
            <w:vAlign w:val="bottom"/>
            <w:tcBorders>
              <w:left w:val="single" w:sz="8" w:color="C0C0C0"/>
              <w:bottom w:val="single" w:sz="8" w:color="C0C0C0"/>
            </w:tcBorders>
          </w:tcPr>
          <w:p>
            <w:pPr>
              <w:spacing w:after="0"/>
              <w:rPr>
                <w:sz w:val="21"/>
                <w:szCs w:val="21"/>
                <w:color w:val="auto"/>
              </w:rPr>
            </w:pPr>
          </w:p>
        </w:tc>
        <w:tc>
          <w:tcPr>
            <w:tcW w:w="440" w:type="dxa"/>
            <w:vAlign w:val="bottom"/>
            <w:tcBorders>
              <w:bottom w:val="single" w:sz="8" w:color="C0C0C0"/>
            </w:tcBorders>
          </w:tcPr>
          <w:p>
            <w:pPr>
              <w:spacing w:after="0"/>
              <w:rPr>
                <w:sz w:val="21"/>
                <w:szCs w:val="21"/>
                <w:color w:val="auto"/>
              </w:rPr>
            </w:pPr>
          </w:p>
        </w:tc>
        <w:tc>
          <w:tcPr>
            <w:tcW w:w="260" w:type="dxa"/>
            <w:vAlign w:val="bottom"/>
            <w:tcBorders>
              <w:bottom w:val="single" w:sz="8" w:color="C0C0C0"/>
            </w:tcBorders>
          </w:tcPr>
          <w:p>
            <w:pPr>
              <w:spacing w:after="0"/>
              <w:rPr>
                <w:sz w:val="21"/>
                <w:szCs w:val="21"/>
                <w:color w:val="auto"/>
              </w:rPr>
            </w:pPr>
          </w:p>
        </w:tc>
        <w:tc>
          <w:tcPr>
            <w:tcW w:w="420" w:type="dxa"/>
            <w:vAlign w:val="bottom"/>
            <w:tcBorders>
              <w:bottom w:val="single" w:sz="8" w:color="C0C0C0"/>
              <w:right w:val="single" w:sz="8" w:color="C0C0C0"/>
            </w:tcBorders>
          </w:tcPr>
          <w:p>
            <w:pPr>
              <w:spacing w:after="0"/>
              <w:rPr>
                <w:sz w:val="21"/>
                <w:szCs w:val="21"/>
                <w:color w:val="auto"/>
              </w:rPr>
            </w:pPr>
          </w:p>
        </w:tc>
        <w:tc>
          <w:tcPr>
            <w:tcW w:w="1220" w:type="dxa"/>
            <w:vAlign w:val="bottom"/>
            <w:tcBorders>
              <w:bottom w:val="single" w:sz="8" w:color="C0C0C0"/>
            </w:tcBorders>
          </w:tcPr>
          <w:p>
            <w:pPr>
              <w:spacing w:after="0"/>
              <w:rPr>
                <w:sz w:val="21"/>
                <w:szCs w:val="21"/>
                <w:color w:val="auto"/>
              </w:rPr>
            </w:pPr>
          </w:p>
        </w:tc>
        <w:tc>
          <w:tcPr>
            <w:tcW w:w="260" w:type="dxa"/>
            <w:vAlign w:val="bottom"/>
            <w:tcBorders>
              <w:bottom w:val="single" w:sz="8" w:color="C0C0C0"/>
            </w:tcBorders>
          </w:tcPr>
          <w:p>
            <w:pPr>
              <w:spacing w:after="0"/>
              <w:rPr>
                <w:sz w:val="21"/>
                <w:szCs w:val="21"/>
                <w:color w:val="auto"/>
              </w:rPr>
            </w:pPr>
          </w:p>
        </w:tc>
        <w:tc>
          <w:tcPr>
            <w:tcW w:w="4180" w:type="dxa"/>
            <w:vAlign w:val="bottom"/>
            <w:tcBorders>
              <w:bottom w:val="single" w:sz="8" w:color="C0C0C0"/>
              <w:right w:val="single" w:sz="8" w:color="C0C0C0"/>
            </w:tcBorders>
          </w:tcPr>
          <w:p>
            <w:pPr>
              <w:spacing w:after="0"/>
              <w:rPr>
                <w:sz w:val="21"/>
                <w:szCs w:val="21"/>
                <w:color w:val="auto"/>
              </w:rPr>
            </w:pPr>
          </w:p>
        </w:tc>
      </w:tr>
      <w:tr>
        <w:trPr>
          <w:trHeight w:val="280"/>
        </w:trPr>
        <w:tc>
          <w:tcPr>
            <w:tcW w:w="3720" w:type="dxa"/>
            <w:vAlign w:val="bottom"/>
            <w:tcBorders>
              <w:left w:val="single" w:sz="8" w:color="C0C0C0"/>
              <w:bottom w:val="single" w:sz="8" w:color="C0C0C0"/>
            </w:tcBorders>
          </w:tcPr>
          <w:p>
            <w:pPr>
              <w:ind w:left="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Pre 62+1 Pension Amount</w:t>
            </w:r>
            <w:r>
              <w:rPr>
                <w:rFonts w:ascii="Arial" w:cs="Arial" w:eastAsia="Arial" w:hAnsi="Arial"/>
                <w:sz w:val="18"/>
                <w:szCs w:val="18"/>
                <w:color w:val="auto"/>
              </w:rPr>
              <w:t xml:space="preserve">] </w:t>
            </w:r>
            <w:r>
              <w:rPr>
                <w:rFonts w:ascii="Arial" w:cs="Arial" w:eastAsia="Arial" w:hAnsi="Arial"/>
                <w:sz w:val="23"/>
                <w:szCs w:val="23"/>
                <w:color w:val="auto"/>
                <w:vertAlign w:val="superscript"/>
              </w:rPr>
              <w:t>A</w:t>
            </w:r>
          </w:p>
        </w:tc>
        <w:tc>
          <w:tcPr>
            <w:tcW w:w="440" w:type="dxa"/>
            <w:vAlign w:val="bottom"/>
            <w:tcBorders>
              <w:bottom w:val="single" w:sz="8" w:color="C0C0C0"/>
            </w:tcBorders>
          </w:tcPr>
          <w:p>
            <w:pPr>
              <w:spacing w:after="0"/>
              <w:rPr>
                <w:sz w:val="24"/>
                <w:szCs w:val="24"/>
                <w:color w:val="auto"/>
              </w:rPr>
            </w:pPr>
          </w:p>
        </w:tc>
        <w:tc>
          <w:tcPr>
            <w:tcW w:w="260" w:type="dxa"/>
            <w:vAlign w:val="bottom"/>
            <w:tcBorders>
              <w:bottom w:val="single" w:sz="8" w:color="C0C0C0"/>
            </w:tcBorders>
          </w:tcPr>
          <w:p>
            <w:pPr>
              <w:spacing w:after="0"/>
              <w:rPr>
                <w:sz w:val="24"/>
                <w:szCs w:val="24"/>
                <w:color w:val="auto"/>
              </w:rPr>
            </w:pPr>
          </w:p>
        </w:tc>
        <w:tc>
          <w:tcPr>
            <w:tcW w:w="420" w:type="dxa"/>
            <w:vAlign w:val="bottom"/>
            <w:tcBorders>
              <w:bottom w:val="single" w:sz="8" w:color="C0C0C0"/>
              <w:right w:val="single" w:sz="8" w:color="C0C0C0"/>
            </w:tcBorders>
          </w:tcPr>
          <w:p>
            <w:pPr>
              <w:spacing w:after="0"/>
              <w:rPr>
                <w:sz w:val="24"/>
                <w:szCs w:val="24"/>
                <w:color w:val="auto"/>
              </w:rPr>
            </w:pPr>
          </w:p>
        </w:tc>
        <w:tc>
          <w:tcPr>
            <w:tcW w:w="5660" w:type="dxa"/>
            <w:vAlign w:val="bottom"/>
            <w:tcBorders>
              <w:bottom w:val="single" w:sz="8" w:color="C0C0C0"/>
              <w:right w:val="single" w:sz="8" w:color="C0C0C0"/>
            </w:tcBorders>
            <w:gridSpan w:val="3"/>
          </w:tcPr>
          <w:p>
            <w:pPr>
              <w:ind w:left="20"/>
              <w:spacing w:after="0"/>
              <w:rPr>
                <w:sz w:val="20"/>
                <w:szCs w:val="20"/>
                <w:color w:val="auto"/>
              </w:rPr>
            </w:pPr>
            <w:r>
              <w:rPr>
                <w:rFonts w:ascii="Arial" w:cs="Arial" w:eastAsia="Arial" w:hAnsi="Arial"/>
                <w:sz w:val="18"/>
                <w:szCs w:val="18"/>
                <w:color w:val="auto"/>
              </w:rPr>
              <w:t xml:space="preserve">[$XXX.XX subject to stated limitations] </w:t>
            </w:r>
            <w:r>
              <w:rPr>
                <w:rFonts w:ascii="Arial" w:cs="Arial" w:eastAsia="Arial" w:hAnsi="Arial"/>
                <w:sz w:val="23"/>
                <w:szCs w:val="23"/>
                <w:color w:val="auto"/>
                <w:vertAlign w:val="superscript"/>
              </w:rPr>
              <w:t>A</w:t>
            </w:r>
          </w:p>
        </w:tc>
      </w:tr>
      <w:tr>
        <w:trPr>
          <w:trHeight w:val="243"/>
        </w:trPr>
        <w:tc>
          <w:tcPr>
            <w:tcW w:w="3720" w:type="dxa"/>
            <w:vAlign w:val="bottom"/>
            <w:tcBorders>
              <w:left w:val="single" w:sz="8" w:color="C0C0C0"/>
              <w:bottom w:val="single" w:sz="8" w:color="C0C0C0"/>
            </w:tcBorders>
          </w:tcPr>
          <w:p>
            <w:pPr>
              <w:spacing w:after="0"/>
              <w:rPr>
                <w:sz w:val="21"/>
                <w:szCs w:val="21"/>
                <w:color w:val="auto"/>
              </w:rPr>
            </w:pPr>
          </w:p>
        </w:tc>
        <w:tc>
          <w:tcPr>
            <w:tcW w:w="440" w:type="dxa"/>
            <w:vAlign w:val="bottom"/>
            <w:tcBorders>
              <w:bottom w:val="single" w:sz="8" w:color="C0C0C0"/>
            </w:tcBorders>
          </w:tcPr>
          <w:p>
            <w:pPr>
              <w:spacing w:after="0"/>
              <w:rPr>
                <w:sz w:val="21"/>
                <w:szCs w:val="21"/>
                <w:color w:val="auto"/>
              </w:rPr>
            </w:pPr>
          </w:p>
        </w:tc>
        <w:tc>
          <w:tcPr>
            <w:tcW w:w="260" w:type="dxa"/>
            <w:vAlign w:val="bottom"/>
            <w:tcBorders>
              <w:bottom w:val="single" w:sz="8" w:color="C0C0C0"/>
            </w:tcBorders>
          </w:tcPr>
          <w:p>
            <w:pPr>
              <w:spacing w:after="0"/>
              <w:rPr>
                <w:sz w:val="21"/>
                <w:szCs w:val="21"/>
                <w:color w:val="auto"/>
              </w:rPr>
            </w:pPr>
          </w:p>
        </w:tc>
        <w:tc>
          <w:tcPr>
            <w:tcW w:w="420" w:type="dxa"/>
            <w:vAlign w:val="bottom"/>
            <w:tcBorders>
              <w:bottom w:val="single" w:sz="8" w:color="C0C0C0"/>
              <w:right w:val="single" w:sz="8" w:color="C0C0C0"/>
            </w:tcBorders>
          </w:tcPr>
          <w:p>
            <w:pPr>
              <w:spacing w:after="0"/>
              <w:rPr>
                <w:sz w:val="21"/>
                <w:szCs w:val="21"/>
                <w:color w:val="auto"/>
              </w:rPr>
            </w:pPr>
          </w:p>
        </w:tc>
        <w:tc>
          <w:tcPr>
            <w:tcW w:w="1220" w:type="dxa"/>
            <w:vAlign w:val="bottom"/>
            <w:tcBorders>
              <w:bottom w:val="single" w:sz="8" w:color="C0C0C0"/>
            </w:tcBorders>
          </w:tcPr>
          <w:p>
            <w:pPr>
              <w:spacing w:after="0"/>
              <w:rPr>
                <w:sz w:val="21"/>
                <w:szCs w:val="21"/>
                <w:color w:val="auto"/>
              </w:rPr>
            </w:pPr>
          </w:p>
        </w:tc>
        <w:tc>
          <w:tcPr>
            <w:tcW w:w="260" w:type="dxa"/>
            <w:vAlign w:val="bottom"/>
            <w:tcBorders>
              <w:bottom w:val="single" w:sz="8" w:color="C0C0C0"/>
            </w:tcBorders>
          </w:tcPr>
          <w:p>
            <w:pPr>
              <w:spacing w:after="0"/>
              <w:rPr>
                <w:sz w:val="21"/>
                <w:szCs w:val="21"/>
                <w:color w:val="auto"/>
              </w:rPr>
            </w:pPr>
          </w:p>
        </w:tc>
        <w:tc>
          <w:tcPr>
            <w:tcW w:w="4180" w:type="dxa"/>
            <w:vAlign w:val="bottom"/>
            <w:tcBorders>
              <w:bottom w:val="single" w:sz="8" w:color="C0C0C0"/>
              <w:right w:val="single" w:sz="8" w:color="C0C0C0"/>
            </w:tcBorders>
          </w:tcPr>
          <w:p>
            <w:pPr>
              <w:spacing w:after="0"/>
              <w:rPr>
                <w:sz w:val="21"/>
                <w:szCs w:val="21"/>
                <w:color w:val="auto"/>
              </w:rPr>
            </w:pPr>
          </w:p>
        </w:tc>
      </w:tr>
      <w:tr>
        <w:trPr>
          <w:trHeight w:val="255"/>
        </w:trPr>
        <w:tc>
          <w:tcPr>
            <w:tcW w:w="3720" w:type="dxa"/>
            <w:vAlign w:val="bottom"/>
            <w:tcBorders>
              <w:left w:val="single" w:sz="8" w:color="C0C0C0"/>
              <w:bottom w:val="single" w:sz="8" w:color="C0C0C0"/>
            </w:tcBorders>
          </w:tcPr>
          <w:p>
            <w:pPr>
              <w:ind w:left="40"/>
              <w:spacing w:after="0" w:line="255" w:lineRule="exact"/>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Post 62+1 Pension Amount</w:t>
            </w:r>
            <w:r>
              <w:rPr>
                <w:rFonts w:ascii="Arial" w:cs="Arial" w:eastAsia="Arial" w:hAnsi="Arial"/>
                <w:sz w:val="18"/>
                <w:szCs w:val="18"/>
                <w:color w:val="auto"/>
              </w:rPr>
              <w:t xml:space="preserve">] </w:t>
            </w:r>
            <w:r>
              <w:rPr>
                <w:rFonts w:ascii="Arial" w:cs="Arial" w:eastAsia="Arial" w:hAnsi="Arial"/>
                <w:sz w:val="23"/>
                <w:szCs w:val="23"/>
                <w:color w:val="auto"/>
                <w:vertAlign w:val="superscript"/>
              </w:rPr>
              <w:t>A</w:t>
            </w:r>
          </w:p>
        </w:tc>
        <w:tc>
          <w:tcPr>
            <w:tcW w:w="440" w:type="dxa"/>
            <w:vAlign w:val="bottom"/>
            <w:tcBorders>
              <w:bottom w:val="single" w:sz="8" w:color="C0C0C0"/>
            </w:tcBorders>
          </w:tcPr>
          <w:p>
            <w:pPr>
              <w:spacing w:after="0"/>
              <w:rPr>
                <w:sz w:val="22"/>
                <w:szCs w:val="22"/>
                <w:color w:val="auto"/>
              </w:rPr>
            </w:pPr>
          </w:p>
        </w:tc>
        <w:tc>
          <w:tcPr>
            <w:tcW w:w="260" w:type="dxa"/>
            <w:vAlign w:val="bottom"/>
            <w:tcBorders>
              <w:bottom w:val="single" w:sz="8" w:color="C0C0C0"/>
            </w:tcBorders>
          </w:tcPr>
          <w:p>
            <w:pPr>
              <w:spacing w:after="0"/>
              <w:rPr>
                <w:sz w:val="22"/>
                <w:szCs w:val="22"/>
                <w:color w:val="auto"/>
              </w:rPr>
            </w:pPr>
          </w:p>
        </w:tc>
        <w:tc>
          <w:tcPr>
            <w:tcW w:w="420" w:type="dxa"/>
            <w:vAlign w:val="bottom"/>
            <w:tcBorders>
              <w:bottom w:val="single" w:sz="8" w:color="C0C0C0"/>
              <w:right w:val="single" w:sz="8" w:color="C0C0C0"/>
            </w:tcBorders>
          </w:tcPr>
          <w:p>
            <w:pPr>
              <w:spacing w:after="0"/>
              <w:rPr>
                <w:sz w:val="22"/>
                <w:szCs w:val="22"/>
                <w:color w:val="auto"/>
              </w:rPr>
            </w:pPr>
          </w:p>
        </w:tc>
        <w:tc>
          <w:tcPr>
            <w:tcW w:w="5660" w:type="dxa"/>
            <w:vAlign w:val="bottom"/>
            <w:tcBorders>
              <w:bottom w:val="single" w:sz="8" w:color="C0C0C0"/>
              <w:right w:val="single" w:sz="8" w:color="C0C0C0"/>
            </w:tcBorders>
            <w:gridSpan w:val="3"/>
          </w:tcPr>
          <w:p>
            <w:pPr>
              <w:ind w:left="20"/>
              <w:spacing w:after="0" w:line="255" w:lineRule="exact"/>
              <w:rPr>
                <w:sz w:val="20"/>
                <w:szCs w:val="20"/>
                <w:color w:val="auto"/>
              </w:rPr>
            </w:pPr>
            <w:r>
              <w:rPr>
                <w:rFonts w:ascii="Arial" w:cs="Arial" w:eastAsia="Arial" w:hAnsi="Arial"/>
                <w:sz w:val="18"/>
                <w:szCs w:val="18"/>
                <w:color w:val="auto"/>
              </w:rPr>
              <w:t xml:space="preserve">[$XXX.XX subject to stated limitations] </w:t>
            </w:r>
            <w:r>
              <w:rPr>
                <w:rFonts w:ascii="Arial" w:cs="Arial" w:eastAsia="Arial" w:hAnsi="Arial"/>
                <w:sz w:val="23"/>
                <w:szCs w:val="23"/>
                <w:color w:val="auto"/>
                <w:vertAlign w:val="superscript"/>
              </w:rPr>
              <w:t>A</w:t>
            </w:r>
          </w:p>
        </w:tc>
      </w:tr>
      <w:tr>
        <w:trPr>
          <w:trHeight w:val="243"/>
        </w:trPr>
        <w:tc>
          <w:tcPr>
            <w:tcW w:w="3720" w:type="dxa"/>
            <w:vAlign w:val="bottom"/>
            <w:tcBorders>
              <w:left w:val="single" w:sz="8" w:color="C0C0C0"/>
              <w:bottom w:val="single" w:sz="8" w:color="C0C0C0"/>
            </w:tcBorders>
          </w:tcPr>
          <w:p>
            <w:pPr>
              <w:spacing w:after="0"/>
              <w:rPr>
                <w:sz w:val="21"/>
                <w:szCs w:val="21"/>
                <w:color w:val="auto"/>
              </w:rPr>
            </w:pPr>
          </w:p>
        </w:tc>
        <w:tc>
          <w:tcPr>
            <w:tcW w:w="440" w:type="dxa"/>
            <w:vAlign w:val="bottom"/>
            <w:tcBorders>
              <w:bottom w:val="single" w:sz="8" w:color="C0C0C0"/>
            </w:tcBorders>
          </w:tcPr>
          <w:p>
            <w:pPr>
              <w:spacing w:after="0"/>
              <w:rPr>
                <w:sz w:val="21"/>
                <w:szCs w:val="21"/>
                <w:color w:val="auto"/>
              </w:rPr>
            </w:pPr>
          </w:p>
        </w:tc>
        <w:tc>
          <w:tcPr>
            <w:tcW w:w="260" w:type="dxa"/>
            <w:vAlign w:val="bottom"/>
            <w:tcBorders>
              <w:bottom w:val="single" w:sz="8" w:color="C0C0C0"/>
            </w:tcBorders>
          </w:tcPr>
          <w:p>
            <w:pPr>
              <w:spacing w:after="0"/>
              <w:rPr>
                <w:sz w:val="21"/>
                <w:szCs w:val="21"/>
                <w:color w:val="auto"/>
              </w:rPr>
            </w:pPr>
          </w:p>
        </w:tc>
        <w:tc>
          <w:tcPr>
            <w:tcW w:w="420" w:type="dxa"/>
            <w:vAlign w:val="bottom"/>
            <w:tcBorders>
              <w:bottom w:val="single" w:sz="8" w:color="C0C0C0"/>
              <w:right w:val="single" w:sz="8" w:color="C0C0C0"/>
            </w:tcBorders>
          </w:tcPr>
          <w:p>
            <w:pPr>
              <w:spacing w:after="0"/>
              <w:rPr>
                <w:sz w:val="21"/>
                <w:szCs w:val="21"/>
                <w:color w:val="auto"/>
              </w:rPr>
            </w:pPr>
          </w:p>
        </w:tc>
        <w:tc>
          <w:tcPr>
            <w:tcW w:w="1220" w:type="dxa"/>
            <w:vAlign w:val="bottom"/>
            <w:tcBorders>
              <w:bottom w:val="single" w:sz="8" w:color="C0C0C0"/>
            </w:tcBorders>
          </w:tcPr>
          <w:p>
            <w:pPr>
              <w:spacing w:after="0"/>
              <w:rPr>
                <w:sz w:val="21"/>
                <w:szCs w:val="21"/>
                <w:color w:val="auto"/>
              </w:rPr>
            </w:pPr>
          </w:p>
        </w:tc>
        <w:tc>
          <w:tcPr>
            <w:tcW w:w="260" w:type="dxa"/>
            <w:vAlign w:val="bottom"/>
            <w:tcBorders>
              <w:bottom w:val="single" w:sz="8" w:color="C0C0C0"/>
            </w:tcBorders>
          </w:tcPr>
          <w:p>
            <w:pPr>
              <w:spacing w:after="0"/>
              <w:rPr>
                <w:sz w:val="21"/>
                <w:szCs w:val="21"/>
                <w:color w:val="auto"/>
              </w:rPr>
            </w:pPr>
          </w:p>
        </w:tc>
        <w:tc>
          <w:tcPr>
            <w:tcW w:w="4180" w:type="dxa"/>
            <w:vAlign w:val="bottom"/>
            <w:tcBorders>
              <w:bottom w:val="single" w:sz="8" w:color="C0C0C0"/>
              <w:right w:val="single" w:sz="8" w:color="C0C0C0"/>
            </w:tcBorders>
          </w:tcPr>
          <w:p>
            <w:pPr>
              <w:spacing w:after="0"/>
              <w:rPr>
                <w:sz w:val="21"/>
                <w:szCs w:val="21"/>
                <w:color w:val="auto"/>
              </w:rPr>
            </w:pPr>
          </w:p>
        </w:tc>
      </w:tr>
      <w:tr>
        <w:trPr>
          <w:trHeight w:val="255"/>
        </w:trPr>
        <w:tc>
          <w:tcPr>
            <w:tcW w:w="3720" w:type="dxa"/>
            <w:vAlign w:val="bottom"/>
            <w:tcBorders>
              <w:left w:val="single" w:sz="8" w:color="C0C0C0"/>
              <w:bottom w:val="single" w:sz="8" w:color="C0C0C0"/>
            </w:tcBorders>
          </w:tcPr>
          <w:p>
            <w:pPr>
              <w:ind w:left="40"/>
              <w:spacing w:after="0" w:line="255" w:lineRule="exact"/>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Pop-Up Amount:</w:t>
            </w:r>
            <w:r>
              <w:rPr>
                <w:rFonts w:ascii="Arial" w:cs="Arial" w:eastAsia="Arial" w:hAnsi="Arial"/>
                <w:sz w:val="18"/>
                <w:szCs w:val="18"/>
                <w:color w:val="auto"/>
              </w:rPr>
              <w:t xml:space="preserve">] </w:t>
            </w:r>
            <w:r>
              <w:rPr>
                <w:rFonts w:ascii="Arial" w:cs="Arial" w:eastAsia="Arial" w:hAnsi="Arial"/>
                <w:sz w:val="23"/>
                <w:szCs w:val="23"/>
                <w:color w:val="auto"/>
                <w:vertAlign w:val="superscript"/>
              </w:rPr>
              <w:t>A</w:t>
            </w:r>
          </w:p>
        </w:tc>
        <w:tc>
          <w:tcPr>
            <w:tcW w:w="440" w:type="dxa"/>
            <w:vAlign w:val="bottom"/>
            <w:tcBorders>
              <w:bottom w:val="single" w:sz="8" w:color="C0C0C0"/>
            </w:tcBorders>
          </w:tcPr>
          <w:p>
            <w:pPr>
              <w:spacing w:after="0"/>
              <w:rPr>
                <w:sz w:val="22"/>
                <w:szCs w:val="22"/>
                <w:color w:val="auto"/>
              </w:rPr>
            </w:pPr>
          </w:p>
        </w:tc>
        <w:tc>
          <w:tcPr>
            <w:tcW w:w="260" w:type="dxa"/>
            <w:vAlign w:val="bottom"/>
            <w:tcBorders>
              <w:bottom w:val="single" w:sz="8" w:color="C0C0C0"/>
            </w:tcBorders>
          </w:tcPr>
          <w:p>
            <w:pPr>
              <w:spacing w:after="0"/>
              <w:rPr>
                <w:sz w:val="22"/>
                <w:szCs w:val="22"/>
                <w:color w:val="auto"/>
              </w:rPr>
            </w:pPr>
          </w:p>
        </w:tc>
        <w:tc>
          <w:tcPr>
            <w:tcW w:w="420" w:type="dxa"/>
            <w:vAlign w:val="bottom"/>
            <w:tcBorders>
              <w:bottom w:val="single" w:sz="8" w:color="C0C0C0"/>
              <w:right w:val="single" w:sz="8" w:color="C0C0C0"/>
            </w:tcBorders>
          </w:tcPr>
          <w:p>
            <w:pPr>
              <w:spacing w:after="0"/>
              <w:rPr>
                <w:sz w:val="22"/>
                <w:szCs w:val="22"/>
                <w:color w:val="auto"/>
              </w:rPr>
            </w:pPr>
          </w:p>
        </w:tc>
        <w:tc>
          <w:tcPr>
            <w:tcW w:w="5660" w:type="dxa"/>
            <w:vAlign w:val="bottom"/>
            <w:tcBorders>
              <w:bottom w:val="single" w:sz="8" w:color="C0C0C0"/>
              <w:right w:val="single" w:sz="8" w:color="C0C0C0"/>
            </w:tcBorders>
            <w:gridSpan w:val="3"/>
          </w:tcPr>
          <w:p>
            <w:pPr>
              <w:ind w:left="20"/>
              <w:spacing w:after="0" w:line="255" w:lineRule="exact"/>
              <w:rPr>
                <w:sz w:val="20"/>
                <w:szCs w:val="20"/>
                <w:color w:val="auto"/>
              </w:rPr>
            </w:pPr>
            <w:r>
              <w:rPr>
                <w:rFonts w:ascii="Arial" w:cs="Arial" w:eastAsia="Arial" w:hAnsi="Arial"/>
                <w:sz w:val="18"/>
                <w:szCs w:val="18"/>
                <w:color w:val="auto"/>
              </w:rPr>
              <w:t xml:space="preserve">[$XXX.XX] </w:t>
            </w:r>
            <w:r>
              <w:rPr>
                <w:rFonts w:ascii="Arial" w:cs="Arial" w:eastAsia="Arial" w:hAnsi="Arial"/>
                <w:sz w:val="23"/>
                <w:szCs w:val="23"/>
                <w:color w:val="auto"/>
                <w:vertAlign w:val="superscript"/>
              </w:rPr>
              <w:t>A</w:t>
            </w:r>
          </w:p>
        </w:tc>
      </w:tr>
      <w:tr>
        <w:trPr>
          <w:trHeight w:val="243"/>
        </w:trPr>
        <w:tc>
          <w:tcPr>
            <w:tcW w:w="3720" w:type="dxa"/>
            <w:vAlign w:val="bottom"/>
            <w:tcBorders>
              <w:left w:val="single" w:sz="8" w:color="C0C0C0"/>
              <w:bottom w:val="single" w:sz="8" w:color="C0C0C0"/>
            </w:tcBorders>
          </w:tcPr>
          <w:p>
            <w:pPr>
              <w:spacing w:after="0"/>
              <w:rPr>
                <w:sz w:val="21"/>
                <w:szCs w:val="21"/>
                <w:color w:val="auto"/>
              </w:rPr>
            </w:pPr>
          </w:p>
        </w:tc>
        <w:tc>
          <w:tcPr>
            <w:tcW w:w="440" w:type="dxa"/>
            <w:vAlign w:val="bottom"/>
            <w:tcBorders>
              <w:bottom w:val="single" w:sz="8" w:color="C0C0C0"/>
            </w:tcBorders>
          </w:tcPr>
          <w:p>
            <w:pPr>
              <w:spacing w:after="0"/>
              <w:rPr>
                <w:sz w:val="21"/>
                <w:szCs w:val="21"/>
                <w:color w:val="auto"/>
              </w:rPr>
            </w:pPr>
          </w:p>
        </w:tc>
        <w:tc>
          <w:tcPr>
            <w:tcW w:w="260" w:type="dxa"/>
            <w:vAlign w:val="bottom"/>
            <w:tcBorders>
              <w:bottom w:val="single" w:sz="8" w:color="C0C0C0"/>
            </w:tcBorders>
          </w:tcPr>
          <w:p>
            <w:pPr>
              <w:spacing w:after="0"/>
              <w:rPr>
                <w:sz w:val="21"/>
                <w:szCs w:val="21"/>
                <w:color w:val="auto"/>
              </w:rPr>
            </w:pPr>
          </w:p>
        </w:tc>
        <w:tc>
          <w:tcPr>
            <w:tcW w:w="420" w:type="dxa"/>
            <w:vAlign w:val="bottom"/>
            <w:tcBorders>
              <w:bottom w:val="single" w:sz="8" w:color="C0C0C0"/>
              <w:right w:val="single" w:sz="8" w:color="C0C0C0"/>
            </w:tcBorders>
          </w:tcPr>
          <w:p>
            <w:pPr>
              <w:spacing w:after="0"/>
              <w:rPr>
                <w:sz w:val="21"/>
                <w:szCs w:val="21"/>
                <w:color w:val="auto"/>
              </w:rPr>
            </w:pPr>
          </w:p>
        </w:tc>
        <w:tc>
          <w:tcPr>
            <w:tcW w:w="1220" w:type="dxa"/>
            <w:vAlign w:val="bottom"/>
            <w:tcBorders>
              <w:bottom w:val="single" w:sz="8" w:color="C0C0C0"/>
            </w:tcBorders>
          </w:tcPr>
          <w:p>
            <w:pPr>
              <w:spacing w:after="0"/>
              <w:rPr>
                <w:sz w:val="21"/>
                <w:szCs w:val="21"/>
                <w:color w:val="auto"/>
              </w:rPr>
            </w:pPr>
          </w:p>
        </w:tc>
        <w:tc>
          <w:tcPr>
            <w:tcW w:w="260" w:type="dxa"/>
            <w:vAlign w:val="bottom"/>
            <w:tcBorders>
              <w:bottom w:val="single" w:sz="8" w:color="C0C0C0"/>
            </w:tcBorders>
          </w:tcPr>
          <w:p>
            <w:pPr>
              <w:spacing w:after="0"/>
              <w:rPr>
                <w:sz w:val="21"/>
                <w:szCs w:val="21"/>
                <w:color w:val="auto"/>
              </w:rPr>
            </w:pPr>
          </w:p>
        </w:tc>
        <w:tc>
          <w:tcPr>
            <w:tcW w:w="4180" w:type="dxa"/>
            <w:vAlign w:val="bottom"/>
            <w:tcBorders>
              <w:bottom w:val="single" w:sz="8" w:color="C0C0C0"/>
              <w:right w:val="single" w:sz="8" w:color="C0C0C0"/>
            </w:tcBorders>
          </w:tcPr>
          <w:p>
            <w:pPr>
              <w:spacing w:after="0"/>
              <w:rPr>
                <w:sz w:val="21"/>
                <w:szCs w:val="21"/>
                <w:color w:val="auto"/>
              </w:rPr>
            </w:pPr>
          </w:p>
        </w:tc>
      </w:tr>
      <w:tr>
        <w:trPr>
          <w:trHeight w:val="255"/>
        </w:trPr>
        <w:tc>
          <w:tcPr>
            <w:tcW w:w="3720" w:type="dxa"/>
            <w:vAlign w:val="bottom"/>
            <w:tcBorders>
              <w:left w:val="single" w:sz="8" w:color="C0C0C0"/>
              <w:bottom w:val="single" w:sz="8" w:color="C0C0C0"/>
            </w:tcBorders>
          </w:tcPr>
          <w:p>
            <w:pPr>
              <w:ind w:left="40"/>
              <w:spacing w:after="0" w:line="255" w:lineRule="exact"/>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Contingent Life:</w:t>
            </w:r>
            <w:r>
              <w:rPr>
                <w:rFonts w:ascii="Arial" w:cs="Arial" w:eastAsia="Arial" w:hAnsi="Arial"/>
                <w:sz w:val="18"/>
                <w:szCs w:val="18"/>
                <w:color w:val="auto"/>
              </w:rPr>
              <w:t xml:space="preserve"> ] </w:t>
            </w:r>
            <w:r>
              <w:rPr>
                <w:rFonts w:ascii="Arial" w:cs="Arial" w:eastAsia="Arial" w:hAnsi="Arial"/>
                <w:sz w:val="23"/>
                <w:szCs w:val="23"/>
                <w:color w:val="auto"/>
                <w:vertAlign w:val="superscript"/>
              </w:rPr>
              <w:t>A</w:t>
            </w:r>
          </w:p>
        </w:tc>
        <w:tc>
          <w:tcPr>
            <w:tcW w:w="440" w:type="dxa"/>
            <w:vAlign w:val="bottom"/>
            <w:tcBorders>
              <w:bottom w:val="single" w:sz="8" w:color="C0C0C0"/>
            </w:tcBorders>
          </w:tcPr>
          <w:p>
            <w:pPr>
              <w:spacing w:after="0"/>
              <w:rPr>
                <w:sz w:val="22"/>
                <w:szCs w:val="22"/>
                <w:color w:val="auto"/>
              </w:rPr>
            </w:pPr>
          </w:p>
        </w:tc>
        <w:tc>
          <w:tcPr>
            <w:tcW w:w="260" w:type="dxa"/>
            <w:vAlign w:val="bottom"/>
            <w:tcBorders>
              <w:bottom w:val="single" w:sz="8" w:color="C0C0C0"/>
            </w:tcBorders>
          </w:tcPr>
          <w:p>
            <w:pPr>
              <w:spacing w:after="0"/>
              <w:rPr>
                <w:sz w:val="22"/>
                <w:szCs w:val="22"/>
                <w:color w:val="auto"/>
              </w:rPr>
            </w:pPr>
          </w:p>
        </w:tc>
        <w:tc>
          <w:tcPr>
            <w:tcW w:w="420" w:type="dxa"/>
            <w:vAlign w:val="bottom"/>
            <w:tcBorders>
              <w:bottom w:val="single" w:sz="8" w:color="C0C0C0"/>
              <w:right w:val="single" w:sz="8" w:color="C0C0C0"/>
            </w:tcBorders>
          </w:tcPr>
          <w:p>
            <w:pPr>
              <w:spacing w:after="0"/>
              <w:rPr>
                <w:sz w:val="22"/>
                <w:szCs w:val="22"/>
                <w:color w:val="auto"/>
              </w:rPr>
            </w:pPr>
          </w:p>
        </w:tc>
        <w:tc>
          <w:tcPr>
            <w:tcW w:w="5660" w:type="dxa"/>
            <w:vAlign w:val="bottom"/>
            <w:tcBorders>
              <w:bottom w:val="single" w:sz="8" w:color="C0C0C0"/>
              <w:right w:val="single" w:sz="8" w:color="C0C0C0"/>
            </w:tcBorders>
            <w:gridSpan w:val="3"/>
          </w:tcPr>
          <w:p>
            <w:pPr>
              <w:ind w:left="20"/>
              <w:spacing w:after="0" w:line="255" w:lineRule="exact"/>
              <w:rPr>
                <w:sz w:val="20"/>
                <w:szCs w:val="20"/>
                <w:color w:val="auto"/>
              </w:rPr>
            </w:pPr>
            <w:r>
              <w:rPr>
                <w:rFonts w:ascii="Arial" w:cs="Arial" w:eastAsia="Arial" w:hAnsi="Arial"/>
                <w:sz w:val="18"/>
                <w:szCs w:val="18"/>
                <w:color w:val="auto"/>
              </w:rPr>
              <w:t xml:space="preserve">[Contingent Life Name] </w:t>
            </w:r>
            <w:r>
              <w:rPr>
                <w:rFonts w:ascii="Arial" w:cs="Arial" w:eastAsia="Arial" w:hAnsi="Arial"/>
                <w:sz w:val="23"/>
                <w:szCs w:val="23"/>
                <w:color w:val="auto"/>
                <w:vertAlign w:val="superscript"/>
              </w:rPr>
              <w:t>A</w:t>
            </w:r>
          </w:p>
        </w:tc>
      </w:tr>
      <w:tr>
        <w:trPr>
          <w:trHeight w:val="243"/>
        </w:trPr>
        <w:tc>
          <w:tcPr>
            <w:tcW w:w="3720" w:type="dxa"/>
            <w:vAlign w:val="bottom"/>
            <w:tcBorders>
              <w:left w:val="single" w:sz="8" w:color="C0C0C0"/>
              <w:bottom w:val="single" w:sz="8" w:color="C0C0C0"/>
            </w:tcBorders>
          </w:tcPr>
          <w:p>
            <w:pPr>
              <w:spacing w:after="0"/>
              <w:rPr>
                <w:sz w:val="21"/>
                <w:szCs w:val="21"/>
                <w:color w:val="auto"/>
              </w:rPr>
            </w:pPr>
          </w:p>
        </w:tc>
        <w:tc>
          <w:tcPr>
            <w:tcW w:w="440" w:type="dxa"/>
            <w:vAlign w:val="bottom"/>
            <w:tcBorders>
              <w:bottom w:val="single" w:sz="8" w:color="C0C0C0"/>
            </w:tcBorders>
          </w:tcPr>
          <w:p>
            <w:pPr>
              <w:spacing w:after="0"/>
              <w:rPr>
                <w:sz w:val="21"/>
                <w:szCs w:val="21"/>
                <w:color w:val="auto"/>
              </w:rPr>
            </w:pPr>
          </w:p>
        </w:tc>
        <w:tc>
          <w:tcPr>
            <w:tcW w:w="260" w:type="dxa"/>
            <w:vAlign w:val="bottom"/>
            <w:tcBorders>
              <w:bottom w:val="single" w:sz="8" w:color="C0C0C0"/>
            </w:tcBorders>
          </w:tcPr>
          <w:p>
            <w:pPr>
              <w:spacing w:after="0"/>
              <w:rPr>
                <w:sz w:val="21"/>
                <w:szCs w:val="21"/>
                <w:color w:val="auto"/>
              </w:rPr>
            </w:pPr>
          </w:p>
        </w:tc>
        <w:tc>
          <w:tcPr>
            <w:tcW w:w="420" w:type="dxa"/>
            <w:vAlign w:val="bottom"/>
            <w:tcBorders>
              <w:bottom w:val="single" w:sz="8" w:color="C0C0C0"/>
              <w:right w:val="single" w:sz="8" w:color="C0C0C0"/>
            </w:tcBorders>
          </w:tcPr>
          <w:p>
            <w:pPr>
              <w:spacing w:after="0"/>
              <w:rPr>
                <w:sz w:val="21"/>
                <w:szCs w:val="21"/>
                <w:color w:val="auto"/>
              </w:rPr>
            </w:pPr>
          </w:p>
        </w:tc>
        <w:tc>
          <w:tcPr>
            <w:tcW w:w="1220" w:type="dxa"/>
            <w:vAlign w:val="bottom"/>
            <w:tcBorders>
              <w:bottom w:val="single" w:sz="8" w:color="C0C0C0"/>
            </w:tcBorders>
          </w:tcPr>
          <w:p>
            <w:pPr>
              <w:spacing w:after="0"/>
              <w:rPr>
                <w:sz w:val="21"/>
                <w:szCs w:val="21"/>
                <w:color w:val="auto"/>
              </w:rPr>
            </w:pPr>
          </w:p>
        </w:tc>
        <w:tc>
          <w:tcPr>
            <w:tcW w:w="260" w:type="dxa"/>
            <w:vAlign w:val="bottom"/>
            <w:tcBorders>
              <w:bottom w:val="single" w:sz="8" w:color="C0C0C0"/>
            </w:tcBorders>
          </w:tcPr>
          <w:p>
            <w:pPr>
              <w:spacing w:after="0"/>
              <w:rPr>
                <w:sz w:val="21"/>
                <w:szCs w:val="21"/>
                <w:color w:val="auto"/>
              </w:rPr>
            </w:pPr>
          </w:p>
        </w:tc>
        <w:tc>
          <w:tcPr>
            <w:tcW w:w="4180" w:type="dxa"/>
            <w:vAlign w:val="bottom"/>
            <w:tcBorders>
              <w:bottom w:val="single" w:sz="8" w:color="C0C0C0"/>
              <w:right w:val="single" w:sz="8" w:color="C0C0C0"/>
            </w:tcBorders>
          </w:tcPr>
          <w:p>
            <w:pPr>
              <w:spacing w:after="0"/>
              <w:rPr>
                <w:sz w:val="21"/>
                <w:szCs w:val="21"/>
                <w:color w:val="auto"/>
              </w:rPr>
            </w:pPr>
          </w:p>
        </w:tc>
      </w:tr>
      <w:tr>
        <w:trPr>
          <w:trHeight w:val="255"/>
        </w:trPr>
        <w:tc>
          <w:tcPr>
            <w:tcW w:w="3720" w:type="dxa"/>
            <w:vAlign w:val="bottom"/>
            <w:tcBorders>
              <w:left w:val="single" w:sz="8" w:color="C0C0C0"/>
              <w:bottom w:val="single" w:sz="8" w:color="C0C0C0"/>
            </w:tcBorders>
          </w:tcPr>
          <w:p>
            <w:pPr>
              <w:ind w:left="40"/>
              <w:spacing w:after="0" w:line="255" w:lineRule="exact"/>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Contingent Life's Sex and Date of Birth:</w:t>
            </w:r>
            <w:r>
              <w:rPr>
                <w:rFonts w:ascii="Arial" w:cs="Arial" w:eastAsia="Arial" w:hAnsi="Arial"/>
                <w:sz w:val="18"/>
                <w:szCs w:val="18"/>
                <w:color w:val="auto"/>
              </w:rPr>
              <w:t xml:space="preserve"> ] </w:t>
            </w:r>
            <w:r>
              <w:rPr>
                <w:rFonts w:ascii="Arial" w:cs="Arial" w:eastAsia="Arial" w:hAnsi="Arial"/>
                <w:sz w:val="23"/>
                <w:szCs w:val="23"/>
                <w:color w:val="auto"/>
                <w:vertAlign w:val="superscript"/>
              </w:rPr>
              <w:t>A</w:t>
            </w:r>
          </w:p>
        </w:tc>
        <w:tc>
          <w:tcPr>
            <w:tcW w:w="440" w:type="dxa"/>
            <w:vAlign w:val="bottom"/>
            <w:tcBorders>
              <w:bottom w:val="single" w:sz="8" w:color="C0C0C0"/>
            </w:tcBorders>
          </w:tcPr>
          <w:p>
            <w:pPr>
              <w:spacing w:after="0"/>
              <w:rPr>
                <w:sz w:val="22"/>
                <w:szCs w:val="22"/>
                <w:color w:val="auto"/>
              </w:rPr>
            </w:pPr>
          </w:p>
        </w:tc>
        <w:tc>
          <w:tcPr>
            <w:tcW w:w="260" w:type="dxa"/>
            <w:vAlign w:val="bottom"/>
            <w:tcBorders>
              <w:bottom w:val="single" w:sz="8" w:color="C0C0C0"/>
            </w:tcBorders>
          </w:tcPr>
          <w:p>
            <w:pPr>
              <w:spacing w:after="0"/>
              <w:rPr>
                <w:sz w:val="22"/>
                <w:szCs w:val="22"/>
                <w:color w:val="auto"/>
              </w:rPr>
            </w:pPr>
          </w:p>
        </w:tc>
        <w:tc>
          <w:tcPr>
            <w:tcW w:w="420" w:type="dxa"/>
            <w:vAlign w:val="bottom"/>
            <w:tcBorders>
              <w:bottom w:val="single" w:sz="8" w:color="C0C0C0"/>
              <w:right w:val="single" w:sz="8" w:color="C0C0C0"/>
            </w:tcBorders>
          </w:tcPr>
          <w:p>
            <w:pPr>
              <w:spacing w:after="0"/>
              <w:rPr>
                <w:sz w:val="22"/>
                <w:szCs w:val="22"/>
                <w:color w:val="auto"/>
              </w:rPr>
            </w:pPr>
          </w:p>
        </w:tc>
        <w:tc>
          <w:tcPr>
            <w:tcW w:w="5660" w:type="dxa"/>
            <w:vAlign w:val="bottom"/>
            <w:tcBorders>
              <w:bottom w:val="single" w:sz="8" w:color="C0C0C0"/>
              <w:right w:val="single" w:sz="8" w:color="C0C0C0"/>
            </w:tcBorders>
            <w:gridSpan w:val="3"/>
          </w:tcPr>
          <w:p>
            <w:pPr>
              <w:ind w:left="20"/>
              <w:spacing w:after="0" w:line="255" w:lineRule="exact"/>
              <w:rPr>
                <w:sz w:val="20"/>
                <w:szCs w:val="20"/>
                <w:color w:val="auto"/>
              </w:rPr>
            </w:pPr>
            <w:r>
              <w:rPr>
                <w:rFonts w:ascii="Arial" w:cs="Arial" w:eastAsia="Arial" w:hAnsi="Arial"/>
                <w:sz w:val="18"/>
                <w:szCs w:val="18"/>
                <w:color w:val="auto"/>
              </w:rPr>
              <w:t>[Male/Female, Date</w:t>
            </w:r>
            <w:r>
              <w:rPr>
                <w:rFonts w:ascii="Arial" w:cs="Arial" w:eastAsia="Arial" w:hAnsi="Arial"/>
                <w:sz w:val="16"/>
                <w:szCs w:val="16"/>
                <w:b w:val="1"/>
                <w:bCs w:val="1"/>
                <w:color w:val="auto"/>
              </w:rPr>
              <w:t>]</w:t>
            </w:r>
            <w:r>
              <w:rPr>
                <w:rFonts w:ascii="Arial" w:cs="Arial" w:eastAsia="Arial" w:hAnsi="Arial"/>
                <w:sz w:val="18"/>
                <w:szCs w:val="18"/>
                <w:color w:val="auto"/>
              </w:rPr>
              <w:t xml:space="preserve"> </w:t>
            </w:r>
            <w:r>
              <w:rPr>
                <w:rFonts w:ascii="Arial" w:cs="Arial" w:eastAsia="Arial" w:hAnsi="Arial"/>
                <w:sz w:val="23"/>
                <w:szCs w:val="23"/>
                <w:b w:val="1"/>
                <w:bCs w:val="1"/>
                <w:color w:val="auto"/>
                <w:vertAlign w:val="superscript"/>
              </w:rPr>
              <w:t>A</w:t>
            </w:r>
          </w:p>
        </w:tc>
      </w:tr>
      <w:tr>
        <w:trPr>
          <w:trHeight w:val="243"/>
        </w:trPr>
        <w:tc>
          <w:tcPr>
            <w:tcW w:w="3720" w:type="dxa"/>
            <w:vAlign w:val="bottom"/>
            <w:tcBorders>
              <w:left w:val="single" w:sz="8" w:color="C0C0C0"/>
              <w:bottom w:val="single" w:sz="8" w:color="C0C0C0"/>
            </w:tcBorders>
          </w:tcPr>
          <w:p>
            <w:pPr>
              <w:spacing w:after="0"/>
              <w:rPr>
                <w:sz w:val="21"/>
                <w:szCs w:val="21"/>
                <w:color w:val="auto"/>
              </w:rPr>
            </w:pPr>
          </w:p>
        </w:tc>
        <w:tc>
          <w:tcPr>
            <w:tcW w:w="440" w:type="dxa"/>
            <w:vAlign w:val="bottom"/>
            <w:tcBorders>
              <w:bottom w:val="single" w:sz="8" w:color="C0C0C0"/>
            </w:tcBorders>
          </w:tcPr>
          <w:p>
            <w:pPr>
              <w:spacing w:after="0"/>
              <w:rPr>
                <w:sz w:val="21"/>
                <w:szCs w:val="21"/>
                <w:color w:val="auto"/>
              </w:rPr>
            </w:pPr>
          </w:p>
        </w:tc>
        <w:tc>
          <w:tcPr>
            <w:tcW w:w="260" w:type="dxa"/>
            <w:vAlign w:val="bottom"/>
            <w:tcBorders>
              <w:bottom w:val="single" w:sz="8" w:color="C0C0C0"/>
            </w:tcBorders>
          </w:tcPr>
          <w:p>
            <w:pPr>
              <w:spacing w:after="0"/>
              <w:rPr>
                <w:sz w:val="21"/>
                <w:szCs w:val="21"/>
                <w:color w:val="auto"/>
              </w:rPr>
            </w:pPr>
          </w:p>
        </w:tc>
        <w:tc>
          <w:tcPr>
            <w:tcW w:w="420" w:type="dxa"/>
            <w:vAlign w:val="bottom"/>
            <w:tcBorders>
              <w:bottom w:val="single" w:sz="8" w:color="C0C0C0"/>
              <w:right w:val="single" w:sz="8" w:color="C0C0C0"/>
            </w:tcBorders>
          </w:tcPr>
          <w:p>
            <w:pPr>
              <w:spacing w:after="0"/>
              <w:rPr>
                <w:sz w:val="21"/>
                <w:szCs w:val="21"/>
                <w:color w:val="auto"/>
              </w:rPr>
            </w:pPr>
          </w:p>
        </w:tc>
        <w:tc>
          <w:tcPr>
            <w:tcW w:w="1220" w:type="dxa"/>
            <w:vAlign w:val="bottom"/>
            <w:tcBorders>
              <w:bottom w:val="single" w:sz="8" w:color="C0C0C0"/>
            </w:tcBorders>
          </w:tcPr>
          <w:p>
            <w:pPr>
              <w:spacing w:after="0"/>
              <w:rPr>
                <w:sz w:val="21"/>
                <w:szCs w:val="21"/>
                <w:color w:val="auto"/>
              </w:rPr>
            </w:pPr>
          </w:p>
        </w:tc>
        <w:tc>
          <w:tcPr>
            <w:tcW w:w="260" w:type="dxa"/>
            <w:vAlign w:val="bottom"/>
            <w:tcBorders>
              <w:bottom w:val="single" w:sz="8" w:color="C0C0C0"/>
            </w:tcBorders>
          </w:tcPr>
          <w:p>
            <w:pPr>
              <w:spacing w:after="0"/>
              <w:rPr>
                <w:sz w:val="21"/>
                <w:szCs w:val="21"/>
                <w:color w:val="auto"/>
              </w:rPr>
            </w:pPr>
          </w:p>
        </w:tc>
        <w:tc>
          <w:tcPr>
            <w:tcW w:w="4180" w:type="dxa"/>
            <w:vAlign w:val="bottom"/>
            <w:tcBorders>
              <w:bottom w:val="single" w:sz="8" w:color="C0C0C0"/>
              <w:right w:val="single" w:sz="8" w:color="C0C0C0"/>
            </w:tcBorders>
          </w:tcPr>
          <w:p>
            <w:pPr>
              <w:spacing w:after="0"/>
              <w:rPr>
                <w:sz w:val="21"/>
                <w:szCs w:val="21"/>
                <w:color w:val="auto"/>
              </w:rPr>
            </w:pPr>
          </w:p>
        </w:tc>
      </w:tr>
    </w:tbl>
    <w:p>
      <w:pPr>
        <w:spacing w:after="0" w:line="200" w:lineRule="exact"/>
        <w:rPr>
          <w:sz w:val="20"/>
          <w:szCs w:val="20"/>
          <w:color w:val="auto"/>
        </w:rPr>
      </w:pPr>
    </w:p>
    <w:p>
      <w:pPr>
        <w:sectPr>
          <w:pgSz w:w="11900" w:h="16838" w:orient="portrait"/>
          <w:cols w:equalWidth="0" w:num="1">
            <w:col w:w="10940"/>
          </w:cols>
          <w:pgMar w:left="720" w:top="552" w:right="239" w:bottom="1440" w:gutter="0" w:footer="0" w:header="0"/>
        </w:sectPr>
      </w:pPr>
    </w:p>
    <w:p>
      <w:pPr>
        <w:spacing w:after="0" w:line="13" w:lineRule="exact"/>
        <w:rPr>
          <w:sz w:val="20"/>
          <w:szCs w:val="20"/>
          <w:color w:val="auto"/>
        </w:rPr>
      </w:pPr>
    </w:p>
    <w:p>
      <w:pPr>
        <w:jc w:val="center"/>
        <w:ind w:right="480"/>
        <w:spacing w:after="0"/>
        <w:rPr>
          <w:sz w:val="20"/>
          <w:szCs w:val="20"/>
          <w:color w:val="auto"/>
        </w:rPr>
      </w:pPr>
      <w:r>
        <w:rPr>
          <w:rFonts w:ascii="Arial" w:cs="Arial" w:eastAsia="Arial" w:hAnsi="Arial"/>
          <w:sz w:val="15"/>
          <w:szCs w:val="15"/>
          <w:color w:val="auto"/>
        </w:rPr>
        <w:t>Appendix 1.3 - 10</w:t>
      </w:r>
    </w:p>
    <w:p>
      <w:pPr>
        <w:sectPr>
          <w:pgSz w:w="11900" w:h="16838" w:orient="portrait"/>
          <w:cols w:equalWidth="0" w:num="1">
            <w:col w:w="10940"/>
          </w:cols>
          <w:pgMar w:left="720" w:top="552" w:right="239" w:bottom="1440" w:gutter="0" w:footer="0" w:header="0"/>
          <w:type w:val="continuous"/>
        </w:sectPr>
      </w:pPr>
    </w:p>
    <w:bookmarkStart w:id="124" w:name="page125"/>
    <w:bookmarkEnd w:id="124"/>
    <w:tbl>
      <w:tblPr>
        <w:tblLayout w:type="fixed"/>
        <w:tblInd w:w="490" w:type="dxa"/>
        <w:tblCellMar>
          <w:top w:w="0" w:type="dxa"/>
          <w:left w:w="0" w:type="dxa"/>
          <w:bottom w:w="0" w:type="dxa"/>
          <w:right w:w="0" w:type="dxa"/>
        </w:tblCellMar>
      </w:tblPr>
      <w:tr>
        <w:trPr>
          <w:trHeight w:val="275"/>
        </w:trPr>
        <w:tc>
          <w:tcPr>
            <w:tcW w:w="4840" w:type="dxa"/>
            <w:vAlign w:val="bottom"/>
            <w:tcBorders>
              <w:top w:val="single" w:sz="8" w:color="C0C0C0"/>
              <w:left w:val="single" w:sz="8" w:color="C0C0C0"/>
              <w:bottom w:val="single" w:sz="8" w:color="C0C0C0"/>
              <w:right w:val="single" w:sz="8" w:color="C0C0C0"/>
            </w:tcBorders>
          </w:tcPr>
          <w:p>
            <w:pPr>
              <w:ind w:left="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Contingent Life Amount:</w:t>
            </w:r>
            <w:r>
              <w:rPr>
                <w:rFonts w:ascii="Arial" w:cs="Arial" w:eastAsia="Arial" w:hAnsi="Arial"/>
                <w:sz w:val="18"/>
                <w:szCs w:val="18"/>
                <w:color w:val="auto"/>
              </w:rPr>
              <w:t xml:space="preserve"> ] </w:t>
            </w:r>
            <w:r>
              <w:rPr>
                <w:rFonts w:ascii="Arial" w:cs="Arial" w:eastAsia="Arial" w:hAnsi="Arial"/>
                <w:sz w:val="23"/>
                <w:szCs w:val="23"/>
                <w:color w:val="auto"/>
                <w:vertAlign w:val="superscript"/>
              </w:rPr>
              <w:t>A</w:t>
            </w:r>
          </w:p>
        </w:tc>
        <w:tc>
          <w:tcPr>
            <w:tcW w:w="5660" w:type="dxa"/>
            <w:vAlign w:val="bottom"/>
            <w:tcBorders>
              <w:top w:val="single" w:sz="8" w:color="C0C0C0"/>
              <w:bottom w:val="single" w:sz="8" w:color="C0C0C0"/>
              <w:right w:val="single" w:sz="8" w:color="C0C0C0"/>
            </w:tcBorders>
          </w:tcPr>
          <w:p>
            <w:pPr>
              <w:ind w:left="20"/>
              <w:spacing w:after="0"/>
              <w:rPr>
                <w:sz w:val="20"/>
                <w:szCs w:val="20"/>
                <w:color w:val="auto"/>
              </w:rPr>
            </w:pPr>
            <w:r>
              <w:rPr>
                <w:rFonts w:ascii="Arial" w:cs="Arial" w:eastAsia="Arial" w:hAnsi="Arial"/>
                <w:sz w:val="18"/>
                <w:szCs w:val="18"/>
                <w:color w:val="auto"/>
              </w:rPr>
              <w:t xml:space="preserve">[$XXX.XX] </w:t>
            </w:r>
            <w:r>
              <w:rPr>
                <w:rFonts w:ascii="Arial" w:cs="Arial" w:eastAsia="Arial" w:hAnsi="Arial"/>
                <w:sz w:val="23"/>
                <w:szCs w:val="23"/>
                <w:color w:val="auto"/>
                <w:vertAlign w:val="superscript"/>
              </w:rPr>
              <w:t>A</w:t>
            </w:r>
          </w:p>
        </w:tc>
      </w:tr>
      <w:tr>
        <w:trPr>
          <w:trHeight w:val="243"/>
        </w:trPr>
        <w:tc>
          <w:tcPr>
            <w:tcW w:w="4840" w:type="dxa"/>
            <w:vAlign w:val="bottom"/>
            <w:tcBorders>
              <w:left w:val="single" w:sz="8" w:color="C0C0C0"/>
              <w:bottom w:val="single" w:sz="8" w:color="C0C0C0"/>
              <w:right w:val="single" w:sz="8" w:color="C0C0C0"/>
            </w:tcBorders>
          </w:tcPr>
          <w:p>
            <w:pPr>
              <w:spacing w:after="0"/>
              <w:rPr>
                <w:sz w:val="21"/>
                <w:szCs w:val="21"/>
                <w:color w:val="auto"/>
              </w:rPr>
            </w:pPr>
          </w:p>
        </w:tc>
        <w:tc>
          <w:tcPr>
            <w:tcW w:w="5660" w:type="dxa"/>
            <w:vAlign w:val="bottom"/>
            <w:tcBorders>
              <w:bottom w:val="single" w:sz="8" w:color="C0C0C0"/>
              <w:right w:val="single" w:sz="8" w:color="C0C0C0"/>
            </w:tcBorders>
          </w:tcPr>
          <w:p>
            <w:pPr>
              <w:spacing w:after="0"/>
              <w:rPr>
                <w:sz w:val="21"/>
                <w:szCs w:val="21"/>
                <w:color w:val="auto"/>
              </w:rPr>
            </w:pPr>
          </w:p>
        </w:tc>
      </w:tr>
      <w:tr>
        <w:trPr>
          <w:trHeight w:val="255"/>
        </w:trPr>
        <w:tc>
          <w:tcPr>
            <w:tcW w:w="4840" w:type="dxa"/>
            <w:vAlign w:val="bottom"/>
            <w:tcBorders>
              <w:left w:val="single" w:sz="8" w:color="C0C0C0"/>
              <w:bottom w:val="single" w:sz="8" w:color="C0C0C0"/>
              <w:right w:val="single" w:sz="8" w:color="C0C0C0"/>
            </w:tcBorders>
          </w:tcPr>
          <w:p>
            <w:pPr>
              <w:ind w:left="40"/>
              <w:spacing w:after="0" w:line="255" w:lineRule="exact"/>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Contingent Life Special Benefit Rider Eligibility</w:t>
            </w:r>
            <w:r>
              <w:rPr>
                <w:rFonts w:ascii="Arial" w:cs="Arial" w:eastAsia="Arial" w:hAnsi="Arial"/>
                <w:sz w:val="18"/>
                <w:szCs w:val="18"/>
                <w:color w:val="auto"/>
              </w:rPr>
              <w:t xml:space="preserve">] </w:t>
            </w:r>
            <w:r>
              <w:rPr>
                <w:rFonts w:ascii="Arial" w:cs="Arial" w:eastAsia="Arial" w:hAnsi="Arial"/>
                <w:sz w:val="23"/>
                <w:szCs w:val="23"/>
                <w:color w:val="auto"/>
                <w:vertAlign w:val="superscript"/>
              </w:rPr>
              <w:t>A</w:t>
            </w:r>
          </w:p>
        </w:tc>
        <w:tc>
          <w:tcPr>
            <w:tcW w:w="5660" w:type="dxa"/>
            <w:vAlign w:val="bottom"/>
            <w:tcBorders>
              <w:bottom w:val="single" w:sz="8" w:color="C0C0C0"/>
              <w:right w:val="single" w:sz="8" w:color="C0C0C0"/>
            </w:tcBorders>
          </w:tcPr>
          <w:p>
            <w:pPr>
              <w:ind w:left="20"/>
              <w:spacing w:after="0" w:line="255" w:lineRule="exact"/>
              <w:rPr>
                <w:sz w:val="20"/>
                <w:szCs w:val="20"/>
                <w:color w:val="auto"/>
              </w:rPr>
            </w:pPr>
            <w:r>
              <w:rPr>
                <w:rFonts w:ascii="Arial" w:cs="Arial" w:eastAsia="Arial" w:hAnsi="Arial"/>
                <w:sz w:val="18"/>
                <w:szCs w:val="18"/>
                <w:color w:val="auto"/>
              </w:rPr>
              <w:t xml:space="preserve">[Yes/No] </w:t>
            </w:r>
            <w:r>
              <w:rPr>
                <w:rFonts w:ascii="Arial" w:cs="Arial" w:eastAsia="Arial" w:hAnsi="Arial"/>
                <w:sz w:val="23"/>
                <w:szCs w:val="23"/>
                <w:color w:val="auto"/>
                <w:vertAlign w:val="superscript"/>
              </w:rPr>
              <w:t>A</w:t>
            </w:r>
          </w:p>
        </w:tc>
      </w:tr>
      <w:tr>
        <w:trPr>
          <w:trHeight w:val="243"/>
        </w:trPr>
        <w:tc>
          <w:tcPr>
            <w:tcW w:w="4840" w:type="dxa"/>
            <w:vAlign w:val="bottom"/>
            <w:tcBorders>
              <w:left w:val="single" w:sz="8" w:color="C0C0C0"/>
              <w:bottom w:val="single" w:sz="8" w:color="C0C0C0"/>
              <w:right w:val="single" w:sz="8" w:color="C0C0C0"/>
            </w:tcBorders>
          </w:tcPr>
          <w:p>
            <w:pPr>
              <w:spacing w:after="0"/>
              <w:rPr>
                <w:sz w:val="21"/>
                <w:szCs w:val="21"/>
                <w:color w:val="auto"/>
              </w:rPr>
            </w:pPr>
          </w:p>
        </w:tc>
        <w:tc>
          <w:tcPr>
            <w:tcW w:w="5660" w:type="dxa"/>
            <w:vAlign w:val="bottom"/>
            <w:tcBorders>
              <w:bottom w:val="single" w:sz="8" w:color="C0C0C0"/>
              <w:right w:val="single" w:sz="8" w:color="C0C0C0"/>
            </w:tcBorders>
          </w:tcPr>
          <w:p>
            <w:pPr>
              <w:spacing w:after="0"/>
              <w:rPr>
                <w:sz w:val="21"/>
                <w:szCs w:val="21"/>
                <w:color w:val="auto"/>
              </w:rPr>
            </w:pPr>
          </w:p>
        </w:tc>
      </w:tr>
      <w:tr>
        <w:trPr>
          <w:trHeight w:val="255"/>
        </w:trPr>
        <w:tc>
          <w:tcPr>
            <w:tcW w:w="4840" w:type="dxa"/>
            <w:vAlign w:val="bottom"/>
            <w:tcBorders>
              <w:left w:val="single" w:sz="8" w:color="C0C0C0"/>
              <w:bottom w:val="single" w:sz="8" w:color="C0C0C0"/>
              <w:right w:val="single" w:sz="8" w:color="C0C0C0"/>
            </w:tcBorders>
          </w:tcPr>
          <w:p>
            <w:pPr>
              <w:ind w:left="40"/>
              <w:spacing w:after="0" w:line="255" w:lineRule="exact"/>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Contingent Life Level Rider Eligibility</w:t>
            </w:r>
            <w:r>
              <w:rPr>
                <w:rFonts w:ascii="Arial" w:cs="Arial" w:eastAsia="Arial" w:hAnsi="Arial"/>
                <w:sz w:val="18"/>
                <w:szCs w:val="18"/>
                <w:color w:val="auto"/>
              </w:rPr>
              <w:t xml:space="preserve">] </w:t>
            </w:r>
            <w:r>
              <w:rPr>
                <w:rFonts w:ascii="Arial" w:cs="Arial" w:eastAsia="Arial" w:hAnsi="Arial"/>
                <w:sz w:val="23"/>
                <w:szCs w:val="23"/>
                <w:color w:val="auto"/>
                <w:vertAlign w:val="superscript"/>
              </w:rPr>
              <w:t>A</w:t>
            </w:r>
          </w:p>
        </w:tc>
        <w:tc>
          <w:tcPr>
            <w:tcW w:w="5660" w:type="dxa"/>
            <w:vAlign w:val="bottom"/>
            <w:tcBorders>
              <w:bottom w:val="single" w:sz="8" w:color="C0C0C0"/>
              <w:right w:val="single" w:sz="8" w:color="C0C0C0"/>
            </w:tcBorders>
          </w:tcPr>
          <w:p>
            <w:pPr>
              <w:ind w:left="20"/>
              <w:spacing w:after="0" w:line="255" w:lineRule="exact"/>
              <w:rPr>
                <w:sz w:val="20"/>
                <w:szCs w:val="20"/>
                <w:color w:val="auto"/>
              </w:rPr>
            </w:pPr>
            <w:r>
              <w:rPr>
                <w:rFonts w:ascii="Arial" w:cs="Arial" w:eastAsia="Arial" w:hAnsi="Arial"/>
                <w:sz w:val="18"/>
                <w:szCs w:val="18"/>
                <w:color w:val="auto"/>
              </w:rPr>
              <w:t xml:space="preserve">[Yes/No] </w:t>
            </w:r>
            <w:r>
              <w:rPr>
                <w:rFonts w:ascii="Arial" w:cs="Arial" w:eastAsia="Arial" w:hAnsi="Arial"/>
                <w:sz w:val="23"/>
                <w:szCs w:val="23"/>
                <w:color w:val="auto"/>
                <w:vertAlign w:val="superscript"/>
              </w:rPr>
              <w:t>A</w:t>
            </w:r>
          </w:p>
        </w:tc>
      </w:tr>
      <w:tr>
        <w:trPr>
          <w:trHeight w:val="243"/>
        </w:trPr>
        <w:tc>
          <w:tcPr>
            <w:tcW w:w="4840" w:type="dxa"/>
            <w:vAlign w:val="bottom"/>
            <w:tcBorders>
              <w:left w:val="single" w:sz="8" w:color="C0C0C0"/>
              <w:bottom w:val="single" w:sz="8" w:color="C0C0C0"/>
              <w:right w:val="single" w:sz="8" w:color="C0C0C0"/>
            </w:tcBorders>
          </w:tcPr>
          <w:p>
            <w:pPr>
              <w:spacing w:after="0"/>
              <w:rPr>
                <w:sz w:val="21"/>
                <w:szCs w:val="21"/>
                <w:color w:val="auto"/>
              </w:rPr>
            </w:pPr>
          </w:p>
        </w:tc>
        <w:tc>
          <w:tcPr>
            <w:tcW w:w="5660" w:type="dxa"/>
            <w:vAlign w:val="bottom"/>
            <w:tcBorders>
              <w:bottom w:val="single" w:sz="8" w:color="C0C0C0"/>
              <w:right w:val="single" w:sz="8" w:color="C0C0C0"/>
            </w:tcBorders>
          </w:tcPr>
          <w:p>
            <w:pPr>
              <w:spacing w:after="0"/>
              <w:rPr>
                <w:sz w:val="21"/>
                <w:szCs w:val="21"/>
                <w:color w:val="auto"/>
              </w:rPr>
            </w:pPr>
          </w:p>
        </w:tc>
      </w:tr>
      <w:tr>
        <w:trPr>
          <w:trHeight w:val="255"/>
        </w:trPr>
        <w:tc>
          <w:tcPr>
            <w:tcW w:w="4840" w:type="dxa"/>
            <w:vAlign w:val="bottom"/>
            <w:tcBorders>
              <w:left w:val="single" w:sz="8" w:color="C0C0C0"/>
              <w:bottom w:val="single" w:sz="8" w:color="C0C0C0"/>
              <w:right w:val="single" w:sz="8" w:color="C0C0C0"/>
            </w:tcBorders>
          </w:tcPr>
          <w:p>
            <w:pPr>
              <w:ind w:left="40"/>
              <w:spacing w:after="0" w:line="255" w:lineRule="exact"/>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Maximum Refund Death Benefit:</w:t>
            </w:r>
            <w:r>
              <w:rPr>
                <w:rFonts w:ascii="Arial" w:cs="Arial" w:eastAsia="Arial" w:hAnsi="Arial"/>
                <w:sz w:val="18"/>
                <w:szCs w:val="18"/>
                <w:color w:val="auto"/>
              </w:rPr>
              <w:t xml:space="preserve"> ] </w:t>
            </w:r>
            <w:r>
              <w:rPr>
                <w:rFonts w:ascii="Arial" w:cs="Arial" w:eastAsia="Arial" w:hAnsi="Arial"/>
                <w:sz w:val="23"/>
                <w:szCs w:val="23"/>
                <w:color w:val="auto"/>
                <w:vertAlign w:val="superscript"/>
              </w:rPr>
              <w:t>A</w:t>
            </w:r>
          </w:p>
        </w:tc>
        <w:tc>
          <w:tcPr>
            <w:tcW w:w="5660" w:type="dxa"/>
            <w:vAlign w:val="bottom"/>
            <w:tcBorders>
              <w:bottom w:val="single" w:sz="8" w:color="C0C0C0"/>
              <w:right w:val="single" w:sz="8" w:color="C0C0C0"/>
            </w:tcBorders>
          </w:tcPr>
          <w:p>
            <w:pPr>
              <w:ind w:left="20"/>
              <w:spacing w:after="0" w:line="255" w:lineRule="exact"/>
              <w:rPr>
                <w:sz w:val="20"/>
                <w:szCs w:val="20"/>
                <w:color w:val="auto"/>
              </w:rPr>
            </w:pPr>
            <w:r>
              <w:rPr>
                <w:rFonts w:ascii="Arial" w:cs="Arial" w:eastAsia="Arial" w:hAnsi="Arial"/>
                <w:sz w:val="18"/>
                <w:szCs w:val="18"/>
                <w:color w:val="auto"/>
              </w:rPr>
              <w:t xml:space="preserve">[$XXX.XX] </w:t>
            </w:r>
            <w:r>
              <w:rPr>
                <w:rFonts w:ascii="Arial" w:cs="Arial" w:eastAsia="Arial" w:hAnsi="Arial"/>
                <w:sz w:val="23"/>
                <w:szCs w:val="23"/>
                <w:color w:val="auto"/>
                <w:vertAlign w:val="superscript"/>
              </w:rPr>
              <w:t>A</w:t>
            </w:r>
          </w:p>
        </w:tc>
      </w:tr>
      <w:tr>
        <w:trPr>
          <w:trHeight w:val="243"/>
        </w:trPr>
        <w:tc>
          <w:tcPr>
            <w:tcW w:w="4840" w:type="dxa"/>
            <w:vAlign w:val="bottom"/>
            <w:tcBorders>
              <w:left w:val="single" w:sz="8" w:color="C0C0C0"/>
              <w:bottom w:val="single" w:sz="8" w:color="C0C0C0"/>
              <w:right w:val="single" w:sz="8" w:color="C0C0C0"/>
            </w:tcBorders>
          </w:tcPr>
          <w:p>
            <w:pPr>
              <w:spacing w:after="0"/>
              <w:rPr>
                <w:sz w:val="21"/>
                <w:szCs w:val="21"/>
                <w:color w:val="auto"/>
              </w:rPr>
            </w:pPr>
          </w:p>
        </w:tc>
        <w:tc>
          <w:tcPr>
            <w:tcW w:w="5660" w:type="dxa"/>
            <w:vAlign w:val="bottom"/>
            <w:tcBorders>
              <w:bottom w:val="single" w:sz="8" w:color="C0C0C0"/>
              <w:right w:val="single" w:sz="8" w:color="C0C0C0"/>
            </w:tcBorders>
          </w:tcPr>
          <w:p>
            <w:pPr>
              <w:spacing w:after="0"/>
              <w:rPr>
                <w:sz w:val="21"/>
                <w:szCs w:val="21"/>
                <w:color w:val="auto"/>
              </w:rPr>
            </w:pPr>
          </w:p>
        </w:tc>
      </w:tr>
      <w:tr>
        <w:trPr>
          <w:trHeight w:val="255"/>
        </w:trPr>
        <w:tc>
          <w:tcPr>
            <w:tcW w:w="4840" w:type="dxa"/>
            <w:vAlign w:val="bottom"/>
            <w:tcBorders>
              <w:left w:val="single" w:sz="8" w:color="C0C0C0"/>
              <w:bottom w:val="single" w:sz="8" w:color="C0C0C0"/>
              <w:right w:val="single" w:sz="8" w:color="C0C0C0"/>
            </w:tcBorders>
          </w:tcPr>
          <w:p>
            <w:pPr>
              <w:ind w:left="40"/>
              <w:spacing w:after="0" w:line="255" w:lineRule="exact"/>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Beneficiary(ies):</w:t>
            </w:r>
            <w:r>
              <w:rPr>
                <w:rFonts w:ascii="Arial" w:cs="Arial" w:eastAsia="Arial" w:hAnsi="Arial"/>
                <w:sz w:val="18"/>
                <w:szCs w:val="18"/>
                <w:color w:val="auto"/>
              </w:rPr>
              <w:t xml:space="preserve"> ] </w:t>
            </w:r>
            <w:r>
              <w:rPr>
                <w:rFonts w:ascii="Arial" w:cs="Arial" w:eastAsia="Arial" w:hAnsi="Arial"/>
                <w:sz w:val="23"/>
                <w:szCs w:val="23"/>
                <w:color w:val="auto"/>
                <w:vertAlign w:val="superscript"/>
              </w:rPr>
              <w:t>A</w:t>
            </w:r>
          </w:p>
        </w:tc>
        <w:tc>
          <w:tcPr>
            <w:tcW w:w="5660" w:type="dxa"/>
            <w:vAlign w:val="bottom"/>
            <w:tcBorders>
              <w:bottom w:val="single" w:sz="8" w:color="C0C0C0"/>
              <w:right w:val="single" w:sz="8" w:color="C0C0C0"/>
            </w:tcBorders>
          </w:tcPr>
          <w:p>
            <w:pPr>
              <w:ind w:left="20"/>
              <w:spacing w:after="0" w:line="255" w:lineRule="exact"/>
              <w:rPr>
                <w:sz w:val="20"/>
                <w:szCs w:val="20"/>
                <w:color w:val="auto"/>
              </w:rPr>
            </w:pPr>
            <w:r>
              <w:rPr>
                <w:rFonts w:ascii="Arial" w:cs="Arial" w:eastAsia="Arial" w:hAnsi="Arial"/>
                <w:sz w:val="18"/>
                <w:szCs w:val="18"/>
                <w:color w:val="auto"/>
              </w:rPr>
              <w:t>[Name(s)/As shown on Prudential's records</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23"/>
                <w:szCs w:val="23"/>
                <w:b w:val="1"/>
                <w:bCs w:val="1"/>
                <w:color w:val="auto"/>
                <w:vertAlign w:val="superscript"/>
              </w:rPr>
              <w:t>A</w:t>
            </w:r>
            <w:r>
              <w:rPr>
                <w:rFonts w:ascii="Arial" w:cs="Arial" w:eastAsia="Arial" w:hAnsi="Arial"/>
                <w:sz w:val="18"/>
                <w:szCs w:val="18"/>
                <w:color w:val="auto"/>
              </w:rPr>
              <w:t xml:space="preserve"> [Shares(s)</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23"/>
                <w:szCs w:val="23"/>
                <w:b w:val="1"/>
                <w:bCs w:val="1"/>
                <w:color w:val="auto"/>
                <w:vertAlign w:val="superscript"/>
              </w:rPr>
              <w:t>A</w:t>
            </w:r>
          </w:p>
        </w:tc>
      </w:tr>
      <w:tr>
        <w:trPr>
          <w:trHeight w:val="243"/>
        </w:trPr>
        <w:tc>
          <w:tcPr>
            <w:tcW w:w="4840" w:type="dxa"/>
            <w:vAlign w:val="bottom"/>
            <w:tcBorders>
              <w:left w:val="single" w:sz="8" w:color="C0C0C0"/>
              <w:bottom w:val="single" w:sz="8" w:color="C0C0C0"/>
              <w:right w:val="single" w:sz="8" w:color="C0C0C0"/>
            </w:tcBorders>
          </w:tcPr>
          <w:p>
            <w:pPr>
              <w:spacing w:after="0"/>
              <w:rPr>
                <w:sz w:val="21"/>
                <w:szCs w:val="21"/>
                <w:color w:val="auto"/>
              </w:rPr>
            </w:pPr>
          </w:p>
        </w:tc>
        <w:tc>
          <w:tcPr>
            <w:tcW w:w="5660" w:type="dxa"/>
            <w:vAlign w:val="bottom"/>
            <w:tcBorders>
              <w:bottom w:val="single" w:sz="8" w:color="C0C0C0"/>
              <w:right w:val="single" w:sz="8" w:color="C0C0C0"/>
            </w:tcBorders>
          </w:tcPr>
          <w:p>
            <w:pPr>
              <w:spacing w:after="0"/>
              <w:rPr>
                <w:sz w:val="21"/>
                <w:szCs w:val="21"/>
                <w:color w:val="auto"/>
              </w:rPr>
            </w:pPr>
          </w:p>
        </w:tc>
      </w:tr>
      <w:tr>
        <w:trPr>
          <w:trHeight w:val="255"/>
        </w:trPr>
        <w:tc>
          <w:tcPr>
            <w:tcW w:w="4840" w:type="dxa"/>
            <w:vAlign w:val="bottom"/>
            <w:tcBorders>
              <w:left w:val="single" w:sz="8" w:color="C0C0C0"/>
              <w:bottom w:val="single" w:sz="8" w:color="C0C0C0"/>
              <w:right w:val="single" w:sz="8" w:color="C0C0C0"/>
            </w:tcBorders>
          </w:tcPr>
          <w:p>
            <w:pPr>
              <w:ind w:left="40"/>
              <w:spacing w:after="0" w:line="255" w:lineRule="exact"/>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Part A Basic Benefit:</w:t>
            </w:r>
            <w:r>
              <w:rPr>
                <w:rFonts w:ascii="Arial" w:cs="Arial" w:eastAsia="Arial" w:hAnsi="Arial"/>
                <w:sz w:val="18"/>
                <w:szCs w:val="18"/>
                <w:color w:val="auto"/>
              </w:rPr>
              <w:t xml:space="preserve"> ] </w:t>
            </w:r>
            <w:r>
              <w:rPr>
                <w:rFonts w:ascii="Arial" w:cs="Arial" w:eastAsia="Arial" w:hAnsi="Arial"/>
                <w:sz w:val="23"/>
                <w:szCs w:val="23"/>
                <w:color w:val="auto"/>
                <w:vertAlign w:val="superscript"/>
              </w:rPr>
              <w:t>A</w:t>
            </w:r>
          </w:p>
        </w:tc>
        <w:tc>
          <w:tcPr>
            <w:tcW w:w="5660" w:type="dxa"/>
            <w:vAlign w:val="bottom"/>
            <w:tcBorders>
              <w:bottom w:val="single" w:sz="8" w:color="C0C0C0"/>
              <w:right w:val="single" w:sz="8" w:color="C0C0C0"/>
            </w:tcBorders>
          </w:tcPr>
          <w:p>
            <w:pPr>
              <w:ind w:left="20"/>
              <w:spacing w:after="0" w:line="255" w:lineRule="exact"/>
              <w:rPr>
                <w:sz w:val="20"/>
                <w:szCs w:val="20"/>
                <w:color w:val="auto"/>
              </w:rPr>
            </w:pPr>
            <w:r>
              <w:rPr>
                <w:rFonts w:ascii="Arial" w:cs="Arial" w:eastAsia="Arial" w:hAnsi="Arial"/>
                <w:sz w:val="18"/>
                <w:szCs w:val="18"/>
                <w:color w:val="auto"/>
              </w:rPr>
              <w:t xml:space="preserve">[$XXX.XX] </w:t>
            </w:r>
            <w:r>
              <w:rPr>
                <w:rFonts w:ascii="Arial" w:cs="Arial" w:eastAsia="Arial" w:hAnsi="Arial"/>
                <w:sz w:val="23"/>
                <w:szCs w:val="23"/>
                <w:color w:val="auto"/>
                <w:vertAlign w:val="superscript"/>
              </w:rPr>
              <w:t>A</w:t>
            </w:r>
          </w:p>
        </w:tc>
      </w:tr>
      <w:tr>
        <w:trPr>
          <w:trHeight w:val="243"/>
        </w:trPr>
        <w:tc>
          <w:tcPr>
            <w:tcW w:w="4840" w:type="dxa"/>
            <w:vAlign w:val="bottom"/>
            <w:tcBorders>
              <w:left w:val="single" w:sz="8" w:color="C0C0C0"/>
              <w:bottom w:val="single" w:sz="8" w:color="C0C0C0"/>
              <w:right w:val="single" w:sz="8" w:color="C0C0C0"/>
            </w:tcBorders>
          </w:tcPr>
          <w:p>
            <w:pPr>
              <w:spacing w:after="0"/>
              <w:rPr>
                <w:sz w:val="21"/>
                <w:szCs w:val="21"/>
                <w:color w:val="auto"/>
              </w:rPr>
            </w:pPr>
          </w:p>
        </w:tc>
        <w:tc>
          <w:tcPr>
            <w:tcW w:w="5660" w:type="dxa"/>
            <w:vAlign w:val="bottom"/>
            <w:tcBorders>
              <w:bottom w:val="single" w:sz="8" w:color="C0C0C0"/>
              <w:right w:val="single" w:sz="8" w:color="C0C0C0"/>
            </w:tcBorders>
          </w:tcPr>
          <w:p>
            <w:pPr>
              <w:spacing w:after="0"/>
              <w:rPr>
                <w:sz w:val="21"/>
                <w:szCs w:val="21"/>
                <w:color w:val="auto"/>
              </w:rPr>
            </w:pPr>
          </w:p>
        </w:tc>
      </w:tr>
      <w:tr>
        <w:trPr>
          <w:trHeight w:val="255"/>
        </w:trPr>
        <w:tc>
          <w:tcPr>
            <w:tcW w:w="4840" w:type="dxa"/>
            <w:vAlign w:val="bottom"/>
            <w:tcBorders>
              <w:left w:val="single" w:sz="8" w:color="C0C0C0"/>
              <w:bottom w:val="single" w:sz="8" w:color="C0C0C0"/>
              <w:right w:val="single" w:sz="8" w:color="C0C0C0"/>
            </w:tcBorders>
          </w:tcPr>
          <w:p>
            <w:pPr>
              <w:ind w:left="40"/>
              <w:spacing w:after="0" w:line="255" w:lineRule="exact"/>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Pre 1985 Covered Life Part B Primary Amount:</w:t>
            </w:r>
            <w:r>
              <w:rPr>
                <w:rFonts w:ascii="Arial" w:cs="Arial" w:eastAsia="Arial" w:hAnsi="Arial"/>
                <w:sz w:val="18"/>
                <w:szCs w:val="18"/>
                <w:color w:val="auto"/>
              </w:rPr>
              <w:t xml:space="preserve"> ] </w:t>
            </w:r>
            <w:r>
              <w:rPr>
                <w:rFonts w:ascii="Arial" w:cs="Arial" w:eastAsia="Arial" w:hAnsi="Arial"/>
                <w:sz w:val="23"/>
                <w:szCs w:val="23"/>
                <w:color w:val="auto"/>
                <w:vertAlign w:val="superscript"/>
              </w:rPr>
              <w:t>A</w:t>
            </w:r>
          </w:p>
        </w:tc>
        <w:tc>
          <w:tcPr>
            <w:tcW w:w="5660" w:type="dxa"/>
            <w:vAlign w:val="bottom"/>
            <w:tcBorders>
              <w:bottom w:val="single" w:sz="8" w:color="C0C0C0"/>
              <w:right w:val="single" w:sz="8" w:color="C0C0C0"/>
            </w:tcBorders>
          </w:tcPr>
          <w:p>
            <w:pPr>
              <w:ind w:left="20"/>
              <w:spacing w:after="0" w:line="255" w:lineRule="exact"/>
              <w:rPr>
                <w:sz w:val="20"/>
                <w:szCs w:val="20"/>
                <w:color w:val="auto"/>
              </w:rPr>
            </w:pPr>
            <w:r>
              <w:rPr>
                <w:rFonts w:ascii="Arial" w:cs="Arial" w:eastAsia="Arial" w:hAnsi="Arial"/>
                <w:sz w:val="18"/>
                <w:szCs w:val="18"/>
                <w:color w:val="auto"/>
              </w:rPr>
              <w:t xml:space="preserve">[$XXX.XX] </w:t>
            </w:r>
            <w:r>
              <w:rPr>
                <w:rFonts w:ascii="Arial" w:cs="Arial" w:eastAsia="Arial" w:hAnsi="Arial"/>
                <w:sz w:val="23"/>
                <w:szCs w:val="23"/>
                <w:color w:val="auto"/>
                <w:vertAlign w:val="superscript"/>
              </w:rPr>
              <w:t>A</w:t>
            </w:r>
          </w:p>
        </w:tc>
      </w:tr>
      <w:tr>
        <w:trPr>
          <w:trHeight w:val="243"/>
        </w:trPr>
        <w:tc>
          <w:tcPr>
            <w:tcW w:w="4840" w:type="dxa"/>
            <w:vAlign w:val="bottom"/>
            <w:tcBorders>
              <w:left w:val="single" w:sz="8" w:color="C0C0C0"/>
              <w:bottom w:val="single" w:sz="8" w:color="C0C0C0"/>
              <w:right w:val="single" w:sz="8" w:color="C0C0C0"/>
            </w:tcBorders>
          </w:tcPr>
          <w:p>
            <w:pPr>
              <w:spacing w:after="0"/>
              <w:rPr>
                <w:sz w:val="21"/>
                <w:szCs w:val="21"/>
                <w:color w:val="auto"/>
              </w:rPr>
            </w:pPr>
          </w:p>
        </w:tc>
        <w:tc>
          <w:tcPr>
            <w:tcW w:w="5660" w:type="dxa"/>
            <w:vAlign w:val="bottom"/>
            <w:tcBorders>
              <w:bottom w:val="single" w:sz="8" w:color="C0C0C0"/>
              <w:right w:val="single" w:sz="8" w:color="C0C0C0"/>
            </w:tcBorders>
          </w:tcPr>
          <w:p>
            <w:pPr>
              <w:spacing w:after="0"/>
              <w:rPr>
                <w:sz w:val="21"/>
                <w:szCs w:val="21"/>
                <w:color w:val="auto"/>
              </w:rPr>
            </w:pPr>
          </w:p>
        </w:tc>
      </w:tr>
      <w:tr>
        <w:trPr>
          <w:trHeight w:val="255"/>
        </w:trPr>
        <w:tc>
          <w:tcPr>
            <w:tcW w:w="4840" w:type="dxa"/>
            <w:vAlign w:val="bottom"/>
            <w:tcBorders>
              <w:left w:val="single" w:sz="8" w:color="C0C0C0"/>
              <w:bottom w:val="single" w:sz="8" w:color="C0C0C0"/>
              <w:right w:val="single" w:sz="8" w:color="C0C0C0"/>
            </w:tcBorders>
          </w:tcPr>
          <w:p>
            <w:pPr>
              <w:ind w:left="40"/>
              <w:spacing w:after="0" w:line="255" w:lineRule="exact"/>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Post 1985 Covered Life Part B Primary Amount:</w:t>
            </w:r>
            <w:r>
              <w:rPr>
                <w:rFonts w:ascii="Arial" w:cs="Arial" w:eastAsia="Arial" w:hAnsi="Arial"/>
                <w:sz w:val="18"/>
                <w:szCs w:val="18"/>
                <w:color w:val="auto"/>
              </w:rPr>
              <w:t xml:space="preserve"> ] </w:t>
            </w:r>
            <w:r>
              <w:rPr>
                <w:rFonts w:ascii="Arial" w:cs="Arial" w:eastAsia="Arial" w:hAnsi="Arial"/>
                <w:sz w:val="23"/>
                <w:szCs w:val="23"/>
                <w:color w:val="auto"/>
                <w:vertAlign w:val="superscript"/>
              </w:rPr>
              <w:t>A</w:t>
            </w:r>
          </w:p>
        </w:tc>
        <w:tc>
          <w:tcPr>
            <w:tcW w:w="5660" w:type="dxa"/>
            <w:vAlign w:val="bottom"/>
            <w:tcBorders>
              <w:bottom w:val="single" w:sz="8" w:color="C0C0C0"/>
              <w:right w:val="single" w:sz="8" w:color="C0C0C0"/>
            </w:tcBorders>
          </w:tcPr>
          <w:p>
            <w:pPr>
              <w:ind w:left="20"/>
              <w:spacing w:after="0" w:line="255" w:lineRule="exact"/>
              <w:rPr>
                <w:sz w:val="20"/>
                <w:szCs w:val="20"/>
                <w:color w:val="auto"/>
              </w:rPr>
            </w:pPr>
            <w:r>
              <w:rPr>
                <w:rFonts w:ascii="Arial" w:cs="Arial" w:eastAsia="Arial" w:hAnsi="Arial"/>
                <w:sz w:val="18"/>
                <w:szCs w:val="18"/>
                <w:color w:val="auto"/>
              </w:rPr>
              <w:t xml:space="preserve">[$XXX.XX] </w:t>
            </w:r>
            <w:r>
              <w:rPr>
                <w:rFonts w:ascii="Arial" w:cs="Arial" w:eastAsia="Arial" w:hAnsi="Arial"/>
                <w:sz w:val="23"/>
                <w:szCs w:val="23"/>
                <w:color w:val="auto"/>
                <w:vertAlign w:val="superscript"/>
              </w:rPr>
              <w:t>A</w:t>
            </w:r>
          </w:p>
        </w:tc>
      </w:tr>
      <w:tr>
        <w:trPr>
          <w:trHeight w:val="243"/>
        </w:trPr>
        <w:tc>
          <w:tcPr>
            <w:tcW w:w="4840" w:type="dxa"/>
            <w:vAlign w:val="bottom"/>
            <w:tcBorders>
              <w:left w:val="single" w:sz="8" w:color="C0C0C0"/>
              <w:bottom w:val="single" w:sz="8" w:color="C0C0C0"/>
              <w:right w:val="single" w:sz="8" w:color="C0C0C0"/>
            </w:tcBorders>
          </w:tcPr>
          <w:p>
            <w:pPr>
              <w:spacing w:after="0"/>
              <w:rPr>
                <w:sz w:val="21"/>
                <w:szCs w:val="21"/>
                <w:color w:val="auto"/>
              </w:rPr>
            </w:pPr>
          </w:p>
        </w:tc>
        <w:tc>
          <w:tcPr>
            <w:tcW w:w="5660" w:type="dxa"/>
            <w:vAlign w:val="bottom"/>
            <w:tcBorders>
              <w:bottom w:val="single" w:sz="8" w:color="C0C0C0"/>
              <w:right w:val="single" w:sz="8" w:color="C0C0C0"/>
            </w:tcBorders>
          </w:tcPr>
          <w:p>
            <w:pPr>
              <w:spacing w:after="0"/>
              <w:rPr>
                <w:sz w:val="21"/>
                <w:szCs w:val="21"/>
                <w:color w:val="auto"/>
              </w:rPr>
            </w:pPr>
          </w:p>
        </w:tc>
      </w:tr>
      <w:tr>
        <w:trPr>
          <w:trHeight w:val="255"/>
        </w:trPr>
        <w:tc>
          <w:tcPr>
            <w:tcW w:w="4840" w:type="dxa"/>
            <w:vAlign w:val="bottom"/>
            <w:tcBorders>
              <w:left w:val="single" w:sz="8" w:color="C0C0C0"/>
              <w:bottom w:val="single" w:sz="8" w:color="C0C0C0"/>
              <w:right w:val="single" w:sz="8" w:color="C0C0C0"/>
            </w:tcBorders>
          </w:tcPr>
          <w:p>
            <w:pPr>
              <w:ind w:left="40"/>
              <w:spacing w:after="0" w:line="255" w:lineRule="exact"/>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Pre 1985 Contingent Life Part B Primary Amount:</w:t>
            </w:r>
            <w:r>
              <w:rPr>
                <w:rFonts w:ascii="Arial" w:cs="Arial" w:eastAsia="Arial" w:hAnsi="Arial"/>
                <w:sz w:val="18"/>
                <w:szCs w:val="18"/>
                <w:color w:val="auto"/>
              </w:rPr>
              <w:t xml:space="preserve"> ] </w:t>
            </w:r>
            <w:r>
              <w:rPr>
                <w:rFonts w:ascii="Arial" w:cs="Arial" w:eastAsia="Arial" w:hAnsi="Arial"/>
                <w:sz w:val="23"/>
                <w:szCs w:val="23"/>
                <w:color w:val="auto"/>
                <w:vertAlign w:val="superscript"/>
              </w:rPr>
              <w:t>A</w:t>
            </w:r>
          </w:p>
        </w:tc>
        <w:tc>
          <w:tcPr>
            <w:tcW w:w="5660" w:type="dxa"/>
            <w:vAlign w:val="bottom"/>
            <w:tcBorders>
              <w:bottom w:val="single" w:sz="8" w:color="C0C0C0"/>
              <w:right w:val="single" w:sz="8" w:color="C0C0C0"/>
            </w:tcBorders>
          </w:tcPr>
          <w:p>
            <w:pPr>
              <w:ind w:left="20"/>
              <w:spacing w:after="0" w:line="255" w:lineRule="exact"/>
              <w:rPr>
                <w:sz w:val="20"/>
                <w:szCs w:val="20"/>
                <w:color w:val="auto"/>
              </w:rPr>
            </w:pPr>
            <w:r>
              <w:rPr>
                <w:rFonts w:ascii="Arial" w:cs="Arial" w:eastAsia="Arial" w:hAnsi="Arial"/>
                <w:sz w:val="18"/>
                <w:szCs w:val="18"/>
                <w:color w:val="auto"/>
              </w:rPr>
              <w:t xml:space="preserve">[$XXX.XX] </w:t>
            </w:r>
            <w:r>
              <w:rPr>
                <w:rFonts w:ascii="Arial" w:cs="Arial" w:eastAsia="Arial" w:hAnsi="Arial"/>
                <w:sz w:val="23"/>
                <w:szCs w:val="23"/>
                <w:color w:val="auto"/>
                <w:vertAlign w:val="superscript"/>
              </w:rPr>
              <w:t>A</w:t>
            </w:r>
          </w:p>
        </w:tc>
      </w:tr>
      <w:tr>
        <w:trPr>
          <w:trHeight w:val="243"/>
        </w:trPr>
        <w:tc>
          <w:tcPr>
            <w:tcW w:w="4840" w:type="dxa"/>
            <w:vAlign w:val="bottom"/>
            <w:tcBorders>
              <w:left w:val="single" w:sz="8" w:color="C0C0C0"/>
              <w:bottom w:val="single" w:sz="8" w:color="C0C0C0"/>
              <w:right w:val="single" w:sz="8" w:color="C0C0C0"/>
            </w:tcBorders>
          </w:tcPr>
          <w:p>
            <w:pPr>
              <w:spacing w:after="0"/>
              <w:rPr>
                <w:sz w:val="21"/>
                <w:szCs w:val="21"/>
                <w:color w:val="auto"/>
              </w:rPr>
            </w:pPr>
          </w:p>
        </w:tc>
        <w:tc>
          <w:tcPr>
            <w:tcW w:w="5660" w:type="dxa"/>
            <w:vAlign w:val="bottom"/>
            <w:tcBorders>
              <w:bottom w:val="single" w:sz="8" w:color="C0C0C0"/>
              <w:right w:val="single" w:sz="8" w:color="C0C0C0"/>
            </w:tcBorders>
          </w:tcPr>
          <w:p>
            <w:pPr>
              <w:spacing w:after="0"/>
              <w:rPr>
                <w:sz w:val="21"/>
                <w:szCs w:val="21"/>
                <w:color w:val="auto"/>
              </w:rPr>
            </w:pPr>
          </w:p>
        </w:tc>
      </w:tr>
      <w:tr>
        <w:trPr>
          <w:trHeight w:val="255"/>
        </w:trPr>
        <w:tc>
          <w:tcPr>
            <w:tcW w:w="4840" w:type="dxa"/>
            <w:vAlign w:val="bottom"/>
            <w:tcBorders>
              <w:left w:val="single" w:sz="8" w:color="C0C0C0"/>
              <w:bottom w:val="single" w:sz="8" w:color="C0C0C0"/>
              <w:right w:val="single" w:sz="8" w:color="C0C0C0"/>
            </w:tcBorders>
          </w:tcPr>
          <w:p>
            <w:pPr>
              <w:ind w:left="40"/>
              <w:spacing w:after="0" w:line="255" w:lineRule="exact"/>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Post 1985 Contingent Life Part B Primary Amount:</w:t>
            </w:r>
            <w:r>
              <w:rPr>
                <w:rFonts w:ascii="Arial" w:cs="Arial" w:eastAsia="Arial" w:hAnsi="Arial"/>
                <w:sz w:val="18"/>
                <w:szCs w:val="18"/>
                <w:color w:val="auto"/>
              </w:rPr>
              <w:t xml:space="preserve"> ] </w:t>
            </w:r>
            <w:r>
              <w:rPr>
                <w:rFonts w:ascii="Arial" w:cs="Arial" w:eastAsia="Arial" w:hAnsi="Arial"/>
                <w:sz w:val="23"/>
                <w:szCs w:val="23"/>
                <w:color w:val="auto"/>
                <w:vertAlign w:val="superscript"/>
              </w:rPr>
              <w:t>A</w:t>
            </w:r>
          </w:p>
        </w:tc>
        <w:tc>
          <w:tcPr>
            <w:tcW w:w="5660" w:type="dxa"/>
            <w:vAlign w:val="bottom"/>
            <w:tcBorders>
              <w:bottom w:val="single" w:sz="8" w:color="C0C0C0"/>
              <w:right w:val="single" w:sz="8" w:color="C0C0C0"/>
            </w:tcBorders>
          </w:tcPr>
          <w:p>
            <w:pPr>
              <w:ind w:left="20"/>
              <w:spacing w:after="0" w:line="255" w:lineRule="exact"/>
              <w:rPr>
                <w:sz w:val="20"/>
                <w:szCs w:val="20"/>
                <w:color w:val="auto"/>
              </w:rPr>
            </w:pPr>
            <w:r>
              <w:rPr>
                <w:rFonts w:ascii="Arial" w:cs="Arial" w:eastAsia="Arial" w:hAnsi="Arial"/>
                <w:sz w:val="18"/>
                <w:szCs w:val="18"/>
                <w:color w:val="auto"/>
              </w:rPr>
              <w:t xml:space="preserve">[$XXX.XX] </w:t>
            </w:r>
            <w:r>
              <w:rPr>
                <w:rFonts w:ascii="Arial" w:cs="Arial" w:eastAsia="Arial" w:hAnsi="Arial"/>
                <w:sz w:val="23"/>
                <w:szCs w:val="23"/>
                <w:color w:val="auto"/>
                <w:vertAlign w:val="superscript"/>
              </w:rPr>
              <w:t>A</w:t>
            </w:r>
          </w:p>
        </w:tc>
      </w:tr>
      <w:tr>
        <w:trPr>
          <w:trHeight w:val="243"/>
        </w:trPr>
        <w:tc>
          <w:tcPr>
            <w:tcW w:w="4840" w:type="dxa"/>
            <w:vAlign w:val="bottom"/>
            <w:tcBorders>
              <w:left w:val="single" w:sz="8" w:color="C0C0C0"/>
              <w:bottom w:val="single" w:sz="8" w:color="C0C0C0"/>
              <w:right w:val="single" w:sz="8" w:color="C0C0C0"/>
            </w:tcBorders>
          </w:tcPr>
          <w:p>
            <w:pPr>
              <w:spacing w:after="0"/>
              <w:rPr>
                <w:sz w:val="21"/>
                <w:szCs w:val="21"/>
                <w:color w:val="auto"/>
              </w:rPr>
            </w:pPr>
          </w:p>
        </w:tc>
        <w:tc>
          <w:tcPr>
            <w:tcW w:w="5660" w:type="dxa"/>
            <w:vAlign w:val="bottom"/>
            <w:tcBorders>
              <w:bottom w:val="single" w:sz="8" w:color="C0C0C0"/>
              <w:right w:val="single" w:sz="8" w:color="C0C0C0"/>
            </w:tcBorders>
          </w:tcPr>
          <w:p>
            <w:pPr>
              <w:spacing w:after="0"/>
              <w:rPr>
                <w:sz w:val="21"/>
                <w:szCs w:val="21"/>
                <w:color w:val="auto"/>
              </w:rPr>
            </w:pPr>
          </w:p>
        </w:tc>
      </w:tr>
      <w:tr>
        <w:trPr>
          <w:trHeight w:val="255"/>
        </w:trPr>
        <w:tc>
          <w:tcPr>
            <w:tcW w:w="4840" w:type="dxa"/>
            <w:vAlign w:val="bottom"/>
            <w:tcBorders>
              <w:left w:val="single" w:sz="8" w:color="C0C0C0"/>
              <w:bottom w:val="single" w:sz="8" w:color="C0C0C0"/>
              <w:right w:val="single" w:sz="8" w:color="C0C0C0"/>
            </w:tcBorders>
          </w:tcPr>
          <w:p>
            <w:pPr>
              <w:ind w:left="40"/>
              <w:spacing w:after="0" w:line="255" w:lineRule="exact"/>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Disability Temporary Amount:</w:t>
            </w:r>
            <w:r>
              <w:rPr>
                <w:rFonts w:ascii="Arial" w:cs="Arial" w:eastAsia="Arial" w:hAnsi="Arial"/>
                <w:sz w:val="18"/>
                <w:szCs w:val="18"/>
                <w:color w:val="auto"/>
              </w:rPr>
              <w:t xml:space="preserve">] </w:t>
            </w:r>
            <w:r>
              <w:rPr>
                <w:rFonts w:ascii="Arial" w:cs="Arial" w:eastAsia="Arial" w:hAnsi="Arial"/>
                <w:sz w:val="23"/>
                <w:szCs w:val="23"/>
                <w:color w:val="auto"/>
                <w:vertAlign w:val="superscript"/>
              </w:rPr>
              <w:t>A</w:t>
            </w:r>
          </w:p>
        </w:tc>
        <w:tc>
          <w:tcPr>
            <w:tcW w:w="5660" w:type="dxa"/>
            <w:vAlign w:val="bottom"/>
            <w:tcBorders>
              <w:bottom w:val="single" w:sz="8" w:color="C0C0C0"/>
              <w:right w:val="single" w:sz="8" w:color="C0C0C0"/>
            </w:tcBorders>
          </w:tcPr>
          <w:p>
            <w:pPr>
              <w:ind w:left="20"/>
              <w:spacing w:after="0" w:line="255" w:lineRule="exact"/>
              <w:rPr>
                <w:sz w:val="20"/>
                <w:szCs w:val="20"/>
                <w:color w:val="auto"/>
              </w:rPr>
            </w:pPr>
            <w:r>
              <w:rPr>
                <w:rFonts w:ascii="Arial" w:cs="Arial" w:eastAsia="Arial" w:hAnsi="Arial"/>
                <w:sz w:val="18"/>
                <w:szCs w:val="18"/>
                <w:color w:val="auto"/>
              </w:rPr>
              <w:t xml:space="preserve">[$XXX.XX] </w:t>
            </w:r>
            <w:r>
              <w:rPr>
                <w:rFonts w:ascii="Arial" w:cs="Arial" w:eastAsia="Arial" w:hAnsi="Arial"/>
                <w:sz w:val="23"/>
                <w:szCs w:val="23"/>
                <w:color w:val="auto"/>
                <w:vertAlign w:val="superscript"/>
              </w:rPr>
              <w:t>A</w:t>
            </w:r>
          </w:p>
        </w:tc>
      </w:tr>
      <w:tr>
        <w:trPr>
          <w:trHeight w:val="243"/>
        </w:trPr>
        <w:tc>
          <w:tcPr>
            <w:tcW w:w="4840" w:type="dxa"/>
            <w:vAlign w:val="bottom"/>
            <w:tcBorders>
              <w:left w:val="single" w:sz="8" w:color="C0C0C0"/>
              <w:bottom w:val="single" w:sz="8" w:color="C0C0C0"/>
              <w:right w:val="single" w:sz="8" w:color="C0C0C0"/>
            </w:tcBorders>
          </w:tcPr>
          <w:p>
            <w:pPr>
              <w:spacing w:after="0"/>
              <w:rPr>
                <w:sz w:val="21"/>
                <w:szCs w:val="21"/>
                <w:color w:val="auto"/>
              </w:rPr>
            </w:pPr>
          </w:p>
        </w:tc>
        <w:tc>
          <w:tcPr>
            <w:tcW w:w="5660" w:type="dxa"/>
            <w:vAlign w:val="bottom"/>
            <w:tcBorders>
              <w:bottom w:val="single" w:sz="8" w:color="C0C0C0"/>
              <w:right w:val="single" w:sz="8" w:color="C0C0C0"/>
            </w:tcBorders>
          </w:tcPr>
          <w:p>
            <w:pPr>
              <w:spacing w:after="0"/>
              <w:rPr>
                <w:sz w:val="21"/>
                <w:szCs w:val="21"/>
                <w:color w:val="auto"/>
              </w:rPr>
            </w:pPr>
          </w:p>
        </w:tc>
      </w:tr>
      <w:tr>
        <w:trPr>
          <w:trHeight w:val="280"/>
        </w:trPr>
        <w:tc>
          <w:tcPr>
            <w:tcW w:w="4840" w:type="dxa"/>
            <w:vAlign w:val="bottom"/>
            <w:tcBorders>
              <w:left w:val="single" w:sz="8" w:color="C0C0C0"/>
              <w:bottom w:val="single" w:sz="8" w:color="C0C0C0"/>
              <w:right w:val="single" w:sz="8" w:color="C0C0C0"/>
            </w:tcBorders>
          </w:tcPr>
          <w:p>
            <w:pPr>
              <w:ind w:left="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Disability Age 55 Pre 62+1 Pension Amount</w:t>
            </w:r>
            <w:r>
              <w:rPr>
                <w:rFonts w:ascii="Arial" w:cs="Arial" w:eastAsia="Arial" w:hAnsi="Arial"/>
                <w:sz w:val="18"/>
                <w:szCs w:val="18"/>
                <w:color w:val="auto"/>
              </w:rPr>
              <w:t xml:space="preserve">] </w:t>
            </w:r>
            <w:r>
              <w:rPr>
                <w:rFonts w:ascii="Arial" w:cs="Arial" w:eastAsia="Arial" w:hAnsi="Arial"/>
                <w:sz w:val="23"/>
                <w:szCs w:val="23"/>
                <w:color w:val="auto"/>
                <w:vertAlign w:val="superscript"/>
              </w:rPr>
              <w:t>A</w:t>
            </w:r>
          </w:p>
        </w:tc>
        <w:tc>
          <w:tcPr>
            <w:tcW w:w="5660" w:type="dxa"/>
            <w:vAlign w:val="bottom"/>
            <w:tcBorders>
              <w:bottom w:val="single" w:sz="8" w:color="C0C0C0"/>
              <w:right w:val="single" w:sz="8" w:color="C0C0C0"/>
            </w:tcBorders>
          </w:tcPr>
          <w:p>
            <w:pPr>
              <w:ind w:left="20"/>
              <w:spacing w:after="0"/>
              <w:rPr>
                <w:sz w:val="20"/>
                <w:szCs w:val="20"/>
                <w:color w:val="auto"/>
              </w:rPr>
            </w:pPr>
            <w:r>
              <w:rPr>
                <w:rFonts w:ascii="Arial" w:cs="Arial" w:eastAsia="Arial" w:hAnsi="Arial"/>
                <w:sz w:val="18"/>
                <w:szCs w:val="18"/>
                <w:color w:val="auto"/>
              </w:rPr>
              <w:t xml:space="preserve">[$XXX.XX subject to stated limitations] </w:t>
            </w:r>
            <w:r>
              <w:rPr>
                <w:rFonts w:ascii="Arial" w:cs="Arial" w:eastAsia="Arial" w:hAnsi="Arial"/>
                <w:sz w:val="23"/>
                <w:szCs w:val="23"/>
                <w:color w:val="auto"/>
                <w:vertAlign w:val="superscript"/>
              </w:rPr>
              <w:t>A</w:t>
            </w:r>
          </w:p>
        </w:tc>
      </w:tr>
      <w:tr>
        <w:trPr>
          <w:trHeight w:val="243"/>
        </w:trPr>
        <w:tc>
          <w:tcPr>
            <w:tcW w:w="4840" w:type="dxa"/>
            <w:vAlign w:val="bottom"/>
            <w:tcBorders>
              <w:left w:val="single" w:sz="8" w:color="C0C0C0"/>
              <w:bottom w:val="single" w:sz="8" w:color="C0C0C0"/>
              <w:right w:val="single" w:sz="8" w:color="C0C0C0"/>
            </w:tcBorders>
          </w:tcPr>
          <w:p>
            <w:pPr>
              <w:spacing w:after="0"/>
              <w:rPr>
                <w:sz w:val="21"/>
                <w:szCs w:val="21"/>
                <w:color w:val="auto"/>
              </w:rPr>
            </w:pPr>
          </w:p>
        </w:tc>
        <w:tc>
          <w:tcPr>
            <w:tcW w:w="5660" w:type="dxa"/>
            <w:vAlign w:val="bottom"/>
            <w:tcBorders>
              <w:bottom w:val="single" w:sz="8" w:color="C0C0C0"/>
              <w:right w:val="single" w:sz="8" w:color="C0C0C0"/>
            </w:tcBorders>
          </w:tcPr>
          <w:p>
            <w:pPr>
              <w:spacing w:after="0"/>
              <w:rPr>
                <w:sz w:val="21"/>
                <w:szCs w:val="21"/>
                <w:color w:val="auto"/>
              </w:rPr>
            </w:pPr>
          </w:p>
        </w:tc>
      </w:tr>
      <w:tr>
        <w:trPr>
          <w:trHeight w:val="255"/>
        </w:trPr>
        <w:tc>
          <w:tcPr>
            <w:tcW w:w="4840" w:type="dxa"/>
            <w:vAlign w:val="bottom"/>
            <w:tcBorders>
              <w:left w:val="single" w:sz="8" w:color="C0C0C0"/>
              <w:bottom w:val="single" w:sz="8" w:color="C0C0C0"/>
              <w:right w:val="single" w:sz="8" w:color="C0C0C0"/>
            </w:tcBorders>
          </w:tcPr>
          <w:p>
            <w:pPr>
              <w:ind w:left="40"/>
              <w:spacing w:after="0" w:line="255" w:lineRule="exact"/>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Disability Age 55 Post 62+1 Pension Amount</w:t>
            </w:r>
            <w:r>
              <w:rPr>
                <w:rFonts w:ascii="Arial" w:cs="Arial" w:eastAsia="Arial" w:hAnsi="Arial"/>
                <w:sz w:val="18"/>
                <w:szCs w:val="18"/>
                <w:color w:val="auto"/>
              </w:rPr>
              <w:t xml:space="preserve">] </w:t>
            </w:r>
            <w:r>
              <w:rPr>
                <w:rFonts w:ascii="Arial" w:cs="Arial" w:eastAsia="Arial" w:hAnsi="Arial"/>
                <w:sz w:val="23"/>
                <w:szCs w:val="23"/>
                <w:color w:val="auto"/>
                <w:vertAlign w:val="superscript"/>
              </w:rPr>
              <w:t>A</w:t>
            </w:r>
          </w:p>
        </w:tc>
        <w:tc>
          <w:tcPr>
            <w:tcW w:w="5660" w:type="dxa"/>
            <w:vAlign w:val="bottom"/>
            <w:tcBorders>
              <w:bottom w:val="single" w:sz="8" w:color="C0C0C0"/>
              <w:right w:val="single" w:sz="8" w:color="C0C0C0"/>
            </w:tcBorders>
          </w:tcPr>
          <w:p>
            <w:pPr>
              <w:ind w:left="20"/>
              <w:spacing w:after="0" w:line="255" w:lineRule="exact"/>
              <w:rPr>
                <w:sz w:val="20"/>
                <w:szCs w:val="20"/>
                <w:color w:val="auto"/>
              </w:rPr>
            </w:pPr>
            <w:r>
              <w:rPr>
                <w:rFonts w:ascii="Arial" w:cs="Arial" w:eastAsia="Arial" w:hAnsi="Arial"/>
                <w:sz w:val="18"/>
                <w:szCs w:val="18"/>
                <w:color w:val="auto"/>
              </w:rPr>
              <w:t xml:space="preserve">[$XXX.XX subject to stated limitations] </w:t>
            </w:r>
            <w:r>
              <w:rPr>
                <w:rFonts w:ascii="Arial" w:cs="Arial" w:eastAsia="Arial" w:hAnsi="Arial"/>
                <w:sz w:val="23"/>
                <w:szCs w:val="23"/>
                <w:color w:val="auto"/>
                <w:vertAlign w:val="superscript"/>
              </w:rPr>
              <w:t>A</w:t>
            </w:r>
          </w:p>
        </w:tc>
      </w:tr>
      <w:tr>
        <w:trPr>
          <w:trHeight w:val="243"/>
        </w:trPr>
        <w:tc>
          <w:tcPr>
            <w:tcW w:w="4840" w:type="dxa"/>
            <w:vAlign w:val="bottom"/>
            <w:tcBorders>
              <w:left w:val="single" w:sz="8" w:color="C0C0C0"/>
              <w:bottom w:val="single" w:sz="8" w:color="C0C0C0"/>
              <w:right w:val="single" w:sz="8" w:color="C0C0C0"/>
            </w:tcBorders>
          </w:tcPr>
          <w:p>
            <w:pPr>
              <w:spacing w:after="0"/>
              <w:rPr>
                <w:sz w:val="21"/>
                <w:szCs w:val="21"/>
                <w:color w:val="auto"/>
              </w:rPr>
            </w:pPr>
          </w:p>
        </w:tc>
        <w:tc>
          <w:tcPr>
            <w:tcW w:w="5660" w:type="dxa"/>
            <w:vAlign w:val="bottom"/>
            <w:tcBorders>
              <w:bottom w:val="single" w:sz="8" w:color="C0C0C0"/>
              <w:right w:val="single" w:sz="8" w:color="C0C0C0"/>
            </w:tcBorders>
          </w:tcPr>
          <w:p>
            <w:pPr>
              <w:spacing w:after="0"/>
              <w:rPr>
                <w:sz w:val="21"/>
                <w:szCs w:val="21"/>
                <w:color w:val="auto"/>
              </w:rPr>
            </w:pPr>
          </w:p>
        </w:tc>
      </w:tr>
      <w:tr>
        <w:trPr>
          <w:trHeight w:val="255"/>
        </w:trPr>
        <w:tc>
          <w:tcPr>
            <w:tcW w:w="4840" w:type="dxa"/>
            <w:vAlign w:val="bottom"/>
            <w:tcBorders>
              <w:left w:val="single" w:sz="8" w:color="C0C0C0"/>
              <w:bottom w:val="single" w:sz="8" w:color="C0C0C0"/>
              <w:right w:val="single" w:sz="8" w:color="C0C0C0"/>
            </w:tcBorders>
          </w:tcPr>
          <w:p>
            <w:pPr>
              <w:ind w:left="40"/>
              <w:spacing w:after="0" w:line="255" w:lineRule="exact"/>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Special Benefit Amount</w:t>
            </w:r>
            <w:r>
              <w:rPr>
                <w:rFonts w:ascii="Arial" w:cs="Arial" w:eastAsia="Arial" w:hAnsi="Arial"/>
                <w:sz w:val="18"/>
                <w:szCs w:val="18"/>
                <w:color w:val="auto"/>
              </w:rPr>
              <w:t xml:space="preserve">] </w:t>
            </w:r>
            <w:r>
              <w:rPr>
                <w:rFonts w:ascii="Arial" w:cs="Arial" w:eastAsia="Arial" w:hAnsi="Arial"/>
                <w:sz w:val="23"/>
                <w:szCs w:val="23"/>
                <w:color w:val="auto"/>
                <w:vertAlign w:val="superscript"/>
              </w:rPr>
              <w:t>A</w:t>
            </w:r>
          </w:p>
        </w:tc>
        <w:tc>
          <w:tcPr>
            <w:tcW w:w="5660" w:type="dxa"/>
            <w:vAlign w:val="bottom"/>
            <w:tcBorders>
              <w:bottom w:val="single" w:sz="8" w:color="C0C0C0"/>
              <w:right w:val="single" w:sz="8" w:color="C0C0C0"/>
            </w:tcBorders>
          </w:tcPr>
          <w:p>
            <w:pPr>
              <w:ind w:left="20"/>
              <w:spacing w:after="0" w:line="255" w:lineRule="exact"/>
              <w:rPr>
                <w:sz w:val="20"/>
                <w:szCs w:val="20"/>
                <w:color w:val="auto"/>
              </w:rPr>
            </w:pPr>
            <w:r>
              <w:rPr>
                <w:rFonts w:ascii="Arial" w:cs="Arial" w:eastAsia="Arial" w:hAnsi="Arial"/>
                <w:sz w:val="18"/>
                <w:szCs w:val="18"/>
                <w:color w:val="auto"/>
              </w:rPr>
              <w:t xml:space="preserve">[$XXX.XX] </w:t>
            </w:r>
            <w:r>
              <w:rPr>
                <w:rFonts w:ascii="Arial" w:cs="Arial" w:eastAsia="Arial" w:hAnsi="Arial"/>
                <w:sz w:val="23"/>
                <w:szCs w:val="23"/>
                <w:color w:val="auto"/>
                <w:vertAlign w:val="superscript"/>
              </w:rPr>
              <w:t>A</w:t>
            </w:r>
          </w:p>
        </w:tc>
      </w:tr>
      <w:tr>
        <w:trPr>
          <w:trHeight w:val="243"/>
        </w:trPr>
        <w:tc>
          <w:tcPr>
            <w:tcW w:w="4840" w:type="dxa"/>
            <w:vAlign w:val="bottom"/>
            <w:tcBorders>
              <w:left w:val="single" w:sz="8" w:color="C0C0C0"/>
              <w:bottom w:val="single" w:sz="8" w:color="C0C0C0"/>
              <w:right w:val="single" w:sz="8" w:color="C0C0C0"/>
            </w:tcBorders>
          </w:tcPr>
          <w:p>
            <w:pPr>
              <w:spacing w:after="0"/>
              <w:rPr>
                <w:sz w:val="21"/>
                <w:szCs w:val="21"/>
                <w:color w:val="auto"/>
              </w:rPr>
            </w:pPr>
          </w:p>
        </w:tc>
        <w:tc>
          <w:tcPr>
            <w:tcW w:w="5660" w:type="dxa"/>
            <w:vAlign w:val="bottom"/>
            <w:tcBorders>
              <w:bottom w:val="single" w:sz="8" w:color="C0C0C0"/>
              <w:right w:val="single" w:sz="8" w:color="C0C0C0"/>
            </w:tcBorders>
          </w:tcPr>
          <w:p>
            <w:pPr>
              <w:spacing w:after="0"/>
              <w:rPr>
                <w:sz w:val="21"/>
                <w:szCs w:val="21"/>
                <w:color w:val="auto"/>
              </w:rPr>
            </w:pPr>
          </w:p>
        </w:tc>
      </w:tr>
      <w:tr>
        <w:trPr>
          <w:trHeight w:val="255"/>
        </w:trPr>
        <w:tc>
          <w:tcPr>
            <w:tcW w:w="4840" w:type="dxa"/>
            <w:vAlign w:val="bottom"/>
            <w:tcBorders>
              <w:left w:val="single" w:sz="8" w:color="C0C0C0"/>
              <w:bottom w:val="single" w:sz="8" w:color="C0C0C0"/>
              <w:right w:val="single" w:sz="8" w:color="C0C0C0"/>
            </w:tcBorders>
          </w:tcPr>
          <w:p>
            <w:pPr>
              <w:ind w:left="40"/>
              <w:spacing w:after="0" w:line="255" w:lineRule="exact"/>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Level Benefit Amount</w:t>
            </w:r>
            <w:r>
              <w:rPr>
                <w:rFonts w:ascii="Arial" w:cs="Arial" w:eastAsia="Arial" w:hAnsi="Arial"/>
                <w:sz w:val="18"/>
                <w:szCs w:val="18"/>
                <w:color w:val="auto"/>
              </w:rPr>
              <w:t xml:space="preserve">] </w:t>
            </w:r>
            <w:r>
              <w:rPr>
                <w:rFonts w:ascii="Arial" w:cs="Arial" w:eastAsia="Arial" w:hAnsi="Arial"/>
                <w:sz w:val="23"/>
                <w:szCs w:val="23"/>
                <w:color w:val="auto"/>
                <w:vertAlign w:val="superscript"/>
              </w:rPr>
              <w:t>A</w:t>
            </w:r>
          </w:p>
        </w:tc>
        <w:tc>
          <w:tcPr>
            <w:tcW w:w="5660" w:type="dxa"/>
            <w:vAlign w:val="bottom"/>
            <w:tcBorders>
              <w:bottom w:val="single" w:sz="8" w:color="C0C0C0"/>
              <w:right w:val="single" w:sz="8" w:color="C0C0C0"/>
            </w:tcBorders>
          </w:tcPr>
          <w:p>
            <w:pPr>
              <w:ind w:left="20"/>
              <w:spacing w:after="0" w:line="255" w:lineRule="exact"/>
              <w:rPr>
                <w:sz w:val="20"/>
                <w:szCs w:val="20"/>
                <w:color w:val="auto"/>
              </w:rPr>
            </w:pPr>
            <w:r>
              <w:rPr>
                <w:rFonts w:ascii="Arial" w:cs="Arial" w:eastAsia="Arial" w:hAnsi="Arial"/>
                <w:sz w:val="18"/>
                <w:szCs w:val="18"/>
                <w:color w:val="auto"/>
              </w:rPr>
              <w:t xml:space="preserve">[$XXX.XX subject to stated limitations] </w:t>
            </w:r>
            <w:r>
              <w:rPr>
                <w:rFonts w:ascii="Arial" w:cs="Arial" w:eastAsia="Arial" w:hAnsi="Arial"/>
                <w:sz w:val="23"/>
                <w:szCs w:val="23"/>
                <w:color w:val="auto"/>
                <w:vertAlign w:val="superscript"/>
              </w:rPr>
              <w:t>A</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benefits of the policy providing your coverage are governed primarily by the law of a state other than Florida.]</w:t>
      </w:r>
      <w:r>
        <w:rPr>
          <w:rFonts w:ascii="Arial" w:cs="Arial" w:eastAsia="Arial" w:hAnsi="Arial"/>
          <w:sz w:val="26"/>
          <w:szCs w:val="26"/>
          <w:b w:val="1"/>
          <w:bCs w:val="1"/>
          <w:color w:val="auto"/>
          <w:vertAlign w:val="superscript"/>
        </w:rPr>
        <w:t>B</w:t>
      </w:r>
    </w:p>
    <w:p>
      <w:pPr>
        <w:spacing w:after="0" w:line="200" w:lineRule="exact"/>
        <w:rPr>
          <w:sz w:val="20"/>
          <w:szCs w:val="20"/>
          <w:color w:val="auto"/>
        </w:rPr>
      </w:pPr>
    </w:p>
    <w:p>
      <w:pPr>
        <w:spacing w:after="0" w:line="376"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Appendix 1.3 - 11</w:t>
      </w:r>
    </w:p>
    <w:p>
      <w:pPr>
        <w:sectPr>
          <w:pgSz w:w="11900" w:h="16838" w:orient="portrait"/>
          <w:cols w:equalWidth="0" w:num="1">
            <w:col w:w="10960"/>
          </w:cols>
          <w:pgMar w:left="240" w:top="670" w:right="699" w:bottom="1440" w:gutter="0" w:footer="0" w:header="0"/>
        </w:sectPr>
      </w:pPr>
    </w:p>
    <w:bookmarkStart w:id="125" w:name="page126"/>
    <w:bookmarkEnd w:id="125"/>
    <w:p>
      <w:pPr>
        <w:jc w:val="center"/>
        <w:spacing w:after="0"/>
        <w:rPr>
          <w:sz w:val="20"/>
          <w:szCs w:val="20"/>
          <w:color w:val="auto"/>
        </w:rPr>
      </w:pPr>
      <w:r>
        <w:rPr>
          <w:rFonts w:ascii="Arial" w:cs="Arial" w:eastAsia="Arial" w:hAnsi="Arial"/>
          <w:sz w:val="17"/>
          <w:szCs w:val="17"/>
          <w:b w:val="1"/>
          <w:bCs w:val="1"/>
          <w:color w:val="auto"/>
        </w:rPr>
        <w:t>Prudential's Guarantee:</w:t>
      </w:r>
    </w:p>
    <w:p>
      <w:pPr>
        <w:spacing w:after="0" w:line="205" w:lineRule="exact"/>
        <w:rPr>
          <w:sz w:val="20"/>
          <w:szCs w:val="20"/>
          <w:color w:val="auto"/>
        </w:rPr>
      </w:pPr>
    </w:p>
    <w:p>
      <w:pPr>
        <w:ind w:right="100"/>
        <w:spacing w:after="0" w:line="258" w:lineRule="auto"/>
        <w:rPr>
          <w:sz w:val="20"/>
          <w:szCs w:val="20"/>
          <w:color w:val="auto"/>
        </w:rPr>
      </w:pPr>
      <w:r>
        <w:rPr>
          <w:rFonts w:ascii="Arial" w:cs="Arial" w:eastAsia="Arial" w:hAnsi="Arial"/>
          <w:sz w:val="17"/>
          <w:szCs w:val="17"/>
          <w:color w:val="auto"/>
        </w:rPr>
        <w:t>This Certificate describes the monthly payments irrevocably guaranteed to you by The Prudential Insurance Company of America ("</w:t>
      </w:r>
      <w:r>
        <w:rPr>
          <w:rFonts w:ascii="Arial" w:cs="Arial" w:eastAsia="Arial" w:hAnsi="Arial"/>
          <w:sz w:val="17"/>
          <w:szCs w:val="17"/>
          <w:b w:val="1"/>
          <w:bCs w:val="1"/>
          <w:color w:val="auto"/>
        </w:rPr>
        <w:t>Prudential</w:t>
      </w:r>
      <w:r>
        <w:rPr>
          <w:rFonts w:ascii="Arial" w:cs="Arial" w:eastAsia="Arial" w:hAnsi="Arial"/>
          <w:sz w:val="17"/>
          <w:szCs w:val="17"/>
          <w:color w:val="auto"/>
        </w:rPr>
        <w:t>") under the Group Annuity Contract referred to above (the "</w:t>
      </w:r>
      <w:r>
        <w:rPr>
          <w:rFonts w:ascii="Arial" w:cs="Arial" w:eastAsia="Arial" w:hAnsi="Arial"/>
          <w:sz w:val="17"/>
          <w:szCs w:val="17"/>
          <w:b w:val="1"/>
          <w:bCs w:val="1"/>
          <w:color w:val="auto"/>
        </w:rPr>
        <w:t>Contract</w:t>
      </w:r>
      <w:r>
        <w:rPr>
          <w:rFonts w:ascii="Arial" w:cs="Arial" w:eastAsia="Arial" w:hAnsi="Arial"/>
          <w:sz w:val="17"/>
          <w:szCs w:val="17"/>
          <w:color w:val="auto"/>
        </w:rPr>
        <w:t xml:space="preserve">"). Prudential will make the payments owed by it under the Contract when those payments are due. We do not owe any payments to anyone under this Annuity Form if you have died before the </w:t>
      </w:r>
      <w:r>
        <w:rPr>
          <w:rFonts w:ascii="Arial" w:cs="Arial" w:eastAsia="Arial" w:hAnsi="Arial"/>
          <w:sz w:val="17"/>
          <w:szCs w:val="17"/>
          <w:i w:val="1"/>
          <w:iCs w:val="1"/>
          <w:color w:val="auto"/>
        </w:rPr>
        <w:t>Annuity Commencement Date</w:t>
      </w:r>
      <w:r>
        <w:rPr>
          <w:rFonts w:ascii="Arial" w:cs="Arial" w:eastAsia="Arial" w:hAnsi="Arial"/>
          <w:sz w:val="17"/>
          <w:szCs w:val="17"/>
          <w:color w:val="auto"/>
        </w:rPr>
        <w: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Definitions &amp; References:</w:t>
      </w:r>
    </w:p>
    <w:p>
      <w:pPr>
        <w:spacing w:after="0" w:line="205"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Capitalized terms in this Certificate, which are in italics, are defined on the front of this Certificate. Those in bold are defined in other parts of this Certificate. “</w:t>
      </w:r>
      <w:r>
        <w:rPr>
          <w:rFonts w:ascii="Arial" w:cs="Arial" w:eastAsia="Arial" w:hAnsi="Arial"/>
          <w:sz w:val="17"/>
          <w:szCs w:val="17"/>
          <w:b w:val="1"/>
          <w:bCs w:val="1"/>
          <w:color w:val="auto"/>
        </w:rPr>
        <w:t>You</w:t>
      </w:r>
      <w:r>
        <w:rPr>
          <w:rFonts w:ascii="Arial" w:cs="Arial" w:eastAsia="Arial" w:hAnsi="Arial"/>
          <w:sz w:val="17"/>
          <w:szCs w:val="17"/>
          <w:color w:val="auto"/>
        </w:rPr>
        <w:t>” and “</w:t>
      </w:r>
      <w:r>
        <w:rPr>
          <w:rFonts w:ascii="Arial" w:cs="Arial" w:eastAsia="Arial" w:hAnsi="Arial"/>
          <w:sz w:val="17"/>
          <w:szCs w:val="17"/>
          <w:b w:val="1"/>
          <w:bCs w:val="1"/>
          <w:color w:val="auto"/>
        </w:rPr>
        <w:t>your</w:t>
      </w:r>
      <w:r>
        <w:rPr>
          <w:rFonts w:ascii="Arial" w:cs="Arial" w:eastAsia="Arial" w:hAnsi="Arial"/>
          <w:sz w:val="17"/>
          <w:szCs w:val="17"/>
          <w:color w:val="auto"/>
        </w:rPr>
        <w:t xml:space="preserve">” means the </w:t>
      </w:r>
      <w:r>
        <w:rPr>
          <w:rFonts w:ascii="Arial" w:cs="Arial" w:eastAsia="Arial" w:hAnsi="Arial"/>
          <w:sz w:val="17"/>
          <w:szCs w:val="17"/>
          <w:i w:val="1"/>
          <w:iCs w:val="1"/>
          <w:color w:val="auto"/>
        </w:rPr>
        <w:t>"Covered Life."</w:t>
      </w:r>
      <w:r>
        <w:rPr>
          <w:rFonts w:ascii="Arial" w:cs="Arial" w:eastAsia="Arial" w:hAnsi="Arial"/>
          <w:sz w:val="17"/>
          <w:szCs w:val="17"/>
          <w:color w:val="auto"/>
        </w:rPr>
        <w:t xml:space="preserve"> "</w:t>
      </w:r>
      <w:r>
        <w:rPr>
          <w:rFonts w:ascii="Arial" w:cs="Arial" w:eastAsia="Arial" w:hAnsi="Arial"/>
          <w:sz w:val="17"/>
          <w:szCs w:val="17"/>
          <w:b w:val="1"/>
          <w:bCs w:val="1"/>
          <w:color w:val="auto"/>
        </w:rPr>
        <w:t>We</w:t>
      </w:r>
      <w:r>
        <w:rPr>
          <w:rFonts w:ascii="Arial" w:cs="Arial" w:eastAsia="Arial" w:hAnsi="Arial"/>
          <w:sz w:val="17"/>
          <w:szCs w:val="17"/>
          <w:color w:val="auto"/>
        </w:rPr>
        <w:t>," "</w:t>
      </w:r>
      <w:r>
        <w:rPr>
          <w:rFonts w:ascii="Arial" w:cs="Arial" w:eastAsia="Arial" w:hAnsi="Arial"/>
          <w:sz w:val="17"/>
          <w:szCs w:val="17"/>
          <w:b w:val="1"/>
          <w:bCs w:val="1"/>
          <w:color w:val="auto"/>
        </w:rPr>
        <w:t>us</w:t>
      </w:r>
      <w:r>
        <w:rPr>
          <w:rFonts w:ascii="Arial" w:cs="Arial" w:eastAsia="Arial" w:hAnsi="Arial"/>
          <w:sz w:val="17"/>
          <w:szCs w:val="17"/>
          <w:color w:val="auto"/>
        </w:rPr>
        <w:t>" and "</w:t>
      </w:r>
      <w:r>
        <w:rPr>
          <w:rFonts w:ascii="Arial" w:cs="Arial" w:eastAsia="Arial" w:hAnsi="Arial"/>
          <w:sz w:val="17"/>
          <w:szCs w:val="17"/>
          <w:b w:val="1"/>
          <w:bCs w:val="1"/>
          <w:color w:val="auto"/>
        </w:rPr>
        <w:t>our</w:t>
      </w:r>
      <w:r>
        <w:rPr>
          <w:rFonts w:ascii="Arial" w:cs="Arial" w:eastAsia="Arial" w:hAnsi="Arial"/>
          <w:sz w:val="17"/>
          <w:szCs w:val="17"/>
          <w:color w:val="auto"/>
        </w:rPr>
        <w:t>" means Prudential. "</w:t>
      </w:r>
      <w:r>
        <w:rPr>
          <w:rFonts w:ascii="Arial" w:cs="Arial" w:eastAsia="Arial" w:hAnsi="Arial"/>
          <w:sz w:val="17"/>
          <w:szCs w:val="17"/>
          <w:b w:val="1"/>
          <w:bCs w:val="1"/>
          <w:color w:val="auto"/>
        </w:rPr>
        <w:t>Payee</w:t>
      </w:r>
      <w:r>
        <w:rPr>
          <w:rFonts w:ascii="Arial" w:cs="Arial" w:eastAsia="Arial" w:hAnsi="Arial"/>
          <w:sz w:val="17"/>
          <w:szCs w:val="17"/>
          <w:color w:val="auto"/>
        </w:rPr>
        <w:t xml:space="preserve">" means the </w:t>
      </w:r>
      <w:r>
        <w:rPr>
          <w:rFonts w:ascii="Arial" w:cs="Arial" w:eastAsia="Arial" w:hAnsi="Arial"/>
          <w:sz w:val="17"/>
          <w:szCs w:val="17"/>
          <w:i w:val="1"/>
          <w:iCs w:val="1"/>
          <w:color w:val="auto"/>
        </w:rPr>
        <w:t>Covered Life</w:t>
      </w:r>
      <w:r>
        <w:rPr>
          <w:rFonts w:ascii="Arial" w:cs="Arial" w:eastAsia="Arial" w:hAnsi="Arial"/>
          <w:sz w:val="17"/>
          <w:szCs w:val="17"/>
          <w:color w:val="auto"/>
        </w:rPr>
        <w:t xml:space="preserve"> and anyone else with an existing or future right to receive payments under this Annuity, but no Payee (other than the </w:t>
      </w:r>
      <w:r>
        <w:rPr>
          <w:rFonts w:ascii="Arial" w:cs="Arial" w:eastAsia="Arial" w:hAnsi="Arial"/>
          <w:sz w:val="17"/>
          <w:szCs w:val="17"/>
          <w:i w:val="1"/>
          <w:iCs w:val="1"/>
          <w:color w:val="auto"/>
        </w:rPr>
        <w:t>Covered Life</w:t>
      </w:r>
      <w:r>
        <w:rPr>
          <w:rFonts w:ascii="Arial" w:cs="Arial" w:eastAsia="Arial" w:hAnsi="Arial"/>
          <w:sz w:val="17"/>
          <w:szCs w:val="17"/>
          <w:color w:val="auto"/>
        </w:rPr>
        <w:t>) may make any changes or exercise any rights until the Payee has begun receiving payments. “</w:t>
      </w:r>
      <w:r>
        <w:rPr>
          <w:rFonts w:ascii="Arial" w:cs="Arial" w:eastAsia="Arial" w:hAnsi="Arial"/>
          <w:sz w:val="17"/>
          <w:szCs w:val="17"/>
          <w:b w:val="1"/>
          <w:bCs w:val="1"/>
          <w:color w:val="auto"/>
        </w:rPr>
        <w:t>Representative</w:t>
      </w:r>
      <w:r>
        <w:rPr>
          <w:rFonts w:ascii="Arial" w:cs="Arial" w:eastAsia="Arial" w:hAnsi="Arial"/>
          <w:sz w:val="17"/>
          <w:szCs w:val="17"/>
          <w:color w:val="auto"/>
        </w:rPr>
        <w:t>” means, with respect to a Payee, an individual or entity that has been duly appointed in accordance with the Contract to represent the Payee, such as a guardian.</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Payment Terms:</w:t>
      </w:r>
    </w:p>
    <w:p>
      <w:pPr>
        <w:spacing w:after="0" w:line="200" w:lineRule="exact"/>
        <w:rPr>
          <w:sz w:val="20"/>
          <w:szCs w:val="20"/>
          <w:color w:val="auto"/>
        </w:rPr>
      </w:pPr>
    </w:p>
    <w:p>
      <w:pPr>
        <w:spacing w:after="0" w:line="209" w:lineRule="exact"/>
        <w:rPr>
          <w:sz w:val="20"/>
          <w:szCs w:val="20"/>
          <w:color w:val="auto"/>
        </w:rPr>
      </w:pPr>
    </w:p>
    <w:p>
      <w:pPr>
        <w:ind w:right="120"/>
        <w:spacing w:after="0" w:line="256" w:lineRule="auto"/>
        <w:rPr>
          <w:sz w:val="20"/>
          <w:szCs w:val="20"/>
          <w:color w:val="auto"/>
        </w:rPr>
      </w:pPr>
      <w:r>
        <w:rPr>
          <w:rFonts w:ascii="Arial" w:cs="Arial" w:eastAsia="Arial" w:hAnsi="Arial"/>
          <w:sz w:val="17"/>
          <w:szCs w:val="17"/>
          <w:color w:val="auto"/>
        </w:rPr>
        <w:t>“Spousal Joint and Survivor Life Annuity,” is the Annuity Form having the payment terms specified in this Payment Terms section. Payments may also be made in accordance with any of the following Riders if specified in the Table of Information on the front of this Certificate. Those riders are also described below in this Payment Terms section.</w:t>
      </w:r>
    </w:p>
    <w:p>
      <w:pPr>
        <w:spacing w:after="0" w:line="176" w:lineRule="exact"/>
        <w:rPr>
          <w:sz w:val="20"/>
          <w:szCs w:val="20"/>
          <w:color w:val="auto"/>
        </w:rPr>
      </w:pPr>
    </w:p>
    <w:p>
      <w:pPr>
        <w:ind w:left="900"/>
        <w:spacing w:after="0"/>
        <w:rPr>
          <w:sz w:val="20"/>
          <w:szCs w:val="20"/>
          <w:color w:val="auto"/>
        </w:rPr>
      </w:pPr>
      <w:r>
        <w:rPr>
          <w:rFonts w:ascii="Arial" w:cs="Arial" w:eastAsia="Arial" w:hAnsi="Arial"/>
          <w:sz w:val="17"/>
          <w:szCs w:val="17"/>
          <w:color w:val="auto"/>
        </w:rPr>
        <w:t>Special Benefit Rider</w:t>
      </w:r>
    </w:p>
    <w:p>
      <w:pPr>
        <w:spacing w:after="0" w:line="17" w:lineRule="exact"/>
        <w:rPr>
          <w:sz w:val="20"/>
          <w:szCs w:val="20"/>
          <w:color w:val="auto"/>
        </w:rPr>
      </w:pPr>
    </w:p>
    <w:p>
      <w:pPr>
        <w:ind w:left="900"/>
        <w:spacing w:after="0"/>
        <w:rPr>
          <w:sz w:val="20"/>
          <w:szCs w:val="20"/>
          <w:color w:val="auto"/>
        </w:rPr>
      </w:pPr>
      <w:r>
        <w:rPr>
          <w:rFonts w:ascii="Arial" w:cs="Arial" w:eastAsia="Arial" w:hAnsi="Arial"/>
          <w:sz w:val="17"/>
          <w:szCs w:val="17"/>
          <w:color w:val="auto"/>
        </w:rPr>
        <w:t>Level Benefit Rider</w:t>
      </w:r>
    </w:p>
    <w:p>
      <w:pPr>
        <w:spacing w:after="0" w:line="5" w:lineRule="exact"/>
        <w:rPr>
          <w:sz w:val="20"/>
          <w:szCs w:val="20"/>
          <w:color w:val="auto"/>
        </w:rPr>
      </w:pPr>
    </w:p>
    <w:p>
      <w:pPr>
        <w:ind w:left="900"/>
        <w:spacing w:after="0"/>
        <w:rPr>
          <w:sz w:val="20"/>
          <w:szCs w:val="20"/>
          <w:color w:val="auto"/>
        </w:rPr>
      </w:pPr>
      <w:r>
        <w:rPr>
          <w:rFonts w:ascii="Arial" w:cs="Arial" w:eastAsia="Arial" w:hAnsi="Arial"/>
          <w:sz w:val="17"/>
          <w:szCs w:val="17"/>
          <w:color w:val="auto"/>
        </w:rPr>
        <w:t>Pop-Up Rider</w:t>
      </w:r>
    </w:p>
    <w:p>
      <w:pPr>
        <w:spacing w:after="0" w:line="5" w:lineRule="exact"/>
        <w:rPr>
          <w:sz w:val="20"/>
          <w:szCs w:val="20"/>
          <w:color w:val="auto"/>
        </w:rPr>
      </w:pPr>
    </w:p>
    <w:p>
      <w:pPr>
        <w:ind w:left="900"/>
        <w:spacing w:after="0"/>
        <w:rPr>
          <w:sz w:val="20"/>
          <w:szCs w:val="20"/>
          <w:color w:val="auto"/>
        </w:rPr>
      </w:pPr>
      <w:r>
        <w:rPr>
          <w:rFonts w:ascii="Arial" w:cs="Arial" w:eastAsia="Arial" w:hAnsi="Arial"/>
          <w:sz w:val="17"/>
          <w:szCs w:val="17"/>
          <w:color w:val="auto"/>
        </w:rPr>
        <w:t>Refund Death Benefit Rider</w:t>
      </w:r>
    </w:p>
    <w:p>
      <w:pPr>
        <w:spacing w:after="0" w:line="5" w:lineRule="exact"/>
        <w:rPr>
          <w:sz w:val="20"/>
          <w:szCs w:val="20"/>
          <w:color w:val="auto"/>
        </w:rPr>
      </w:pPr>
    </w:p>
    <w:p>
      <w:pPr>
        <w:ind w:left="300"/>
        <w:spacing w:after="0"/>
        <w:rPr>
          <w:sz w:val="20"/>
          <w:szCs w:val="20"/>
          <w:color w:val="auto"/>
        </w:rPr>
      </w:pPr>
      <w:r>
        <w:rPr>
          <w:rFonts w:ascii="Arial" w:cs="Arial" w:eastAsia="Arial" w:hAnsi="Arial"/>
          <w:sz w:val="17"/>
          <w:szCs w:val="17"/>
          <w:color w:val="auto"/>
        </w:rPr>
        <w:t>and</w:t>
      </w:r>
    </w:p>
    <w:p>
      <w:pPr>
        <w:spacing w:after="0" w:line="193"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together with any of the following Option(s) if specified in the Table of Information:</w:t>
      </w:r>
    </w:p>
    <w:p>
      <w:pPr>
        <w:spacing w:after="0" w:line="205" w:lineRule="exact"/>
        <w:rPr>
          <w:sz w:val="20"/>
          <w:szCs w:val="20"/>
          <w:color w:val="auto"/>
        </w:rPr>
      </w:pPr>
    </w:p>
    <w:p>
      <w:pPr>
        <w:ind w:left="900"/>
        <w:spacing w:after="0"/>
        <w:rPr>
          <w:sz w:val="20"/>
          <w:szCs w:val="20"/>
          <w:color w:val="auto"/>
        </w:rPr>
      </w:pPr>
      <w:r>
        <w:rPr>
          <w:rFonts w:ascii="Arial" w:cs="Arial" w:eastAsia="Arial" w:hAnsi="Arial"/>
          <w:sz w:val="17"/>
          <w:szCs w:val="17"/>
          <w:color w:val="auto"/>
        </w:rPr>
        <w:t>General Conversion Option</w:t>
      </w:r>
    </w:p>
    <w:p>
      <w:pPr>
        <w:spacing w:after="0" w:line="17" w:lineRule="exact"/>
        <w:rPr>
          <w:sz w:val="20"/>
          <w:szCs w:val="20"/>
          <w:color w:val="auto"/>
        </w:rPr>
      </w:pPr>
    </w:p>
    <w:p>
      <w:pPr>
        <w:ind w:left="900"/>
        <w:spacing w:after="0"/>
        <w:rPr>
          <w:sz w:val="20"/>
          <w:szCs w:val="20"/>
          <w:color w:val="auto"/>
        </w:rPr>
      </w:pPr>
      <w:r>
        <w:rPr>
          <w:rFonts w:ascii="Arial" w:cs="Arial" w:eastAsia="Arial" w:hAnsi="Arial"/>
          <w:sz w:val="17"/>
          <w:szCs w:val="17"/>
          <w:color w:val="auto"/>
        </w:rPr>
        <w:t>Disabled Age 55 Conversion Option</w:t>
      </w:r>
    </w:p>
    <w:p>
      <w:pPr>
        <w:spacing w:after="0" w:line="193" w:lineRule="exact"/>
        <w:rPr>
          <w:sz w:val="20"/>
          <w:szCs w:val="20"/>
          <w:color w:val="auto"/>
        </w:rPr>
      </w:pPr>
    </w:p>
    <w:p>
      <w:pPr>
        <w:ind w:right="20"/>
        <w:spacing w:after="0" w:line="252" w:lineRule="auto"/>
        <w:rPr>
          <w:sz w:val="20"/>
          <w:szCs w:val="20"/>
          <w:color w:val="auto"/>
        </w:rPr>
      </w:pPr>
      <w:r>
        <w:rPr>
          <w:rFonts w:ascii="Arial" w:cs="Arial" w:eastAsia="Arial" w:hAnsi="Arial"/>
          <w:sz w:val="17"/>
          <w:szCs w:val="17"/>
          <w:color w:val="auto"/>
        </w:rPr>
        <w:t xml:space="preserve">If the Table of Information specifies that you have a Conversion Option to cancel this Annuity Form, the following will apply. If you exercise the option, your rights under this Annuity Form are cancelled. Also, the rights of the </w:t>
      </w:r>
      <w:r>
        <w:rPr>
          <w:rFonts w:ascii="Arial" w:cs="Arial" w:eastAsia="Arial" w:hAnsi="Arial"/>
          <w:sz w:val="17"/>
          <w:szCs w:val="17"/>
          <w:i w:val="1"/>
          <w:iCs w:val="1"/>
          <w:color w:val="auto"/>
        </w:rPr>
        <w:t>Contingent Life</w:t>
      </w:r>
      <w:r>
        <w:rPr>
          <w:rFonts w:ascii="Arial" w:cs="Arial" w:eastAsia="Arial" w:hAnsi="Arial"/>
          <w:sz w:val="17"/>
          <w:szCs w:val="17"/>
          <w:color w:val="auto"/>
        </w:rPr>
        <w:t xml:space="preserve"> and any </w:t>
      </w:r>
      <w:r>
        <w:rPr>
          <w:rFonts w:ascii="Arial" w:cs="Arial" w:eastAsia="Arial" w:hAnsi="Arial"/>
          <w:sz w:val="17"/>
          <w:szCs w:val="17"/>
          <w:i w:val="1"/>
          <w:iCs w:val="1"/>
          <w:color w:val="auto"/>
        </w:rPr>
        <w:t>Beneficiary</w:t>
      </w:r>
      <w:r>
        <w:rPr>
          <w:rFonts w:ascii="Arial" w:cs="Arial" w:eastAsia="Arial" w:hAnsi="Arial"/>
          <w:sz w:val="17"/>
          <w:szCs w:val="17"/>
          <w:color w:val="auto"/>
        </w:rPr>
        <w:t xml:space="preserve"> are cancelled. After the effective date of the conversion, we will not owe any further payments under this Annuity Form. As a result of your exercise of a conversion option, you will become entitled to another Annuity Form. We will notify you of the new Annuity Form and related payment amounts.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General Payment Terms</w:t>
      </w:r>
    </w:p>
    <w:p>
      <w:pPr>
        <w:spacing w:after="0" w:line="205" w:lineRule="exact"/>
        <w:rPr>
          <w:sz w:val="20"/>
          <w:szCs w:val="20"/>
          <w:color w:val="auto"/>
        </w:rPr>
      </w:pPr>
    </w:p>
    <w:p>
      <w:pPr>
        <w:jc w:val="both"/>
        <w:ind w:right="180"/>
        <w:spacing w:after="0" w:line="334" w:lineRule="auto"/>
        <w:rPr>
          <w:sz w:val="20"/>
          <w:szCs w:val="20"/>
          <w:color w:val="auto"/>
        </w:rPr>
      </w:pPr>
      <w:r>
        <w:rPr>
          <w:rFonts w:ascii="Arial" w:cs="Arial" w:eastAsia="Arial" w:hAnsi="Arial"/>
          <w:sz w:val="15"/>
          <w:szCs w:val="15"/>
          <w:color w:val="auto"/>
        </w:rPr>
        <w:t xml:space="preserve">During your lifetime, we will make monthly payments to you equal to your “Covered Life Amount”. We owe the first monthly payment on the </w:t>
      </w:r>
      <w:r>
        <w:rPr>
          <w:rFonts w:ascii="Arial" w:cs="Arial" w:eastAsia="Arial" w:hAnsi="Arial"/>
          <w:sz w:val="15"/>
          <w:szCs w:val="15"/>
          <w:i w:val="1"/>
          <w:iCs w:val="1"/>
          <w:color w:val="auto"/>
        </w:rPr>
        <w:t>Annuity Commencement</w:t>
      </w:r>
      <w:r>
        <w:rPr>
          <w:rFonts w:ascii="Arial" w:cs="Arial" w:eastAsia="Arial" w:hAnsi="Arial"/>
          <w:sz w:val="15"/>
          <w:szCs w:val="15"/>
          <w:color w:val="auto"/>
        </w:rPr>
        <w:t xml:space="preserve"> </w:t>
      </w:r>
      <w:r>
        <w:rPr>
          <w:rFonts w:ascii="Arial" w:cs="Arial" w:eastAsia="Arial" w:hAnsi="Arial"/>
          <w:sz w:val="15"/>
          <w:szCs w:val="15"/>
          <w:i w:val="1"/>
          <w:iCs w:val="1"/>
          <w:color w:val="auto"/>
        </w:rPr>
        <w:t>Date</w:t>
      </w:r>
      <w:r>
        <w:rPr>
          <w:rFonts w:ascii="Arial" w:cs="Arial" w:eastAsia="Arial" w:hAnsi="Arial"/>
          <w:sz w:val="15"/>
          <w:szCs w:val="15"/>
          <w:color w:val="auto"/>
        </w:rPr>
        <w:t>. We will pay subsequent monthly payments on the first day of each month. Our last monthly payment to you will be on the first day of the month in which you die.</w:t>
      </w:r>
    </w:p>
    <w:p>
      <w:pPr>
        <w:spacing w:after="0" w:line="121" w:lineRule="exact"/>
        <w:rPr>
          <w:sz w:val="20"/>
          <w:szCs w:val="20"/>
          <w:color w:val="auto"/>
        </w:rPr>
      </w:pPr>
    </w:p>
    <w:p>
      <w:pPr>
        <w:ind w:right="40"/>
        <w:spacing w:after="0" w:line="252" w:lineRule="auto"/>
        <w:rPr>
          <w:sz w:val="20"/>
          <w:szCs w:val="20"/>
          <w:color w:val="auto"/>
        </w:rPr>
      </w:pPr>
      <w:r>
        <w:rPr>
          <w:rFonts w:ascii="Arial" w:cs="Arial" w:eastAsia="Arial" w:hAnsi="Arial"/>
          <w:sz w:val="17"/>
          <w:szCs w:val="17"/>
          <w:color w:val="auto"/>
        </w:rPr>
        <w:t xml:space="preserve">After you die, we may owe additional monthly payments. We will owe additional monthly payments if your </w:t>
      </w:r>
      <w:r>
        <w:rPr>
          <w:rFonts w:ascii="Arial" w:cs="Arial" w:eastAsia="Arial" w:hAnsi="Arial"/>
          <w:sz w:val="17"/>
          <w:szCs w:val="17"/>
          <w:i w:val="1"/>
          <w:iCs w:val="1"/>
          <w:color w:val="auto"/>
        </w:rPr>
        <w:t>Contingent Life</w:t>
      </w:r>
      <w:r>
        <w:rPr>
          <w:rFonts w:ascii="Arial" w:cs="Arial" w:eastAsia="Arial" w:hAnsi="Arial"/>
          <w:sz w:val="17"/>
          <w:szCs w:val="17"/>
          <w:color w:val="auto"/>
        </w:rPr>
        <w:t xml:space="preserve"> (as specified in the Table of Information) is your spouse and is alive when you die. We will pay the first payment on the first day of the month following your death. We will pay subsequent monthly payments on the first day of each month. We will pay the last payment on the first day of the month in which such </w:t>
      </w:r>
      <w:r>
        <w:rPr>
          <w:rFonts w:ascii="Arial" w:cs="Arial" w:eastAsia="Arial" w:hAnsi="Arial"/>
          <w:sz w:val="17"/>
          <w:szCs w:val="17"/>
          <w:i w:val="1"/>
          <w:iCs w:val="1"/>
          <w:color w:val="auto"/>
        </w:rPr>
        <w:t>Contingent Life</w:t>
      </w:r>
      <w:r>
        <w:rPr>
          <w:rFonts w:ascii="Arial" w:cs="Arial" w:eastAsia="Arial" w:hAnsi="Arial"/>
          <w:sz w:val="17"/>
          <w:szCs w:val="17"/>
          <w:color w:val="auto"/>
        </w:rPr>
        <w:t xml:space="preserve"> dies. The amount of the payments will equal the </w:t>
      </w:r>
      <w:r>
        <w:rPr>
          <w:rFonts w:ascii="Arial" w:cs="Arial" w:eastAsia="Arial" w:hAnsi="Arial"/>
          <w:sz w:val="17"/>
          <w:szCs w:val="17"/>
          <w:i w:val="1"/>
          <w:iCs w:val="1"/>
          <w:color w:val="auto"/>
        </w:rPr>
        <w:t>Contingent Life Amount</w:t>
      </w:r>
      <w:r>
        <w:rPr>
          <w:rFonts w:ascii="Arial" w:cs="Arial" w:eastAsia="Arial" w:hAnsi="Arial"/>
          <w:sz w:val="17"/>
          <w:szCs w:val="17"/>
          <w:color w:val="auto"/>
        </w:rPr>
        <w:t>.</w:t>
      </w:r>
    </w:p>
    <w:p>
      <w:pPr>
        <w:spacing w:after="0" w:line="180"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 xml:space="preserve">If you have a Refund Death Benefit Rider, we may owe a Refund Death Benefit to the designated </w:t>
      </w:r>
      <w:r>
        <w:rPr>
          <w:rFonts w:ascii="Arial" w:cs="Arial" w:eastAsia="Arial" w:hAnsi="Arial"/>
          <w:sz w:val="16"/>
          <w:szCs w:val="16"/>
          <w:i w:val="1"/>
          <w:iCs w:val="1"/>
          <w:color w:val="auto"/>
        </w:rPr>
        <w:t>Beneficiary</w:t>
      </w:r>
      <w:r>
        <w:rPr>
          <w:rFonts w:ascii="Arial" w:cs="Arial" w:eastAsia="Arial" w:hAnsi="Arial"/>
          <w:sz w:val="16"/>
          <w:szCs w:val="16"/>
          <w:color w:val="auto"/>
        </w:rPr>
        <w:t xml:space="preserve"> for your Annuity Form. After both you and your </w:t>
      </w:r>
      <w:r>
        <w:rPr>
          <w:rFonts w:ascii="Arial" w:cs="Arial" w:eastAsia="Arial" w:hAnsi="Arial"/>
          <w:sz w:val="16"/>
          <w:szCs w:val="16"/>
          <w:i w:val="1"/>
          <w:iCs w:val="1"/>
          <w:color w:val="auto"/>
        </w:rPr>
        <w:t>Contingent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Life </w:t>
      </w:r>
      <w:r>
        <w:rPr>
          <w:rFonts w:ascii="Arial" w:cs="Arial" w:eastAsia="Arial" w:hAnsi="Arial"/>
          <w:sz w:val="16"/>
          <w:szCs w:val="16"/>
          <w:color w:val="auto"/>
        </w:rPr>
        <w:t>die, we will determine if we owe such payment. The following explains how we will determine if a payment is owed by us under this rider.</w:t>
      </w:r>
    </w:p>
    <w:p>
      <w:pPr>
        <w:spacing w:after="0" w:line="144"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The amount of the Refund Death Benefit, if any, will equal the Maximum Refund Death Benefit (as specified in the Table of Information) less the Pre 1985 Part B Primary Amounts and the Post 1985 Part B Primary Amounts (as specified in the Table of</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Appendix 1.3 - 12</w:t>
      </w:r>
    </w:p>
    <w:p>
      <w:pPr>
        <w:sectPr>
          <w:pgSz w:w="11900" w:h="16838" w:orient="portrait"/>
          <w:cols w:equalWidth="0" w:num="1">
            <w:col w:w="11420"/>
          </w:cols>
          <w:pgMar w:left="240" w:top="549" w:right="239" w:bottom="1440" w:gutter="0" w:footer="0" w:header="0"/>
        </w:sectPr>
      </w:pPr>
    </w:p>
    <w:bookmarkStart w:id="126" w:name="page127"/>
    <w:bookmarkEnd w:id="126"/>
    <w:p>
      <w:pPr>
        <w:ind w:right="220"/>
        <w:spacing w:after="0" w:line="266" w:lineRule="auto"/>
        <w:rPr>
          <w:sz w:val="20"/>
          <w:szCs w:val="20"/>
          <w:color w:val="auto"/>
        </w:rPr>
      </w:pPr>
      <w:r>
        <w:rPr>
          <w:rFonts w:ascii="Arial" w:cs="Arial" w:eastAsia="Arial" w:hAnsi="Arial"/>
          <w:sz w:val="17"/>
          <w:szCs w:val="17"/>
          <w:color w:val="auto"/>
        </w:rPr>
        <w:t>Information) paid by us after the Annuity Commencement Date to you, to your Contingent Life (or to any related alternate payee, arising, for example, from a domestic relations order).</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amounts, names, or values apply to your Spousal Joint and Survivor Life Annuity:</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“Covered Life Amount” equals an amount that depends on whether you are younger or older than sixty-two years and one month (“62 + 1”).</w:t>
      </w:r>
    </w:p>
    <w:p>
      <w:pPr>
        <w:spacing w:after="0" w:line="205" w:lineRule="exact"/>
        <w:rPr>
          <w:sz w:val="20"/>
          <w:szCs w:val="20"/>
          <w:color w:val="auto"/>
        </w:rPr>
      </w:pPr>
    </w:p>
    <w:p>
      <w:pPr>
        <w:ind w:left="600" w:hanging="299"/>
        <w:spacing w:after="0"/>
        <w:tabs>
          <w:tab w:leader="none" w:pos="600" w:val="left"/>
        </w:tabs>
        <w:numPr>
          <w:ilvl w:val="0"/>
          <w:numId w:val="148"/>
        </w:numPr>
        <w:rPr>
          <w:rFonts w:ascii="Arial" w:cs="Arial" w:eastAsia="Arial" w:hAnsi="Arial"/>
          <w:sz w:val="17"/>
          <w:szCs w:val="17"/>
          <w:color w:val="auto"/>
        </w:rPr>
      </w:pPr>
      <w:r>
        <w:rPr>
          <w:rFonts w:ascii="Arial" w:cs="Arial" w:eastAsia="Arial" w:hAnsi="Arial"/>
          <w:sz w:val="17"/>
          <w:szCs w:val="17"/>
          <w:color w:val="auto"/>
        </w:rPr>
        <w:t>If you are younger than 62+1, the Covered Life Amount equals the “</w:t>
      </w:r>
      <w:r>
        <w:rPr>
          <w:rFonts w:ascii="Arial" w:cs="Arial" w:eastAsia="Arial" w:hAnsi="Arial"/>
          <w:sz w:val="17"/>
          <w:szCs w:val="17"/>
          <w:i w:val="1"/>
          <w:iCs w:val="1"/>
          <w:color w:val="auto"/>
        </w:rPr>
        <w:t>Pre 62+1 Pension Amount</w:t>
      </w:r>
      <w:r>
        <w:rPr>
          <w:rFonts w:ascii="Arial" w:cs="Arial" w:eastAsia="Arial" w:hAnsi="Arial"/>
          <w:sz w:val="17"/>
          <w:szCs w:val="17"/>
          <w:color w:val="auto"/>
        </w:rPr>
        <w:t>” specified in the Table of Information.</w:t>
      </w:r>
    </w:p>
    <w:p>
      <w:pPr>
        <w:spacing w:after="0" w:line="205" w:lineRule="exact"/>
        <w:rPr>
          <w:rFonts w:ascii="Arial" w:cs="Arial" w:eastAsia="Arial" w:hAnsi="Arial"/>
          <w:sz w:val="17"/>
          <w:szCs w:val="17"/>
          <w:color w:val="auto"/>
        </w:rPr>
      </w:pPr>
    </w:p>
    <w:p>
      <w:pPr>
        <w:ind w:left="600" w:hanging="299"/>
        <w:spacing w:after="0"/>
        <w:tabs>
          <w:tab w:leader="none" w:pos="600" w:val="left"/>
        </w:tabs>
        <w:numPr>
          <w:ilvl w:val="0"/>
          <w:numId w:val="148"/>
        </w:numPr>
        <w:rPr>
          <w:rFonts w:ascii="Arial" w:cs="Arial" w:eastAsia="Arial" w:hAnsi="Arial"/>
          <w:sz w:val="17"/>
          <w:szCs w:val="17"/>
          <w:color w:val="auto"/>
        </w:rPr>
      </w:pPr>
      <w:r>
        <w:rPr>
          <w:rFonts w:ascii="Arial" w:cs="Arial" w:eastAsia="Arial" w:hAnsi="Arial"/>
          <w:sz w:val="17"/>
          <w:szCs w:val="17"/>
          <w:color w:val="auto"/>
        </w:rPr>
        <w:t>If you are older than 62+1, the Covered Life Amount equals the “</w:t>
      </w:r>
      <w:r>
        <w:rPr>
          <w:rFonts w:ascii="Arial" w:cs="Arial" w:eastAsia="Arial" w:hAnsi="Arial"/>
          <w:sz w:val="17"/>
          <w:szCs w:val="17"/>
          <w:i w:val="1"/>
          <w:iCs w:val="1"/>
          <w:color w:val="auto"/>
        </w:rPr>
        <w:t>Post 62+1 Pension Amount</w:t>
      </w:r>
      <w:r>
        <w:rPr>
          <w:rFonts w:ascii="Arial" w:cs="Arial" w:eastAsia="Arial" w:hAnsi="Arial"/>
          <w:sz w:val="17"/>
          <w:szCs w:val="17"/>
          <w:color w:val="auto"/>
        </w:rPr>
        <w:t>” specified in the Table of Information.</w:t>
      </w:r>
    </w:p>
    <w:p>
      <w:pPr>
        <w:spacing w:after="0" w:line="205" w:lineRule="exact"/>
        <w:rPr>
          <w:sz w:val="20"/>
          <w:szCs w:val="20"/>
          <w:color w:val="auto"/>
        </w:rPr>
      </w:pPr>
    </w:p>
    <w:p>
      <w:pPr>
        <w:ind w:right="240"/>
        <w:spacing w:after="0" w:line="273" w:lineRule="auto"/>
        <w:rPr>
          <w:sz w:val="20"/>
          <w:szCs w:val="20"/>
          <w:color w:val="auto"/>
        </w:rPr>
      </w:pPr>
      <w:r>
        <w:rPr>
          <w:rFonts w:ascii="Arial" w:cs="Arial" w:eastAsia="Arial" w:hAnsi="Arial"/>
          <w:sz w:val="16"/>
          <w:szCs w:val="16"/>
          <w:color w:val="auto"/>
        </w:rPr>
        <w:t>If you have a Special Benefit Rider, then the “Covered Life Amount” will be increased after your sixty-fifth (65th) birthday. The increase will start on first day of the month after your 65th birthday. If your 65th birthday falls on the first day of a month, the increase will start on that day. The amount of the increase will be the amount specified as the “</w:t>
      </w:r>
      <w:r>
        <w:rPr>
          <w:rFonts w:ascii="Arial" w:cs="Arial" w:eastAsia="Arial" w:hAnsi="Arial"/>
          <w:sz w:val="16"/>
          <w:szCs w:val="16"/>
          <w:i w:val="1"/>
          <w:iCs w:val="1"/>
          <w:color w:val="auto"/>
        </w:rPr>
        <w:t>Special Benefit Amount</w:t>
      </w:r>
      <w:r>
        <w:rPr>
          <w:rFonts w:ascii="Arial" w:cs="Arial" w:eastAsia="Arial" w:hAnsi="Arial"/>
          <w:sz w:val="16"/>
          <w:szCs w:val="16"/>
          <w:color w:val="auto"/>
        </w:rPr>
        <w:t xml:space="preserve">” in the Table of Information. During your lifetime, we do not owe your </w:t>
      </w:r>
      <w:r>
        <w:rPr>
          <w:rFonts w:ascii="Arial" w:cs="Arial" w:eastAsia="Arial" w:hAnsi="Arial"/>
          <w:sz w:val="16"/>
          <w:szCs w:val="16"/>
          <w:i w:val="1"/>
          <w:iCs w:val="1"/>
          <w:color w:val="auto"/>
        </w:rPr>
        <w:t>Contingent Life</w:t>
      </w:r>
      <w:r>
        <w:rPr>
          <w:rFonts w:ascii="Arial" w:cs="Arial" w:eastAsia="Arial" w:hAnsi="Arial"/>
          <w:sz w:val="16"/>
          <w:szCs w:val="16"/>
          <w:color w:val="auto"/>
        </w:rPr>
        <w:t xml:space="preserve"> any benefits under the Special Benefit Rider. If your </w:t>
      </w:r>
      <w:r>
        <w:rPr>
          <w:rFonts w:ascii="Arial" w:cs="Arial" w:eastAsia="Arial" w:hAnsi="Arial"/>
          <w:sz w:val="16"/>
          <w:szCs w:val="16"/>
          <w:i w:val="1"/>
          <w:iCs w:val="1"/>
          <w:color w:val="auto"/>
        </w:rPr>
        <w:t>Contingent Life</w:t>
      </w:r>
      <w:r>
        <w:rPr>
          <w:rFonts w:ascii="Arial" w:cs="Arial" w:eastAsia="Arial" w:hAnsi="Arial"/>
          <w:sz w:val="16"/>
          <w:szCs w:val="16"/>
          <w:color w:val="auto"/>
        </w:rPr>
        <w:t xml:space="preserve"> has a Special Benefit rider, we only owe the related payments after you die.</w:t>
      </w:r>
    </w:p>
    <w:p>
      <w:pPr>
        <w:spacing w:after="0" w:line="164" w:lineRule="exact"/>
        <w:rPr>
          <w:sz w:val="20"/>
          <w:szCs w:val="20"/>
          <w:color w:val="auto"/>
        </w:rPr>
      </w:pPr>
    </w:p>
    <w:p>
      <w:pPr>
        <w:ind w:right="120"/>
        <w:spacing w:after="0" w:line="252" w:lineRule="auto"/>
        <w:rPr>
          <w:sz w:val="20"/>
          <w:szCs w:val="20"/>
          <w:color w:val="auto"/>
        </w:rPr>
      </w:pPr>
      <w:r>
        <w:rPr>
          <w:rFonts w:ascii="Arial" w:cs="Arial" w:eastAsia="Arial" w:hAnsi="Arial"/>
          <w:sz w:val="17"/>
          <w:szCs w:val="17"/>
          <w:color w:val="auto"/>
        </w:rPr>
        <w:t xml:space="preserve">If you have a Level Benefit Rider, then the “Covered Life Amount” will be increased by Three Hundred Dollars ($300.000) after your sixty-fifth (65th) birthday. The increase will start on first day of the month after your 65th birthday. If your 65th birthday falls on the first day of a month, the increase will start on that day. During your lifetime, we do not owe your </w:t>
      </w:r>
      <w:r>
        <w:rPr>
          <w:rFonts w:ascii="Arial" w:cs="Arial" w:eastAsia="Arial" w:hAnsi="Arial"/>
          <w:sz w:val="17"/>
          <w:szCs w:val="17"/>
          <w:i w:val="1"/>
          <w:iCs w:val="1"/>
          <w:color w:val="auto"/>
        </w:rPr>
        <w:t>Contingent Life</w:t>
      </w:r>
      <w:r>
        <w:rPr>
          <w:rFonts w:ascii="Arial" w:cs="Arial" w:eastAsia="Arial" w:hAnsi="Arial"/>
          <w:sz w:val="17"/>
          <w:szCs w:val="17"/>
          <w:color w:val="auto"/>
        </w:rPr>
        <w:t xml:space="preserve"> any benefits under the Level Benefit Rider. If your </w:t>
      </w:r>
      <w:r>
        <w:rPr>
          <w:rFonts w:ascii="Arial" w:cs="Arial" w:eastAsia="Arial" w:hAnsi="Arial"/>
          <w:sz w:val="17"/>
          <w:szCs w:val="17"/>
          <w:i w:val="1"/>
          <w:iCs w:val="1"/>
          <w:color w:val="auto"/>
        </w:rPr>
        <w:t>Contingent Life</w:t>
      </w:r>
      <w:r>
        <w:rPr>
          <w:rFonts w:ascii="Arial" w:cs="Arial" w:eastAsia="Arial" w:hAnsi="Arial"/>
          <w:sz w:val="17"/>
          <w:szCs w:val="17"/>
          <w:color w:val="auto"/>
        </w:rPr>
        <w:t xml:space="preserve"> has a Level Benefit rider, we only owe the related payments after you die.</w:t>
      </w:r>
    </w:p>
    <w:p>
      <w:pPr>
        <w:spacing w:after="0" w:line="180" w:lineRule="exact"/>
        <w:rPr>
          <w:sz w:val="20"/>
          <w:szCs w:val="20"/>
          <w:color w:val="auto"/>
        </w:rPr>
      </w:pPr>
    </w:p>
    <w:p>
      <w:pPr>
        <w:spacing w:after="0" w:line="250" w:lineRule="auto"/>
        <w:rPr>
          <w:sz w:val="20"/>
          <w:szCs w:val="20"/>
          <w:color w:val="auto"/>
        </w:rPr>
      </w:pPr>
      <w:r>
        <w:rPr>
          <w:rFonts w:ascii="Arial" w:cs="Arial" w:eastAsia="Arial" w:hAnsi="Arial"/>
          <w:sz w:val="17"/>
          <w:szCs w:val="17"/>
          <w:color w:val="auto"/>
        </w:rPr>
        <w:t xml:space="preserve">If you have a Pop-Up Rider, and if your </w:t>
      </w:r>
      <w:r>
        <w:rPr>
          <w:rFonts w:ascii="Arial" w:cs="Arial" w:eastAsia="Arial" w:hAnsi="Arial"/>
          <w:sz w:val="17"/>
          <w:szCs w:val="17"/>
          <w:i w:val="1"/>
          <w:iCs w:val="1"/>
          <w:color w:val="auto"/>
        </w:rPr>
        <w:t>Contingent Life</w:t>
      </w:r>
      <w:r>
        <w:rPr>
          <w:rFonts w:ascii="Arial" w:cs="Arial" w:eastAsia="Arial" w:hAnsi="Arial"/>
          <w:sz w:val="17"/>
          <w:szCs w:val="17"/>
          <w:color w:val="auto"/>
        </w:rPr>
        <w:t xml:space="preserve"> dies after the </w:t>
      </w:r>
      <w:r>
        <w:rPr>
          <w:rFonts w:ascii="Arial" w:cs="Arial" w:eastAsia="Arial" w:hAnsi="Arial"/>
          <w:sz w:val="17"/>
          <w:szCs w:val="17"/>
          <w:i w:val="1"/>
          <w:iCs w:val="1"/>
          <w:color w:val="auto"/>
        </w:rPr>
        <w:t>Annuity Commencement Date</w:t>
      </w:r>
      <w:r>
        <w:rPr>
          <w:rFonts w:ascii="Arial" w:cs="Arial" w:eastAsia="Arial" w:hAnsi="Arial"/>
          <w:sz w:val="17"/>
          <w:szCs w:val="17"/>
          <w:color w:val="auto"/>
        </w:rPr>
        <w:t xml:space="preserve"> and before you die, then we will increase the “Covered Life Amount.” You must first provide us acceptable evidence that such </w:t>
      </w:r>
      <w:r>
        <w:rPr>
          <w:rFonts w:ascii="Arial" w:cs="Arial" w:eastAsia="Arial" w:hAnsi="Arial"/>
          <w:sz w:val="17"/>
          <w:szCs w:val="17"/>
          <w:i w:val="1"/>
          <w:iCs w:val="1"/>
          <w:color w:val="auto"/>
        </w:rPr>
        <w:t>Contingent Life</w:t>
      </w:r>
      <w:r>
        <w:rPr>
          <w:rFonts w:ascii="Arial" w:cs="Arial" w:eastAsia="Arial" w:hAnsi="Arial"/>
          <w:sz w:val="17"/>
          <w:szCs w:val="17"/>
          <w:color w:val="auto"/>
        </w:rPr>
        <w:t xml:space="preserve"> died. We will pay the increase starting in the month following the month of your </w:t>
      </w:r>
      <w:r>
        <w:rPr>
          <w:rFonts w:ascii="Arial" w:cs="Arial" w:eastAsia="Arial" w:hAnsi="Arial"/>
          <w:sz w:val="17"/>
          <w:szCs w:val="17"/>
          <w:i w:val="1"/>
          <w:iCs w:val="1"/>
          <w:color w:val="auto"/>
        </w:rPr>
        <w:t>Contingent Life</w:t>
      </w:r>
      <w:r>
        <w:rPr>
          <w:rFonts w:ascii="Arial" w:cs="Arial" w:eastAsia="Arial" w:hAnsi="Arial"/>
          <w:sz w:val="17"/>
          <w:szCs w:val="17"/>
          <w:color w:val="auto"/>
        </w:rPr>
        <w:t xml:space="preserve">'s death. The amount of the increase will equal the </w:t>
      </w:r>
      <w:r>
        <w:rPr>
          <w:rFonts w:ascii="Arial" w:cs="Arial" w:eastAsia="Arial" w:hAnsi="Arial"/>
          <w:sz w:val="17"/>
          <w:szCs w:val="17"/>
          <w:i w:val="1"/>
          <w:iCs w:val="1"/>
          <w:color w:val="auto"/>
        </w:rPr>
        <w:t>Pop-Up Amount</w:t>
      </w:r>
      <w:r>
        <w:rPr>
          <w:rFonts w:ascii="Arial" w:cs="Arial" w:eastAsia="Arial" w:hAnsi="Arial"/>
          <w:sz w:val="17"/>
          <w:szCs w:val="17"/>
          <w:color w:val="auto"/>
        </w:rPr>
        <w:t xml:space="preserve"> specified for you in the Table of Information. If the age of your </w:t>
      </w:r>
      <w:r>
        <w:rPr>
          <w:rFonts w:ascii="Arial" w:cs="Arial" w:eastAsia="Arial" w:hAnsi="Arial"/>
          <w:sz w:val="17"/>
          <w:szCs w:val="17"/>
          <w:i w:val="1"/>
          <w:iCs w:val="1"/>
          <w:color w:val="auto"/>
        </w:rPr>
        <w:t>Contingent Life</w:t>
      </w:r>
      <w:r>
        <w:rPr>
          <w:rFonts w:ascii="Arial" w:cs="Arial" w:eastAsia="Arial" w:hAnsi="Arial"/>
          <w:sz w:val="17"/>
          <w:szCs w:val="17"/>
          <w:color w:val="auto"/>
        </w:rPr>
        <w:t xml:space="preserve"> as shown on the Table of Information is misstated, then we will re-calculate the </w:t>
      </w:r>
      <w:r>
        <w:rPr>
          <w:rFonts w:ascii="Arial" w:cs="Arial" w:eastAsia="Arial" w:hAnsi="Arial"/>
          <w:sz w:val="17"/>
          <w:szCs w:val="17"/>
          <w:i w:val="1"/>
          <w:iCs w:val="1"/>
          <w:color w:val="auto"/>
        </w:rPr>
        <w:t>Pop-Up Amount</w:t>
      </w:r>
      <w:r>
        <w:rPr>
          <w:rFonts w:ascii="Arial" w:cs="Arial" w:eastAsia="Arial" w:hAnsi="Arial"/>
          <w:sz w:val="17"/>
          <w:szCs w:val="17"/>
          <w:color w:val="auto"/>
        </w:rPr>
        <w:t xml:space="preserve">. The corrected Pop-Up Amount will equal the </w:t>
      </w:r>
      <w:r>
        <w:rPr>
          <w:rFonts w:ascii="Arial" w:cs="Arial" w:eastAsia="Arial" w:hAnsi="Arial"/>
          <w:sz w:val="17"/>
          <w:szCs w:val="17"/>
          <w:i w:val="1"/>
          <w:iCs w:val="1"/>
          <w:color w:val="auto"/>
        </w:rPr>
        <w:t>Part A Basic Amount</w:t>
      </w:r>
      <w:r>
        <w:rPr>
          <w:rFonts w:ascii="Arial" w:cs="Arial" w:eastAsia="Arial" w:hAnsi="Arial"/>
          <w:sz w:val="17"/>
          <w:szCs w:val="17"/>
          <w:color w:val="auto"/>
        </w:rPr>
        <w:t xml:space="preserve"> specified for such person in the Table of Information multiplied by the General Pop-Up Increase Factor. The Spousal Joint and Survivor Life Annuity Pop-Up Increase Factor will be determined in accordance with the Contract.</w:t>
      </w:r>
    </w:p>
    <w:p>
      <w:pPr>
        <w:spacing w:after="0" w:line="180" w:lineRule="exact"/>
        <w:rPr>
          <w:sz w:val="20"/>
          <w:szCs w:val="20"/>
          <w:color w:val="auto"/>
        </w:rPr>
      </w:pPr>
    </w:p>
    <w:p>
      <w:pPr>
        <w:jc w:val="both"/>
        <w:ind w:right="20"/>
        <w:spacing w:after="0" w:line="256" w:lineRule="auto"/>
        <w:rPr>
          <w:sz w:val="20"/>
          <w:szCs w:val="20"/>
          <w:color w:val="auto"/>
        </w:rPr>
      </w:pPr>
      <w:r>
        <w:rPr>
          <w:rFonts w:ascii="Arial" w:cs="Arial" w:eastAsia="Arial" w:hAnsi="Arial"/>
          <w:sz w:val="17"/>
          <w:szCs w:val="17"/>
          <w:color w:val="auto"/>
        </w:rPr>
        <w:t>If a portion of your Pre 62+1 Covered Life Amount is attributable to a “</w:t>
      </w:r>
      <w:r>
        <w:rPr>
          <w:rFonts w:ascii="Arial" w:cs="Arial" w:eastAsia="Arial" w:hAnsi="Arial"/>
          <w:sz w:val="17"/>
          <w:szCs w:val="17"/>
          <w:i w:val="1"/>
          <w:iCs w:val="1"/>
          <w:color w:val="auto"/>
        </w:rPr>
        <w:t>Disability Temporary Amount</w:t>
      </w:r>
      <w:r>
        <w:rPr>
          <w:rFonts w:ascii="Arial" w:cs="Arial" w:eastAsia="Arial" w:hAnsi="Arial"/>
          <w:sz w:val="17"/>
          <w:szCs w:val="17"/>
          <w:color w:val="auto"/>
        </w:rPr>
        <w:t xml:space="preserve">” as specified in the Table of Information, then the following applies. You may be eligible to receive social security disability benefits from the Federal Government. In any month that you receive such benefits before you reach 62+1, we do not owe you such </w:t>
      </w:r>
      <w:r>
        <w:rPr>
          <w:rFonts w:ascii="Arial" w:cs="Arial" w:eastAsia="Arial" w:hAnsi="Arial"/>
          <w:sz w:val="17"/>
          <w:szCs w:val="17"/>
          <w:i w:val="1"/>
          <w:iCs w:val="1"/>
          <w:color w:val="auto"/>
        </w:rPr>
        <w:t>Disability Temporary Amount</w:t>
      </w:r>
      <w:r>
        <w:rPr>
          <w:rFonts w:ascii="Arial" w:cs="Arial" w:eastAsia="Arial" w:hAnsi="Arial"/>
          <w:sz w:val="17"/>
          <w:szCs w:val="17"/>
          <w:color w:val="auto"/>
        </w:rPr>
        <w:t xml:space="preserve"> and we may deduct any overpayments made to you.</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Contingent Life Amount</w:t>
      </w:r>
      <w:r>
        <w:rPr>
          <w:rFonts w:ascii="Arial" w:cs="Arial" w:eastAsia="Arial" w:hAnsi="Arial"/>
          <w:sz w:val="17"/>
          <w:szCs w:val="17"/>
          <w:color w:val="auto"/>
        </w:rPr>
        <w:t>” means an amount that is specified in the Table of Information.</w:t>
      </w:r>
    </w:p>
    <w:p>
      <w:pPr>
        <w:spacing w:after="0" w:line="205" w:lineRule="exact"/>
        <w:rPr>
          <w:sz w:val="20"/>
          <w:szCs w:val="20"/>
          <w:color w:val="auto"/>
        </w:rPr>
      </w:pPr>
    </w:p>
    <w:p>
      <w:pPr>
        <w:jc w:val="both"/>
        <w:ind w:right="20"/>
        <w:spacing w:after="0" w:line="256" w:lineRule="auto"/>
        <w:rPr>
          <w:sz w:val="20"/>
          <w:szCs w:val="20"/>
          <w:color w:val="auto"/>
        </w:rPr>
      </w:pPr>
      <w:r>
        <w:rPr>
          <w:rFonts w:ascii="Arial" w:cs="Arial" w:eastAsia="Arial" w:hAnsi="Arial"/>
          <w:sz w:val="17"/>
          <w:szCs w:val="17"/>
          <w:color w:val="auto"/>
        </w:rPr>
        <w:t xml:space="preserve">If your </w:t>
      </w:r>
      <w:r>
        <w:rPr>
          <w:rFonts w:ascii="Arial" w:cs="Arial" w:eastAsia="Arial" w:hAnsi="Arial"/>
          <w:sz w:val="17"/>
          <w:szCs w:val="17"/>
          <w:i w:val="1"/>
          <w:iCs w:val="1"/>
          <w:color w:val="auto"/>
        </w:rPr>
        <w:t>Contingent Life</w:t>
      </w:r>
      <w:r>
        <w:rPr>
          <w:rFonts w:ascii="Arial" w:cs="Arial" w:eastAsia="Arial" w:hAnsi="Arial"/>
          <w:sz w:val="17"/>
          <w:szCs w:val="17"/>
          <w:color w:val="auto"/>
        </w:rPr>
        <w:t xml:space="preserve"> has a Special Benefit Rider, then the “</w:t>
      </w:r>
      <w:r>
        <w:rPr>
          <w:rFonts w:ascii="Arial" w:cs="Arial" w:eastAsia="Arial" w:hAnsi="Arial"/>
          <w:sz w:val="17"/>
          <w:szCs w:val="17"/>
          <w:i w:val="1"/>
          <w:iCs w:val="1"/>
          <w:color w:val="auto"/>
        </w:rPr>
        <w:t>Contingent Life Amount</w:t>
      </w:r>
      <w:r>
        <w:rPr>
          <w:rFonts w:ascii="Arial" w:cs="Arial" w:eastAsia="Arial" w:hAnsi="Arial"/>
          <w:sz w:val="17"/>
          <w:szCs w:val="17"/>
          <w:color w:val="auto"/>
        </w:rPr>
        <w:t>” will be increased for payments owed after his or her sixty-fifth (65th) birthday. The increase will start on first day of the month after such 65th birthday. If such birthday falls on the first day of a month, the increase will start on that day. The amount of the increase will be the amount specified as the “</w:t>
      </w:r>
      <w:r>
        <w:rPr>
          <w:rFonts w:ascii="Arial" w:cs="Arial" w:eastAsia="Arial" w:hAnsi="Arial"/>
          <w:sz w:val="17"/>
          <w:szCs w:val="17"/>
          <w:i w:val="1"/>
          <w:iCs w:val="1"/>
          <w:color w:val="auto"/>
        </w:rPr>
        <w:t>Special Benefit Amount</w:t>
      </w:r>
      <w:r>
        <w:rPr>
          <w:rFonts w:ascii="Arial" w:cs="Arial" w:eastAsia="Arial" w:hAnsi="Arial"/>
          <w:sz w:val="17"/>
          <w:szCs w:val="17"/>
          <w:color w:val="auto"/>
        </w:rPr>
        <w:t>” in the Table of Information.</w:t>
      </w:r>
    </w:p>
    <w:p>
      <w:pPr>
        <w:spacing w:after="0" w:line="176" w:lineRule="exact"/>
        <w:rPr>
          <w:sz w:val="20"/>
          <w:szCs w:val="20"/>
          <w:color w:val="auto"/>
        </w:rPr>
      </w:pPr>
    </w:p>
    <w:p>
      <w:pPr>
        <w:ind w:right="80"/>
        <w:spacing w:after="0" w:line="256" w:lineRule="auto"/>
        <w:rPr>
          <w:sz w:val="20"/>
          <w:szCs w:val="20"/>
          <w:color w:val="auto"/>
        </w:rPr>
      </w:pPr>
      <w:r>
        <w:rPr>
          <w:rFonts w:ascii="Arial" w:cs="Arial" w:eastAsia="Arial" w:hAnsi="Arial"/>
          <w:sz w:val="17"/>
          <w:szCs w:val="17"/>
          <w:color w:val="auto"/>
        </w:rPr>
        <w:t xml:space="preserve">If your </w:t>
      </w:r>
      <w:r>
        <w:rPr>
          <w:rFonts w:ascii="Arial" w:cs="Arial" w:eastAsia="Arial" w:hAnsi="Arial"/>
          <w:sz w:val="17"/>
          <w:szCs w:val="17"/>
          <w:i w:val="1"/>
          <w:iCs w:val="1"/>
          <w:color w:val="auto"/>
        </w:rPr>
        <w:t>Contingent Life</w:t>
      </w:r>
      <w:r>
        <w:rPr>
          <w:rFonts w:ascii="Arial" w:cs="Arial" w:eastAsia="Arial" w:hAnsi="Arial"/>
          <w:sz w:val="17"/>
          <w:szCs w:val="17"/>
          <w:color w:val="auto"/>
        </w:rPr>
        <w:t xml:space="preserve"> has a Level Benefit Rider, then the “</w:t>
      </w:r>
      <w:r>
        <w:rPr>
          <w:rFonts w:ascii="Arial" w:cs="Arial" w:eastAsia="Arial" w:hAnsi="Arial"/>
          <w:sz w:val="17"/>
          <w:szCs w:val="17"/>
          <w:i w:val="1"/>
          <w:iCs w:val="1"/>
          <w:color w:val="auto"/>
        </w:rPr>
        <w:t>Contingent Life Amount</w:t>
      </w:r>
      <w:r>
        <w:rPr>
          <w:rFonts w:ascii="Arial" w:cs="Arial" w:eastAsia="Arial" w:hAnsi="Arial"/>
          <w:sz w:val="17"/>
          <w:szCs w:val="17"/>
          <w:color w:val="auto"/>
        </w:rPr>
        <w:t>” will be increased by Three Hundred Dollars ($300.000) for payments owed after his or her sixty-fifth (65th) birthday. The increase will start on first day of the month after such 65th birthday. If such birthday falls on the first day of a month, the increase will start on that day.</w:t>
      </w:r>
    </w:p>
    <w:p>
      <w:pPr>
        <w:spacing w:after="0" w:line="176"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b w:val="1"/>
          <w:bCs w:val="1"/>
          <w:i w:val="1"/>
          <w:iCs w:val="1"/>
          <w:color w:val="auto"/>
        </w:rPr>
        <w:t>Terms relating to Conversion Conditions</w:t>
      </w:r>
      <w:r>
        <w:rPr>
          <w:rFonts w:ascii="Arial" w:cs="Arial" w:eastAsia="Arial" w:hAnsi="Arial"/>
          <w:sz w:val="16"/>
          <w:szCs w:val="16"/>
          <w:color w:val="auto"/>
        </w:rPr>
        <w:t>. If no Conversion Options are identified for you on the Table of Information, then the following Conversion Conditions do not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apply to you. If the Table of Information shows that Conversion Options apply, then the following Conversion Conditions apply to you.</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Conversion Conditions</w:t>
      </w:r>
      <w:r>
        <w:rPr>
          <w:rFonts w:ascii="Arial" w:cs="Arial" w:eastAsia="Arial" w:hAnsi="Arial"/>
          <w:sz w:val="17"/>
          <w:szCs w:val="17"/>
          <w:color w:val="auto"/>
        </w:rPr>
        <w:t>” means the following:</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(i) With respect to Disabled Age 55 Conversion Option,</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Appendix 1.3 - 13</w:t>
      </w:r>
    </w:p>
    <w:p>
      <w:pPr>
        <w:sectPr>
          <w:pgSz w:w="11900" w:h="16838" w:orient="portrait"/>
          <w:cols w:equalWidth="0" w:num="1">
            <w:col w:w="11420"/>
          </w:cols>
          <w:pgMar w:left="240" w:top="553" w:right="239" w:bottom="1440" w:gutter="0" w:footer="0" w:header="0"/>
        </w:sectPr>
      </w:pPr>
    </w:p>
    <w:bookmarkStart w:id="127" w:name="page128"/>
    <w:bookmarkEnd w:id="127"/>
    <w:p>
      <w:pPr>
        <w:ind w:left="280" w:hanging="280"/>
        <w:spacing w:after="0"/>
        <w:tabs>
          <w:tab w:leader="none" w:pos="280" w:val="left"/>
        </w:tabs>
        <w:numPr>
          <w:ilvl w:val="0"/>
          <w:numId w:val="149"/>
        </w:numPr>
        <w:rPr>
          <w:rFonts w:ascii="Arial" w:cs="Arial" w:eastAsia="Arial" w:hAnsi="Arial"/>
          <w:sz w:val="15"/>
          <w:szCs w:val="15"/>
          <w:color w:val="auto"/>
        </w:rPr>
      </w:pPr>
      <w:r>
        <w:rPr>
          <w:rFonts w:ascii="Arial" w:cs="Arial" w:eastAsia="Arial" w:hAnsi="Arial"/>
          <w:sz w:val="15"/>
          <w:szCs w:val="15"/>
          <w:color w:val="auto"/>
        </w:rPr>
        <w:t xml:space="preserve">means that a </w:t>
      </w:r>
      <w:r>
        <w:rPr>
          <w:rFonts w:ascii="Arial" w:cs="Arial" w:eastAsia="Arial" w:hAnsi="Arial"/>
          <w:sz w:val="15"/>
          <w:szCs w:val="15"/>
          <w:i w:val="1"/>
          <w:iCs w:val="1"/>
          <w:color w:val="auto"/>
        </w:rPr>
        <w:t>Covered Life</w:t>
      </w:r>
      <w:r>
        <w:rPr>
          <w:rFonts w:ascii="Arial" w:cs="Arial" w:eastAsia="Arial" w:hAnsi="Arial"/>
          <w:sz w:val="15"/>
          <w:szCs w:val="15"/>
          <w:color w:val="auto"/>
        </w:rPr>
        <w:t xml:space="preserve"> (such </w:t>
      </w:r>
      <w:r>
        <w:rPr>
          <w:rFonts w:ascii="Arial" w:cs="Arial" w:eastAsia="Arial" w:hAnsi="Arial"/>
          <w:sz w:val="15"/>
          <w:szCs w:val="15"/>
          <w:i w:val="1"/>
          <w:iCs w:val="1"/>
          <w:color w:val="auto"/>
        </w:rPr>
        <w:t>Covered Life</w:t>
      </w:r>
      <w:r>
        <w:rPr>
          <w:rFonts w:ascii="Arial" w:cs="Arial" w:eastAsia="Arial" w:hAnsi="Arial"/>
          <w:sz w:val="15"/>
          <w:szCs w:val="15"/>
          <w:color w:val="auto"/>
        </w:rPr>
        <w:t xml:space="preserve"> being “you” or “your”) is shown on the Table of Information as having a “Disabled Age 55” Conversion Option, and</w:t>
      </w:r>
    </w:p>
    <w:p>
      <w:pPr>
        <w:spacing w:after="0" w:line="228" w:lineRule="exact"/>
        <w:rPr>
          <w:rFonts w:ascii="Arial" w:cs="Arial" w:eastAsia="Arial" w:hAnsi="Arial"/>
          <w:sz w:val="15"/>
          <w:szCs w:val="15"/>
          <w:color w:val="auto"/>
        </w:rPr>
      </w:pPr>
    </w:p>
    <w:p>
      <w:pPr>
        <w:ind w:left="260" w:hanging="260"/>
        <w:spacing w:after="0"/>
        <w:tabs>
          <w:tab w:leader="none" w:pos="260" w:val="left"/>
        </w:tabs>
        <w:numPr>
          <w:ilvl w:val="0"/>
          <w:numId w:val="149"/>
        </w:numPr>
        <w:rPr>
          <w:rFonts w:ascii="Arial" w:cs="Arial" w:eastAsia="Arial" w:hAnsi="Arial"/>
          <w:sz w:val="17"/>
          <w:szCs w:val="17"/>
          <w:color w:val="auto"/>
        </w:rPr>
      </w:pPr>
      <w:r>
        <w:rPr>
          <w:rFonts w:ascii="Arial" w:cs="Arial" w:eastAsia="Arial" w:hAnsi="Arial"/>
          <w:sz w:val="17"/>
          <w:szCs w:val="17"/>
          <w:color w:val="auto"/>
        </w:rPr>
        <w:t>you demonstrate that your age is 55 years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(ii) With respect to the General Conversion Option,</w:t>
      </w:r>
    </w:p>
    <w:p>
      <w:pPr>
        <w:spacing w:after="0" w:line="205" w:lineRule="exact"/>
        <w:rPr>
          <w:sz w:val="20"/>
          <w:szCs w:val="20"/>
          <w:color w:val="auto"/>
        </w:rPr>
      </w:pPr>
    </w:p>
    <w:p>
      <w:pPr>
        <w:ind w:right="160"/>
        <w:spacing w:after="0" w:line="266" w:lineRule="auto"/>
        <w:tabs>
          <w:tab w:leader="none" w:pos="273" w:val="left"/>
        </w:tabs>
        <w:numPr>
          <w:ilvl w:val="0"/>
          <w:numId w:val="150"/>
        </w:numPr>
        <w:rPr>
          <w:rFonts w:ascii="Arial" w:cs="Arial" w:eastAsia="Arial" w:hAnsi="Arial"/>
          <w:sz w:val="17"/>
          <w:szCs w:val="17"/>
          <w:color w:val="auto"/>
        </w:rPr>
      </w:pPr>
      <w:r>
        <w:rPr>
          <w:rFonts w:ascii="Arial" w:cs="Arial" w:eastAsia="Arial" w:hAnsi="Arial"/>
          <w:sz w:val="17"/>
          <w:szCs w:val="17"/>
          <w:color w:val="auto"/>
        </w:rPr>
        <w:t xml:space="preserve">means that a </w:t>
      </w:r>
      <w:r>
        <w:rPr>
          <w:rFonts w:ascii="Arial" w:cs="Arial" w:eastAsia="Arial" w:hAnsi="Arial"/>
          <w:sz w:val="17"/>
          <w:szCs w:val="17"/>
          <w:i w:val="1"/>
          <w:iCs w:val="1"/>
          <w:color w:val="auto"/>
        </w:rPr>
        <w:t>Covered Life</w:t>
      </w:r>
      <w:r>
        <w:rPr>
          <w:rFonts w:ascii="Arial" w:cs="Arial" w:eastAsia="Arial" w:hAnsi="Arial"/>
          <w:sz w:val="17"/>
          <w:szCs w:val="17"/>
          <w:color w:val="auto"/>
        </w:rPr>
        <w:t xml:space="preserve"> (such </w:t>
      </w:r>
      <w:r>
        <w:rPr>
          <w:rFonts w:ascii="Arial" w:cs="Arial" w:eastAsia="Arial" w:hAnsi="Arial"/>
          <w:sz w:val="17"/>
          <w:szCs w:val="17"/>
          <w:i w:val="1"/>
          <w:iCs w:val="1"/>
          <w:color w:val="auto"/>
        </w:rPr>
        <w:t>Covered Life</w:t>
      </w:r>
      <w:r>
        <w:rPr>
          <w:rFonts w:ascii="Arial" w:cs="Arial" w:eastAsia="Arial" w:hAnsi="Arial"/>
          <w:sz w:val="17"/>
          <w:szCs w:val="17"/>
          <w:color w:val="auto"/>
        </w:rPr>
        <w:t xml:space="preserve"> being “you” or “your”) is shown on the Table of Information as having a “General” Conversion Option, then you must demonstrate that you meet one of the following conditions before you can exercise the option:</w:t>
      </w:r>
    </w:p>
    <w:p>
      <w:pPr>
        <w:spacing w:after="0" w:line="167" w:lineRule="exact"/>
        <w:rPr>
          <w:rFonts w:ascii="Arial" w:cs="Arial" w:eastAsia="Arial" w:hAnsi="Arial"/>
          <w:sz w:val="17"/>
          <w:szCs w:val="17"/>
          <w:color w:val="auto"/>
        </w:rPr>
      </w:pPr>
    </w:p>
    <w:p>
      <w:pPr>
        <w:jc w:val="both"/>
        <w:spacing w:after="0" w:line="252" w:lineRule="auto"/>
        <w:tabs>
          <w:tab w:leader="none" w:pos="264" w:val="left"/>
        </w:tabs>
        <w:numPr>
          <w:ilvl w:val="0"/>
          <w:numId w:val="150"/>
        </w:numPr>
        <w:rPr>
          <w:rFonts w:ascii="Arial" w:cs="Arial" w:eastAsia="Arial" w:hAnsi="Arial"/>
          <w:sz w:val="17"/>
          <w:szCs w:val="17"/>
          <w:color w:val="auto"/>
        </w:rPr>
      </w:pPr>
      <w:r>
        <w:rPr>
          <w:rFonts w:ascii="Arial" w:cs="Arial" w:eastAsia="Arial" w:hAnsi="Arial"/>
          <w:sz w:val="17"/>
          <w:szCs w:val="17"/>
          <w:color w:val="auto"/>
        </w:rPr>
        <w:t>if your Annuity Form is the Spousal Joint and Survivor Life Annuity or the Contingent Joint and Survivor Life Annuity with your spouse as Contingent Life and if you became divorced after your Original Retirement Date (as specified on the Table of Information), then you can exercise the option if you comply with the following conditions. You must provide us with a qualified domestic relations order (QDRO) in a form acceptable to us. It must provide that such Contingent Life will not be entitled to any portion of the Contingent Life Amount when you die.</w:t>
      </w:r>
    </w:p>
    <w:p>
      <w:pPr>
        <w:spacing w:after="0" w:line="180" w:lineRule="exact"/>
        <w:rPr>
          <w:rFonts w:ascii="Arial" w:cs="Arial" w:eastAsia="Arial" w:hAnsi="Arial"/>
          <w:sz w:val="17"/>
          <w:szCs w:val="17"/>
          <w:color w:val="auto"/>
        </w:rPr>
      </w:pPr>
    </w:p>
    <w:p>
      <w:pPr>
        <w:jc w:val="both"/>
        <w:ind w:right="60"/>
        <w:spacing w:after="0" w:line="256" w:lineRule="auto"/>
        <w:tabs>
          <w:tab w:leader="none" w:pos="264" w:val="left"/>
        </w:tabs>
        <w:numPr>
          <w:ilvl w:val="0"/>
          <w:numId w:val="150"/>
        </w:numPr>
        <w:rPr>
          <w:rFonts w:ascii="Arial" w:cs="Arial" w:eastAsia="Arial" w:hAnsi="Arial"/>
          <w:sz w:val="17"/>
          <w:szCs w:val="17"/>
          <w:color w:val="auto"/>
        </w:rPr>
      </w:pPr>
      <w:r>
        <w:rPr>
          <w:rFonts w:ascii="Arial" w:cs="Arial" w:eastAsia="Arial" w:hAnsi="Arial"/>
          <w:sz w:val="17"/>
          <w:szCs w:val="17"/>
          <w:color w:val="auto"/>
        </w:rPr>
        <w:t>if your Annuity Form is the Contingent Joint and Survivor Life Annuity, and if your Contingent Life is not your spouse, you can exercise this option only in the event of post retirement marriage or re-marriage. No waiver from your Contingent Life is required. If we request, you must provide us with satisfactory proof of the good health of the Contingent Life before the Contingent Life can be removed and a new spouse can be added.</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Note that this option is limited to the situations described above. The following are examples of situations where you cannot exercise this option.</w:t>
      </w:r>
    </w:p>
    <w:p>
      <w:pPr>
        <w:spacing w:after="0" w:line="205" w:lineRule="exact"/>
        <w:rPr>
          <w:sz w:val="20"/>
          <w:szCs w:val="20"/>
          <w:color w:val="auto"/>
        </w:rPr>
      </w:pPr>
    </w:p>
    <w:p>
      <w:pPr>
        <w:ind w:right="80"/>
        <w:spacing w:after="0" w:line="266" w:lineRule="auto"/>
        <w:tabs>
          <w:tab w:leader="none" w:pos="273" w:val="left"/>
        </w:tabs>
        <w:numPr>
          <w:ilvl w:val="0"/>
          <w:numId w:val="151"/>
        </w:numPr>
        <w:rPr>
          <w:rFonts w:ascii="Arial" w:cs="Arial" w:eastAsia="Arial" w:hAnsi="Arial"/>
          <w:sz w:val="17"/>
          <w:szCs w:val="17"/>
          <w:color w:val="auto"/>
        </w:rPr>
      </w:pPr>
      <w:r>
        <w:rPr>
          <w:rFonts w:ascii="Arial" w:cs="Arial" w:eastAsia="Arial" w:hAnsi="Arial"/>
          <w:sz w:val="17"/>
          <w:szCs w:val="17"/>
          <w:color w:val="auto"/>
        </w:rPr>
        <w:t>if your Annuity Form is the Spousal Joint and Survivor Life Annuity and if you have not been divorced since your Original Retirement Date, you cannot exercise this option.</w:t>
      </w:r>
    </w:p>
    <w:p>
      <w:pPr>
        <w:spacing w:after="0" w:line="167" w:lineRule="exact"/>
        <w:rPr>
          <w:rFonts w:ascii="Arial" w:cs="Arial" w:eastAsia="Arial" w:hAnsi="Arial"/>
          <w:sz w:val="17"/>
          <w:szCs w:val="17"/>
          <w:color w:val="auto"/>
        </w:rPr>
      </w:pPr>
    </w:p>
    <w:p>
      <w:pPr>
        <w:ind w:right="40"/>
        <w:spacing w:after="0" w:line="266" w:lineRule="auto"/>
        <w:tabs>
          <w:tab w:leader="none" w:pos="273" w:val="left"/>
        </w:tabs>
        <w:numPr>
          <w:ilvl w:val="0"/>
          <w:numId w:val="151"/>
        </w:numPr>
        <w:rPr>
          <w:rFonts w:ascii="Arial" w:cs="Arial" w:eastAsia="Arial" w:hAnsi="Arial"/>
          <w:sz w:val="17"/>
          <w:szCs w:val="17"/>
          <w:color w:val="auto"/>
        </w:rPr>
      </w:pPr>
      <w:r>
        <w:rPr>
          <w:rFonts w:ascii="Arial" w:cs="Arial" w:eastAsia="Arial" w:hAnsi="Arial"/>
          <w:sz w:val="17"/>
          <w:szCs w:val="17"/>
          <w:color w:val="auto"/>
        </w:rPr>
        <w:t>if your Annuity Form is the Contingent Joint and Survivor Life Annuity, if your Contingent Life is your spouse, and if you have not been divorced since your Original Retirement Date, you cannot exercise this option.</w:t>
      </w:r>
    </w:p>
    <w:p>
      <w:pPr>
        <w:spacing w:after="0" w:line="368" w:lineRule="exact"/>
        <w:rPr>
          <w:sz w:val="20"/>
          <w:szCs w:val="20"/>
          <w:color w:val="auto"/>
        </w:rPr>
      </w:pPr>
    </w:p>
    <w:p>
      <w:pPr>
        <w:ind w:right="20"/>
        <w:spacing w:after="0" w:line="25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Conversion Options</w:t>
      </w:r>
      <w:r>
        <w:rPr>
          <w:rFonts w:ascii="Arial" w:cs="Arial" w:eastAsia="Arial" w:hAnsi="Arial"/>
          <w:sz w:val="17"/>
          <w:szCs w:val="17"/>
          <w:color w:val="auto"/>
        </w:rPr>
        <w:t xml:space="preserve">” means, if the “Disabled Age 55 Conversion Option,” and/or the “General Conversion Option,” is specified in the Table of Information as applicable to you, and if such option is attached to an Annuity Form eligible for such option, the following options may convert the benefit from one Annuity Form to another Annuity Form. A Conversion Option cannot be exercised by a </w:t>
      </w:r>
      <w:r>
        <w:rPr>
          <w:rFonts w:ascii="Arial" w:cs="Arial" w:eastAsia="Arial" w:hAnsi="Arial"/>
          <w:sz w:val="17"/>
          <w:szCs w:val="17"/>
          <w:i w:val="1"/>
          <w:iCs w:val="1"/>
          <w:color w:val="auto"/>
        </w:rPr>
        <w:t>Contingent Life</w:t>
      </w:r>
      <w:r>
        <w:rPr>
          <w:rFonts w:ascii="Arial" w:cs="Arial" w:eastAsia="Arial" w:hAnsi="Arial"/>
          <w:sz w:val="17"/>
          <w:szCs w:val="17"/>
          <w:color w:val="auto"/>
        </w:rPr>
        <w:t xml:space="preserve"> or a </w:t>
      </w:r>
      <w:r>
        <w:rPr>
          <w:rFonts w:ascii="Arial" w:cs="Arial" w:eastAsia="Arial" w:hAnsi="Arial"/>
          <w:sz w:val="17"/>
          <w:szCs w:val="17"/>
          <w:i w:val="1"/>
          <w:iCs w:val="1"/>
          <w:color w:val="auto"/>
        </w:rPr>
        <w:t>Beneficiary</w:t>
      </w:r>
      <w:r>
        <w:rPr>
          <w:rFonts w:ascii="Arial" w:cs="Arial" w:eastAsia="Arial" w:hAnsi="Arial"/>
          <w:sz w:val="17"/>
          <w:szCs w:val="17"/>
          <w:color w:val="auto"/>
        </w:rPr>
        <w:t>.</w:t>
      </w:r>
    </w:p>
    <w:p>
      <w:pPr>
        <w:spacing w:after="0" w:line="376"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(i)“Disabled Age 55 Conversion Option” means, if you are specified in the Table of Information as having a “Disabled Age 55” Conversion Option (because such person retired from the Plan under a disability retirement prior to age 55) and also as receiving a distribution of one of the following Annuity Forms:</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Single Life Annuity</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Spousal Joint and Survivor Annuity</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then such option is available to such </w:t>
      </w:r>
      <w:r>
        <w:rPr>
          <w:rFonts w:ascii="Arial" w:cs="Arial" w:eastAsia="Arial" w:hAnsi="Arial"/>
          <w:sz w:val="17"/>
          <w:szCs w:val="17"/>
          <w:i w:val="1"/>
          <w:iCs w:val="1"/>
          <w:color w:val="auto"/>
        </w:rPr>
        <w:t>Covered Life</w:t>
      </w:r>
      <w:r>
        <w:rPr>
          <w:rFonts w:ascii="Arial" w:cs="Arial" w:eastAsia="Arial" w:hAnsi="Arial"/>
          <w:sz w:val="17"/>
          <w:szCs w:val="17"/>
          <w:color w:val="auto"/>
        </w:rPr>
        <w:t xml:space="preserve"> (“you” or “your”).</w:t>
      </w:r>
    </w:p>
    <w:p>
      <w:pPr>
        <w:spacing w:after="0" w:line="205" w:lineRule="exact"/>
        <w:rPr>
          <w:sz w:val="20"/>
          <w:szCs w:val="20"/>
          <w:color w:val="auto"/>
        </w:rPr>
      </w:pPr>
    </w:p>
    <w:p>
      <w:pPr>
        <w:ind w:right="260"/>
        <w:spacing w:after="0" w:line="256" w:lineRule="auto"/>
        <w:rPr>
          <w:sz w:val="20"/>
          <w:szCs w:val="20"/>
          <w:color w:val="auto"/>
        </w:rPr>
      </w:pPr>
      <w:r>
        <w:rPr>
          <w:rFonts w:ascii="Arial" w:cs="Arial" w:eastAsia="Arial" w:hAnsi="Arial"/>
          <w:sz w:val="17"/>
          <w:szCs w:val="17"/>
          <w:color w:val="auto"/>
        </w:rPr>
        <w:t>When you reach age 55, you may exercise this option to convert your current Annuity Form. Before your option exercise can become effective, you must satisfy the applicable Conversion Conditions. You can select your new Annuity Form from the following list. However, if you are married at the time you exercise this option, we will automatically convert your Annuity Form into a Spousal Joint and Survivor Annuity absent a qualified election.</w:t>
      </w:r>
    </w:p>
    <w:p>
      <w:pPr>
        <w:spacing w:after="0" w:line="176" w:lineRule="exact"/>
        <w:rPr>
          <w:sz w:val="20"/>
          <w:szCs w:val="20"/>
          <w:color w:val="auto"/>
        </w:rPr>
      </w:pPr>
    </w:p>
    <w:p>
      <w:pPr>
        <w:ind w:right="60"/>
        <w:spacing w:after="0" w:line="252" w:lineRule="auto"/>
        <w:rPr>
          <w:sz w:val="20"/>
          <w:szCs w:val="20"/>
          <w:color w:val="auto"/>
        </w:rPr>
      </w:pPr>
      <w:r>
        <w:rPr>
          <w:rFonts w:ascii="Arial" w:cs="Arial" w:eastAsia="Arial" w:hAnsi="Arial"/>
          <w:sz w:val="17"/>
          <w:szCs w:val="17"/>
          <w:color w:val="auto"/>
        </w:rPr>
        <w:t>Single Life Annuity: If you elect this Annuity Form, the pre-62+1 Pension Amount payable to you will equal the sum of two numbers. The first number equals your Disability Age 55 Pre-62+1 Pension Amount (as specified in the Table of Information). The second number equals your Disability Temporary Annuity (if specified on the Table of Information) where there has been a denial of Social Security Disability benefits. Your post-62+1 Pension Amount will equal your Disability Age 55 Post 62+1 Pension Amount (as specified in the Table of Information).</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Appendix 1.3 - 14</w:t>
      </w:r>
    </w:p>
    <w:p>
      <w:pPr>
        <w:sectPr>
          <w:pgSz w:w="11900" w:h="16838" w:orient="portrait"/>
          <w:cols w:equalWidth="0" w:num="1">
            <w:col w:w="11420"/>
          </w:cols>
          <w:pgMar w:left="240" w:top="553" w:right="239" w:bottom="1440" w:gutter="0" w:footer="0" w:header="0"/>
        </w:sectPr>
      </w:pPr>
    </w:p>
    <w:bookmarkStart w:id="128" w:name="page129"/>
    <w:bookmarkEnd w:id="128"/>
    <w:p>
      <w:pPr>
        <w:ind w:right="120"/>
        <w:spacing w:after="0" w:line="249" w:lineRule="auto"/>
        <w:rPr>
          <w:sz w:val="20"/>
          <w:szCs w:val="20"/>
          <w:color w:val="auto"/>
        </w:rPr>
      </w:pPr>
      <w:r>
        <w:rPr>
          <w:rFonts w:ascii="Arial" w:cs="Arial" w:eastAsia="Arial" w:hAnsi="Arial"/>
          <w:sz w:val="17"/>
          <w:szCs w:val="17"/>
          <w:color w:val="auto"/>
        </w:rPr>
        <w:t>Spousal Joint and Survivor Life Annuity: If at the time of your disability, you were married and elected a Contingent Joint and Survivor Life Annuity you are not eligible to make this election at age 55. If you elect this Annuity Form, your pre-62+1 Pension Amount will equal the product obtained by multiplying two numbers and then adding a third number. The first number is your Disability Age 55 Pre-62+1 Pension Amount (as specified in the Table of Information). The second number is your Spousal Joint and Survivor Life Annuity Pop-Up Decrease Factor. The third number is any Disability Temporary Annuity specified for you on the Table of Information where there has been a denial of Social Security Disability benefits. Your post-62+1 Pension Amount will equal the product obtained by multiplying two numbers. The first number is your Disability Age 55 Post 62+1 Pension Amount. The second number is your Spousal Joint and Survivor Life Annuity Pop-Up Decrease Factor as determined in accordance with the Contract.</w:t>
      </w:r>
    </w:p>
    <w:p>
      <w:pPr>
        <w:spacing w:after="0" w:line="183" w:lineRule="exact"/>
        <w:rPr>
          <w:sz w:val="20"/>
          <w:szCs w:val="20"/>
          <w:color w:val="auto"/>
        </w:rPr>
      </w:pPr>
    </w:p>
    <w:p>
      <w:pPr>
        <w:ind w:right="80"/>
        <w:spacing w:after="0" w:line="251" w:lineRule="auto"/>
        <w:rPr>
          <w:sz w:val="20"/>
          <w:szCs w:val="20"/>
          <w:color w:val="auto"/>
        </w:rPr>
      </w:pPr>
      <w:r>
        <w:rPr>
          <w:rFonts w:ascii="Arial" w:cs="Arial" w:eastAsia="Arial" w:hAnsi="Arial"/>
          <w:sz w:val="17"/>
          <w:szCs w:val="17"/>
          <w:color w:val="auto"/>
        </w:rPr>
        <w:t>The amount we will pay your spousal Contingent Life will equal the result of multiplying two numbers. The first number is the Covered Life Amount payable to you pursuant to the foregoing paragraph. The second number is a percentage. The applicable percentage is based on the corresponding Original Retirement Date specified for such Covered Life in the Table of Information or in our records: (1) 65% for an Original Retirement Date on/after October 1, 1999, (2) 60 % for an Original Retirement Date on/after November 1, 1976 and prior to October 1, 1999 (3) 55% for an Original Retirement Date on/after September 1, 1964 and prior to November 1, 1976 and (4) 50 % for an Original Retirement Date prior to September 1, 1964.</w:t>
      </w:r>
    </w:p>
    <w:p>
      <w:pPr>
        <w:spacing w:after="0" w:line="179" w:lineRule="exact"/>
        <w:rPr>
          <w:sz w:val="20"/>
          <w:szCs w:val="20"/>
          <w:color w:val="auto"/>
        </w:rPr>
      </w:pPr>
    </w:p>
    <w:p>
      <w:pPr>
        <w:ind w:right="20"/>
        <w:spacing w:after="0" w:line="266" w:lineRule="auto"/>
        <w:tabs>
          <w:tab w:leader="none" w:pos="245" w:val="left"/>
        </w:tabs>
        <w:numPr>
          <w:ilvl w:val="0"/>
          <w:numId w:val="152"/>
        </w:numPr>
        <w:rPr>
          <w:rFonts w:ascii="Arial" w:cs="Arial" w:eastAsia="Arial" w:hAnsi="Arial"/>
          <w:sz w:val="17"/>
          <w:szCs w:val="17"/>
          <w:color w:val="auto"/>
        </w:rPr>
      </w:pPr>
      <w:r>
        <w:rPr>
          <w:rFonts w:ascii="Arial" w:cs="Arial" w:eastAsia="Arial" w:hAnsi="Arial"/>
          <w:sz w:val="17"/>
          <w:szCs w:val="17"/>
          <w:color w:val="auto"/>
        </w:rPr>
        <w:t>“General Conversion Option” means, if you are shown in the Table of Information as having a “General” Conversion Option and also as receiving a distribution of one of the following Annuity Forms:</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color w:val="auto"/>
        </w:rPr>
        <w:t>Spousal Joint and Survivor Annuity</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Contingent Joint and Survivor Life Annuity</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then such option is available to the </w:t>
      </w:r>
      <w:r>
        <w:rPr>
          <w:rFonts w:ascii="Arial" w:cs="Arial" w:eastAsia="Arial" w:hAnsi="Arial"/>
          <w:sz w:val="17"/>
          <w:szCs w:val="17"/>
          <w:i w:val="1"/>
          <w:iCs w:val="1"/>
          <w:color w:val="auto"/>
        </w:rPr>
        <w:t>Covered Life</w:t>
      </w:r>
      <w:r>
        <w:rPr>
          <w:rFonts w:ascii="Arial" w:cs="Arial" w:eastAsia="Arial" w:hAnsi="Arial"/>
          <w:sz w:val="17"/>
          <w:szCs w:val="17"/>
          <w:color w:val="auto"/>
        </w:rPr>
        <w:t xml:space="preserve"> (“you” or “your”).</w:t>
      </w:r>
    </w:p>
    <w:p>
      <w:pPr>
        <w:spacing w:after="0" w:line="205" w:lineRule="exact"/>
        <w:rPr>
          <w:sz w:val="20"/>
          <w:szCs w:val="20"/>
          <w:color w:val="auto"/>
        </w:rPr>
      </w:pPr>
    </w:p>
    <w:p>
      <w:pPr>
        <w:ind w:right="240"/>
        <w:spacing w:after="0" w:line="266" w:lineRule="auto"/>
        <w:rPr>
          <w:sz w:val="20"/>
          <w:szCs w:val="20"/>
          <w:color w:val="auto"/>
        </w:rPr>
      </w:pPr>
      <w:r>
        <w:rPr>
          <w:rFonts w:ascii="Arial" w:cs="Arial" w:eastAsia="Arial" w:hAnsi="Arial"/>
          <w:sz w:val="17"/>
          <w:szCs w:val="17"/>
          <w:color w:val="auto"/>
        </w:rPr>
        <w:t>The option allows you to convert your Annuity Form into a Single Life Annuity Form. Before your option exercise can become effective, you must meet the applicable Conversion Conditions. You must also notify us using a form provided by us.</w:t>
      </w:r>
    </w:p>
    <w:p>
      <w:pPr>
        <w:spacing w:after="0" w:line="168" w:lineRule="exact"/>
        <w:rPr>
          <w:sz w:val="20"/>
          <w:szCs w:val="20"/>
          <w:color w:val="auto"/>
        </w:rPr>
      </w:pPr>
    </w:p>
    <w:p>
      <w:pPr>
        <w:jc w:val="both"/>
        <w:ind w:right="60"/>
        <w:spacing w:after="0" w:line="251" w:lineRule="auto"/>
        <w:rPr>
          <w:sz w:val="20"/>
          <w:szCs w:val="20"/>
          <w:color w:val="auto"/>
        </w:rPr>
      </w:pPr>
      <w:r>
        <w:rPr>
          <w:rFonts w:ascii="Arial" w:cs="Arial" w:eastAsia="Arial" w:hAnsi="Arial"/>
          <w:sz w:val="17"/>
          <w:szCs w:val="17"/>
          <w:color w:val="auto"/>
        </w:rPr>
        <w:t xml:space="preserve">Once you exercise your option, we will not owe any money to your </w:t>
      </w:r>
      <w:r>
        <w:rPr>
          <w:rFonts w:ascii="Arial" w:cs="Arial" w:eastAsia="Arial" w:hAnsi="Arial"/>
          <w:sz w:val="17"/>
          <w:szCs w:val="17"/>
          <w:i w:val="1"/>
          <w:iCs w:val="1"/>
          <w:color w:val="auto"/>
        </w:rPr>
        <w:t>Contingent Life</w:t>
      </w:r>
      <w:r>
        <w:rPr>
          <w:rFonts w:ascii="Arial" w:cs="Arial" w:eastAsia="Arial" w:hAnsi="Arial"/>
          <w:sz w:val="17"/>
          <w:szCs w:val="17"/>
          <w:color w:val="auto"/>
        </w:rPr>
        <w:t xml:space="preserve"> after you die. Instead, we will increase the Covered Life Amount payable to you. The amount of the increase will equal the </w:t>
      </w:r>
      <w:r>
        <w:rPr>
          <w:rFonts w:ascii="Arial" w:cs="Arial" w:eastAsia="Arial" w:hAnsi="Arial"/>
          <w:sz w:val="17"/>
          <w:szCs w:val="17"/>
          <w:i w:val="1"/>
          <w:iCs w:val="1"/>
          <w:color w:val="auto"/>
        </w:rPr>
        <w:t>Pop-Up Amount</w:t>
      </w:r>
      <w:r>
        <w:rPr>
          <w:rFonts w:ascii="Arial" w:cs="Arial" w:eastAsia="Arial" w:hAnsi="Arial"/>
          <w:sz w:val="17"/>
          <w:szCs w:val="17"/>
          <w:color w:val="auto"/>
        </w:rPr>
        <w:t xml:space="preserve"> in the Table of Information. If the Annuity Form is a Contingent Joint and Survivor Life Annuity, the amount of the increase will equal the result of multiplying two numbers. The first number is the </w:t>
      </w:r>
      <w:r>
        <w:rPr>
          <w:rFonts w:ascii="Arial" w:cs="Arial" w:eastAsia="Arial" w:hAnsi="Arial"/>
          <w:sz w:val="17"/>
          <w:szCs w:val="17"/>
          <w:i w:val="1"/>
          <w:iCs w:val="1"/>
          <w:color w:val="auto"/>
        </w:rPr>
        <w:t>Part A Basic Amount</w:t>
      </w:r>
      <w:r>
        <w:rPr>
          <w:rFonts w:ascii="Arial" w:cs="Arial" w:eastAsia="Arial" w:hAnsi="Arial"/>
          <w:sz w:val="17"/>
          <w:szCs w:val="17"/>
          <w:color w:val="auto"/>
        </w:rPr>
        <w:t xml:space="preserve"> specified for you in the Table of Information. The second number is the Continent Joint and Survivor Life Annuity Pop-Up Increase Factor determined under the Contract. We will start paying the increased amount on the first day of the month after the exercise of your option becomes effective.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Method of Payment:</w:t>
      </w:r>
    </w:p>
    <w:p>
      <w:pPr>
        <w:spacing w:after="0" w:line="209" w:lineRule="exact"/>
        <w:rPr>
          <w:sz w:val="20"/>
          <w:szCs w:val="20"/>
          <w:color w:val="auto"/>
        </w:rPr>
      </w:pPr>
    </w:p>
    <w:p>
      <w:pPr>
        <w:spacing w:after="0" w:line="256" w:lineRule="auto"/>
        <w:rPr>
          <w:sz w:val="20"/>
          <w:szCs w:val="20"/>
          <w:color w:val="auto"/>
        </w:rPr>
      </w:pPr>
      <w:r>
        <w:rPr>
          <w:rFonts w:ascii="Arial" w:cs="Arial" w:eastAsia="Arial" w:hAnsi="Arial"/>
          <w:sz w:val="17"/>
          <w:szCs w:val="17"/>
          <w:color w:val="auto"/>
        </w:rPr>
        <w:t>We will make all payments in U.S. dollars. Payees may elect to receive payments either by check or by direct deposit to a bank or other financial institution chosen by the Payee. Checks are mailed to the last known address for the Payee as shown on our records. Direct deposit may be selected only by using a form supplied for such purpose.</w:t>
      </w:r>
    </w:p>
    <w:p>
      <w:pPr>
        <w:spacing w:after="0" w:line="17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 xml:space="preserve">By written notice, a Payee may request a change of the mailing address we use for payments by check. By using a form we supply, a Payee may change the bank or other financial institution receiving direct payments. Payees must deliver these items to Prudential as described below under </w:t>
      </w:r>
      <w:r>
        <w:rPr>
          <w:rFonts w:ascii="Arial" w:cs="Arial" w:eastAsia="Arial" w:hAnsi="Arial"/>
          <w:sz w:val="16"/>
          <w:szCs w:val="16"/>
          <w:b w:val="1"/>
          <w:bCs w:val="1"/>
          <w:color w:val="auto"/>
        </w:rPr>
        <w:t>"Correspondence."</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We may change these procedures by sending a letter to the Payee. We will use the address last shown on our records.</w:t>
      </w:r>
    </w:p>
    <w:p>
      <w:pPr>
        <w:spacing w:after="0" w:line="201" w:lineRule="exact"/>
        <w:rPr>
          <w:sz w:val="20"/>
          <w:szCs w:val="20"/>
          <w:color w:val="auto"/>
        </w:rPr>
      </w:pPr>
    </w:p>
    <w:p>
      <w:pPr>
        <w:ind w:left="3000"/>
        <w:spacing w:after="0"/>
        <w:rPr>
          <w:sz w:val="20"/>
          <w:szCs w:val="20"/>
          <w:color w:val="auto"/>
        </w:rPr>
      </w:pPr>
      <w:r>
        <w:rPr>
          <w:rFonts w:ascii="Arial" w:cs="Arial" w:eastAsia="Arial" w:hAnsi="Arial"/>
          <w:sz w:val="17"/>
          <w:szCs w:val="17"/>
          <w:b w:val="1"/>
          <w:bCs w:val="1"/>
          <w:color w:val="auto"/>
        </w:rPr>
        <w:t>Correspondence:</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Mail any notices and forms to the current notice address. The current notice address is:</w:t>
      </w:r>
    </w:p>
    <w:p>
      <w:pPr>
        <w:spacing w:after="0" w:line="205"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The Prudential Insurance Company of America</w:t>
      </w:r>
    </w:p>
    <w:p>
      <w:pPr>
        <w:spacing w:after="0" w:line="17"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[P.O. Box 5370</w:t>
      </w:r>
    </w:p>
    <w:p>
      <w:pPr>
        <w:spacing w:after="0" w:line="1"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Scranton, PA 18505-5370</w:t>
      </w:r>
      <w:r>
        <w:rPr>
          <w:rFonts w:ascii="Arial" w:cs="Arial" w:eastAsia="Arial" w:hAnsi="Arial"/>
          <w:sz w:val="18"/>
          <w:szCs w:val="18"/>
          <w:color w:val="auto"/>
        </w:rPr>
        <w:t>]</w:t>
      </w:r>
      <w:r>
        <w:rPr>
          <w:rFonts w:ascii="Arial" w:cs="Arial" w:eastAsia="Arial" w:hAnsi="Arial"/>
          <w:sz w:val="17"/>
          <w:szCs w:val="17"/>
          <w:color w:val="auto"/>
        </w:rPr>
        <w:t xml:space="preserve"> </w:t>
      </w:r>
      <w:r>
        <w:rPr>
          <w:rFonts w:ascii="Arial" w:cs="Arial" w:eastAsia="Arial" w:hAnsi="Arial"/>
          <w:sz w:val="23"/>
          <w:szCs w:val="23"/>
          <w:color w:val="auto"/>
          <w:vertAlign w:val="superscript"/>
        </w:rPr>
        <w:t>C</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color w:val="auto"/>
        </w:rPr>
        <w:t>Prudential may change the notice address by sending a letter to the Payee. We will use the address last shown on our records.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Appendix 1.3 - 15</w:t>
      </w:r>
    </w:p>
    <w:p>
      <w:pPr>
        <w:sectPr>
          <w:pgSz w:w="11900" w:h="16838" w:orient="portrait"/>
          <w:cols w:equalWidth="0" w:num="1">
            <w:col w:w="11420"/>
          </w:cols>
          <w:pgMar w:left="240" w:top="553" w:right="239" w:bottom="1440" w:gutter="0" w:footer="0" w:header="0"/>
        </w:sectPr>
      </w:pPr>
    </w:p>
    <w:bookmarkStart w:id="129" w:name="page130"/>
    <w:bookmarkEnd w:id="129"/>
    <w:p>
      <w:pPr>
        <w:jc w:val="both"/>
        <w:spacing w:after="0" w:line="266" w:lineRule="auto"/>
        <w:rPr>
          <w:sz w:val="20"/>
          <w:szCs w:val="20"/>
          <w:color w:val="auto"/>
        </w:rPr>
      </w:pPr>
      <w:r>
        <w:rPr>
          <w:rFonts w:ascii="Arial" w:cs="Arial" w:eastAsia="Arial" w:hAnsi="Arial"/>
          <w:sz w:val="17"/>
          <w:szCs w:val="17"/>
          <w:color w:val="auto"/>
        </w:rPr>
        <w:t>All notices must be in writing. Payee must sign all notices and forms. Please refer to the Annuity Certificate Number and the Group Annuity Contract Number (shown on the first page of this Certificate) on all notices and forms sent to us.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 Beneficiaries:</w:t>
      </w:r>
    </w:p>
    <w:p>
      <w:pPr>
        <w:spacing w:after="0" w:line="20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 xml:space="preserve">You may change Beneficiaries as described below. After you die, the </w:t>
      </w:r>
      <w:r>
        <w:rPr>
          <w:rFonts w:ascii="Arial" w:cs="Arial" w:eastAsia="Arial" w:hAnsi="Arial"/>
          <w:sz w:val="17"/>
          <w:szCs w:val="17"/>
          <w:i w:val="1"/>
          <w:iCs w:val="1"/>
          <w:color w:val="auto"/>
        </w:rPr>
        <w:t>Contingent Life</w:t>
      </w:r>
      <w:r>
        <w:rPr>
          <w:rFonts w:ascii="Arial" w:cs="Arial" w:eastAsia="Arial" w:hAnsi="Arial"/>
          <w:sz w:val="17"/>
          <w:szCs w:val="17"/>
          <w:color w:val="auto"/>
        </w:rPr>
        <w:t xml:space="preserve"> may change Beneficiaries as described below. You may tell us on the Beneficiary Form to disregard Beneficiary changes made by the </w:t>
      </w:r>
      <w:r>
        <w:rPr>
          <w:rFonts w:ascii="Arial" w:cs="Arial" w:eastAsia="Arial" w:hAnsi="Arial"/>
          <w:sz w:val="17"/>
          <w:szCs w:val="17"/>
          <w:i w:val="1"/>
          <w:iCs w:val="1"/>
          <w:color w:val="auto"/>
        </w:rPr>
        <w:t>Contingent Life</w:t>
      </w:r>
      <w:r>
        <w:rPr>
          <w:rFonts w:ascii="Arial" w:cs="Arial" w:eastAsia="Arial" w:hAnsi="Arial"/>
          <w:sz w:val="17"/>
          <w:szCs w:val="17"/>
          <w:color w:val="auto"/>
        </w:rPr>
        <w:t xml:space="preserve"> after your death. If you do not, we will honor those changes.</w:t>
      </w:r>
    </w:p>
    <w:p>
      <w:pPr>
        <w:spacing w:after="0" w:line="164"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Selections and changes of Beneficiaries must use a form ("</w:t>
      </w:r>
      <w:r>
        <w:rPr>
          <w:rFonts w:ascii="Arial" w:cs="Arial" w:eastAsia="Arial" w:hAnsi="Arial"/>
          <w:sz w:val="17"/>
          <w:szCs w:val="17"/>
          <w:b w:val="1"/>
          <w:bCs w:val="1"/>
          <w:color w:val="auto"/>
        </w:rPr>
        <w:t>Beneficiary Form</w:t>
      </w:r>
      <w:r>
        <w:rPr>
          <w:rFonts w:ascii="Arial" w:cs="Arial" w:eastAsia="Arial" w:hAnsi="Arial"/>
          <w:sz w:val="17"/>
          <w:szCs w:val="17"/>
          <w:color w:val="auto"/>
        </w:rPr>
        <w:t>") we supply. Beneficiary Forms must be delivered to Prudential as described above under "</w:t>
      </w:r>
      <w:r>
        <w:rPr>
          <w:rFonts w:ascii="Arial" w:cs="Arial" w:eastAsia="Arial" w:hAnsi="Arial"/>
          <w:sz w:val="17"/>
          <w:szCs w:val="17"/>
          <w:b w:val="1"/>
          <w:bCs w:val="1"/>
          <w:color w:val="auto"/>
        </w:rPr>
        <w:t>Correspondence</w:t>
      </w:r>
      <w:r>
        <w:rPr>
          <w:rFonts w:ascii="Arial" w:cs="Arial" w:eastAsia="Arial" w:hAnsi="Arial"/>
          <w:sz w:val="17"/>
          <w:szCs w:val="17"/>
          <w:color w:val="auto"/>
        </w:rPr>
        <w:t>." Selections and changes must comply with all applicable laws, including those relating to spousal waivers. Unless required by law or the Plan, we will not require any existing Beneficiary to consent to a change of Beneficiaries.</w:t>
      </w:r>
    </w:p>
    <w:p>
      <w:pPr>
        <w:spacing w:after="0" w:line="175" w:lineRule="exact"/>
        <w:rPr>
          <w:sz w:val="20"/>
          <w:szCs w:val="20"/>
          <w:color w:val="auto"/>
        </w:rPr>
      </w:pPr>
    </w:p>
    <w:p>
      <w:pPr>
        <w:jc w:val="both"/>
        <w:ind w:right="200"/>
        <w:spacing w:after="0" w:line="285" w:lineRule="auto"/>
        <w:rPr>
          <w:sz w:val="20"/>
          <w:szCs w:val="20"/>
          <w:color w:val="auto"/>
        </w:rPr>
      </w:pPr>
      <w:r>
        <w:rPr>
          <w:rFonts w:ascii="Arial" w:cs="Arial" w:eastAsia="Arial" w:hAnsi="Arial"/>
          <w:sz w:val="16"/>
          <w:szCs w:val="16"/>
          <w:color w:val="auto"/>
        </w:rPr>
        <w:t xml:space="preserve">Beneficiary selection and changes shall take effect on the date you (or your </w:t>
      </w:r>
      <w:r>
        <w:rPr>
          <w:rFonts w:ascii="Arial" w:cs="Arial" w:eastAsia="Arial" w:hAnsi="Arial"/>
          <w:sz w:val="16"/>
          <w:szCs w:val="16"/>
          <w:i w:val="1"/>
          <w:iCs w:val="1"/>
          <w:color w:val="auto"/>
        </w:rPr>
        <w:t>Contingent Life</w:t>
      </w:r>
      <w:r>
        <w:rPr>
          <w:rFonts w:ascii="Arial" w:cs="Arial" w:eastAsia="Arial" w:hAnsi="Arial"/>
          <w:sz w:val="16"/>
          <w:szCs w:val="16"/>
          <w:color w:val="auto"/>
        </w:rPr>
        <w:t xml:space="preserve">) sign the change in Beneficiary form. However, no change shall be effective with respect to any action taken by us before we receive the change in Beneficiary form. Unless otherwise indicated on the Beneficiary designation or change form, the interest of any </w:t>
      </w:r>
      <w:r>
        <w:rPr>
          <w:rFonts w:ascii="Arial" w:cs="Arial" w:eastAsia="Arial" w:hAnsi="Arial"/>
          <w:sz w:val="16"/>
          <w:szCs w:val="16"/>
          <w:i w:val="1"/>
          <w:iCs w:val="1"/>
          <w:color w:val="auto"/>
        </w:rPr>
        <w:t>Beneficiary</w:t>
      </w:r>
      <w:r>
        <w:rPr>
          <w:rFonts w:ascii="Arial" w:cs="Arial" w:eastAsia="Arial" w:hAnsi="Arial"/>
          <w:sz w:val="16"/>
          <w:szCs w:val="16"/>
          <w:color w:val="auto"/>
        </w:rPr>
        <w:t xml:space="preserve"> who dies before you (or where applicable, your </w:t>
      </w:r>
      <w:r>
        <w:rPr>
          <w:rFonts w:ascii="Arial" w:cs="Arial" w:eastAsia="Arial" w:hAnsi="Arial"/>
          <w:sz w:val="16"/>
          <w:szCs w:val="16"/>
          <w:i w:val="1"/>
          <w:iCs w:val="1"/>
          <w:color w:val="auto"/>
        </w:rPr>
        <w:t>Contingent life</w:t>
      </w:r>
      <w:r>
        <w:rPr>
          <w:rFonts w:ascii="Arial" w:cs="Arial" w:eastAsia="Arial" w:hAnsi="Arial"/>
          <w:sz w:val="16"/>
          <w:szCs w:val="16"/>
          <w:color w:val="auto"/>
        </w:rPr>
        <w:t xml:space="preserve">) ceases altogether.] </w:t>
      </w:r>
      <w:r>
        <w:rPr>
          <w:rFonts w:ascii="Arial" w:cs="Arial" w:eastAsia="Arial" w:hAnsi="Arial"/>
          <w:sz w:val="22"/>
          <w:szCs w:val="22"/>
          <w:color w:val="auto"/>
          <w:vertAlign w:val="superscript"/>
        </w:rPr>
        <w:t>D</w:t>
      </w:r>
    </w:p>
    <w:p>
      <w:pPr>
        <w:spacing w:after="0" w:line="6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Assignment:</w:t>
      </w:r>
    </w:p>
    <w:p>
      <w:pPr>
        <w:spacing w:after="0" w:line="209"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Payees may not assign, pledge, anticipate, accelerate or transfer this Annuity, except as expressly provided in the Contract. Also, Payees may not use a Representative to do the same. To the full extent permitted by law, Annuity payments are not subject to the claims of creditors. Compliance with a domestic relations order meeting the requirements of the Contract will not be considered an impermissible transaction or claim.</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Qualified Domestic Relations Orders:</w:t>
      </w:r>
    </w:p>
    <w:p>
      <w:pPr>
        <w:spacing w:after="0" w:line="209"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Should your Annuity become subject to a Qualified Domestic Relations Order, we may be required to alter monthly payments under the Annuity. We may make payments according to such order, regardless of the Annuity Form selected. This includes any adjustments needed to retroactively implement the order. We may rely upon any Qualified Domestic Relations Order we believe to be valid.</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Reliance Upon Affidavit or Other Evidence:</w:t>
      </w:r>
    </w:p>
    <w:p>
      <w:pPr>
        <w:spacing w:after="0" w:line="20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We may rely upon an affidavit or other evidence to verify relevant facts. Payments we make in reliance upon this information relieve us from any liability under the Contract and this Certificate.</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Misstatements: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If certain information was misstated to us, your annuity payments may or may not be changed as described below.</w:t>
      </w:r>
    </w:p>
    <w:p>
      <w:pPr>
        <w:spacing w:after="0" w:line="17" w:lineRule="exact"/>
        <w:rPr>
          <w:sz w:val="20"/>
          <w:szCs w:val="20"/>
          <w:color w:val="auto"/>
        </w:rPr>
      </w:pPr>
    </w:p>
    <w:p>
      <w:pPr>
        <w:jc w:val="both"/>
        <w:spacing w:after="0" w:line="248" w:lineRule="auto"/>
        <w:rPr>
          <w:sz w:val="20"/>
          <w:szCs w:val="20"/>
          <w:color w:val="auto"/>
        </w:rPr>
      </w:pPr>
      <w:r>
        <w:rPr>
          <w:rFonts w:ascii="Arial" w:cs="Arial" w:eastAsia="Arial" w:hAnsi="Arial"/>
          <w:sz w:val="17"/>
          <w:szCs w:val="17"/>
          <w:color w:val="auto"/>
        </w:rPr>
        <w:t>If a Payee's date of birth, date of death, or sex was misstated to us, then we will not have the right to reduce any annuity payment below the amount determined using the information contained in the Contract. Also, we will not have the obligation to increase any Annuity Payment above the amount determined using the information contained in the Contract.</w:t>
      </w:r>
    </w:p>
    <w:p>
      <w:pPr>
        <w:spacing w:after="0" w:line="183"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If information other than the Payee's date of birth, date of death, or sex was misstated to us, then Prudential will adjust the annuity payment. First we will determine the portion of the premium paid to us to purchase your annuity. The annuity payment amount owed by us will be increased or decreased to equal the amount that could have been purchased using the premium paid for the annuity assuming the misstatement had not happened. Also, Prudential will not change the date of the first monthly payment.</w:t>
      </w:r>
    </w:p>
    <w:p>
      <w:pPr>
        <w:spacing w:after="0" w:line="180" w:lineRule="exact"/>
        <w:rPr>
          <w:sz w:val="20"/>
          <w:szCs w:val="20"/>
          <w:color w:val="auto"/>
        </w:rPr>
      </w:pPr>
    </w:p>
    <w:p>
      <w:pPr>
        <w:jc w:val="both"/>
        <w:spacing w:after="0" w:line="297" w:lineRule="auto"/>
        <w:rPr>
          <w:sz w:val="20"/>
          <w:szCs w:val="20"/>
          <w:color w:val="auto"/>
        </w:rPr>
      </w:pPr>
      <w:r>
        <w:rPr>
          <w:rFonts w:ascii="Arial" w:cs="Arial" w:eastAsia="Arial" w:hAnsi="Arial"/>
          <w:sz w:val="15"/>
          <w:szCs w:val="15"/>
          <w:color w:val="auto"/>
        </w:rPr>
        <w:t>If the corrected annuity payment is less than the annuity payment determined using the misstated information, then the annuity payment will be decreased to the amount calculated as described in the last paragraph above. We may reduce future annuity payments further by amounts previously overpaid by us to the Payee. If the corrected annuity payment is more than the annuity payment calculated using the misstated information, then the annuity payment will be increased to the amount determined as described in the last paragraph above. We will further pay the amount of the underpayments by us in one of the next two annuity payments due with respect to the Payee.</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Appendix 1.3 - 16</w:t>
      </w:r>
    </w:p>
    <w:p>
      <w:pPr>
        <w:sectPr>
          <w:pgSz w:w="11900" w:h="16838" w:orient="portrait"/>
          <w:cols w:equalWidth="0" w:num="1">
            <w:col w:w="11420"/>
          </w:cols>
          <w:pgMar w:left="240" w:top="553" w:right="239" w:bottom="1440" w:gutter="0" w:footer="0" w:header="0"/>
        </w:sectPr>
      </w:pPr>
    </w:p>
    <w:bookmarkStart w:id="130" w:name="page131"/>
    <w:bookmarkEnd w:id="130"/>
    <w:p>
      <w:pPr>
        <w:jc w:val="both"/>
        <w:spacing w:after="0" w:line="279" w:lineRule="auto"/>
        <w:rPr>
          <w:sz w:val="20"/>
          <w:szCs w:val="20"/>
          <w:color w:val="auto"/>
        </w:rPr>
      </w:pPr>
      <w:r>
        <w:rPr>
          <w:rFonts w:ascii="Arial" w:cs="Arial" w:eastAsia="Arial" w:hAnsi="Arial"/>
          <w:sz w:val="16"/>
          <w:szCs w:val="16"/>
          <w:color w:val="auto"/>
        </w:rPr>
        <w:t xml:space="preserve">In addition to changing the amount of annuity payments, the adjustments made pursuant to this section may change other important terms of payment. For example, the form of annuity for a Payee may change. The percentage of your annuity payment that is payable to the </w:t>
      </w:r>
      <w:r>
        <w:rPr>
          <w:rFonts w:ascii="Arial" w:cs="Arial" w:eastAsia="Arial" w:hAnsi="Arial"/>
          <w:sz w:val="16"/>
          <w:szCs w:val="16"/>
          <w:i w:val="1"/>
          <w:iCs w:val="1"/>
          <w:color w:val="auto"/>
        </w:rPr>
        <w:t>Contingent Life</w:t>
      </w:r>
      <w:r>
        <w:rPr>
          <w:rFonts w:ascii="Arial" w:cs="Arial" w:eastAsia="Arial" w:hAnsi="Arial"/>
          <w:sz w:val="16"/>
          <w:szCs w:val="16"/>
          <w:color w:val="auto"/>
        </w:rPr>
        <w:t xml:space="preserve"> may change. Whether there is any </w:t>
      </w:r>
      <w:r>
        <w:rPr>
          <w:rFonts w:ascii="Arial" w:cs="Arial" w:eastAsia="Arial" w:hAnsi="Arial"/>
          <w:sz w:val="16"/>
          <w:szCs w:val="16"/>
          <w:i w:val="1"/>
          <w:iCs w:val="1"/>
          <w:color w:val="auto"/>
        </w:rPr>
        <w:t>Contingent Life</w:t>
      </w:r>
      <w:r>
        <w:rPr>
          <w:rFonts w:ascii="Arial" w:cs="Arial" w:eastAsia="Arial" w:hAnsi="Arial"/>
          <w:sz w:val="16"/>
          <w:szCs w:val="16"/>
          <w:color w:val="auto"/>
        </w:rPr>
        <w:t xml:space="preserve"> entitled to receive an annuity payment may change. All adjustments made pursuant to this section will be binding upon the Payee.</w:t>
      </w:r>
    </w:p>
    <w:p>
      <w:pPr>
        <w:spacing w:after="0" w:line="159"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Notwithstanding the above, after the Annuity Commencement Date, determinations by us under the Contract in connection with each of the following will reflect any corrections of date of birth or date of death of any Covered Life or Contingent Life (and of any Beneficiary, if applicable), provided to and verified by Prudential after the Annuity Commencement Date: (1) a conversion from one Annuity Form to another Annuity Form, (2) an increase in the Covered Life Amount based on attainment of a certain age and (3) a decrease in the Covered Life Amount based on attainment of a certain age.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Supplemental Information:</w:t>
      </w:r>
    </w:p>
    <w:p>
      <w:pPr>
        <w:spacing w:after="0" w:line="209"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As a condition to making any payment, we may require a Payee to provide certain information not previously supplied. This information may include copies of signed election forms and signed spousal consent forms (where required). If legally required, we may withhold all or a portion of any payment until receiving a Social Security or taxpayer identification number for the Payee and any other items required by law.</w:t>
      </w:r>
    </w:p>
    <w:p>
      <w:pPr>
        <w:spacing w:after="0" w:line="176" w:lineRule="exact"/>
        <w:rPr>
          <w:sz w:val="20"/>
          <w:szCs w:val="20"/>
          <w:color w:val="auto"/>
        </w:rPr>
      </w:pPr>
    </w:p>
    <w:p>
      <w:pPr>
        <w:spacing w:after="0"/>
        <w:rPr>
          <w:sz w:val="20"/>
          <w:szCs w:val="20"/>
          <w:color w:val="auto"/>
        </w:rPr>
      </w:pPr>
      <w:r>
        <w:rPr>
          <w:rFonts w:ascii="Arial" w:cs="Arial" w:eastAsia="Arial" w:hAnsi="Arial"/>
          <w:sz w:val="15"/>
          <w:szCs w:val="15"/>
          <w:color w:val="auto"/>
        </w:rPr>
        <w:t>As a condition to making any payment, we may require satisfactory evidence that any Payee is alive. We may withhold future payments until we receive this evidence.</w:t>
      </w:r>
    </w:p>
    <w:p>
      <w:pPr>
        <w:spacing w:after="0" w:line="228"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Payments under this Certificate will be made to a Payee unless a Representative has been duly appointed in accordance with the Contract with respect to a Payee. If a Representative has been appointed, we may fulfill our obligation to a Payee under this Certificate by making payments to the Payee's Representative.</w:t>
      </w:r>
    </w:p>
    <w:p>
      <w:pPr>
        <w:spacing w:after="0" w:line="144" w:lineRule="exact"/>
        <w:rPr>
          <w:sz w:val="20"/>
          <w:szCs w:val="20"/>
          <w:color w:val="auto"/>
        </w:rPr>
      </w:pPr>
    </w:p>
    <w:p>
      <w:pPr>
        <w:ind w:right="280"/>
        <w:spacing w:after="0" w:line="287" w:lineRule="auto"/>
        <w:rPr>
          <w:sz w:val="20"/>
          <w:szCs w:val="20"/>
          <w:color w:val="auto"/>
        </w:rPr>
      </w:pPr>
      <w:r>
        <w:rPr>
          <w:rFonts w:ascii="Arial" w:cs="Arial" w:eastAsia="Arial" w:hAnsi="Arial"/>
          <w:sz w:val="15"/>
          <w:szCs w:val="15"/>
          <w:color w:val="auto"/>
        </w:rPr>
        <w:t>[For any Payee who is shown in the Contract as having been paid, prior to the Annuity Commencement Date, Plan benefits over the amount owed under the Plan, such overpayments shall be deducted from the annuity payments otherwise owed to such persons pursuant to the Payment Terms of this Certificate. Nothing in the prior sentence shall relate to information that may have been misstated to us. Such misstatements are governed by the above Misstatements section.]</w:t>
      </w:r>
      <w:r>
        <w:rPr>
          <w:rFonts w:ascii="Arial" w:cs="Arial" w:eastAsia="Arial" w:hAnsi="Arial"/>
          <w:sz w:val="21"/>
          <w:szCs w:val="21"/>
          <w:color w:val="auto"/>
          <w:vertAlign w:val="superscript"/>
        </w:rPr>
        <w:t>D</w:t>
      </w:r>
    </w:p>
    <w:p>
      <w:pPr>
        <w:spacing w:after="0" w:line="2" w:lineRule="exact"/>
        <w:rPr>
          <w:sz w:val="20"/>
          <w:szCs w:val="20"/>
          <w:color w:val="auto"/>
        </w:rPr>
      </w:pPr>
    </w:p>
    <w:p>
      <w:pPr>
        <w:jc w:val="both"/>
        <w:ind w:right="60"/>
        <w:spacing w:after="0" w:line="306" w:lineRule="auto"/>
        <w:rPr>
          <w:sz w:val="20"/>
          <w:szCs w:val="20"/>
          <w:color w:val="auto"/>
        </w:rPr>
      </w:pPr>
      <w:r>
        <w:rPr>
          <w:rFonts w:ascii="Arial" w:cs="Arial" w:eastAsia="Arial" w:hAnsi="Arial"/>
          <w:sz w:val="15"/>
          <w:szCs w:val="15"/>
          <w:color w:val="auto"/>
        </w:rPr>
        <w:t>[For any Payee who is shown in the Contract as having been paid, prior to the Annuity Commencement Date, Plan benefits that were less than the amount owed under the Plan, such underpayments shall be added to the annuity payments otherwise owed to such persons pursuant to the Payment Terms of this Certificate. Nothing in the prior sentence shall relate to information that may have been misstated to us. Such misstatements are governed by the above Misstatements section.]</w:t>
      </w:r>
      <w:r>
        <w:rPr>
          <w:rFonts w:ascii="Arial" w:cs="Arial" w:eastAsia="Arial" w:hAnsi="Arial"/>
          <w:sz w:val="21"/>
          <w:szCs w:val="21"/>
          <w:color w:val="auto"/>
          <w:vertAlign w:val="superscript"/>
        </w:rPr>
        <w:t>D</w:t>
      </w:r>
    </w:p>
    <w:p>
      <w:pPr>
        <w:spacing w:after="0" w:line="4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Certificate Errors and Replacement Certificate:</w:t>
      </w:r>
    </w:p>
    <w:p>
      <w:pPr>
        <w:spacing w:after="0" w:line="209"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This Certificate replaces any certificate that you may have previously received with respect to Prudential's guarantee under the Contract. Please review this Certificate carefully and notify us promptly if you feel any information is incorrect. We are not bound by any incorrect information in this Certificate, nor are we bound by any other errors in this Certificate if clearly inconsistent with the terms of the Contract. We may instead continue to comply with the terms of the Contract as if the Certificate initially had been correctly issued. We may issue a corrected Certificate in the same manner the original Certificate was issued, but we will clearly indicate on the face of the new Certificate that it is a "CORRECTED AND REISSUED" Certificate (or other words to that effect).</w:t>
      </w:r>
    </w:p>
    <w:p>
      <w:pPr>
        <w:spacing w:after="0" w:line="167"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 xml:space="preserve">If you exercise an option that changes your </w:t>
      </w:r>
      <w:r>
        <w:rPr>
          <w:rFonts w:ascii="Arial" w:cs="Arial" w:eastAsia="Arial" w:hAnsi="Arial"/>
          <w:sz w:val="17"/>
          <w:szCs w:val="17"/>
          <w:i w:val="1"/>
          <w:iCs w:val="1"/>
          <w:color w:val="auto"/>
        </w:rPr>
        <w:t>Form of Annuity</w:t>
      </w:r>
      <w:r>
        <w:rPr>
          <w:rFonts w:ascii="Arial" w:cs="Arial" w:eastAsia="Arial" w:hAnsi="Arial"/>
          <w:sz w:val="17"/>
          <w:szCs w:val="17"/>
          <w:color w:val="auto"/>
        </w:rPr>
        <w:t xml:space="preserve">, then a replacement certificate will be issued to you. The replacement certificate will describe the payments that you will receive under your changed </w:t>
      </w:r>
      <w:r>
        <w:rPr>
          <w:rFonts w:ascii="Arial" w:cs="Arial" w:eastAsia="Arial" w:hAnsi="Arial"/>
          <w:sz w:val="17"/>
          <w:szCs w:val="17"/>
          <w:i w:val="1"/>
          <w:iCs w:val="1"/>
          <w:color w:val="auto"/>
        </w:rPr>
        <w:t>Form of Annuity.</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Entire Contract:</w:t>
      </w:r>
    </w:p>
    <w:p>
      <w:pPr>
        <w:spacing w:after="0" w:line="209" w:lineRule="exact"/>
        <w:rPr>
          <w:sz w:val="20"/>
          <w:szCs w:val="20"/>
          <w:color w:val="auto"/>
        </w:rPr>
      </w:pPr>
    </w:p>
    <w:p>
      <w:pPr>
        <w:jc w:val="center"/>
        <w:ind w:right="300"/>
        <w:spacing w:after="0"/>
        <w:rPr>
          <w:sz w:val="20"/>
          <w:szCs w:val="20"/>
          <w:color w:val="auto"/>
        </w:rPr>
      </w:pPr>
      <w:r>
        <w:rPr>
          <w:rFonts w:ascii="Arial" w:cs="Arial" w:eastAsia="Arial" w:hAnsi="Arial"/>
          <w:sz w:val="15"/>
          <w:szCs w:val="15"/>
          <w:color w:val="auto"/>
        </w:rPr>
        <w:t xml:space="preserve">The Contract constitutes the entire agreement between the </w:t>
      </w:r>
      <w:r>
        <w:rPr>
          <w:rFonts w:ascii="Arial" w:cs="Arial" w:eastAsia="Arial" w:hAnsi="Arial"/>
          <w:sz w:val="15"/>
          <w:szCs w:val="15"/>
          <w:i w:val="1"/>
          <w:iCs w:val="1"/>
          <w:color w:val="auto"/>
        </w:rPr>
        <w:t>Contract-Holder</w:t>
      </w:r>
      <w:r>
        <w:rPr>
          <w:rFonts w:ascii="Arial" w:cs="Arial" w:eastAsia="Arial" w:hAnsi="Arial"/>
          <w:sz w:val="15"/>
          <w:szCs w:val="15"/>
          <w:color w:val="auto"/>
        </w:rPr>
        <w:t xml:space="preserve"> and us solely with respect to the annuity payments owed to each payee under the Contract.</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Rights of Payees:</w:t>
      </w:r>
    </w:p>
    <w:p>
      <w:pPr>
        <w:spacing w:after="0" w:line="209" w:lineRule="exact"/>
        <w:rPr>
          <w:sz w:val="20"/>
          <w:szCs w:val="20"/>
          <w:color w:val="auto"/>
        </w:rPr>
      </w:pPr>
    </w:p>
    <w:p>
      <w:pPr>
        <w:ind w:right="440"/>
        <w:spacing w:after="0" w:line="266" w:lineRule="auto"/>
        <w:rPr>
          <w:sz w:val="20"/>
          <w:szCs w:val="20"/>
          <w:color w:val="auto"/>
        </w:rPr>
      </w:pPr>
      <w:r>
        <w:rPr>
          <w:rFonts w:ascii="Arial" w:cs="Arial" w:eastAsia="Arial" w:hAnsi="Arial"/>
          <w:sz w:val="17"/>
          <w:szCs w:val="17"/>
          <w:color w:val="auto"/>
        </w:rPr>
        <w:t xml:space="preserve">The Payees have the right to receive the annuity payments set forth under this Certificate. Such right to annuity payments is enforceable by the Payees solely against Prudential and no other person including the Plan, Plan sponsor, </w:t>
      </w:r>
      <w:r>
        <w:rPr>
          <w:rFonts w:ascii="Arial" w:cs="Arial" w:eastAsia="Arial" w:hAnsi="Arial"/>
          <w:sz w:val="17"/>
          <w:szCs w:val="17"/>
          <w:i w:val="1"/>
          <w:iCs w:val="1"/>
          <w:color w:val="auto"/>
        </w:rPr>
        <w:t>Contract-Holder</w:t>
      </w:r>
      <w:r>
        <w:rPr>
          <w:rFonts w:ascii="Arial" w:cs="Arial" w:eastAsia="Arial" w:hAnsi="Arial"/>
          <w:sz w:val="17"/>
          <w:szCs w:val="17"/>
          <w:color w:val="auto"/>
        </w:rPr>
        <w:t xml:space="preserve"> or any affiliate thereof.</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Appendix 1.3 - 17</w:t>
      </w:r>
    </w:p>
    <w:p>
      <w:pPr>
        <w:sectPr>
          <w:pgSz w:w="11900" w:h="16838" w:orient="portrait"/>
          <w:cols w:equalWidth="0" w:num="1">
            <w:col w:w="11420"/>
          </w:cols>
          <w:pgMar w:left="240" w:top="553" w:right="239" w:bottom="1440" w:gutter="0" w:footer="0" w:header="0"/>
        </w:sectPr>
      </w:pPr>
    </w:p>
    <w:bookmarkStart w:id="131" w:name="page132"/>
    <w:bookmarkEnd w:id="131"/>
    <w:p>
      <w:pPr>
        <w:ind w:left="4600"/>
        <w:spacing w:after="0"/>
        <w:rPr>
          <w:sz w:val="20"/>
          <w:szCs w:val="20"/>
          <w:color w:val="auto"/>
        </w:rPr>
      </w:pPr>
      <w:r>
        <w:rPr>
          <w:rFonts w:ascii="Arial" w:cs="Arial" w:eastAsia="Arial" w:hAnsi="Arial"/>
          <w:sz w:val="17"/>
          <w:szCs w:val="17"/>
          <w:b w:val="1"/>
          <w:bCs w:val="1"/>
          <w:color w:val="auto"/>
        </w:rPr>
        <w:t>Prudential Telephone Number:</w:t>
      </w:r>
    </w:p>
    <w:p>
      <w:pPr>
        <w:spacing w:after="0" w:line="209" w:lineRule="exact"/>
        <w:rPr>
          <w:sz w:val="20"/>
          <w:szCs w:val="20"/>
          <w:color w:val="auto"/>
        </w:rPr>
      </w:pPr>
    </w:p>
    <w:p>
      <w:pPr>
        <w:ind w:left="1800"/>
        <w:spacing w:after="0"/>
        <w:rPr>
          <w:sz w:val="20"/>
          <w:szCs w:val="20"/>
          <w:color w:val="auto"/>
        </w:rPr>
      </w:pPr>
      <w:r>
        <w:rPr>
          <w:rFonts w:ascii="Arial" w:cs="Arial" w:eastAsia="Arial" w:hAnsi="Arial"/>
          <w:sz w:val="17"/>
          <w:szCs w:val="17"/>
          <w:color w:val="auto"/>
        </w:rPr>
        <w:t>The Prudential Insurance Company of America</w:t>
      </w:r>
    </w:p>
    <w:p>
      <w:pPr>
        <w:spacing w:after="0" w:line="17" w:lineRule="exact"/>
        <w:rPr>
          <w:sz w:val="20"/>
          <w:szCs w:val="20"/>
          <w:color w:val="auto"/>
        </w:rPr>
      </w:pPr>
    </w:p>
    <w:p>
      <w:pPr>
        <w:ind w:left="1800"/>
        <w:spacing w:after="0"/>
        <w:rPr>
          <w:sz w:val="20"/>
          <w:szCs w:val="20"/>
          <w:color w:val="auto"/>
        </w:rPr>
      </w:pPr>
      <w:r>
        <w:rPr>
          <w:rFonts w:ascii="Arial" w:cs="Arial" w:eastAsia="Arial" w:hAnsi="Arial"/>
          <w:sz w:val="23"/>
          <w:szCs w:val="23"/>
          <w:b w:val="1"/>
          <w:bCs w:val="1"/>
          <w:color w:val="auto"/>
        </w:rPr>
        <w:t>[</w:t>
      </w:r>
      <w:r>
        <w:rPr>
          <w:rFonts w:ascii="Arial" w:cs="Arial" w:eastAsia="Arial" w:hAnsi="Arial"/>
          <w:sz w:val="16"/>
          <w:szCs w:val="16"/>
          <w:color w:val="auto"/>
        </w:rPr>
        <w:t>1-800-621-1089</w:t>
      </w:r>
      <w:r>
        <w:rPr>
          <w:rFonts w:ascii="Arial" w:cs="Arial" w:eastAsia="Arial" w:hAnsi="Arial"/>
          <w:sz w:val="23"/>
          <w:szCs w:val="23"/>
          <w:b w:val="1"/>
          <w:bCs w:val="1"/>
          <w:color w:val="auto"/>
        </w:rPr>
        <w:t>]</w:t>
      </w:r>
      <w:r>
        <w:rPr>
          <w:rFonts w:ascii="Arial" w:cs="Arial" w:eastAsia="Arial" w:hAnsi="Arial"/>
          <w:sz w:val="26"/>
          <w:szCs w:val="26"/>
          <w:b w:val="1"/>
          <w:bCs w:val="1"/>
          <w:color w:val="auto"/>
          <w:vertAlign w:val="superscript"/>
        </w:rPr>
        <w:t>C</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To contact us, please use the above-listed telephone number.</w:t>
      </w: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[Deductions from Annuity Payments:</w:t>
      </w:r>
    </w:p>
    <w:p>
      <w:pPr>
        <w:spacing w:after="0" w:line="222" w:lineRule="exact"/>
        <w:rPr>
          <w:sz w:val="20"/>
          <w:szCs w:val="20"/>
          <w:color w:val="auto"/>
        </w:rPr>
      </w:pPr>
    </w:p>
    <w:p>
      <w:pPr>
        <w:spacing w:after="0" w:line="303" w:lineRule="auto"/>
        <w:rPr>
          <w:sz w:val="20"/>
          <w:szCs w:val="20"/>
          <w:color w:val="auto"/>
        </w:rPr>
      </w:pPr>
      <w:r>
        <w:rPr>
          <w:rFonts w:ascii="Arial" w:cs="Arial" w:eastAsia="Arial" w:hAnsi="Arial"/>
          <w:sz w:val="15"/>
          <w:szCs w:val="15"/>
          <w:color w:val="auto"/>
        </w:rPr>
        <w:t xml:space="preserve">You (or your Contingent Life) may request in writing in a manner specified by us that we deduct a specified amount each month from the amounts we pay to you (or your Contingent Life). The amounts will be applied for payment of your health care premiums and for payment of other benefits that were permitted to be deducted from Plan benefits governed by the Plan. Upon receipt by us of the request, the amount specified in the request shall, subject to our consent, be deducted each month. Deductions will end if we receive a request (in a manner specified by us) from you (or your Contingent Life) to do so. The amount deducted each month shall be transferred on your behalf (or your Contingent Life's behalf) as specified in the request. The amount transferred will be in full settlement of all of our obligations under the Contract with respect to the amount transferred. Deductions by us on your behalf (or on behalf of your Contingent Life) will begin or end, as the case may be, no earlier than the annuity payment that is due at least 30 days following our receipt of the request to begin or end deductions for you or your Contingent Life).] </w:t>
      </w:r>
      <w:r>
        <w:rPr>
          <w:rFonts w:ascii="Arial" w:cs="Arial" w:eastAsia="Arial" w:hAnsi="Arial"/>
          <w:sz w:val="21"/>
          <w:szCs w:val="21"/>
          <w:color w:val="auto"/>
          <w:vertAlign w:val="superscript"/>
        </w:rPr>
        <w:t>D</w:t>
      </w:r>
    </w:p>
    <w:p>
      <w:pPr>
        <w:spacing w:after="0" w:line="62"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Additional Details:</w:t>
      </w:r>
    </w:p>
    <w:p>
      <w:pPr>
        <w:spacing w:after="0" w:line="209" w:lineRule="exact"/>
        <w:rPr>
          <w:sz w:val="20"/>
          <w:szCs w:val="20"/>
          <w:color w:val="auto"/>
        </w:rPr>
      </w:pPr>
    </w:p>
    <w:p>
      <w:pPr>
        <w:ind w:right="600"/>
        <w:spacing w:after="0" w:line="298" w:lineRule="auto"/>
        <w:rPr>
          <w:sz w:val="20"/>
          <w:szCs w:val="20"/>
          <w:color w:val="auto"/>
        </w:rPr>
      </w:pPr>
      <w:r>
        <w:rPr>
          <w:rFonts w:ascii="Arial" w:cs="Arial" w:eastAsia="Arial" w:hAnsi="Arial"/>
          <w:sz w:val="16"/>
          <w:szCs w:val="16"/>
          <w:color w:val="auto"/>
        </w:rPr>
        <w:t>This Certificate contains a summary of certain important terms of the Contract. The Contract contains a more complete description of your rights and Prudential's obligations. The Contract will control in the event of a conflict between the terms of this Certificate and the terms of the Contract.</w:t>
      </w:r>
    </w:p>
    <w:p>
      <w:pPr>
        <w:spacing w:after="0" w:line="144" w:lineRule="exact"/>
        <w:rPr>
          <w:sz w:val="20"/>
          <w:szCs w:val="20"/>
          <w:color w:val="auto"/>
        </w:rPr>
      </w:pPr>
    </w:p>
    <w:p>
      <w:pPr>
        <w:jc w:val="both"/>
        <w:ind w:right="360"/>
        <w:spacing w:after="0" w:line="334" w:lineRule="auto"/>
        <w:rPr>
          <w:sz w:val="20"/>
          <w:szCs w:val="20"/>
          <w:color w:val="auto"/>
        </w:rPr>
      </w:pPr>
      <w:r>
        <w:rPr>
          <w:rFonts w:ascii="Arial" w:cs="Arial" w:eastAsia="Arial" w:hAnsi="Arial"/>
          <w:sz w:val="15"/>
          <w:szCs w:val="15"/>
          <w:color w:val="auto"/>
        </w:rPr>
        <w:t>Upon a change in the requirements of applicable law or a regulation administered by a governmental agency, we may change the Contract and/or this Certificate. If a change is made, it may be done without the consent of the Payee. Any change will be made only as strictly necessary to satisfy the requirements of law or regulation.</w:t>
      </w:r>
    </w:p>
    <w:p>
      <w:pPr>
        <w:spacing w:after="0" w:line="11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INDEX:</w:t>
      </w:r>
    </w:p>
    <w:p>
      <w:pPr>
        <w:spacing w:after="0" w:line="200" w:lineRule="exact"/>
        <w:rPr>
          <w:sz w:val="20"/>
          <w:szCs w:val="20"/>
          <w:color w:val="auto"/>
        </w:rPr>
      </w:pPr>
    </w:p>
    <w:p>
      <w:pPr>
        <w:spacing w:after="0" w:line="24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Appendix 1.3 - 18</w:t>
      </w:r>
    </w:p>
    <w:p>
      <w:pPr>
        <w:sectPr>
          <w:pgSz w:w="11900" w:h="16838" w:orient="portrait"/>
          <w:cols w:equalWidth="0" w:num="1">
            <w:col w:w="11380"/>
          </w:cols>
          <w:pgMar w:left="240" w:top="549" w:right="279" w:bottom="1440" w:gutter="0" w:footer="0" w:header="0"/>
        </w:sectPr>
      </w:pPr>
    </w:p>
    <w:bookmarkStart w:id="132" w:name="page133"/>
    <w:bookmarkEnd w:id="132"/>
    <w:tbl>
      <w:tblPr>
        <w:tblLayout w:type="fixed"/>
        <w:tblInd w:w="510" w:type="dxa"/>
        <w:tblCellMar>
          <w:top w:w="0" w:type="dxa"/>
          <w:left w:w="0" w:type="dxa"/>
          <w:bottom w:w="0" w:type="dxa"/>
          <w:right w:w="0" w:type="dxa"/>
        </w:tblCellMar>
      </w:tblPr>
      <w:tr>
        <w:trPr>
          <w:trHeight w:val="238"/>
        </w:trPr>
        <w:tc>
          <w:tcPr>
            <w:tcW w:w="48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Annuity Certificate Section:</w:t>
            </w:r>
          </w:p>
        </w:tc>
        <w:tc>
          <w:tcPr>
            <w:tcW w:w="32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Page Number</w:t>
            </w:r>
          </w:p>
        </w:tc>
      </w:tr>
      <w:tr>
        <w:trPr>
          <w:trHeight w:val="25"/>
        </w:trPr>
        <w:tc>
          <w:tcPr>
            <w:tcW w:w="484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493"/>
        </w:trPr>
        <w:tc>
          <w:tcPr>
            <w:tcW w:w="4840" w:type="dxa"/>
            <w:vAlign w:val="bottom"/>
            <w:tcBorders>
              <w:left w:val="single" w:sz="8" w:color="auto"/>
              <w:bottom w:val="single" w:sz="8" w:color="auto"/>
              <w:right w:val="single" w:sz="8" w:color="auto"/>
            </w:tcBorders>
          </w:tcPr>
          <w:p>
            <w:pPr>
              <w:spacing w:after="0"/>
              <w:rPr>
                <w:sz w:val="24"/>
                <w:szCs w:val="24"/>
                <w:color w:val="auto"/>
              </w:rPr>
            </w:pPr>
          </w:p>
        </w:tc>
        <w:tc>
          <w:tcPr>
            <w:tcW w:w="3200" w:type="dxa"/>
            <w:vAlign w:val="bottom"/>
            <w:tcBorders>
              <w:bottom w:val="single" w:sz="8" w:color="auto"/>
              <w:right w:val="single" w:sz="8" w:color="auto"/>
            </w:tcBorders>
          </w:tcPr>
          <w:p>
            <w:pPr>
              <w:spacing w:after="0"/>
              <w:rPr>
                <w:sz w:val="24"/>
                <w:szCs w:val="24"/>
                <w:color w:val="auto"/>
              </w:rPr>
            </w:pPr>
          </w:p>
        </w:tc>
      </w:tr>
      <w:tr>
        <w:trPr>
          <w:trHeight w:val="218"/>
        </w:trPr>
        <w:tc>
          <w:tcPr>
            <w:tcW w:w="4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Table of Information</w:t>
            </w: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1</w:t>
            </w:r>
          </w:p>
        </w:tc>
      </w:tr>
      <w:tr>
        <w:trPr>
          <w:trHeight w:val="25"/>
        </w:trPr>
        <w:tc>
          <w:tcPr>
            <w:tcW w:w="484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18"/>
        </w:trPr>
        <w:tc>
          <w:tcPr>
            <w:tcW w:w="4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Prudential's Guarantee</w:t>
            </w: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2</w:t>
            </w:r>
          </w:p>
        </w:tc>
      </w:tr>
      <w:tr>
        <w:trPr>
          <w:trHeight w:val="25"/>
        </w:trPr>
        <w:tc>
          <w:tcPr>
            <w:tcW w:w="484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18"/>
        </w:trPr>
        <w:tc>
          <w:tcPr>
            <w:tcW w:w="4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Definitions &amp; References</w:t>
            </w: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2</w:t>
            </w:r>
          </w:p>
        </w:tc>
      </w:tr>
      <w:tr>
        <w:trPr>
          <w:trHeight w:val="25"/>
        </w:trPr>
        <w:tc>
          <w:tcPr>
            <w:tcW w:w="484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18"/>
        </w:trPr>
        <w:tc>
          <w:tcPr>
            <w:tcW w:w="4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Payment Terms</w:t>
            </w: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2</w:t>
            </w:r>
          </w:p>
        </w:tc>
      </w:tr>
      <w:tr>
        <w:trPr>
          <w:trHeight w:val="25"/>
        </w:trPr>
        <w:tc>
          <w:tcPr>
            <w:tcW w:w="484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18"/>
        </w:trPr>
        <w:tc>
          <w:tcPr>
            <w:tcW w:w="4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Method of Payment</w:t>
            </w: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5</w:t>
            </w:r>
          </w:p>
        </w:tc>
      </w:tr>
      <w:tr>
        <w:trPr>
          <w:trHeight w:val="25"/>
        </w:trPr>
        <w:tc>
          <w:tcPr>
            <w:tcW w:w="484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18"/>
        </w:trPr>
        <w:tc>
          <w:tcPr>
            <w:tcW w:w="4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Correspondence</w:t>
            </w: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6</w:t>
            </w:r>
          </w:p>
        </w:tc>
      </w:tr>
      <w:tr>
        <w:trPr>
          <w:trHeight w:val="25"/>
        </w:trPr>
        <w:tc>
          <w:tcPr>
            <w:tcW w:w="484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18"/>
        </w:trPr>
        <w:tc>
          <w:tcPr>
            <w:tcW w:w="4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Beneficiaries</w:t>
            </w: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6</w:t>
            </w:r>
          </w:p>
        </w:tc>
      </w:tr>
      <w:tr>
        <w:trPr>
          <w:trHeight w:val="25"/>
        </w:trPr>
        <w:tc>
          <w:tcPr>
            <w:tcW w:w="484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18"/>
        </w:trPr>
        <w:tc>
          <w:tcPr>
            <w:tcW w:w="4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Assignment</w:t>
            </w: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6</w:t>
            </w:r>
          </w:p>
        </w:tc>
      </w:tr>
      <w:tr>
        <w:trPr>
          <w:trHeight w:val="25"/>
        </w:trPr>
        <w:tc>
          <w:tcPr>
            <w:tcW w:w="484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18"/>
        </w:trPr>
        <w:tc>
          <w:tcPr>
            <w:tcW w:w="4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Qualified Domestic Relations Orders</w:t>
            </w: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6</w:t>
            </w:r>
          </w:p>
        </w:tc>
      </w:tr>
      <w:tr>
        <w:trPr>
          <w:trHeight w:val="25"/>
        </w:trPr>
        <w:tc>
          <w:tcPr>
            <w:tcW w:w="484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18"/>
        </w:trPr>
        <w:tc>
          <w:tcPr>
            <w:tcW w:w="4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Reliance Upon Affidavit or Other Evidence</w:t>
            </w: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7</w:t>
            </w:r>
          </w:p>
        </w:tc>
      </w:tr>
      <w:tr>
        <w:trPr>
          <w:trHeight w:val="25"/>
        </w:trPr>
        <w:tc>
          <w:tcPr>
            <w:tcW w:w="484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18"/>
        </w:trPr>
        <w:tc>
          <w:tcPr>
            <w:tcW w:w="4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Misstatements</w:t>
            </w: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7</w:t>
            </w:r>
          </w:p>
        </w:tc>
      </w:tr>
      <w:tr>
        <w:trPr>
          <w:trHeight w:val="25"/>
        </w:trPr>
        <w:tc>
          <w:tcPr>
            <w:tcW w:w="484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18"/>
        </w:trPr>
        <w:tc>
          <w:tcPr>
            <w:tcW w:w="4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Supplemental Information</w:t>
            </w: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7</w:t>
            </w:r>
          </w:p>
        </w:tc>
      </w:tr>
      <w:tr>
        <w:trPr>
          <w:trHeight w:val="25"/>
        </w:trPr>
        <w:tc>
          <w:tcPr>
            <w:tcW w:w="484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18"/>
        </w:trPr>
        <w:tc>
          <w:tcPr>
            <w:tcW w:w="4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Certificate Errors and Replacement Certificate</w:t>
            </w: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8</w:t>
            </w:r>
          </w:p>
        </w:tc>
      </w:tr>
      <w:tr>
        <w:trPr>
          <w:trHeight w:val="25"/>
        </w:trPr>
        <w:tc>
          <w:tcPr>
            <w:tcW w:w="484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18"/>
        </w:trPr>
        <w:tc>
          <w:tcPr>
            <w:tcW w:w="4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Entire Contract</w:t>
            </w: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8</w:t>
            </w:r>
          </w:p>
        </w:tc>
      </w:tr>
      <w:tr>
        <w:trPr>
          <w:trHeight w:val="25"/>
        </w:trPr>
        <w:tc>
          <w:tcPr>
            <w:tcW w:w="484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18"/>
        </w:trPr>
        <w:tc>
          <w:tcPr>
            <w:tcW w:w="4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Rights of Payees</w:t>
            </w: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8</w:t>
            </w:r>
          </w:p>
        </w:tc>
      </w:tr>
      <w:tr>
        <w:trPr>
          <w:trHeight w:val="25"/>
        </w:trPr>
        <w:tc>
          <w:tcPr>
            <w:tcW w:w="484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18"/>
        </w:trPr>
        <w:tc>
          <w:tcPr>
            <w:tcW w:w="4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Prudential Telephone Number</w:t>
            </w: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8</w:t>
            </w:r>
          </w:p>
        </w:tc>
      </w:tr>
      <w:tr>
        <w:trPr>
          <w:trHeight w:val="25"/>
        </w:trPr>
        <w:tc>
          <w:tcPr>
            <w:tcW w:w="484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18"/>
        </w:trPr>
        <w:tc>
          <w:tcPr>
            <w:tcW w:w="4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Deductions from Annuity Payments</w:t>
            </w: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8</w:t>
            </w:r>
          </w:p>
        </w:tc>
      </w:tr>
      <w:tr>
        <w:trPr>
          <w:trHeight w:val="25"/>
        </w:trPr>
        <w:tc>
          <w:tcPr>
            <w:tcW w:w="484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18"/>
        </w:trPr>
        <w:tc>
          <w:tcPr>
            <w:tcW w:w="4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Additional Details</w:t>
            </w: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8</w:t>
            </w:r>
          </w:p>
        </w:tc>
      </w:tr>
      <w:tr>
        <w:trPr>
          <w:trHeight w:val="25"/>
        </w:trPr>
        <w:tc>
          <w:tcPr>
            <w:tcW w:w="484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388"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THE PRUDENTIAL INSURANCE</w:t>
      </w:r>
    </w:p>
    <w:p>
      <w:pPr>
        <w:spacing w:after="0" w:line="30"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COMPANY OF AMERICA</w:t>
      </w:r>
    </w:p>
    <w:p>
      <w:pPr>
        <w:spacing w:after="0" w:line="8"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Newark, New Jersey</w:t>
      </w:r>
    </w:p>
    <w:p>
      <w:pPr>
        <w:spacing w:after="0" w:line="178"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u w:val="single" w:color="auto"/>
          <w:color w:val="auto"/>
        </w:rPr>
        <w:t>ANNUITY CERTIFICATE</w:t>
      </w:r>
    </w:p>
    <w:p>
      <w:pPr>
        <w:spacing w:after="0" w:line="206" w:lineRule="exact"/>
        <w:rPr>
          <w:sz w:val="20"/>
          <w:szCs w:val="20"/>
          <w:color w:val="auto"/>
        </w:rPr>
      </w:pPr>
    </w:p>
    <w:p>
      <w:pPr>
        <w:ind w:left="3700"/>
        <w:spacing w:after="0"/>
        <w:rPr>
          <w:sz w:val="20"/>
          <w:szCs w:val="20"/>
          <w:color w:val="auto"/>
        </w:rPr>
      </w:pPr>
      <w:r>
        <w:rPr>
          <w:rFonts w:ascii="Arial" w:cs="Arial" w:eastAsia="Arial" w:hAnsi="Arial"/>
          <w:sz w:val="18"/>
          <w:szCs w:val="18"/>
          <w:b w:val="1"/>
          <w:bCs w:val="1"/>
          <w:u w:val="single" w:color="auto"/>
          <w:color w:val="auto"/>
        </w:rPr>
        <w:t>Table of Information</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3900"/>
        <w:spacing w:after="0"/>
        <w:rPr>
          <w:sz w:val="20"/>
          <w:szCs w:val="20"/>
          <w:color w:val="auto"/>
        </w:rPr>
      </w:pPr>
      <w:r>
        <w:rPr>
          <w:rFonts w:ascii="Arial" w:cs="Arial" w:eastAsia="Arial" w:hAnsi="Arial"/>
          <w:sz w:val="17"/>
          <w:szCs w:val="17"/>
          <w:color w:val="auto"/>
        </w:rPr>
        <w:t>Appendix 1.3 - 19</w:t>
      </w:r>
    </w:p>
    <w:p>
      <w:pPr>
        <w:sectPr>
          <w:pgSz w:w="11900" w:h="16838" w:orient="portrait"/>
          <w:cols w:equalWidth="0" w:num="1">
            <w:col w:w="10220"/>
          </w:cols>
          <w:pgMar w:left="1440" w:top="670" w:right="239" w:bottom="1440" w:gutter="0" w:footer="0" w:header="0"/>
        </w:sectPr>
      </w:pPr>
    </w:p>
    <w:bookmarkStart w:id="133" w:name="page134"/>
    <w:bookmarkEnd w:id="133"/>
    <w:tbl>
      <w:tblPr>
        <w:tblLayout w:type="fixed"/>
        <w:tblInd w:w="490" w:type="dxa"/>
        <w:tblCellMar>
          <w:top w:w="0" w:type="dxa"/>
          <w:left w:w="0" w:type="dxa"/>
          <w:bottom w:w="0" w:type="dxa"/>
          <w:right w:w="0" w:type="dxa"/>
        </w:tblCellMar>
      </w:tblPr>
      <w:tr>
        <w:trPr>
          <w:trHeight w:val="275"/>
        </w:trPr>
        <w:tc>
          <w:tcPr>
            <w:tcW w:w="4840" w:type="dxa"/>
            <w:vAlign w:val="bottom"/>
            <w:tcBorders>
              <w:top w:val="single" w:sz="8" w:color="C0C0C0"/>
              <w:left w:val="single" w:sz="8" w:color="C0C0C0"/>
              <w:bottom w:val="single" w:sz="8" w:color="C0C0C0"/>
              <w:right w:val="single" w:sz="8" w:color="C0C0C0"/>
            </w:tcBorders>
          </w:tcPr>
          <w:p>
            <w:pPr>
              <w:ind w:left="40"/>
              <w:spacing w:after="0"/>
              <w:rPr>
                <w:sz w:val="20"/>
                <w:szCs w:val="20"/>
                <w:color w:val="auto"/>
              </w:rPr>
            </w:pPr>
            <w:r>
              <w:rPr>
                <w:rFonts w:ascii="Arial" w:cs="Arial" w:eastAsia="Arial" w:hAnsi="Arial"/>
                <w:sz w:val="18"/>
                <w:szCs w:val="18"/>
                <w:i w:val="1"/>
                <w:iCs w:val="1"/>
                <w:color w:val="auto"/>
              </w:rPr>
              <w:t>Covered Life:</w:t>
            </w:r>
          </w:p>
        </w:tc>
        <w:tc>
          <w:tcPr>
            <w:tcW w:w="5660" w:type="dxa"/>
            <w:vAlign w:val="bottom"/>
            <w:tcBorders>
              <w:top w:val="single" w:sz="8" w:color="C0C0C0"/>
              <w:bottom w:val="single" w:sz="8" w:color="C0C0C0"/>
              <w:right w:val="single" w:sz="8" w:color="C0C0C0"/>
            </w:tcBorders>
          </w:tcPr>
          <w:p>
            <w:pPr>
              <w:ind w:left="20"/>
              <w:spacing w:after="0"/>
              <w:rPr>
                <w:sz w:val="20"/>
                <w:szCs w:val="20"/>
                <w:color w:val="auto"/>
              </w:rPr>
            </w:pPr>
            <w:r>
              <w:rPr>
                <w:rFonts w:ascii="Arial" w:cs="Arial" w:eastAsia="Arial" w:hAnsi="Arial"/>
                <w:sz w:val="18"/>
                <w:szCs w:val="18"/>
                <w:color w:val="auto"/>
              </w:rPr>
              <w:t xml:space="preserve">[Covered Life Name] </w:t>
            </w:r>
            <w:r>
              <w:rPr>
                <w:rFonts w:ascii="Arial" w:cs="Arial" w:eastAsia="Arial" w:hAnsi="Arial"/>
                <w:sz w:val="23"/>
                <w:szCs w:val="23"/>
                <w:color w:val="auto"/>
                <w:vertAlign w:val="superscript"/>
              </w:rPr>
              <w:t>A</w:t>
            </w:r>
          </w:p>
        </w:tc>
      </w:tr>
      <w:tr>
        <w:trPr>
          <w:trHeight w:val="243"/>
        </w:trPr>
        <w:tc>
          <w:tcPr>
            <w:tcW w:w="4840" w:type="dxa"/>
            <w:vAlign w:val="bottom"/>
            <w:tcBorders>
              <w:left w:val="single" w:sz="8" w:color="C0C0C0"/>
              <w:bottom w:val="single" w:sz="8" w:color="C0C0C0"/>
              <w:right w:val="single" w:sz="8" w:color="C0C0C0"/>
            </w:tcBorders>
          </w:tcPr>
          <w:p>
            <w:pPr>
              <w:spacing w:after="0"/>
              <w:rPr>
                <w:sz w:val="21"/>
                <w:szCs w:val="21"/>
                <w:color w:val="auto"/>
              </w:rPr>
            </w:pPr>
          </w:p>
        </w:tc>
        <w:tc>
          <w:tcPr>
            <w:tcW w:w="5660" w:type="dxa"/>
            <w:vAlign w:val="bottom"/>
            <w:tcBorders>
              <w:bottom w:val="single" w:sz="8" w:color="C0C0C0"/>
              <w:right w:val="single" w:sz="8" w:color="C0C0C0"/>
            </w:tcBorders>
          </w:tcPr>
          <w:p>
            <w:pPr>
              <w:spacing w:after="0"/>
              <w:rPr>
                <w:sz w:val="21"/>
                <w:szCs w:val="21"/>
                <w:color w:val="auto"/>
              </w:rPr>
            </w:pPr>
          </w:p>
        </w:tc>
      </w:tr>
      <w:tr>
        <w:trPr>
          <w:trHeight w:val="255"/>
        </w:trPr>
        <w:tc>
          <w:tcPr>
            <w:tcW w:w="4840" w:type="dxa"/>
            <w:vAlign w:val="bottom"/>
            <w:tcBorders>
              <w:left w:val="single" w:sz="8" w:color="C0C0C0"/>
              <w:bottom w:val="single" w:sz="8" w:color="C0C0C0"/>
              <w:right w:val="single" w:sz="8" w:color="C0C0C0"/>
            </w:tcBorders>
          </w:tcPr>
          <w:p>
            <w:pPr>
              <w:ind w:left="40"/>
              <w:spacing w:after="0"/>
              <w:rPr>
                <w:sz w:val="20"/>
                <w:szCs w:val="20"/>
                <w:color w:val="auto"/>
              </w:rPr>
            </w:pPr>
            <w:r>
              <w:rPr>
                <w:rFonts w:ascii="Arial" w:cs="Arial" w:eastAsia="Arial" w:hAnsi="Arial"/>
                <w:sz w:val="18"/>
                <w:szCs w:val="18"/>
                <w:b w:val="1"/>
                <w:bCs w:val="1"/>
                <w:i w:val="1"/>
                <w:iCs w:val="1"/>
                <w:color w:val="auto"/>
              </w:rPr>
              <w:t>Covered Life's Sex and Date of Birth:</w:t>
            </w:r>
          </w:p>
        </w:tc>
        <w:tc>
          <w:tcPr>
            <w:tcW w:w="5660" w:type="dxa"/>
            <w:vAlign w:val="bottom"/>
            <w:tcBorders>
              <w:bottom w:val="single" w:sz="8" w:color="C0C0C0"/>
              <w:right w:val="single" w:sz="8" w:color="C0C0C0"/>
            </w:tcBorders>
          </w:tcPr>
          <w:p>
            <w:pPr>
              <w:ind w:left="20"/>
              <w:spacing w:after="0" w:line="255" w:lineRule="exact"/>
              <w:rPr>
                <w:sz w:val="20"/>
                <w:szCs w:val="20"/>
                <w:color w:val="auto"/>
              </w:rPr>
            </w:pPr>
            <w:r>
              <w:rPr>
                <w:rFonts w:ascii="Arial" w:cs="Arial" w:eastAsia="Arial" w:hAnsi="Arial"/>
                <w:sz w:val="18"/>
                <w:szCs w:val="18"/>
                <w:color w:val="auto"/>
              </w:rPr>
              <w:t xml:space="preserve">[Male/Female, Date] </w:t>
            </w:r>
            <w:r>
              <w:rPr>
                <w:rFonts w:ascii="Arial" w:cs="Arial" w:eastAsia="Arial" w:hAnsi="Arial"/>
                <w:sz w:val="23"/>
                <w:szCs w:val="23"/>
                <w:color w:val="auto"/>
                <w:vertAlign w:val="superscript"/>
              </w:rPr>
              <w:t>A</w:t>
            </w:r>
          </w:p>
        </w:tc>
      </w:tr>
      <w:tr>
        <w:trPr>
          <w:trHeight w:val="243"/>
        </w:trPr>
        <w:tc>
          <w:tcPr>
            <w:tcW w:w="4840" w:type="dxa"/>
            <w:vAlign w:val="bottom"/>
            <w:tcBorders>
              <w:left w:val="single" w:sz="8" w:color="C0C0C0"/>
              <w:bottom w:val="single" w:sz="8" w:color="C0C0C0"/>
              <w:right w:val="single" w:sz="8" w:color="C0C0C0"/>
            </w:tcBorders>
          </w:tcPr>
          <w:p>
            <w:pPr>
              <w:spacing w:after="0"/>
              <w:rPr>
                <w:sz w:val="21"/>
                <w:szCs w:val="21"/>
                <w:color w:val="auto"/>
              </w:rPr>
            </w:pPr>
          </w:p>
        </w:tc>
        <w:tc>
          <w:tcPr>
            <w:tcW w:w="5660" w:type="dxa"/>
            <w:vAlign w:val="bottom"/>
            <w:tcBorders>
              <w:bottom w:val="single" w:sz="8" w:color="C0C0C0"/>
              <w:right w:val="single" w:sz="8" w:color="C0C0C0"/>
            </w:tcBorders>
          </w:tcPr>
          <w:p>
            <w:pPr>
              <w:spacing w:after="0"/>
              <w:rPr>
                <w:sz w:val="21"/>
                <w:szCs w:val="21"/>
                <w:color w:val="auto"/>
              </w:rPr>
            </w:pPr>
          </w:p>
        </w:tc>
      </w:tr>
      <w:tr>
        <w:trPr>
          <w:trHeight w:val="255"/>
        </w:trPr>
        <w:tc>
          <w:tcPr>
            <w:tcW w:w="4840" w:type="dxa"/>
            <w:vAlign w:val="bottom"/>
            <w:tcBorders>
              <w:left w:val="single" w:sz="8" w:color="C0C0C0"/>
              <w:bottom w:val="single" w:sz="8" w:color="C0C0C0"/>
              <w:right w:val="single" w:sz="8" w:color="C0C0C0"/>
            </w:tcBorders>
          </w:tcPr>
          <w:p>
            <w:pPr>
              <w:ind w:left="40"/>
              <w:spacing w:after="0"/>
              <w:rPr>
                <w:sz w:val="20"/>
                <w:szCs w:val="20"/>
                <w:color w:val="auto"/>
              </w:rPr>
            </w:pPr>
            <w:r>
              <w:rPr>
                <w:rFonts w:ascii="Arial" w:cs="Arial" w:eastAsia="Arial" w:hAnsi="Arial"/>
                <w:sz w:val="18"/>
                <w:szCs w:val="18"/>
                <w:i w:val="1"/>
                <w:iCs w:val="1"/>
                <w:color w:val="auto"/>
              </w:rPr>
              <w:t>Annuity Certificate Number:</w:t>
            </w:r>
          </w:p>
        </w:tc>
        <w:tc>
          <w:tcPr>
            <w:tcW w:w="5660" w:type="dxa"/>
            <w:vAlign w:val="bottom"/>
            <w:tcBorders>
              <w:bottom w:val="single" w:sz="8" w:color="C0C0C0"/>
              <w:right w:val="single" w:sz="8" w:color="C0C0C0"/>
            </w:tcBorders>
          </w:tcPr>
          <w:p>
            <w:pPr>
              <w:ind w:left="20"/>
              <w:spacing w:after="0" w:line="255" w:lineRule="exact"/>
              <w:rPr>
                <w:sz w:val="20"/>
                <w:szCs w:val="20"/>
                <w:color w:val="auto"/>
              </w:rPr>
            </w:pPr>
            <w:r>
              <w:rPr>
                <w:rFonts w:ascii="Arial" w:cs="Arial" w:eastAsia="Arial" w:hAnsi="Arial"/>
                <w:sz w:val="18"/>
                <w:szCs w:val="18"/>
                <w:color w:val="auto"/>
              </w:rPr>
              <w:t>[Certificate Number</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23"/>
                <w:szCs w:val="23"/>
                <w:b w:val="1"/>
                <w:bCs w:val="1"/>
                <w:color w:val="auto"/>
                <w:vertAlign w:val="superscript"/>
              </w:rPr>
              <w:t>A</w:t>
            </w:r>
          </w:p>
        </w:tc>
      </w:tr>
      <w:tr>
        <w:trPr>
          <w:trHeight w:val="243"/>
        </w:trPr>
        <w:tc>
          <w:tcPr>
            <w:tcW w:w="4840" w:type="dxa"/>
            <w:vAlign w:val="bottom"/>
            <w:tcBorders>
              <w:left w:val="single" w:sz="8" w:color="C0C0C0"/>
              <w:bottom w:val="single" w:sz="8" w:color="C0C0C0"/>
              <w:right w:val="single" w:sz="8" w:color="C0C0C0"/>
            </w:tcBorders>
          </w:tcPr>
          <w:p>
            <w:pPr>
              <w:spacing w:after="0"/>
              <w:rPr>
                <w:sz w:val="21"/>
                <w:szCs w:val="21"/>
                <w:color w:val="auto"/>
              </w:rPr>
            </w:pPr>
          </w:p>
        </w:tc>
        <w:tc>
          <w:tcPr>
            <w:tcW w:w="5660" w:type="dxa"/>
            <w:vAlign w:val="bottom"/>
            <w:tcBorders>
              <w:bottom w:val="single" w:sz="8" w:color="C0C0C0"/>
              <w:right w:val="single" w:sz="8" w:color="C0C0C0"/>
            </w:tcBorders>
          </w:tcPr>
          <w:p>
            <w:pPr>
              <w:spacing w:after="0"/>
              <w:rPr>
                <w:sz w:val="21"/>
                <w:szCs w:val="21"/>
                <w:color w:val="auto"/>
              </w:rPr>
            </w:pPr>
          </w:p>
        </w:tc>
      </w:tr>
      <w:tr>
        <w:trPr>
          <w:trHeight w:val="214"/>
        </w:trPr>
        <w:tc>
          <w:tcPr>
            <w:tcW w:w="4840" w:type="dxa"/>
            <w:vAlign w:val="bottom"/>
            <w:tcBorders>
              <w:left w:val="single" w:sz="8" w:color="C0C0C0"/>
              <w:right w:val="single" w:sz="8" w:color="C0C0C0"/>
            </w:tcBorders>
          </w:tcPr>
          <w:p>
            <w:pPr>
              <w:spacing w:after="0"/>
              <w:rPr>
                <w:sz w:val="18"/>
                <w:szCs w:val="18"/>
                <w:color w:val="auto"/>
              </w:rPr>
            </w:pPr>
          </w:p>
        </w:tc>
        <w:tc>
          <w:tcPr>
            <w:tcW w:w="5660" w:type="dxa"/>
            <w:vAlign w:val="bottom"/>
            <w:tcBorders>
              <w:right w:val="single" w:sz="8" w:color="C0C0C0"/>
            </w:tcBorders>
          </w:tcPr>
          <w:p>
            <w:pPr>
              <w:ind w:left="20"/>
              <w:spacing w:after="0"/>
              <w:rPr>
                <w:sz w:val="20"/>
                <w:szCs w:val="20"/>
                <w:color w:val="auto"/>
              </w:rPr>
            </w:pPr>
            <w:r>
              <w:rPr>
                <w:rFonts w:ascii="Arial" w:cs="Arial" w:eastAsia="Arial" w:hAnsi="Arial"/>
                <w:sz w:val="18"/>
                <w:szCs w:val="18"/>
                <w:color w:val="auto"/>
              </w:rPr>
              <w:t>[NAME OF TRUST BANK, as Directed Trustee of the Vita Salaried</w:t>
            </w:r>
          </w:p>
        </w:tc>
      </w:tr>
      <w:tr>
        <w:trPr>
          <w:trHeight w:val="255"/>
        </w:trPr>
        <w:tc>
          <w:tcPr>
            <w:tcW w:w="4840" w:type="dxa"/>
            <w:vAlign w:val="bottom"/>
            <w:tcBorders>
              <w:left w:val="single" w:sz="8" w:color="C0C0C0"/>
              <w:bottom w:val="single" w:sz="8" w:color="C0C0C0"/>
              <w:right w:val="single" w:sz="8" w:color="C0C0C0"/>
            </w:tcBorders>
          </w:tcPr>
          <w:p>
            <w:pPr>
              <w:ind w:left="40"/>
              <w:spacing w:after="0" w:line="255" w:lineRule="exact"/>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Contract-Holder:</w:t>
            </w:r>
            <w:r>
              <w:rPr>
                <w:rFonts w:ascii="Arial" w:cs="Arial" w:eastAsia="Arial" w:hAnsi="Arial"/>
                <w:sz w:val="18"/>
                <w:szCs w:val="18"/>
                <w:color w:val="auto"/>
              </w:rPr>
              <w:t xml:space="preserve"> ] </w:t>
            </w:r>
            <w:r>
              <w:rPr>
                <w:rFonts w:ascii="Arial" w:cs="Arial" w:eastAsia="Arial" w:hAnsi="Arial"/>
                <w:sz w:val="23"/>
                <w:szCs w:val="23"/>
                <w:color w:val="auto"/>
                <w:vertAlign w:val="superscript"/>
              </w:rPr>
              <w:t>A</w:t>
            </w:r>
          </w:p>
        </w:tc>
        <w:tc>
          <w:tcPr>
            <w:tcW w:w="5660" w:type="dxa"/>
            <w:vAlign w:val="bottom"/>
            <w:tcBorders>
              <w:bottom w:val="single" w:sz="8" w:color="C0C0C0"/>
              <w:right w:val="single" w:sz="8" w:color="C0C0C0"/>
            </w:tcBorders>
          </w:tcPr>
          <w:p>
            <w:pPr>
              <w:ind w:left="20"/>
              <w:spacing w:after="0" w:line="255" w:lineRule="exact"/>
              <w:rPr>
                <w:sz w:val="20"/>
                <w:szCs w:val="20"/>
                <w:color w:val="auto"/>
              </w:rPr>
            </w:pPr>
            <w:r>
              <w:rPr>
                <w:rFonts w:ascii="Arial" w:cs="Arial" w:eastAsia="Arial" w:hAnsi="Arial"/>
                <w:sz w:val="18"/>
                <w:szCs w:val="18"/>
                <w:color w:val="auto"/>
              </w:rPr>
              <w:t>Retirement Trust, a New York trust]</w:t>
            </w:r>
            <w:r>
              <w:rPr>
                <w:rFonts w:ascii="Arial" w:cs="Arial" w:eastAsia="Arial" w:hAnsi="Arial"/>
                <w:sz w:val="23"/>
                <w:szCs w:val="23"/>
                <w:color w:val="auto"/>
                <w:vertAlign w:val="superscript"/>
              </w:rPr>
              <w:t>A</w:t>
            </w:r>
          </w:p>
        </w:tc>
      </w:tr>
      <w:tr>
        <w:trPr>
          <w:trHeight w:val="243"/>
        </w:trPr>
        <w:tc>
          <w:tcPr>
            <w:tcW w:w="4840" w:type="dxa"/>
            <w:vAlign w:val="bottom"/>
            <w:tcBorders>
              <w:left w:val="single" w:sz="8" w:color="C0C0C0"/>
              <w:bottom w:val="single" w:sz="8" w:color="C0C0C0"/>
              <w:right w:val="single" w:sz="8" w:color="C0C0C0"/>
            </w:tcBorders>
          </w:tcPr>
          <w:p>
            <w:pPr>
              <w:spacing w:after="0"/>
              <w:rPr>
                <w:sz w:val="21"/>
                <w:szCs w:val="21"/>
                <w:color w:val="auto"/>
              </w:rPr>
            </w:pPr>
          </w:p>
        </w:tc>
        <w:tc>
          <w:tcPr>
            <w:tcW w:w="5660" w:type="dxa"/>
            <w:vAlign w:val="bottom"/>
            <w:tcBorders>
              <w:bottom w:val="single" w:sz="8" w:color="C0C0C0"/>
              <w:right w:val="single" w:sz="8" w:color="C0C0C0"/>
            </w:tcBorders>
          </w:tcPr>
          <w:p>
            <w:pPr>
              <w:spacing w:after="0"/>
              <w:rPr>
                <w:sz w:val="21"/>
                <w:szCs w:val="21"/>
                <w:color w:val="auto"/>
              </w:rPr>
            </w:pPr>
          </w:p>
        </w:tc>
      </w:tr>
      <w:tr>
        <w:trPr>
          <w:trHeight w:val="255"/>
        </w:trPr>
        <w:tc>
          <w:tcPr>
            <w:tcW w:w="4840" w:type="dxa"/>
            <w:vAlign w:val="bottom"/>
            <w:tcBorders>
              <w:left w:val="single" w:sz="8" w:color="C0C0C0"/>
              <w:bottom w:val="single" w:sz="8" w:color="C0C0C0"/>
              <w:right w:val="single" w:sz="8" w:color="C0C0C0"/>
            </w:tcBorders>
          </w:tcPr>
          <w:p>
            <w:pPr>
              <w:ind w:left="40"/>
              <w:spacing w:after="0" w:line="255" w:lineRule="exact"/>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Name of Plan:</w:t>
            </w:r>
            <w:r>
              <w:rPr>
                <w:rFonts w:ascii="Arial" w:cs="Arial" w:eastAsia="Arial" w:hAnsi="Arial"/>
                <w:sz w:val="18"/>
                <w:szCs w:val="18"/>
                <w:color w:val="auto"/>
              </w:rPr>
              <w:t xml:space="preserve"> ] </w:t>
            </w:r>
            <w:r>
              <w:rPr>
                <w:rFonts w:ascii="Arial" w:cs="Arial" w:eastAsia="Arial" w:hAnsi="Arial"/>
                <w:sz w:val="23"/>
                <w:szCs w:val="23"/>
                <w:color w:val="auto"/>
                <w:vertAlign w:val="superscript"/>
              </w:rPr>
              <w:t>A</w:t>
            </w:r>
          </w:p>
        </w:tc>
        <w:tc>
          <w:tcPr>
            <w:tcW w:w="5660" w:type="dxa"/>
            <w:vAlign w:val="bottom"/>
            <w:tcBorders>
              <w:bottom w:val="single" w:sz="8" w:color="C0C0C0"/>
              <w:right w:val="single" w:sz="8" w:color="C0C0C0"/>
            </w:tcBorders>
          </w:tcPr>
          <w:p>
            <w:pPr>
              <w:ind w:left="20"/>
              <w:spacing w:after="0" w:line="255" w:lineRule="exact"/>
              <w:rPr>
                <w:sz w:val="20"/>
                <w:szCs w:val="20"/>
                <w:color w:val="auto"/>
              </w:rPr>
            </w:pPr>
            <w:r>
              <w:rPr>
                <w:rFonts w:ascii="Arial" w:cs="Arial" w:eastAsia="Arial" w:hAnsi="Arial"/>
                <w:sz w:val="18"/>
                <w:szCs w:val="18"/>
                <w:color w:val="auto"/>
              </w:rPr>
              <w:t>[Vita Salaried Retirement Plan]</w:t>
            </w:r>
            <w:r>
              <w:rPr>
                <w:rFonts w:ascii="Arial" w:cs="Arial" w:eastAsia="Arial" w:hAnsi="Arial"/>
                <w:sz w:val="23"/>
                <w:szCs w:val="23"/>
                <w:color w:val="auto"/>
                <w:vertAlign w:val="superscript"/>
              </w:rPr>
              <w:t>A</w:t>
            </w:r>
          </w:p>
        </w:tc>
      </w:tr>
      <w:tr>
        <w:trPr>
          <w:trHeight w:val="243"/>
        </w:trPr>
        <w:tc>
          <w:tcPr>
            <w:tcW w:w="4840" w:type="dxa"/>
            <w:vAlign w:val="bottom"/>
            <w:tcBorders>
              <w:left w:val="single" w:sz="8" w:color="C0C0C0"/>
              <w:bottom w:val="single" w:sz="8" w:color="C0C0C0"/>
              <w:right w:val="single" w:sz="8" w:color="C0C0C0"/>
            </w:tcBorders>
          </w:tcPr>
          <w:p>
            <w:pPr>
              <w:spacing w:after="0"/>
              <w:rPr>
                <w:sz w:val="21"/>
                <w:szCs w:val="21"/>
                <w:color w:val="auto"/>
              </w:rPr>
            </w:pPr>
          </w:p>
        </w:tc>
        <w:tc>
          <w:tcPr>
            <w:tcW w:w="5660" w:type="dxa"/>
            <w:vAlign w:val="bottom"/>
            <w:tcBorders>
              <w:bottom w:val="single" w:sz="8" w:color="C0C0C0"/>
              <w:right w:val="single" w:sz="8" w:color="C0C0C0"/>
            </w:tcBorders>
          </w:tcPr>
          <w:p>
            <w:pPr>
              <w:spacing w:after="0"/>
              <w:rPr>
                <w:sz w:val="21"/>
                <w:szCs w:val="21"/>
                <w:color w:val="auto"/>
              </w:rPr>
            </w:pPr>
          </w:p>
        </w:tc>
      </w:tr>
      <w:tr>
        <w:trPr>
          <w:trHeight w:val="255"/>
        </w:trPr>
        <w:tc>
          <w:tcPr>
            <w:tcW w:w="4840" w:type="dxa"/>
            <w:vAlign w:val="bottom"/>
            <w:tcBorders>
              <w:left w:val="single" w:sz="8" w:color="C0C0C0"/>
              <w:bottom w:val="single" w:sz="8" w:color="C0C0C0"/>
              <w:right w:val="single" w:sz="8" w:color="C0C0C0"/>
            </w:tcBorders>
          </w:tcPr>
          <w:p>
            <w:pPr>
              <w:ind w:left="40"/>
              <w:spacing w:after="0"/>
              <w:rPr>
                <w:sz w:val="20"/>
                <w:szCs w:val="20"/>
                <w:color w:val="auto"/>
              </w:rPr>
            </w:pPr>
            <w:r>
              <w:rPr>
                <w:rFonts w:ascii="Arial" w:cs="Arial" w:eastAsia="Arial" w:hAnsi="Arial"/>
                <w:sz w:val="18"/>
                <w:szCs w:val="18"/>
                <w:i w:val="1"/>
                <w:iCs w:val="1"/>
                <w:color w:val="auto"/>
              </w:rPr>
              <w:t>Group Annuity Contract Number:</w:t>
            </w:r>
          </w:p>
        </w:tc>
        <w:tc>
          <w:tcPr>
            <w:tcW w:w="5660" w:type="dxa"/>
            <w:vAlign w:val="bottom"/>
            <w:tcBorders>
              <w:bottom w:val="single" w:sz="8" w:color="C0C0C0"/>
              <w:right w:val="single" w:sz="8" w:color="C0C0C0"/>
            </w:tcBorders>
          </w:tcPr>
          <w:p>
            <w:pPr>
              <w:ind w:left="20"/>
              <w:spacing w:after="0" w:line="255" w:lineRule="exact"/>
              <w:rPr>
                <w:sz w:val="20"/>
                <w:szCs w:val="20"/>
                <w:color w:val="auto"/>
              </w:rPr>
            </w:pPr>
            <w:r>
              <w:rPr>
                <w:rFonts w:ascii="Arial" w:cs="Arial" w:eastAsia="Arial" w:hAnsi="Arial"/>
                <w:sz w:val="18"/>
                <w:szCs w:val="18"/>
                <w:color w:val="auto"/>
              </w:rPr>
              <w:t>[Article P of GA-300</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23"/>
                <w:szCs w:val="23"/>
                <w:b w:val="1"/>
                <w:bCs w:val="1"/>
                <w:color w:val="auto"/>
                <w:vertAlign w:val="superscript"/>
              </w:rPr>
              <w:t>A</w:t>
            </w:r>
          </w:p>
        </w:tc>
      </w:tr>
      <w:tr>
        <w:trPr>
          <w:trHeight w:val="243"/>
        </w:trPr>
        <w:tc>
          <w:tcPr>
            <w:tcW w:w="4840" w:type="dxa"/>
            <w:vAlign w:val="bottom"/>
            <w:tcBorders>
              <w:left w:val="single" w:sz="8" w:color="C0C0C0"/>
              <w:bottom w:val="single" w:sz="8" w:color="C0C0C0"/>
              <w:right w:val="single" w:sz="8" w:color="C0C0C0"/>
            </w:tcBorders>
          </w:tcPr>
          <w:p>
            <w:pPr>
              <w:spacing w:after="0"/>
              <w:rPr>
                <w:sz w:val="21"/>
                <w:szCs w:val="21"/>
                <w:color w:val="auto"/>
              </w:rPr>
            </w:pPr>
          </w:p>
        </w:tc>
        <w:tc>
          <w:tcPr>
            <w:tcW w:w="5660" w:type="dxa"/>
            <w:vAlign w:val="bottom"/>
            <w:tcBorders>
              <w:bottom w:val="single" w:sz="8" w:color="C0C0C0"/>
              <w:right w:val="single" w:sz="8" w:color="C0C0C0"/>
            </w:tcBorders>
          </w:tcPr>
          <w:p>
            <w:pPr>
              <w:spacing w:after="0"/>
              <w:rPr>
                <w:sz w:val="21"/>
                <w:szCs w:val="21"/>
                <w:color w:val="auto"/>
              </w:rPr>
            </w:pPr>
          </w:p>
        </w:tc>
      </w:tr>
      <w:tr>
        <w:trPr>
          <w:trHeight w:val="234"/>
        </w:trPr>
        <w:tc>
          <w:tcPr>
            <w:tcW w:w="4840" w:type="dxa"/>
            <w:vAlign w:val="bottom"/>
            <w:tcBorders>
              <w:left w:val="single" w:sz="8" w:color="C0C0C0"/>
              <w:right w:val="single" w:sz="8" w:color="C0C0C0"/>
            </w:tcBorders>
          </w:tcPr>
          <w:p>
            <w:pPr>
              <w:ind w:left="40"/>
              <w:spacing w:after="0"/>
              <w:rPr>
                <w:sz w:val="20"/>
                <w:szCs w:val="20"/>
                <w:color w:val="auto"/>
              </w:rPr>
            </w:pPr>
            <w:r>
              <w:rPr>
                <w:rFonts w:ascii="Arial" w:cs="Arial" w:eastAsia="Arial" w:hAnsi="Arial"/>
                <w:sz w:val="18"/>
                <w:szCs w:val="18"/>
                <w:i w:val="1"/>
                <w:iCs w:val="1"/>
                <w:color w:val="auto"/>
              </w:rPr>
              <w:t>Form of Annuity:</w:t>
            </w:r>
          </w:p>
        </w:tc>
        <w:tc>
          <w:tcPr>
            <w:tcW w:w="5660" w:type="dxa"/>
            <w:vAlign w:val="bottom"/>
            <w:tcBorders>
              <w:right w:val="single" w:sz="8" w:color="C0C0C0"/>
            </w:tcBorders>
          </w:tcPr>
          <w:p>
            <w:pPr>
              <w:ind w:left="20"/>
              <w:spacing w:after="0"/>
              <w:rPr>
                <w:sz w:val="20"/>
                <w:szCs w:val="20"/>
                <w:color w:val="auto"/>
              </w:rPr>
            </w:pPr>
            <w:r>
              <w:rPr>
                <w:rFonts w:ascii="Arial" w:cs="Arial" w:eastAsia="Arial" w:hAnsi="Arial"/>
                <w:sz w:val="18"/>
                <w:szCs w:val="18"/>
                <w:color w:val="auto"/>
              </w:rPr>
              <w:t>Single Life and Period Certain Annuity</w:t>
            </w:r>
          </w:p>
        </w:tc>
      </w:tr>
      <w:tr>
        <w:trPr>
          <w:trHeight w:val="21"/>
        </w:trPr>
        <w:tc>
          <w:tcPr>
            <w:tcW w:w="4840" w:type="dxa"/>
            <w:vAlign w:val="bottom"/>
            <w:tcBorders>
              <w:left w:val="single" w:sz="8" w:color="C0C0C0"/>
              <w:bottom w:val="single" w:sz="8" w:color="C0C0C0"/>
              <w:right w:val="single" w:sz="8" w:color="C0C0C0"/>
            </w:tcBorders>
          </w:tcPr>
          <w:p>
            <w:pPr>
              <w:spacing w:after="0" w:line="20" w:lineRule="exact"/>
              <w:rPr>
                <w:sz w:val="1"/>
                <w:szCs w:val="1"/>
                <w:color w:val="auto"/>
              </w:rPr>
            </w:pPr>
          </w:p>
        </w:tc>
        <w:tc>
          <w:tcPr>
            <w:tcW w:w="5660" w:type="dxa"/>
            <w:vAlign w:val="bottom"/>
            <w:tcBorders>
              <w:bottom w:val="single" w:sz="8" w:color="C0C0C0"/>
              <w:right w:val="single" w:sz="8" w:color="C0C0C0"/>
            </w:tcBorders>
          </w:tcPr>
          <w:p>
            <w:pPr>
              <w:spacing w:after="0" w:line="20" w:lineRule="exact"/>
              <w:rPr>
                <w:sz w:val="1"/>
                <w:szCs w:val="1"/>
                <w:color w:val="auto"/>
              </w:rPr>
            </w:pPr>
          </w:p>
        </w:tc>
      </w:tr>
      <w:tr>
        <w:trPr>
          <w:trHeight w:val="243"/>
        </w:trPr>
        <w:tc>
          <w:tcPr>
            <w:tcW w:w="4840" w:type="dxa"/>
            <w:vAlign w:val="bottom"/>
            <w:tcBorders>
              <w:left w:val="single" w:sz="8" w:color="C0C0C0"/>
              <w:bottom w:val="single" w:sz="8" w:color="C0C0C0"/>
              <w:right w:val="single" w:sz="8" w:color="C0C0C0"/>
            </w:tcBorders>
          </w:tcPr>
          <w:p>
            <w:pPr>
              <w:spacing w:after="0"/>
              <w:rPr>
                <w:sz w:val="21"/>
                <w:szCs w:val="21"/>
                <w:color w:val="auto"/>
              </w:rPr>
            </w:pPr>
          </w:p>
        </w:tc>
        <w:tc>
          <w:tcPr>
            <w:tcW w:w="5660" w:type="dxa"/>
            <w:vAlign w:val="bottom"/>
            <w:tcBorders>
              <w:bottom w:val="single" w:sz="8" w:color="C0C0C0"/>
              <w:right w:val="single" w:sz="8" w:color="C0C0C0"/>
            </w:tcBorders>
          </w:tcPr>
          <w:p>
            <w:pPr>
              <w:spacing w:after="0"/>
              <w:rPr>
                <w:sz w:val="21"/>
                <w:szCs w:val="21"/>
                <w:color w:val="auto"/>
              </w:rPr>
            </w:pPr>
          </w:p>
        </w:tc>
      </w:tr>
      <w:tr>
        <w:trPr>
          <w:trHeight w:val="255"/>
        </w:trPr>
        <w:tc>
          <w:tcPr>
            <w:tcW w:w="4840" w:type="dxa"/>
            <w:vAlign w:val="bottom"/>
            <w:tcBorders>
              <w:left w:val="single" w:sz="8" w:color="C0C0C0"/>
              <w:bottom w:val="single" w:sz="8" w:color="C0C0C0"/>
              <w:right w:val="single" w:sz="8" w:color="C0C0C0"/>
            </w:tcBorders>
          </w:tcPr>
          <w:p>
            <w:pPr>
              <w:ind w:left="40"/>
              <w:spacing w:after="0"/>
              <w:rPr>
                <w:sz w:val="20"/>
                <w:szCs w:val="20"/>
                <w:color w:val="auto"/>
              </w:rPr>
            </w:pPr>
            <w:r>
              <w:rPr>
                <w:rFonts w:ascii="Arial" w:cs="Arial" w:eastAsia="Arial" w:hAnsi="Arial"/>
                <w:sz w:val="18"/>
                <w:szCs w:val="18"/>
                <w:i w:val="1"/>
                <w:iCs w:val="1"/>
                <w:color w:val="auto"/>
              </w:rPr>
              <w:t>Annuity Commencement Date:</w:t>
            </w:r>
          </w:p>
        </w:tc>
        <w:tc>
          <w:tcPr>
            <w:tcW w:w="5660" w:type="dxa"/>
            <w:vAlign w:val="bottom"/>
            <w:tcBorders>
              <w:bottom w:val="single" w:sz="8" w:color="C0C0C0"/>
              <w:right w:val="single" w:sz="8" w:color="C0C0C0"/>
            </w:tcBorders>
          </w:tcPr>
          <w:p>
            <w:pPr>
              <w:ind w:left="20"/>
              <w:spacing w:after="0" w:line="255" w:lineRule="exact"/>
              <w:rPr>
                <w:sz w:val="20"/>
                <w:szCs w:val="20"/>
                <w:color w:val="auto"/>
              </w:rPr>
            </w:pPr>
            <w:r>
              <w:rPr>
                <w:rFonts w:ascii="Arial" w:cs="Arial" w:eastAsia="Arial" w:hAnsi="Arial"/>
                <w:sz w:val="18"/>
                <w:szCs w:val="18"/>
                <w:color w:val="auto"/>
              </w:rPr>
              <w:t>[Date</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23"/>
                <w:szCs w:val="23"/>
                <w:b w:val="1"/>
                <w:bCs w:val="1"/>
                <w:color w:val="auto"/>
                <w:vertAlign w:val="superscript"/>
              </w:rPr>
              <w:t>A</w:t>
            </w:r>
          </w:p>
        </w:tc>
      </w:tr>
      <w:tr>
        <w:trPr>
          <w:trHeight w:val="293"/>
        </w:trPr>
        <w:tc>
          <w:tcPr>
            <w:tcW w:w="4840" w:type="dxa"/>
            <w:vAlign w:val="bottom"/>
            <w:tcBorders>
              <w:left w:val="single" w:sz="8" w:color="C0C0C0"/>
              <w:bottom w:val="single" w:sz="8" w:color="C0C0C0"/>
              <w:right w:val="single" w:sz="8" w:color="C0C0C0"/>
            </w:tcBorders>
          </w:tcPr>
          <w:p>
            <w:pPr>
              <w:spacing w:after="0"/>
              <w:rPr>
                <w:sz w:val="24"/>
                <w:szCs w:val="24"/>
                <w:color w:val="auto"/>
              </w:rPr>
            </w:pPr>
          </w:p>
        </w:tc>
        <w:tc>
          <w:tcPr>
            <w:tcW w:w="5660" w:type="dxa"/>
            <w:vAlign w:val="bottom"/>
            <w:tcBorders>
              <w:bottom w:val="single" w:sz="8" w:color="C0C0C0"/>
              <w:right w:val="single" w:sz="8" w:color="C0C0C0"/>
            </w:tcBorders>
          </w:tcPr>
          <w:p>
            <w:pPr>
              <w:spacing w:after="0"/>
              <w:rPr>
                <w:sz w:val="24"/>
                <w:szCs w:val="24"/>
                <w:color w:val="auto"/>
              </w:rPr>
            </w:pPr>
          </w:p>
        </w:tc>
      </w:tr>
      <w:tr>
        <w:trPr>
          <w:trHeight w:val="255"/>
        </w:trPr>
        <w:tc>
          <w:tcPr>
            <w:tcW w:w="4840" w:type="dxa"/>
            <w:vAlign w:val="bottom"/>
            <w:tcBorders>
              <w:left w:val="single" w:sz="8" w:color="C0C0C0"/>
              <w:bottom w:val="single" w:sz="8" w:color="C0C0C0"/>
              <w:right w:val="single" w:sz="8" w:color="C0C0C0"/>
            </w:tcBorders>
          </w:tcPr>
          <w:p>
            <w:pPr>
              <w:ind w:left="40"/>
              <w:spacing w:after="0" w:line="255" w:lineRule="exact"/>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Original Retirement Date:</w:t>
            </w:r>
            <w:r>
              <w:rPr>
                <w:rFonts w:ascii="Arial" w:cs="Arial" w:eastAsia="Arial" w:hAnsi="Arial"/>
                <w:sz w:val="18"/>
                <w:szCs w:val="18"/>
                <w:color w:val="auto"/>
              </w:rPr>
              <w:t xml:space="preserve"> ] </w:t>
            </w:r>
            <w:r>
              <w:rPr>
                <w:rFonts w:ascii="Arial" w:cs="Arial" w:eastAsia="Arial" w:hAnsi="Arial"/>
                <w:sz w:val="23"/>
                <w:szCs w:val="23"/>
                <w:color w:val="auto"/>
                <w:vertAlign w:val="superscript"/>
              </w:rPr>
              <w:t>A</w:t>
            </w:r>
          </w:p>
        </w:tc>
        <w:tc>
          <w:tcPr>
            <w:tcW w:w="5660" w:type="dxa"/>
            <w:vAlign w:val="bottom"/>
            <w:tcBorders>
              <w:bottom w:val="single" w:sz="8" w:color="C0C0C0"/>
              <w:right w:val="single" w:sz="8" w:color="C0C0C0"/>
            </w:tcBorders>
          </w:tcPr>
          <w:p>
            <w:pPr>
              <w:ind w:left="20"/>
              <w:spacing w:after="0" w:line="255" w:lineRule="exact"/>
              <w:rPr>
                <w:sz w:val="20"/>
                <w:szCs w:val="20"/>
                <w:color w:val="auto"/>
              </w:rPr>
            </w:pPr>
            <w:r>
              <w:rPr>
                <w:rFonts w:ascii="Arial" w:cs="Arial" w:eastAsia="Arial" w:hAnsi="Arial"/>
                <w:sz w:val="18"/>
                <w:szCs w:val="18"/>
                <w:color w:val="auto"/>
              </w:rPr>
              <w:t>[Date</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23"/>
                <w:szCs w:val="23"/>
                <w:b w:val="1"/>
                <w:bCs w:val="1"/>
                <w:color w:val="auto"/>
                <w:vertAlign w:val="superscript"/>
              </w:rPr>
              <w:t>A</w:t>
            </w:r>
          </w:p>
        </w:tc>
      </w:tr>
      <w:tr>
        <w:trPr>
          <w:trHeight w:val="243"/>
        </w:trPr>
        <w:tc>
          <w:tcPr>
            <w:tcW w:w="4840" w:type="dxa"/>
            <w:vAlign w:val="bottom"/>
            <w:tcBorders>
              <w:left w:val="single" w:sz="8" w:color="C0C0C0"/>
              <w:bottom w:val="single" w:sz="8" w:color="C0C0C0"/>
              <w:right w:val="single" w:sz="8" w:color="C0C0C0"/>
            </w:tcBorders>
          </w:tcPr>
          <w:p>
            <w:pPr>
              <w:spacing w:after="0"/>
              <w:rPr>
                <w:sz w:val="21"/>
                <w:szCs w:val="21"/>
                <w:color w:val="auto"/>
              </w:rPr>
            </w:pPr>
          </w:p>
        </w:tc>
        <w:tc>
          <w:tcPr>
            <w:tcW w:w="5660" w:type="dxa"/>
            <w:vAlign w:val="bottom"/>
            <w:tcBorders>
              <w:bottom w:val="single" w:sz="8" w:color="C0C0C0"/>
              <w:right w:val="single" w:sz="8" w:color="C0C0C0"/>
            </w:tcBorders>
          </w:tcPr>
          <w:p>
            <w:pPr>
              <w:spacing w:after="0"/>
              <w:rPr>
                <w:sz w:val="21"/>
                <w:szCs w:val="21"/>
                <w:color w:val="auto"/>
              </w:rPr>
            </w:pPr>
          </w:p>
        </w:tc>
      </w:tr>
      <w:tr>
        <w:trPr>
          <w:trHeight w:val="280"/>
        </w:trPr>
        <w:tc>
          <w:tcPr>
            <w:tcW w:w="4840" w:type="dxa"/>
            <w:vAlign w:val="bottom"/>
            <w:tcBorders>
              <w:left w:val="single" w:sz="8" w:color="C0C0C0"/>
              <w:bottom w:val="single" w:sz="8" w:color="C0C0C0"/>
              <w:right w:val="single" w:sz="8" w:color="C0C0C0"/>
            </w:tcBorders>
          </w:tcPr>
          <w:p>
            <w:pPr>
              <w:ind w:left="40"/>
              <w:spacing w:after="0"/>
              <w:rPr>
                <w:sz w:val="20"/>
                <w:szCs w:val="20"/>
                <w:color w:val="auto"/>
              </w:rPr>
            </w:pPr>
            <w:r>
              <w:rPr>
                <w:rFonts w:ascii="Arial" w:cs="Arial" w:eastAsia="Arial" w:hAnsi="Arial"/>
                <w:sz w:val="18"/>
                <w:szCs w:val="18"/>
                <w:i w:val="1"/>
                <w:iCs w:val="1"/>
                <w:color w:val="auto"/>
              </w:rPr>
              <w:t>Covered Life Amount:</w:t>
            </w:r>
          </w:p>
        </w:tc>
        <w:tc>
          <w:tcPr>
            <w:tcW w:w="5660" w:type="dxa"/>
            <w:vAlign w:val="bottom"/>
            <w:tcBorders>
              <w:bottom w:val="single" w:sz="8" w:color="C0C0C0"/>
              <w:right w:val="single" w:sz="8" w:color="C0C0C0"/>
            </w:tcBorders>
          </w:tcPr>
          <w:p>
            <w:pPr>
              <w:ind w:left="20"/>
              <w:spacing w:after="0"/>
              <w:rPr>
                <w:sz w:val="20"/>
                <w:szCs w:val="20"/>
                <w:color w:val="auto"/>
              </w:rPr>
            </w:pPr>
            <w:r>
              <w:rPr>
                <w:rFonts w:ascii="Arial" w:cs="Arial" w:eastAsia="Arial" w:hAnsi="Arial"/>
                <w:sz w:val="18"/>
                <w:szCs w:val="18"/>
                <w:color w:val="auto"/>
              </w:rPr>
              <w:t xml:space="preserve">[$XXX.XX subject to stated limitations] </w:t>
            </w:r>
            <w:r>
              <w:rPr>
                <w:rFonts w:ascii="Arial" w:cs="Arial" w:eastAsia="Arial" w:hAnsi="Arial"/>
                <w:sz w:val="23"/>
                <w:szCs w:val="23"/>
                <w:color w:val="auto"/>
                <w:vertAlign w:val="superscript"/>
              </w:rPr>
              <w:t>A</w:t>
            </w:r>
          </w:p>
        </w:tc>
      </w:tr>
      <w:tr>
        <w:trPr>
          <w:trHeight w:val="243"/>
        </w:trPr>
        <w:tc>
          <w:tcPr>
            <w:tcW w:w="4840" w:type="dxa"/>
            <w:vAlign w:val="bottom"/>
            <w:tcBorders>
              <w:left w:val="single" w:sz="8" w:color="C0C0C0"/>
              <w:bottom w:val="single" w:sz="8" w:color="C0C0C0"/>
              <w:right w:val="single" w:sz="8" w:color="C0C0C0"/>
            </w:tcBorders>
          </w:tcPr>
          <w:p>
            <w:pPr>
              <w:spacing w:after="0"/>
              <w:rPr>
                <w:sz w:val="21"/>
                <w:szCs w:val="21"/>
                <w:color w:val="auto"/>
              </w:rPr>
            </w:pPr>
          </w:p>
        </w:tc>
        <w:tc>
          <w:tcPr>
            <w:tcW w:w="5660" w:type="dxa"/>
            <w:vAlign w:val="bottom"/>
            <w:tcBorders>
              <w:bottom w:val="single" w:sz="8" w:color="C0C0C0"/>
              <w:right w:val="single" w:sz="8" w:color="C0C0C0"/>
            </w:tcBorders>
          </w:tcPr>
          <w:p>
            <w:pPr>
              <w:spacing w:after="0"/>
              <w:rPr>
                <w:sz w:val="21"/>
                <w:szCs w:val="21"/>
                <w:color w:val="auto"/>
              </w:rPr>
            </w:pPr>
          </w:p>
        </w:tc>
      </w:tr>
      <w:tr>
        <w:trPr>
          <w:trHeight w:val="255"/>
        </w:trPr>
        <w:tc>
          <w:tcPr>
            <w:tcW w:w="4840" w:type="dxa"/>
            <w:vAlign w:val="bottom"/>
            <w:tcBorders>
              <w:left w:val="single" w:sz="8" w:color="C0C0C0"/>
              <w:bottom w:val="single" w:sz="8" w:color="C0C0C0"/>
              <w:right w:val="single" w:sz="8" w:color="C0C0C0"/>
            </w:tcBorders>
          </w:tcPr>
          <w:p>
            <w:pPr>
              <w:ind w:left="40"/>
              <w:spacing w:after="0"/>
              <w:rPr>
                <w:sz w:val="20"/>
                <w:szCs w:val="20"/>
                <w:color w:val="auto"/>
              </w:rPr>
            </w:pPr>
            <w:r>
              <w:rPr>
                <w:rFonts w:ascii="Arial" w:cs="Arial" w:eastAsia="Arial" w:hAnsi="Arial"/>
                <w:sz w:val="18"/>
                <w:szCs w:val="18"/>
                <w:i w:val="1"/>
                <w:iCs w:val="1"/>
                <w:color w:val="auto"/>
              </w:rPr>
              <w:t>Guaranteed Number of Payments</w:t>
            </w:r>
          </w:p>
        </w:tc>
        <w:tc>
          <w:tcPr>
            <w:tcW w:w="5660" w:type="dxa"/>
            <w:vAlign w:val="bottom"/>
            <w:tcBorders>
              <w:bottom w:val="single" w:sz="8" w:color="C0C0C0"/>
              <w:right w:val="single" w:sz="8" w:color="C0C0C0"/>
            </w:tcBorders>
          </w:tcPr>
          <w:p>
            <w:pPr>
              <w:ind w:left="20"/>
              <w:spacing w:after="0" w:line="255" w:lineRule="exact"/>
              <w:rPr>
                <w:sz w:val="20"/>
                <w:szCs w:val="20"/>
                <w:color w:val="auto"/>
              </w:rPr>
            </w:pPr>
            <w:r>
              <w:rPr>
                <w:rFonts w:ascii="Arial" w:cs="Arial" w:eastAsia="Arial" w:hAnsi="Arial"/>
                <w:sz w:val="18"/>
                <w:szCs w:val="18"/>
                <w:color w:val="auto"/>
              </w:rPr>
              <w:t xml:space="preserve">[#] </w:t>
            </w:r>
            <w:r>
              <w:rPr>
                <w:rFonts w:ascii="Arial" w:cs="Arial" w:eastAsia="Arial" w:hAnsi="Arial"/>
                <w:sz w:val="23"/>
                <w:szCs w:val="23"/>
                <w:color w:val="auto"/>
                <w:vertAlign w:val="superscript"/>
              </w:rPr>
              <w:t>A</w:t>
            </w:r>
          </w:p>
        </w:tc>
      </w:tr>
      <w:tr>
        <w:trPr>
          <w:trHeight w:val="243"/>
        </w:trPr>
        <w:tc>
          <w:tcPr>
            <w:tcW w:w="4840" w:type="dxa"/>
            <w:vAlign w:val="bottom"/>
            <w:tcBorders>
              <w:left w:val="single" w:sz="8" w:color="C0C0C0"/>
              <w:bottom w:val="single" w:sz="8" w:color="C0C0C0"/>
              <w:right w:val="single" w:sz="8" w:color="C0C0C0"/>
            </w:tcBorders>
          </w:tcPr>
          <w:p>
            <w:pPr>
              <w:spacing w:after="0"/>
              <w:rPr>
                <w:sz w:val="21"/>
                <w:szCs w:val="21"/>
                <w:color w:val="auto"/>
              </w:rPr>
            </w:pPr>
          </w:p>
        </w:tc>
        <w:tc>
          <w:tcPr>
            <w:tcW w:w="5660" w:type="dxa"/>
            <w:vAlign w:val="bottom"/>
            <w:tcBorders>
              <w:bottom w:val="single" w:sz="8" w:color="C0C0C0"/>
              <w:right w:val="single" w:sz="8" w:color="C0C0C0"/>
            </w:tcBorders>
          </w:tcPr>
          <w:p>
            <w:pPr>
              <w:spacing w:after="0"/>
              <w:rPr>
                <w:sz w:val="21"/>
                <w:szCs w:val="21"/>
                <w:color w:val="auto"/>
              </w:rPr>
            </w:pPr>
          </w:p>
        </w:tc>
      </w:tr>
      <w:tr>
        <w:trPr>
          <w:trHeight w:val="255"/>
        </w:trPr>
        <w:tc>
          <w:tcPr>
            <w:tcW w:w="4840" w:type="dxa"/>
            <w:vAlign w:val="bottom"/>
            <w:tcBorders>
              <w:left w:val="single" w:sz="8" w:color="C0C0C0"/>
              <w:bottom w:val="single" w:sz="8" w:color="C0C0C0"/>
              <w:right w:val="single" w:sz="8" w:color="C0C0C0"/>
            </w:tcBorders>
          </w:tcPr>
          <w:p>
            <w:pPr>
              <w:ind w:left="40"/>
              <w:spacing w:after="0"/>
              <w:rPr>
                <w:sz w:val="20"/>
                <w:szCs w:val="20"/>
                <w:color w:val="auto"/>
              </w:rPr>
            </w:pPr>
            <w:r>
              <w:rPr>
                <w:rFonts w:ascii="Arial" w:cs="Arial" w:eastAsia="Arial" w:hAnsi="Arial"/>
                <w:sz w:val="18"/>
                <w:szCs w:val="18"/>
                <w:i w:val="1"/>
                <w:iCs w:val="1"/>
                <w:color w:val="auto"/>
              </w:rPr>
              <w:t>Beneficiary(ies):</w:t>
            </w:r>
          </w:p>
        </w:tc>
        <w:tc>
          <w:tcPr>
            <w:tcW w:w="5660" w:type="dxa"/>
            <w:vAlign w:val="bottom"/>
            <w:tcBorders>
              <w:bottom w:val="single" w:sz="8" w:color="C0C0C0"/>
              <w:right w:val="single" w:sz="8" w:color="C0C0C0"/>
            </w:tcBorders>
          </w:tcPr>
          <w:p>
            <w:pPr>
              <w:ind w:left="20"/>
              <w:spacing w:after="0" w:line="255" w:lineRule="exact"/>
              <w:rPr>
                <w:sz w:val="20"/>
                <w:szCs w:val="20"/>
                <w:color w:val="auto"/>
              </w:rPr>
            </w:pPr>
            <w:r>
              <w:rPr>
                <w:rFonts w:ascii="Arial" w:cs="Arial" w:eastAsia="Arial" w:hAnsi="Arial"/>
                <w:sz w:val="18"/>
                <w:szCs w:val="18"/>
                <w:color w:val="auto"/>
              </w:rPr>
              <w:t>[Name(s)/As shown on Prudential's records</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23"/>
                <w:szCs w:val="23"/>
                <w:b w:val="1"/>
                <w:bCs w:val="1"/>
                <w:color w:val="auto"/>
                <w:vertAlign w:val="superscript"/>
              </w:rPr>
              <w:t>A</w:t>
            </w:r>
            <w:r>
              <w:rPr>
                <w:rFonts w:ascii="Arial" w:cs="Arial" w:eastAsia="Arial" w:hAnsi="Arial"/>
                <w:sz w:val="18"/>
                <w:szCs w:val="18"/>
                <w:color w:val="auto"/>
              </w:rPr>
              <w:t xml:space="preserve"> [Shares(s)</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23"/>
                <w:szCs w:val="23"/>
                <w:b w:val="1"/>
                <w:bCs w:val="1"/>
                <w:color w:val="auto"/>
                <w:vertAlign w:val="superscript"/>
              </w:rPr>
              <w:t>A</w:t>
            </w:r>
          </w:p>
        </w:tc>
      </w:tr>
      <w:tr>
        <w:trPr>
          <w:trHeight w:val="243"/>
        </w:trPr>
        <w:tc>
          <w:tcPr>
            <w:tcW w:w="4840" w:type="dxa"/>
            <w:vAlign w:val="bottom"/>
            <w:tcBorders>
              <w:left w:val="single" w:sz="8" w:color="C0C0C0"/>
              <w:bottom w:val="single" w:sz="8" w:color="C0C0C0"/>
              <w:right w:val="single" w:sz="8" w:color="C0C0C0"/>
            </w:tcBorders>
          </w:tcPr>
          <w:p>
            <w:pPr>
              <w:spacing w:after="0"/>
              <w:rPr>
                <w:sz w:val="21"/>
                <w:szCs w:val="21"/>
                <w:color w:val="auto"/>
              </w:rPr>
            </w:pPr>
          </w:p>
        </w:tc>
        <w:tc>
          <w:tcPr>
            <w:tcW w:w="5660" w:type="dxa"/>
            <w:vAlign w:val="bottom"/>
            <w:tcBorders>
              <w:bottom w:val="single" w:sz="8" w:color="C0C0C0"/>
              <w:right w:val="single" w:sz="8" w:color="C0C0C0"/>
            </w:tcBorders>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benefits of the policy providing your coverage are governed primarily by the law of a state other than Florida.]</w:t>
      </w:r>
      <w:r>
        <w:rPr>
          <w:rFonts w:ascii="Arial" w:cs="Arial" w:eastAsia="Arial" w:hAnsi="Arial"/>
          <w:sz w:val="26"/>
          <w:szCs w:val="26"/>
          <w:b w:val="1"/>
          <w:bCs w:val="1"/>
          <w:color w:val="auto"/>
          <w:vertAlign w:val="superscript"/>
        </w:rPr>
        <w:t>B</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Prudential's Guarantee:</w:t>
      </w:r>
    </w:p>
    <w:p>
      <w:pPr>
        <w:spacing w:after="0" w:line="205" w:lineRule="exact"/>
        <w:rPr>
          <w:sz w:val="20"/>
          <w:szCs w:val="20"/>
          <w:color w:val="auto"/>
        </w:rPr>
      </w:pPr>
    </w:p>
    <w:p>
      <w:pPr>
        <w:spacing w:after="0" w:line="303" w:lineRule="auto"/>
        <w:rPr>
          <w:sz w:val="20"/>
          <w:szCs w:val="20"/>
          <w:color w:val="auto"/>
        </w:rPr>
      </w:pPr>
      <w:r>
        <w:rPr>
          <w:rFonts w:ascii="Arial" w:cs="Arial" w:eastAsia="Arial" w:hAnsi="Arial"/>
          <w:sz w:val="16"/>
          <w:szCs w:val="16"/>
          <w:color w:val="auto"/>
        </w:rPr>
        <w:t>This Certificate describes the monthly payments irrevocably guaranteed to you by The Prudential Insurance Company of America ("</w:t>
      </w:r>
      <w:r>
        <w:rPr>
          <w:rFonts w:ascii="Arial" w:cs="Arial" w:eastAsia="Arial" w:hAnsi="Arial"/>
          <w:sz w:val="16"/>
          <w:szCs w:val="16"/>
          <w:b w:val="1"/>
          <w:bCs w:val="1"/>
          <w:color w:val="auto"/>
        </w:rPr>
        <w:t>Prudential</w:t>
      </w:r>
      <w:r>
        <w:rPr>
          <w:rFonts w:ascii="Arial" w:cs="Arial" w:eastAsia="Arial" w:hAnsi="Arial"/>
          <w:sz w:val="16"/>
          <w:szCs w:val="16"/>
          <w:color w:val="auto"/>
        </w:rPr>
        <w:t>") under the Group Annuity Contract referred to above (the "</w:t>
      </w:r>
      <w:r>
        <w:rPr>
          <w:rFonts w:ascii="Arial" w:cs="Arial" w:eastAsia="Arial" w:hAnsi="Arial"/>
          <w:sz w:val="16"/>
          <w:szCs w:val="16"/>
          <w:b w:val="1"/>
          <w:bCs w:val="1"/>
          <w:color w:val="auto"/>
        </w:rPr>
        <w:t>Contract</w:t>
      </w:r>
      <w:r>
        <w:rPr>
          <w:rFonts w:ascii="Arial" w:cs="Arial" w:eastAsia="Arial" w:hAnsi="Arial"/>
          <w:sz w:val="16"/>
          <w:szCs w:val="16"/>
          <w:color w:val="auto"/>
        </w:rPr>
        <w:t>"). Prudential will make the payments owed by it under the Contract when those payments are due.</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Definitions &amp; References:</w:t>
      </w:r>
    </w:p>
    <w:p>
      <w:pPr>
        <w:spacing w:after="0" w:line="20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Capitalized terms in this Certificate, which are in italics, are defined on the front of this Certificate. Those in bold are defined in other parts of this Certificate. “</w:t>
      </w:r>
      <w:r>
        <w:rPr>
          <w:rFonts w:ascii="Arial" w:cs="Arial" w:eastAsia="Arial" w:hAnsi="Arial"/>
          <w:sz w:val="17"/>
          <w:szCs w:val="17"/>
          <w:b w:val="1"/>
          <w:bCs w:val="1"/>
          <w:color w:val="auto"/>
        </w:rPr>
        <w:t>You</w:t>
      </w:r>
      <w:r>
        <w:rPr>
          <w:rFonts w:ascii="Arial" w:cs="Arial" w:eastAsia="Arial" w:hAnsi="Arial"/>
          <w:sz w:val="17"/>
          <w:szCs w:val="17"/>
          <w:color w:val="auto"/>
        </w:rPr>
        <w:t>” and “</w:t>
      </w:r>
      <w:r>
        <w:rPr>
          <w:rFonts w:ascii="Arial" w:cs="Arial" w:eastAsia="Arial" w:hAnsi="Arial"/>
          <w:sz w:val="17"/>
          <w:szCs w:val="17"/>
          <w:b w:val="1"/>
          <w:bCs w:val="1"/>
          <w:color w:val="auto"/>
        </w:rPr>
        <w:t>your</w:t>
      </w:r>
      <w:r>
        <w:rPr>
          <w:rFonts w:ascii="Arial" w:cs="Arial" w:eastAsia="Arial" w:hAnsi="Arial"/>
          <w:sz w:val="17"/>
          <w:szCs w:val="17"/>
          <w:color w:val="auto"/>
        </w:rPr>
        <w:t xml:space="preserve">” means the </w:t>
      </w:r>
      <w:r>
        <w:rPr>
          <w:rFonts w:ascii="Arial" w:cs="Arial" w:eastAsia="Arial" w:hAnsi="Arial"/>
          <w:sz w:val="17"/>
          <w:szCs w:val="17"/>
          <w:i w:val="1"/>
          <w:iCs w:val="1"/>
          <w:color w:val="auto"/>
        </w:rPr>
        <w:t>"Covered Life."</w:t>
      </w:r>
      <w:r>
        <w:rPr>
          <w:rFonts w:ascii="Arial" w:cs="Arial" w:eastAsia="Arial" w:hAnsi="Arial"/>
          <w:sz w:val="17"/>
          <w:szCs w:val="17"/>
          <w:color w:val="auto"/>
        </w:rPr>
        <w:t xml:space="preserve"> "</w:t>
      </w:r>
      <w:r>
        <w:rPr>
          <w:rFonts w:ascii="Arial" w:cs="Arial" w:eastAsia="Arial" w:hAnsi="Arial"/>
          <w:sz w:val="17"/>
          <w:szCs w:val="17"/>
          <w:b w:val="1"/>
          <w:bCs w:val="1"/>
          <w:color w:val="auto"/>
        </w:rPr>
        <w:t>We</w:t>
      </w:r>
      <w:r>
        <w:rPr>
          <w:rFonts w:ascii="Arial" w:cs="Arial" w:eastAsia="Arial" w:hAnsi="Arial"/>
          <w:sz w:val="17"/>
          <w:szCs w:val="17"/>
          <w:color w:val="auto"/>
        </w:rPr>
        <w:t>," "</w:t>
      </w:r>
      <w:r>
        <w:rPr>
          <w:rFonts w:ascii="Arial" w:cs="Arial" w:eastAsia="Arial" w:hAnsi="Arial"/>
          <w:sz w:val="17"/>
          <w:szCs w:val="17"/>
          <w:b w:val="1"/>
          <w:bCs w:val="1"/>
          <w:color w:val="auto"/>
        </w:rPr>
        <w:t>us</w:t>
      </w:r>
      <w:r>
        <w:rPr>
          <w:rFonts w:ascii="Arial" w:cs="Arial" w:eastAsia="Arial" w:hAnsi="Arial"/>
          <w:sz w:val="17"/>
          <w:szCs w:val="17"/>
          <w:color w:val="auto"/>
        </w:rPr>
        <w:t>" and "</w:t>
      </w:r>
      <w:r>
        <w:rPr>
          <w:rFonts w:ascii="Arial" w:cs="Arial" w:eastAsia="Arial" w:hAnsi="Arial"/>
          <w:sz w:val="17"/>
          <w:szCs w:val="17"/>
          <w:b w:val="1"/>
          <w:bCs w:val="1"/>
          <w:color w:val="auto"/>
        </w:rPr>
        <w:t>our</w:t>
      </w:r>
      <w:r>
        <w:rPr>
          <w:rFonts w:ascii="Arial" w:cs="Arial" w:eastAsia="Arial" w:hAnsi="Arial"/>
          <w:sz w:val="17"/>
          <w:szCs w:val="17"/>
          <w:color w:val="auto"/>
        </w:rPr>
        <w:t>" means Prudential. "</w:t>
      </w:r>
      <w:r>
        <w:rPr>
          <w:rFonts w:ascii="Arial" w:cs="Arial" w:eastAsia="Arial" w:hAnsi="Arial"/>
          <w:sz w:val="17"/>
          <w:szCs w:val="17"/>
          <w:b w:val="1"/>
          <w:bCs w:val="1"/>
          <w:color w:val="auto"/>
        </w:rPr>
        <w:t>Payee</w:t>
      </w:r>
      <w:r>
        <w:rPr>
          <w:rFonts w:ascii="Arial" w:cs="Arial" w:eastAsia="Arial" w:hAnsi="Arial"/>
          <w:sz w:val="17"/>
          <w:szCs w:val="17"/>
          <w:color w:val="auto"/>
        </w:rPr>
        <w: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Appendix 1.3 - 20</w:t>
      </w:r>
    </w:p>
    <w:p>
      <w:pPr>
        <w:sectPr>
          <w:pgSz w:w="11900" w:h="16838" w:orient="portrait"/>
          <w:cols w:equalWidth="0" w:num="1">
            <w:col w:w="11420"/>
          </w:cols>
          <w:pgMar w:left="240" w:top="670" w:right="239" w:bottom="1440" w:gutter="0" w:footer="0" w:header="0"/>
        </w:sectPr>
      </w:pPr>
    </w:p>
    <w:bookmarkStart w:id="134" w:name="page135"/>
    <w:bookmarkEnd w:id="134"/>
    <w:p>
      <w:pPr>
        <w:jc w:val="both"/>
        <w:spacing w:after="0" w:line="256" w:lineRule="auto"/>
        <w:rPr>
          <w:sz w:val="20"/>
          <w:szCs w:val="20"/>
          <w:color w:val="auto"/>
        </w:rPr>
      </w:pPr>
      <w:r>
        <w:rPr>
          <w:rFonts w:ascii="Arial" w:cs="Arial" w:eastAsia="Arial" w:hAnsi="Arial"/>
          <w:sz w:val="17"/>
          <w:szCs w:val="17"/>
          <w:color w:val="auto"/>
        </w:rPr>
        <w:t>means the Covered Life and anyone else with an existing or future right to receive payments under this Annuity, but no Payee (other than the Covered Life) may make any changes or exercise any rights until the Payee has begun receiving payments. “</w:t>
      </w:r>
      <w:r>
        <w:rPr>
          <w:rFonts w:ascii="Arial" w:cs="Arial" w:eastAsia="Arial" w:hAnsi="Arial"/>
          <w:sz w:val="17"/>
          <w:szCs w:val="17"/>
          <w:b w:val="1"/>
          <w:bCs w:val="1"/>
          <w:color w:val="auto"/>
        </w:rPr>
        <w:t>Representative</w:t>
      </w:r>
      <w:r>
        <w:rPr>
          <w:rFonts w:ascii="Arial" w:cs="Arial" w:eastAsia="Arial" w:hAnsi="Arial"/>
          <w:sz w:val="17"/>
          <w:szCs w:val="17"/>
          <w:color w:val="auto"/>
        </w:rPr>
        <w:t>” means, with respect to a Payee, an individual or entity that has been duly appointed in accordance with the Contract to represent the Payee, such as a guardian.</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Payment Terms: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“Single Life and Period Certain Annuity,” is the Annuity Form having the payment terms specified in this Payment Terms section.</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u w:val="single" w:color="auto"/>
          <w:color w:val="auto"/>
        </w:rPr>
        <w:t>General Payment Terms</w:t>
      </w:r>
    </w:p>
    <w:p>
      <w:pPr>
        <w:spacing w:after="0" w:line="205"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During your lifetime, we will make monthly payments to you equal to your </w:t>
      </w:r>
      <w:r>
        <w:rPr>
          <w:rFonts w:ascii="Arial" w:cs="Arial" w:eastAsia="Arial" w:hAnsi="Arial"/>
          <w:sz w:val="15"/>
          <w:szCs w:val="15"/>
          <w:i w:val="1"/>
          <w:iCs w:val="1"/>
          <w:color w:val="auto"/>
        </w:rPr>
        <w:t>Covered Life Amount</w:t>
      </w:r>
      <w:r>
        <w:rPr>
          <w:rFonts w:ascii="Arial" w:cs="Arial" w:eastAsia="Arial" w:hAnsi="Arial"/>
          <w:sz w:val="15"/>
          <w:szCs w:val="15"/>
          <w:color w:val="auto"/>
        </w:rPr>
        <w:t xml:space="preserve">. We owe the first monthly payment on the </w:t>
      </w:r>
      <w:r>
        <w:rPr>
          <w:rFonts w:ascii="Arial" w:cs="Arial" w:eastAsia="Arial" w:hAnsi="Arial"/>
          <w:sz w:val="15"/>
          <w:szCs w:val="15"/>
          <w:i w:val="1"/>
          <w:iCs w:val="1"/>
          <w:color w:val="auto"/>
        </w:rPr>
        <w:t>Annuity Commencement Date</w:t>
      </w:r>
      <w:r>
        <w:rPr>
          <w:rFonts w:ascii="Arial" w:cs="Arial" w:eastAsia="Arial" w:hAnsi="Arial"/>
          <w:sz w:val="15"/>
          <w:szCs w:val="15"/>
          <w:color w:val="auto"/>
        </w:rPr>
        <w:t>.</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color w:val="auto"/>
        </w:rPr>
        <w:t>We will pay subsequent monthly payments on the first day of each month. Our last monthly payment to you will be on the first day of the month in which you die.</w:t>
      </w:r>
    </w:p>
    <w:p>
      <w:pPr>
        <w:spacing w:after="0" w:line="204" w:lineRule="exact"/>
        <w:rPr>
          <w:sz w:val="20"/>
          <w:szCs w:val="20"/>
          <w:color w:val="auto"/>
        </w:rPr>
      </w:pPr>
    </w:p>
    <w:p>
      <w:pPr>
        <w:ind w:right="80"/>
        <w:spacing w:after="0" w:line="252" w:lineRule="auto"/>
        <w:rPr>
          <w:sz w:val="20"/>
          <w:szCs w:val="20"/>
          <w:color w:val="auto"/>
        </w:rPr>
      </w:pPr>
      <w:r>
        <w:rPr>
          <w:rFonts w:ascii="Arial" w:cs="Arial" w:eastAsia="Arial" w:hAnsi="Arial"/>
          <w:sz w:val="17"/>
          <w:szCs w:val="17"/>
          <w:color w:val="auto"/>
        </w:rPr>
        <w:t xml:space="preserve">We will then compare the number of monthly payments we make to you after the </w:t>
      </w:r>
      <w:r>
        <w:rPr>
          <w:rFonts w:ascii="Arial" w:cs="Arial" w:eastAsia="Arial" w:hAnsi="Arial"/>
          <w:sz w:val="17"/>
          <w:szCs w:val="17"/>
          <w:i w:val="1"/>
          <w:iCs w:val="1"/>
          <w:color w:val="auto"/>
        </w:rPr>
        <w:t>Annuity Commencement Date</w:t>
      </w:r>
      <w:r>
        <w:rPr>
          <w:rFonts w:ascii="Arial" w:cs="Arial" w:eastAsia="Arial" w:hAnsi="Arial"/>
          <w:sz w:val="17"/>
          <w:szCs w:val="17"/>
          <w:color w:val="auto"/>
        </w:rPr>
        <w:t xml:space="preserve"> to the </w:t>
      </w:r>
      <w:r>
        <w:rPr>
          <w:rFonts w:ascii="Arial" w:cs="Arial" w:eastAsia="Arial" w:hAnsi="Arial"/>
          <w:sz w:val="17"/>
          <w:szCs w:val="17"/>
          <w:i w:val="1"/>
          <w:iCs w:val="1"/>
          <w:color w:val="auto"/>
        </w:rPr>
        <w:t>Guaranteed Number of Payments</w:t>
      </w:r>
      <w:r>
        <w:rPr>
          <w:rFonts w:ascii="Arial" w:cs="Arial" w:eastAsia="Arial" w:hAnsi="Arial"/>
          <w:sz w:val="17"/>
          <w:szCs w:val="17"/>
          <w:color w:val="auto"/>
        </w:rPr>
        <w:t xml:space="preserve"> specified for you in the Table of Information. If the number of monthly payments is less than such guaranteed number, we will pay make additional payments to the designated </w:t>
      </w:r>
      <w:r>
        <w:rPr>
          <w:rFonts w:ascii="Arial" w:cs="Arial" w:eastAsia="Arial" w:hAnsi="Arial"/>
          <w:sz w:val="17"/>
          <w:szCs w:val="17"/>
          <w:i w:val="1"/>
          <w:iCs w:val="1"/>
          <w:color w:val="auto"/>
        </w:rPr>
        <w:t>Beneficiary</w:t>
      </w:r>
      <w:r>
        <w:rPr>
          <w:rFonts w:ascii="Arial" w:cs="Arial" w:eastAsia="Arial" w:hAnsi="Arial"/>
          <w:sz w:val="17"/>
          <w:szCs w:val="17"/>
          <w:color w:val="auto"/>
        </w:rPr>
        <w:t xml:space="preserve"> for your Annuity Form. These payments will stop when the total number of payments to you, plus the number of payments to the </w:t>
      </w:r>
      <w:r>
        <w:rPr>
          <w:rFonts w:ascii="Arial" w:cs="Arial" w:eastAsia="Arial" w:hAnsi="Arial"/>
          <w:sz w:val="17"/>
          <w:szCs w:val="17"/>
          <w:i w:val="1"/>
          <w:iCs w:val="1"/>
          <w:color w:val="auto"/>
        </w:rPr>
        <w:t>Beneficiary</w:t>
      </w:r>
      <w:r>
        <w:rPr>
          <w:rFonts w:ascii="Arial" w:cs="Arial" w:eastAsia="Arial" w:hAnsi="Arial"/>
          <w:sz w:val="17"/>
          <w:szCs w:val="17"/>
          <w:color w:val="auto"/>
        </w:rPr>
        <w:t xml:space="preserve">, equals the </w:t>
      </w:r>
      <w:r>
        <w:rPr>
          <w:rFonts w:ascii="Arial" w:cs="Arial" w:eastAsia="Arial" w:hAnsi="Arial"/>
          <w:sz w:val="17"/>
          <w:szCs w:val="17"/>
          <w:i w:val="1"/>
          <w:iCs w:val="1"/>
          <w:color w:val="auto"/>
        </w:rPr>
        <w:t>Guaranteed</w:t>
      </w:r>
      <w:r>
        <w:rPr>
          <w:rFonts w:ascii="Arial" w:cs="Arial" w:eastAsia="Arial" w:hAnsi="Arial"/>
          <w:sz w:val="17"/>
          <w:szCs w:val="17"/>
          <w:color w:val="auto"/>
        </w:rPr>
        <w:t xml:space="preserve"> </w:t>
      </w:r>
      <w:r>
        <w:rPr>
          <w:rFonts w:ascii="Arial" w:cs="Arial" w:eastAsia="Arial" w:hAnsi="Arial"/>
          <w:sz w:val="17"/>
          <w:szCs w:val="17"/>
          <w:i w:val="1"/>
          <w:iCs w:val="1"/>
          <w:color w:val="auto"/>
        </w:rPr>
        <w:t>Number of Payments</w:t>
      </w:r>
      <w:r>
        <w:rPr>
          <w:rFonts w:ascii="Arial" w:cs="Arial" w:eastAsia="Arial" w:hAnsi="Arial"/>
          <w:sz w:val="17"/>
          <w:szCs w:val="17"/>
          <w:color w:val="auto"/>
        </w:rPr>
        <w:t>.</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Covered Life Amount</w:t>
      </w:r>
      <w:r>
        <w:rPr>
          <w:rFonts w:ascii="Arial" w:cs="Arial" w:eastAsia="Arial" w:hAnsi="Arial"/>
          <w:sz w:val="17"/>
          <w:szCs w:val="17"/>
          <w:color w:val="auto"/>
        </w:rPr>
        <w:t>” means an amount that is specified in the Table of Information.</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Method of Payment:</w:t>
      </w:r>
    </w:p>
    <w:p>
      <w:pPr>
        <w:spacing w:after="0" w:line="209" w:lineRule="exact"/>
        <w:rPr>
          <w:sz w:val="20"/>
          <w:szCs w:val="20"/>
          <w:color w:val="auto"/>
        </w:rPr>
      </w:pPr>
    </w:p>
    <w:p>
      <w:pPr>
        <w:jc w:val="both"/>
        <w:spacing w:after="0" w:line="375" w:lineRule="auto"/>
        <w:rPr>
          <w:sz w:val="20"/>
          <w:szCs w:val="20"/>
          <w:color w:val="auto"/>
        </w:rPr>
      </w:pPr>
      <w:r>
        <w:rPr>
          <w:rFonts w:ascii="Arial" w:cs="Arial" w:eastAsia="Arial" w:hAnsi="Arial"/>
          <w:sz w:val="14"/>
          <w:szCs w:val="14"/>
          <w:color w:val="auto"/>
        </w:rPr>
        <w:t>We will make all payments in U.S. dollars. Payees may elect to receive payments either by check or by direct deposit to a bank or other financial institution chosen by the Payee. Checks are mailed to the last known address for the Payee as shown on our records. Direct deposit may be selected only by using a form supplied for such purpose.</w:t>
      </w:r>
    </w:p>
    <w:p>
      <w:pPr>
        <w:spacing w:after="0" w:line="98"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 xml:space="preserve">By written notice, a Payee may request a change of the mailing address we use for payments by check. By using a form we supply, a Payee may change the bank or other financial institution receiving direct payments. Payees must deliver these items to Prudential as described below under </w:t>
      </w:r>
      <w:r>
        <w:rPr>
          <w:rFonts w:ascii="Arial" w:cs="Arial" w:eastAsia="Arial" w:hAnsi="Arial"/>
          <w:sz w:val="16"/>
          <w:szCs w:val="16"/>
          <w:b w:val="1"/>
          <w:bCs w:val="1"/>
          <w:color w:val="auto"/>
        </w:rPr>
        <w:t>"Correspondence."</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We may change these procedures by sending a letter to the Payee. We will use the address last shown on our records.</w:t>
      </w:r>
    </w:p>
    <w:p>
      <w:pPr>
        <w:spacing w:after="0" w:line="201" w:lineRule="exact"/>
        <w:rPr>
          <w:sz w:val="20"/>
          <w:szCs w:val="20"/>
          <w:color w:val="auto"/>
        </w:rPr>
      </w:pPr>
    </w:p>
    <w:p>
      <w:pPr>
        <w:ind w:left="3000"/>
        <w:spacing w:after="0"/>
        <w:rPr>
          <w:sz w:val="20"/>
          <w:szCs w:val="20"/>
          <w:color w:val="auto"/>
        </w:rPr>
      </w:pPr>
      <w:r>
        <w:rPr>
          <w:rFonts w:ascii="Arial" w:cs="Arial" w:eastAsia="Arial" w:hAnsi="Arial"/>
          <w:sz w:val="17"/>
          <w:szCs w:val="17"/>
          <w:b w:val="1"/>
          <w:bCs w:val="1"/>
          <w:color w:val="auto"/>
        </w:rPr>
        <w:t>Correspondence:</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Mail any notices and forms to the current notice address. The current notice address is:</w:t>
      </w:r>
    </w:p>
    <w:p>
      <w:pPr>
        <w:spacing w:after="0" w:line="205"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The Prudential Insurance Company of America</w:t>
      </w:r>
    </w:p>
    <w:p>
      <w:pPr>
        <w:spacing w:after="0" w:line="17"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[P.O. Box 5370</w:t>
      </w:r>
    </w:p>
    <w:p>
      <w:pPr>
        <w:spacing w:after="0" w:line="1"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Scranton, PA 18505-5370</w:t>
      </w:r>
      <w:r>
        <w:rPr>
          <w:rFonts w:ascii="Arial" w:cs="Arial" w:eastAsia="Arial" w:hAnsi="Arial"/>
          <w:sz w:val="18"/>
          <w:szCs w:val="18"/>
          <w:color w:val="auto"/>
        </w:rPr>
        <w:t>]</w:t>
      </w:r>
      <w:r>
        <w:rPr>
          <w:rFonts w:ascii="Arial" w:cs="Arial" w:eastAsia="Arial" w:hAnsi="Arial"/>
          <w:sz w:val="17"/>
          <w:szCs w:val="17"/>
          <w:color w:val="auto"/>
        </w:rPr>
        <w:t xml:space="preserve"> </w:t>
      </w:r>
      <w:r>
        <w:rPr>
          <w:rFonts w:ascii="Arial" w:cs="Arial" w:eastAsia="Arial" w:hAnsi="Arial"/>
          <w:sz w:val="23"/>
          <w:szCs w:val="23"/>
          <w:color w:val="auto"/>
          <w:vertAlign w:val="superscript"/>
        </w:rPr>
        <w:t>C</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color w:val="auto"/>
        </w:rPr>
        <w:t>Prudential may change the notice address by sending a letter to the Payee. We will use the address last shown on our records.</w:t>
      </w:r>
    </w:p>
    <w:p>
      <w:pPr>
        <w:spacing w:after="0" w:line="20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All notices must be in writing. Payee must sign all notices and forms. Please refer to the Annuity Certificate Number and the Group Annuity Contract Number (shown on the first page of this Certificate) on all notices and forms sent to us.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[Beneficiaries: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You may change Beneficiaries as described below.</w:t>
      </w:r>
    </w:p>
    <w:p>
      <w:pPr>
        <w:spacing w:after="0" w:line="201"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Selections and changes of Beneficiaries must use a form ("</w:t>
      </w:r>
      <w:r>
        <w:rPr>
          <w:rFonts w:ascii="Arial" w:cs="Arial" w:eastAsia="Arial" w:hAnsi="Arial"/>
          <w:sz w:val="17"/>
          <w:szCs w:val="17"/>
          <w:b w:val="1"/>
          <w:bCs w:val="1"/>
          <w:color w:val="auto"/>
        </w:rPr>
        <w:t>Beneficiary Form</w:t>
      </w:r>
      <w:r>
        <w:rPr>
          <w:rFonts w:ascii="Arial" w:cs="Arial" w:eastAsia="Arial" w:hAnsi="Arial"/>
          <w:sz w:val="17"/>
          <w:szCs w:val="17"/>
          <w:color w:val="auto"/>
        </w:rPr>
        <w:t>") we supply. Beneficiary Forms must be delivered to Prudential as described above under "</w:t>
      </w:r>
      <w:r>
        <w:rPr>
          <w:rFonts w:ascii="Arial" w:cs="Arial" w:eastAsia="Arial" w:hAnsi="Arial"/>
          <w:sz w:val="17"/>
          <w:szCs w:val="17"/>
          <w:b w:val="1"/>
          <w:bCs w:val="1"/>
          <w:color w:val="auto"/>
        </w:rPr>
        <w:t>Correspondence</w:t>
      </w:r>
      <w:r>
        <w:rPr>
          <w:rFonts w:ascii="Arial" w:cs="Arial" w:eastAsia="Arial" w:hAnsi="Arial"/>
          <w:sz w:val="17"/>
          <w:szCs w:val="17"/>
          <w:color w:val="auto"/>
        </w:rPr>
        <w:t>." Selections and changes must comply with all applicable laws, including those relating to spousal waivers. Unless required by law or the Plan, we will not require any existing Beneficiary to consent to a change of Beneficiaries.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Appendix 1.3 - 21</w:t>
      </w:r>
    </w:p>
    <w:p>
      <w:pPr>
        <w:sectPr>
          <w:pgSz w:w="11900" w:h="16838" w:orient="portrait"/>
          <w:cols w:equalWidth="0" w:num="1">
            <w:col w:w="11420"/>
          </w:cols>
          <w:pgMar w:left="240" w:top="553" w:right="239" w:bottom="1440" w:gutter="0" w:footer="0" w:header="0"/>
        </w:sectPr>
      </w:pPr>
    </w:p>
    <w:bookmarkStart w:id="135" w:name="page136"/>
    <w:bookmarkEnd w:id="135"/>
    <w:p>
      <w:pPr>
        <w:jc w:val="both"/>
        <w:ind w:right="160"/>
        <w:spacing w:after="0" w:line="264" w:lineRule="auto"/>
        <w:rPr>
          <w:sz w:val="20"/>
          <w:szCs w:val="20"/>
          <w:color w:val="auto"/>
        </w:rPr>
      </w:pPr>
      <w:r>
        <w:rPr>
          <w:rFonts w:ascii="Arial" w:cs="Arial" w:eastAsia="Arial" w:hAnsi="Arial"/>
          <w:sz w:val="17"/>
          <w:szCs w:val="17"/>
          <w:color w:val="auto"/>
        </w:rPr>
        <w:t>Beneficiary selection and changes shall take effect on the date you sign the change in Beneficiary form. However, no change shall be effective with respect to any action taken by us before we receive the change in Beneficiary form. Unless otherwise indicated on the Beneficiary designation or change form, the interest of any Beneficiary who dies before you ceases altogether.</w:t>
      </w:r>
      <w:r>
        <w:rPr>
          <w:rFonts w:ascii="Arial" w:cs="Arial" w:eastAsia="Arial" w:hAnsi="Arial"/>
          <w:sz w:val="17"/>
          <w:szCs w:val="17"/>
          <w:b w:val="1"/>
          <w:bCs w:val="1"/>
          <w:color w:val="auto"/>
        </w:rPr>
        <w:t>]</w:t>
      </w:r>
      <w:r>
        <w:rPr>
          <w:rFonts w:ascii="Arial" w:cs="Arial" w:eastAsia="Arial" w:hAnsi="Arial"/>
          <w:sz w:val="17"/>
          <w:szCs w:val="17"/>
          <w:color w:val="auto"/>
        </w:rPr>
        <w:t xml:space="preserve"> </w:t>
      </w:r>
      <w:r>
        <w:rPr>
          <w:rFonts w:ascii="Arial" w:cs="Arial" w:eastAsia="Arial" w:hAnsi="Arial"/>
          <w:sz w:val="23"/>
          <w:szCs w:val="23"/>
          <w:color w:val="auto"/>
          <w:vertAlign w:val="superscript"/>
        </w:rPr>
        <w:t>D</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Assignment:</w:t>
      </w:r>
    </w:p>
    <w:p>
      <w:pPr>
        <w:spacing w:after="0" w:line="209"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Payees may not assign, pledge, anticipate, accelerate or transfer this Annuity, except as expressly provided in the Contract. Also, Payees may not use a Representative to do the same. To the full extent permitted by law, Annuity payments are not subject to the claims of creditors. Compliance with a domestic relations order meeting the requirements of the Contract will not be considered an impermissible transaction or claim.</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Qualified Domestic Relations Orders:</w:t>
      </w:r>
    </w:p>
    <w:p>
      <w:pPr>
        <w:spacing w:after="0" w:line="209"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Should your Annuity become subject to a Qualified Domestic Relations Order, we may be required to alter monthly payments under the Annuity. We may make payments according to such order, regardless of the Annuity Form selected. This includes any adjustments needed to retroactively implement the order. We may rely upon any Qualified Domestic Relations Order we believe to be valid.</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Reliance Upon Affidavit or Other Evidence:</w:t>
      </w:r>
    </w:p>
    <w:p>
      <w:pPr>
        <w:spacing w:after="0" w:line="20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We may rely upon an affidavit or other evidence to verify relevant facts. Payments we make in reliance upon this information relieve us from any liability under the Contract and this Certificate.</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Misstatements: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If certain information was misstated to us, your annuity payments may or may not be changed as described below.</w:t>
      </w:r>
    </w:p>
    <w:p>
      <w:pPr>
        <w:spacing w:after="0" w:line="17" w:lineRule="exact"/>
        <w:rPr>
          <w:sz w:val="20"/>
          <w:szCs w:val="20"/>
          <w:color w:val="auto"/>
        </w:rPr>
      </w:pPr>
    </w:p>
    <w:p>
      <w:pPr>
        <w:jc w:val="both"/>
        <w:spacing w:after="0" w:line="248" w:lineRule="auto"/>
        <w:rPr>
          <w:sz w:val="20"/>
          <w:szCs w:val="20"/>
          <w:color w:val="auto"/>
        </w:rPr>
      </w:pPr>
      <w:r>
        <w:rPr>
          <w:rFonts w:ascii="Arial" w:cs="Arial" w:eastAsia="Arial" w:hAnsi="Arial"/>
          <w:sz w:val="17"/>
          <w:szCs w:val="17"/>
          <w:color w:val="auto"/>
        </w:rPr>
        <w:t>If a Payee's date of birth, date of death, or sex was misstated to us, then we will not have the right to reduce any annuity payment below the amount determined using the information contained in the Contract. Also, we will not have the obligation to increase any Annuity Payment above the amount determined using the information contained in the Contract.</w:t>
      </w:r>
    </w:p>
    <w:p>
      <w:pPr>
        <w:spacing w:after="0" w:line="183"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If information other than the Payee's date of birth, date of death, or sex was misstated to us, then Prudential will adjust the annuity payment. First we will determine the portion of the premium paid to us to purchase your annuity. The annuity payment amount owed by us will be increased or decreased to equal the amount that could have been purchased using the premium paid for the annuity assuming the misstatement had not happened. Also, Prudential will not change the date of the first monthly payment.</w:t>
      </w:r>
    </w:p>
    <w:p>
      <w:pPr>
        <w:spacing w:after="0" w:line="180" w:lineRule="exact"/>
        <w:rPr>
          <w:sz w:val="20"/>
          <w:szCs w:val="20"/>
          <w:color w:val="auto"/>
        </w:rPr>
      </w:pPr>
    </w:p>
    <w:p>
      <w:pPr>
        <w:jc w:val="both"/>
        <w:spacing w:after="0" w:line="297" w:lineRule="auto"/>
        <w:rPr>
          <w:sz w:val="20"/>
          <w:szCs w:val="20"/>
          <w:color w:val="auto"/>
        </w:rPr>
      </w:pPr>
      <w:r>
        <w:rPr>
          <w:rFonts w:ascii="Arial" w:cs="Arial" w:eastAsia="Arial" w:hAnsi="Arial"/>
          <w:sz w:val="15"/>
          <w:szCs w:val="15"/>
          <w:color w:val="auto"/>
        </w:rPr>
        <w:t>If the corrected annuity payment is less than the annuity payment determined using the misstated information, then the annuity payment will be decreased to the amount calculated as described in the last paragraph above. We may reduce future annuity payments further by amounts previously overpaid by us to the Payee. If the corrected annuity payment is more than the annuity payment calculated using the misstated information, then the annuity payment will be increased to the amount determined as described in the last paragraph above. We will further pay the amount of the underpayments by us in one of the next two annuity payments due with respect to the Payee.</w:t>
      </w:r>
    </w:p>
    <w:p>
      <w:pPr>
        <w:spacing w:after="0" w:line="14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In addition to changing the amount of annuity payments, the adjustments made pursuant to this section may change other important terms of payment. All adjustments made pursuant to this section will be binding upon the Payee.</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Supplemental Information:</w:t>
      </w:r>
    </w:p>
    <w:p>
      <w:pPr>
        <w:spacing w:after="0" w:line="209"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As a condition to making any payment, we may require a Payee to provide certain information not previously supplied. This information may include copies of signed election forms and signed spousal consent forms (where required). If legally required, we may withhold all or a portion of any payment until receiving a Social Security or taxpayer identification number for the Payee and any other items required by law.</w:t>
      </w:r>
    </w:p>
    <w:p>
      <w:pPr>
        <w:spacing w:after="0" w:line="176" w:lineRule="exact"/>
        <w:rPr>
          <w:sz w:val="20"/>
          <w:szCs w:val="20"/>
          <w:color w:val="auto"/>
        </w:rPr>
      </w:pPr>
    </w:p>
    <w:p>
      <w:pPr>
        <w:spacing w:after="0"/>
        <w:rPr>
          <w:sz w:val="20"/>
          <w:szCs w:val="20"/>
          <w:color w:val="auto"/>
        </w:rPr>
      </w:pPr>
      <w:r>
        <w:rPr>
          <w:rFonts w:ascii="Arial" w:cs="Arial" w:eastAsia="Arial" w:hAnsi="Arial"/>
          <w:sz w:val="15"/>
          <w:szCs w:val="15"/>
          <w:color w:val="auto"/>
        </w:rPr>
        <w:t>As a condition to making any payment, we may require satisfactory evidence that any Payee is alive. We may withhold future payments until we receive this evidence.</w:t>
      </w:r>
    </w:p>
    <w:p>
      <w:pPr>
        <w:spacing w:after="0" w:line="228"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Payments under this Certificate will be made to a Payee unless a Representative has been duly appointed in accordance with the Contract with respect to a Payee. If a Representative has been appointed, we may fulfill our obligation to a Payee under this Certificate by making payments to the Payee's Representative.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Appendix 1.3 - 22</w:t>
      </w:r>
    </w:p>
    <w:p>
      <w:pPr>
        <w:sectPr>
          <w:pgSz w:w="11900" w:h="16838" w:orient="portrait"/>
          <w:cols w:equalWidth="0" w:num="1">
            <w:col w:w="11420"/>
          </w:cols>
          <w:pgMar w:left="240" w:top="553" w:right="239" w:bottom="1440" w:gutter="0" w:footer="0" w:header="0"/>
        </w:sectPr>
      </w:pPr>
    </w:p>
    <w:bookmarkStart w:id="136" w:name="page137"/>
    <w:bookmarkEnd w:id="136"/>
    <w:p>
      <w:pPr>
        <w:ind w:right="280"/>
        <w:spacing w:after="0" w:line="287" w:lineRule="auto"/>
        <w:rPr>
          <w:sz w:val="20"/>
          <w:szCs w:val="20"/>
          <w:color w:val="auto"/>
        </w:rPr>
      </w:pPr>
      <w:r>
        <w:rPr>
          <w:rFonts w:ascii="Arial" w:cs="Arial" w:eastAsia="Arial" w:hAnsi="Arial"/>
          <w:sz w:val="15"/>
          <w:szCs w:val="15"/>
          <w:color w:val="auto"/>
        </w:rPr>
        <w:t>[For any Payee who is shown in the Contract as having been paid, prior to the Annuity Commencement Date, Plan benefits over the amount owed under the Plan, such overpayments shall be deducted from the annuity payments otherwise owed to such persons pursuant to the Payment Terms of this Certificate. Nothing in the prior sentence shall relate to information that may have been misstated to us. Such misstatements are governed by the above Misstatements section.]</w:t>
      </w:r>
      <w:r>
        <w:rPr>
          <w:rFonts w:ascii="Arial" w:cs="Arial" w:eastAsia="Arial" w:hAnsi="Arial"/>
          <w:sz w:val="21"/>
          <w:szCs w:val="21"/>
          <w:color w:val="auto"/>
          <w:vertAlign w:val="superscript"/>
        </w:rPr>
        <w:t>D</w:t>
      </w:r>
    </w:p>
    <w:p>
      <w:pPr>
        <w:spacing w:after="0" w:line="2" w:lineRule="exact"/>
        <w:rPr>
          <w:sz w:val="20"/>
          <w:szCs w:val="20"/>
          <w:color w:val="auto"/>
        </w:rPr>
      </w:pPr>
    </w:p>
    <w:p>
      <w:pPr>
        <w:jc w:val="both"/>
        <w:ind w:right="60"/>
        <w:spacing w:after="0" w:line="306" w:lineRule="auto"/>
        <w:rPr>
          <w:sz w:val="20"/>
          <w:szCs w:val="20"/>
          <w:color w:val="auto"/>
        </w:rPr>
      </w:pPr>
      <w:r>
        <w:rPr>
          <w:rFonts w:ascii="Arial" w:cs="Arial" w:eastAsia="Arial" w:hAnsi="Arial"/>
          <w:sz w:val="15"/>
          <w:szCs w:val="15"/>
          <w:color w:val="auto"/>
        </w:rPr>
        <w:t>[For any Payee who is shown in the Contract as having been paid, prior to the Annuity Commencement Date, Plan benefits that were less than the amount owed under the Plan, such underpayments shall be added to the annuity payments otherwise owed to such persons pursuant to the Payment Terms of this Certificate. Nothing in the prior sentence shall relate to information that may have been misstated to us. Such misstatements are governed by the above Misstatements section.]</w:t>
      </w:r>
      <w:r>
        <w:rPr>
          <w:rFonts w:ascii="Arial" w:cs="Arial" w:eastAsia="Arial" w:hAnsi="Arial"/>
          <w:sz w:val="21"/>
          <w:szCs w:val="21"/>
          <w:color w:val="auto"/>
          <w:vertAlign w:val="superscript"/>
        </w:rPr>
        <w:t>D</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Certificate Errors and Replacement Certificate:</w:t>
      </w:r>
    </w:p>
    <w:p>
      <w:pPr>
        <w:spacing w:after="0" w:line="209"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This Certificate replaces any certificate that you may have previously received with respect to Prudential's guarantee under the Contract. Please review this Certificate carefully and notify us promptly if you feel any information is incorrect. We are not bound by any incorrect information in this Certificate, nor are we bound by any other errors in this Certificate if clearly inconsistent with the terms of the Contract. We may instead continue to comply with the terms of the Contract as if the Certificate initially had been correctly issued. We may issue a corrected Certificate in the same manner the original Certificate was issued, but we will clearly indicate on the face of the new Certificate that it is a "CORRECTED AND REISSUED" Certificate (or other words to that effect).</w:t>
      </w:r>
    </w:p>
    <w:p>
      <w:pPr>
        <w:spacing w:after="0" w:line="167"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 xml:space="preserve">If you exercise an option that changes your </w:t>
      </w:r>
      <w:r>
        <w:rPr>
          <w:rFonts w:ascii="Arial" w:cs="Arial" w:eastAsia="Arial" w:hAnsi="Arial"/>
          <w:sz w:val="17"/>
          <w:szCs w:val="17"/>
          <w:i w:val="1"/>
          <w:iCs w:val="1"/>
          <w:color w:val="auto"/>
        </w:rPr>
        <w:t>Form of Annuity</w:t>
      </w:r>
      <w:r>
        <w:rPr>
          <w:rFonts w:ascii="Arial" w:cs="Arial" w:eastAsia="Arial" w:hAnsi="Arial"/>
          <w:sz w:val="17"/>
          <w:szCs w:val="17"/>
          <w:color w:val="auto"/>
        </w:rPr>
        <w:t xml:space="preserve">, then a replacement certificate will be issued to you. The replacement certificate will describe the payments that you will receive under your changed </w:t>
      </w:r>
      <w:r>
        <w:rPr>
          <w:rFonts w:ascii="Arial" w:cs="Arial" w:eastAsia="Arial" w:hAnsi="Arial"/>
          <w:sz w:val="17"/>
          <w:szCs w:val="17"/>
          <w:i w:val="1"/>
          <w:iCs w:val="1"/>
          <w:color w:val="auto"/>
        </w:rPr>
        <w:t>Form of Annuity.</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Entire Contract:</w:t>
      </w:r>
    </w:p>
    <w:p>
      <w:pPr>
        <w:spacing w:after="0" w:line="209" w:lineRule="exact"/>
        <w:rPr>
          <w:sz w:val="20"/>
          <w:szCs w:val="20"/>
          <w:color w:val="auto"/>
        </w:rPr>
      </w:pPr>
    </w:p>
    <w:p>
      <w:pPr>
        <w:jc w:val="center"/>
        <w:ind w:right="320"/>
        <w:spacing w:after="0"/>
        <w:rPr>
          <w:sz w:val="20"/>
          <w:szCs w:val="20"/>
          <w:color w:val="auto"/>
        </w:rPr>
      </w:pPr>
      <w:r>
        <w:rPr>
          <w:rFonts w:ascii="Arial" w:cs="Arial" w:eastAsia="Arial" w:hAnsi="Arial"/>
          <w:sz w:val="14"/>
          <w:szCs w:val="14"/>
          <w:color w:val="auto"/>
        </w:rPr>
        <w:t>The Contract constitutes the entire agreement between the Contract-Holder and us solely with respect to the annuity payments owed to each payee under the Contract.</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Rights of Payees:</w:t>
      </w:r>
    </w:p>
    <w:p>
      <w:pPr>
        <w:spacing w:after="0" w:line="209" w:lineRule="exact"/>
        <w:rPr>
          <w:sz w:val="20"/>
          <w:szCs w:val="20"/>
          <w:color w:val="auto"/>
        </w:rPr>
      </w:pPr>
    </w:p>
    <w:p>
      <w:pPr>
        <w:ind w:right="440"/>
        <w:spacing w:after="0" w:line="266" w:lineRule="auto"/>
        <w:rPr>
          <w:sz w:val="20"/>
          <w:szCs w:val="20"/>
          <w:color w:val="auto"/>
        </w:rPr>
      </w:pPr>
      <w:r>
        <w:rPr>
          <w:rFonts w:ascii="Arial" w:cs="Arial" w:eastAsia="Arial" w:hAnsi="Arial"/>
          <w:sz w:val="17"/>
          <w:szCs w:val="17"/>
          <w:color w:val="auto"/>
        </w:rPr>
        <w:t>The Payees have the right to receive the annuity payments set forth under this Certificate. Such right to annuity payments is enforceable by the Payees solely against Prudential and no other person including the Plan, Plan sponsor, Contract-Holder or any affiliate thereof.</w:t>
      </w:r>
    </w:p>
    <w:p>
      <w:pPr>
        <w:spacing w:after="0" w:line="164" w:lineRule="exact"/>
        <w:rPr>
          <w:sz w:val="20"/>
          <w:szCs w:val="20"/>
          <w:color w:val="auto"/>
        </w:rPr>
      </w:pPr>
    </w:p>
    <w:p>
      <w:pPr>
        <w:ind w:left="4600"/>
        <w:spacing w:after="0"/>
        <w:rPr>
          <w:sz w:val="20"/>
          <w:szCs w:val="20"/>
          <w:color w:val="auto"/>
        </w:rPr>
      </w:pPr>
      <w:r>
        <w:rPr>
          <w:rFonts w:ascii="Arial" w:cs="Arial" w:eastAsia="Arial" w:hAnsi="Arial"/>
          <w:sz w:val="17"/>
          <w:szCs w:val="17"/>
          <w:b w:val="1"/>
          <w:bCs w:val="1"/>
          <w:color w:val="auto"/>
        </w:rPr>
        <w:t>Prudential Telephone Number:</w:t>
      </w:r>
    </w:p>
    <w:p>
      <w:pPr>
        <w:spacing w:after="0" w:line="209" w:lineRule="exact"/>
        <w:rPr>
          <w:sz w:val="20"/>
          <w:szCs w:val="20"/>
          <w:color w:val="auto"/>
        </w:rPr>
      </w:pPr>
    </w:p>
    <w:p>
      <w:pPr>
        <w:ind w:left="1800"/>
        <w:spacing w:after="0"/>
        <w:rPr>
          <w:sz w:val="20"/>
          <w:szCs w:val="20"/>
          <w:color w:val="auto"/>
        </w:rPr>
      </w:pPr>
      <w:r>
        <w:rPr>
          <w:rFonts w:ascii="Arial" w:cs="Arial" w:eastAsia="Arial" w:hAnsi="Arial"/>
          <w:sz w:val="17"/>
          <w:szCs w:val="17"/>
          <w:color w:val="auto"/>
        </w:rPr>
        <w:t>The Prudential Insurance Company of America</w:t>
      </w:r>
    </w:p>
    <w:p>
      <w:pPr>
        <w:spacing w:after="0" w:line="17" w:lineRule="exact"/>
        <w:rPr>
          <w:sz w:val="20"/>
          <w:szCs w:val="20"/>
          <w:color w:val="auto"/>
        </w:rPr>
      </w:pPr>
    </w:p>
    <w:p>
      <w:pPr>
        <w:ind w:left="1800"/>
        <w:spacing w:after="0"/>
        <w:rPr>
          <w:sz w:val="20"/>
          <w:szCs w:val="20"/>
          <w:color w:val="auto"/>
        </w:rPr>
      </w:pPr>
      <w:r>
        <w:rPr>
          <w:rFonts w:ascii="Arial" w:cs="Arial" w:eastAsia="Arial" w:hAnsi="Arial"/>
          <w:sz w:val="23"/>
          <w:szCs w:val="23"/>
          <w:b w:val="1"/>
          <w:bCs w:val="1"/>
          <w:color w:val="auto"/>
        </w:rPr>
        <w:t>[</w:t>
      </w:r>
      <w:r>
        <w:rPr>
          <w:rFonts w:ascii="Arial" w:cs="Arial" w:eastAsia="Arial" w:hAnsi="Arial"/>
          <w:sz w:val="16"/>
          <w:szCs w:val="16"/>
          <w:color w:val="auto"/>
        </w:rPr>
        <w:t>1-800-621-1089</w:t>
      </w:r>
      <w:r>
        <w:rPr>
          <w:rFonts w:ascii="Arial" w:cs="Arial" w:eastAsia="Arial" w:hAnsi="Arial"/>
          <w:sz w:val="23"/>
          <w:szCs w:val="23"/>
          <w:b w:val="1"/>
          <w:bCs w:val="1"/>
          <w:color w:val="auto"/>
        </w:rPr>
        <w:t>]</w:t>
      </w:r>
      <w:r>
        <w:rPr>
          <w:rFonts w:ascii="Arial" w:cs="Arial" w:eastAsia="Arial" w:hAnsi="Arial"/>
          <w:sz w:val="26"/>
          <w:szCs w:val="26"/>
          <w:b w:val="1"/>
          <w:bCs w:val="1"/>
          <w:color w:val="auto"/>
          <w:vertAlign w:val="superscript"/>
        </w:rPr>
        <w:t>C</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[Deductions from Annuity Payments:</w:t>
      </w:r>
    </w:p>
    <w:p>
      <w:pPr>
        <w:spacing w:after="0" w:line="222" w:lineRule="exact"/>
        <w:rPr>
          <w:sz w:val="20"/>
          <w:szCs w:val="20"/>
          <w:color w:val="auto"/>
        </w:rPr>
      </w:pPr>
    </w:p>
    <w:p>
      <w:pPr>
        <w:ind w:right="40"/>
        <w:spacing w:after="0" w:line="303" w:lineRule="auto"/>
        <w:rPr>
          <w:sz w:val="20"/>
          <w:szCs w:val="20"/>
          <w:color w:val="auto"/>
        </w:rPr>
      </w:pPr>
      <w:r>
        <w:rPr>
          <w:rFonts w:ascii="Arial" w:cs="Arial" w:eastAsia="Arial" w:hAnsi="Arial"/>
          <w:sz w:val="15"/>
          <w:szCs w:val="15"/>
          <w:color w:val="auto"/>
        </w:rPr>
        <w:t xml:space="preserve">You (or your Contingent Life) may request in writing in a manner specified by us that we deduct a specified amount each month from the amounts we pay to you (or your Contingent Life). The amounts will be applied for payment of your health care premiums and for payment of other benefits that were permitted to be deducted from Plan benefits governed by the Plan. Upon receipt by us of the request, the amount specified in the request shall, subject to our consent, be deducted each month. Deductions will end if we receive a request (in a manner specified by us) from you (or your Contingent Life) to do so. The amount deducted each month shall be transferred on your behalf (or your Contingent Life's behalf) as specified in the request. The amount transferred will be in full settlement of all of our obligations under the Contract with respect to the amount transferred. Deductions by us on your behalf (or on behalf of your Contingent Life) will begin or end, as the case may be, no earlier than the annuity payment that is due at least 30 days following our receipt of the request to begin or end deductions for you or your Contingent Life).] </w:t>
      </w:r>
      <w:r>
        <w:rPr>
          <w:rFonts w:ascii="Arial" w:cs="Arial" w:eastAsia="Arial" w:hAnsi="Arial"/>
          <w:sz w:val="21"/>
          <w:szCs w:val="21"/>
          <w:color w:val="auto"/>
          <w:vertAlign w:val="superscript"/>
        </w:rPr>
        <w:t>D</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Additional Details:</w:t>
      </w:r>
    </w:p>
    <w:p>
      <w:pPr>
        <w:spacing w:after="0" w:line="209" w:lineRule="exact"/>
        <w:rPr>
          <w:sz w:val="20"/>
          <w:szCs w:val="20"/>
          <w:color w:val="auto"/>
        </w:rPr>
      </w:pPr>
    </w:p>
    <w:p>
      <w:pPr>
        <w:ind w:right="640"/>
        <w:spacing w:after="0" w:line="298" w:lineRule="auto"/>
        <w:rPr>
          <w:sz w:val="20"/>
          <w:szCs w:val="20"/>
          <w:color w:val="auto"/>
        </w:rPr>
      </w:pPr>
      <w:r>
        <w:rPr>
          <w:rFonts w:ascii="Arial" w:cs="Arial" w:eastAsia="Arial" w:hAnsi="Arial"/>
          <w:sz w:val="16"/>
          <w:szCs w:val="16"/>
          <w:color w:val="auto"/>
        </w:rPr>
        <w:t>This Certificate contains a summary of certain important terms of the Contract. The Contract contains a more complete description of your rights and Prudential's obligations. The Contract will control in the event of a conflict between the terms of this Certificate and the terms of the Contract.</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Appendix 1.3 - 23</w:t>
      </w:r>
    </w:p>
    <w:p>
      <w:pPr>
        <w:sectPr>
          <w:pgSz w:w="11900" w:h="16838" w:orient="portrait"/>
          <w:cols w:equalWidth="0" w:num="1">
            <w:col w:w="11420"/>
          </w:cols>
          <w:pgMar w:left="240" w:top="653" w:right="239" w:bottom="1440" w:gutter="0" w:footer="0" w:header="0"/>
        </w:sectPr>
      </w:pPr>
    </w:p>
    <w:bookmarkStart w:id="137" w:name="page138"/>
    <w:bookmarkEnd w:id="137"/>
    <w:p>
      <w:pPr>
        <w:jc w:val="both"/>
        <w:ind w:right="400"/>
        <w:spacing w:after="0" w:line="334" w:lineRule="auto"/>
        <w:rPr>
          <w:sz w:val="20"/>
          <w:szCs w:val="20"/>
          <w:color w:val="auto"/>
        </w:rPr>
      </w:pPr>
      <w:r>
        <w:rPr>
          <w:rFonts w:ascii="Arial" w:cs="Arial" w:eastAsia="Arial" w:hAnsi="Arial"/>
          <w:sz w:val="15"/>
          <w:szCs w:val="15"/>
          <w:color w:val="auto"/>
        </w:rPr>
        <w:t>Upon a change in the requirements of applicable law or a regulation administered by a governmental agency, we may change the Contract and/or this Certificate. If a change is made, it may be done without the consent of the Payee. Any change will be made only as strictly necessary to satisfy the requirements of law or regulation.</w:t>
      </w:r>
    </w:p>
    <w:p>
      <w:pPr>
        <w:spacing w:after="0" w:line="313" w:lineRule="exact"/>
        <w:rPr>
          <w:sz w:val="20"/>
          <w:szCs w:val="20"/>
          <w:color w:val="auto"/>
        </w:rPr>
      </w:pPr>
    </w:p>
    <w:tbl>
      <w:tblPr>
        <w:tblLayout w:type="fixed"/>
        <w:tblInd w:w="1710" w:type="dxa"/>
        <w:tblCellMar>
          <w:top w:w="0" w:type="dxa"/>
          <w:left w:w="0" w:type="dxa"/>
          <w:bottom w:w="0" w:type="dxa"/>
          <w:right w:w="0" w:type="dxa"/>
        </w:tblCellMar>
      </w:tblPr>
      <w:tr>
        <w:trPr>
          <w:trHeight w:val="237"/>
        </w:trPr>
        <w:tc>
          <w:tcPr>
            <w:tcW w:w="3580" w:type="dxa"/>
            <w:vAlign w:val="bottom"/>
          </w:tcPr>
          <w:p>
            <w:pPr>
              <w:spacing w:after="0"/>
              <w:rPr>
                <w:sz w:val="20"/>
                <w:szCs w:val="20"/>
                <w:color w:val="auto"/>
              </w:rPr>
            </w:pPr>
          </w:p>
        </w:tc>
        <w:tc>
          <w:tcPr>
            <w:tcW w:w="4460" w:type="dxa"/>
            <w:vAlign w:val="bottom"/>
            <w:gridSpan w:val="2"/>
          </w:tcPr>
          <w:p>
            <w:pPr>
              <w:ind w:left="100"/>
              <w:spacing w:after="0"/>
              <w:rPr>
                <w:sz w:val="20"/>
                <w:szCs w:val="20"/>
                <w:color w:val="auto"/>
              </w:rPr>
            </w:pPr>
            <w:r>
              <w:rPr>
                <w:rFonts w:ascii="Arial" w:cs="Arial" w:eastAsia="Arial" w:hAnsi="Arial"/>
                <w:sz w:val="18"/>
                <w:szCs w:val="18"/>
                <w:b w:val="1"/>
                <w:bCs w:val="1"/>
                <w:color w:val="auto"/>
              </w:rPr>
              <w:t>INDEX:</w:t>
            </w:r>
          </w:p>
        </w:tc>
      </w:tr>
      <w:tr>
        <w:trPr>
          <w:trHeight w:val="322"/>
        </w:trPr>
        <w:tc>
          <w:tcPr>
            <w:tcW w:w="35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r>
      <w:tr>
        <w:trPr>
          <w:trHeight w:val="234"/>
        </w:trPr>
        <w:tc>
          <w:tcPr>
            <w:tcW w:w="35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Annuity Certificate Section:</w:t>
            </w:r>
          </w:p>
        </w:tc>
        <w:tc>
          <w:tcPr>
            <w:tcW w:w="1260" w:type="dxa"/>
            <w:vAlign w:val="bottom"/>
            <w:tcBorders>
              <w:right w:val="single" w:sz="8" w:color="auto"/>
            </w:tcBorders>
          </w:tcPr>
          <w:p>
            <w:pPr>
              <w:spacing w:after="0"/>
              <w:rPr>
                <w:sz w:val="20"/>
                <w:szCs w:val="20"/>
                <w:color w:val="auto"/>
              </w:rPr>
            </w:pP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Page Number</w:t>
            </w:r>
          </w:p>
        </w:tc>
      </w:tr>
      <w:tr>
        <w:trPr>
          <w:trHeight w:val="21"/>
        </w:trPr>
        <w:tc>
          <w:tcPr>
            <w:tcW w:w="3580" w:type="dxa"/>
            <w:vAlign w:val="bottom"/>
            <w:tcBorders>
              <w:left w:val="single" w:sz="8" w:color="auto"/>
              <w:bottom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c>
          <w:tcPr>
            <w:tcW w:w="3200" w:type="dxa"/>
            <w:vAlign w:val="bottom"/>
            <w:tcBorders>
              <w:bottom w:val="single" w:sz="8" w:color="auto"/>
              <w:right w:val="single" w:sz="8" w:color="auto"/>
            </w:tcBorders>
          </w:tcPr>
          <w:p>
            <w:pPr>
              <w:spacing w:after="0" w:line="20" w:lineRule="exact"/>
              <w:rPr>
                <w:sz w:val="1"/>
                <w:szCs w:val="1"/>
                <w:color w:val="auto"/>
              </w:rPr>
            </w:pPr>
          </w:p>
        </w:tc>
      </w:tr>
      <w:tr>
        <w:trPr>
          <w:trHeight w:val="706"/>
        </w:trPr>
        <w:tc>
          <w:tcPr>
            <w:tcW w:w="3580" w:type="dxa"/>
            <w:vAlign w:val="bottom"/>
            <w:tcBorders>
              <w:left w:val="single" w:sz="8" w:color="auto"/>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c>
          <w:tcPr>
            <w:tcW w:w="3200" w:type="dxa"/>
            <w:vAlign w:val="bottom"/>
            <w:tcBorders>
              <w:bottom w:val="single" w:sz="8" w:color="auto"/>
              <w:right w:val="single" w:sz="8" w:color="auto"/>
            </w:tcBorders>
          </w:tcPr>
          <w:p>
            <w:pPr>
              <w:spacing w:after="0"/>
              <w:rPr>
                <w:sz w:val="24"/>
                <w:szCs w:val="24"/>
                <w:color w:val="auto"/>
              </w:rPr>
            </w:pPr>
          </w:p>
        </w:tc>
      </w:tr>
      <w:tr>
        <w:trPr>
          <w:trHeight w:val="234"/>
        </w:trPr>
        <w:tc>
          <w:tcPr>
            <w:tcW w:w="35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Table of Information</w:t>
            </w:r>
          </w:p>
        </w:tc>
        <w:tc>
          <w:tcPr>
            <w:tcW w:w="1260" w:type="dxa"/>
            <w:vAlign w:val="bottom"/>
            <w:tcBorders>
              <w:right w:val="single" w:sz="8" w:color="auto"/>
            </w:tcBorders>
          </w:tcPr>
          <w:p>
            <w:pPr>
              <w:spacing w:after="0"/>
              <w:rPr>
                <w:sz w:val="20"/>
                <w:szCs w:val="20"/>
                <w:color w:val="auto"/>
              </w:rPr>
            </w:pP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w:t>
            </w:r>
          </w:p>
        </w:tc>
      </w:tr>
      <w:tr>
        <w:trPr>
          <w:trHeight w:val="21"/>
        </w:trPr>
        <w:tc>
          <w:tcPr>
            <w:tcW w:w="3580" w:type="dxa"/>
            <w:vAlign w:val="bottom"/>
            <w:tcBorders>
              <w:left w:val="single" w:sz="8" w:color="auto"/>
              <w:bottom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c>
          <w:tcPr>
            <w:tcW w:w="3200" w:type="dxa"/>
            <w:vAlign w:val="bottom"/>
            <w:tcBorders>
              <w:bottom w:val="single" w:sz="8" w:color="auto"/>
              <w:right w:val="single" w:sz="8" w:color="auto"/>
            </w:tcBorders>
          </w:tcPr>
          <w:p>
            <w:pPr>
              <w:spacing w:after="0" w:line="20" w:lineRule="exact"/>
              <w:rPr>
                <w:sz w:val="1"/>
                <w:szCs w:val="1"/>
                <w:color w:val="auto"/>
              </w:rPr>
            </w:pPr>
          </w:p>
        </w:tc>
      </w:tr>
      <w:tr>
        <w:trPr>
          <w:trHeight w:val="234"/>
        </w:trPr>
        <w:tc>
          <w:tcPr>
            <w:tcW w:w="35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Prudential's Guarantee</w:t>
            </w:r>
          </w:p>
        </w:tc>
        <w:tc>
          <w:tcPr>
            <w:tcW w:w="1260" w:type="dxa"/>
            <w:vAlign w:val="bottom"/>
            <w:tcBorders>
              <w:right w:val="single" w:sz="8" w:color="auto"/>
            </w:tcBorders>
          </w:tcPr>
          <w:p>
            <w:pPr>
              <w:spacing w:after="0"/>
              <w:rPr>
                <w:sz w:val="20"/>
                <w:szCs w:val="20"/>
                <w:color w:val="auto"/>
              </w:rPr>
            </w:pP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2</w:t>
            </w:r>
          </w:p>
        </w:tc>
      </w:tr>
      <w:tr>
        <w:trPr>
          <w:trHeight w:val="21"/>
        </w:trPr>
        <w:tc>
          <w:tcPr>
            <w:tcW w:w="3580" w:type="dxa"/>
            <w:vAlign w:val="bottom"/>
            <w:tcBorders>
              <w:left w:val="single" w:sz="8" w:color="auto"/>
              <w:bottom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c>
          <w:tcPr>
            <w:tcW w:w="3200" w:type="dxa"/>
            <w:vAlign w:val="bottom"/>
            <w:tcBorders>
              <w:bottom w:val="single" w:sz="8" w:color="auto"/>
              <w:right w:val="single" w:sz="8" w:color="auto"/>
            </w:tcBorders>
          </w:tcPr>
          <w:p>
            <w:pPr>
              <w:spacing w:after="0" w:line="20" w:lineRule="exact"/>
              <w:rPr>
                <w:sz w:val="1"/>
                <w:szCs w:val="1"/>
                <w:color w:val="auto"/>
              </w:rPr>
            </w:pPr>
          </w:p>
        </w:tc>
      </w:tr>
      <w:tr>
        <w:trPr>
          <w:trHeight w:val="234"/>
        </w:trPr>
        <w:tc>
          <w:tcPr>
            <w:tcW w:w="35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Definitions &amp; References</w:t>
            </w:r>
          </w:p>
        </w:tc>
        <w:tc>
          <w:tcPr>
            <w:tcW w:w="1260" w:type="dxa"/>
            <w:vAlign w:val="bottom"/>
            <w:tcBorders>
              <w:right w:val="single" w:sz="8" w:color="auto"/>
            </w:tcBorders>
          </w:tcPr>
          <w:p>
            <w:pPr>
              <w:spacing w:after="0"/>
              <w:rPr>
                <w:sz w:val="20"/>
                <w:szCs w:val="20"/>
                <w:color w:val="auto"/>
              </w:rPr>
            </w:pP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2</w:t>
            </w:r>
          </w:p>
        </w:tc>
      </w:tr>
      <w:tr>
        <w:trPr>
          <w:trHeight w:val="21"/>
        </w:trPr>
        <w:tc>
          <w:tcPr>
            <w:tcW w:w="3580" w:type="dxa"/>
            <w:vAlign w:val="bottom"/>
            <w:tcBorders>
              <w:left w:val="single" w:sz="8" w:color="auto"/>
              <w:bottom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c>
          <w:tcPr>
            <w:tcW w:w="3200" w:type="dxa"/>
            <w:vAlign w:val="bottom"/>
            <w:tcBorders>
              <w:bottom w:val="single" w:sz="8" w:color="auto"/>
              <w:right w:val="single" w:sz="8" w:color="auto"/>
            </w:tcBorders>
          </w:tcPr>
          <w:p>
            <w:pPr>
              <w:spacing w:after="0" w:line="20" w:lineRule="exact"/>
              <w:rPr>
                <w:sz w:val="1"/>
                <w:szCs w:val="1"/>
                <w:color w:val="auto"/>
              </w:rPr>
            </w:pPr>
          </w:p>
        </w:tc>
      </w:tr>
      <w:tr>
        <w:trPr>
          <w:trHeight w:val="234"/>
        </w:trPr>
        <w:tc>
          <w:tcPr>
            <w:tcW w:w="35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Payment Terms</w:t>
            </w:r>
          </w:p>
        </w:tc>
        <w:tc>
          <w:tcPr>
            <w:tcW w:w="1260" w:type="dxa"/>
            <w:vAlign w:val="bottom"/>
            <w:tcBorders>
              <w:right w:val="single" w:sz="8" w:color="auto"/>
            </w:tcBorders>
          </w:tcPr>
          <w:p>
            <w:pPr>
              <w:spacing w:after="0"/>
              <w:rPr>
                <w:sz w:val="20"/>
                <w:szCs w:val="20"/>
                <w:color w:val="auto"/>
              </w:rPr>
            </w:pP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2</w:t>
            </w:r>
          </w:p>
        </w:tc>
      </w:tr>
      <w:tr>
        <w:trPr>
          <w:trHeight w:val="21"/>
        </w:trPr>
        <w:tc>
          <w:tcPr>
            <w:tcW w:w="3580" w:type="dxa"/>
            <w:vAlign w:val="bottom"/>
            <w:tcBorders>
              <w:left w:val="single" w:sz="8" w:color="auto"/>
              <w:bottom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c>
          <w:tcPr>
            <w:tcW w:w="3200" w:type="dxa"/>
            <w:vAlign w:val="bottom"/>
            <w:tcBorders>
              <w:bottom w:val="single" w:sz="8" w:color="auto"/>
              <w:right w:val="single" w:sz="8" w:color="auto"/>
            </w:tcBorders>
          </w:tcPr>
          <w:p>
            <w:pPr>
              <w:spacing w:after="0" w:line="20" w:lineRule="exact"/>
              <w:rPr>
                <w:sz w:val="1"/>
                <w:szCs w:val="1"/>
                <w:color w:val="auto"/>
              </w:rPr>
            </w:pPr>
          </w:p>
        </w:tc>
      </w:tr>
      <w:tr>
        <w:trPr>
          <w:trHeight w:val="234"/>
        </w:trPr>
        <w:tc>
          <w:tcPr>
            <w:tcW w:w="35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Method of Payment</w:t>
            </w:r>
          </w:p>
        </w:tc>
        <w:tc>
          <w:tcPr>
            <w:tcW w:w="1260" w:type="dxa"/>
            <w:vAlign w:val="bottom"/>
            <w:tcBorders>
              <w:right w:val="single" w:sz="8" w:color="auto"/>
            </w:tcBorders>
          </w:tcPr>
          <w:p>
            <w:pPr>
              <w:spacing w:after="0"/>
              <w:rPr>
                <w:sz w:val="20"/>
                <w:szCs w:val="20"/>
                <w:color w:val="auto"/>
              </w:rPr>
            </w:pP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2</w:t>
            </w:r>
          </w:p>
        </w:tc>
      </w:tr>
      <w:tr>
        <w:trPr>
          <w:trHeight w:val="21"/>
        </w:trPr>
        <w:tc>
          <w:tcPr>
            <w:tcW w:w="3580" w:type="dxa"/>
            <w:vAlign w:val="bottom"/>
            <w:tcBorders>
              <w:left w:val="single" w:sz="8" w:color="auto"/>
              <w:bottom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c>
          <w:tcPr>
            <w:tcW w:w="3200" w:type="dxa"/>
            <w:vAlign w:val="bottom"/>
            <w:tcBorders>
              <w:bottom w:val="single" w:sz="8" w:color="auto"/>
              <w:right w:val="single" w:sz="8" w:color="auto"/>
            </w:tcBorders>
          </w:tcPr>
          <w:p>
            <w:pPr>
              <w:spacing w:after="0" w:line="20" w:lineRule="exact"/>
              <w:rPr>
                <w:sz w:val="1"/>
                <w:szCs w:val="1"/>
                <w:color w:val="auto"/>
              </w:rPr>
            </w:pPr>
          </w:p>
        </w:tc>
      </w:tr>
      <w:tr>
        <w:trPr>
          <w:trHeight w:val="234"/>
        </w:trPr>
        <w:tc>
          <w:tcPr>
            <w:tcW w:w="35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Correspondence</w:t>
            </w:r>
          </w:p>
        </w:tc>
        <w:tc>
          <w:tcPr>
            <w:tcW w:w="1260" w:type="dxa"/>
            <w:vAlign w:val="bottom"/>
            <w:tcBorders>
              <w:right w:val="single" w:sz="8" w:color="auto"/>
            </w:tcBorders>
          </w:tcPr>
          <w:p>
            <w:pPr>
              <w:spacing w:after="0"/>
              <w:rPr>
                <w:sz w:val="20"/>
                <w:szCs w:val="20"/>
                <w:color w:val="auto"/>
              </w:rPr>
            </w:pP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2</w:t>
            </w:r>
          </w:p>
        </w:tc>
      </w:tr>
      <w:tr>
        <w:trPr>
          <w:trHeight w:val="21"/>
        </w:trPr>
        <w:tc>
          <w:tcPr>
            <w:tcW w:w="3580" w:type="dxa"/>
            <w:vAlign w:val="bottom"/>
            <w:tcBorders>
              <w:left w:val="single" w:sz="8" w:color="auto"/>
              <w:bottom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c>
          <w:tcPr>
            <w:tcW w:w="3200" w:type="dxa"/>
            <w:vAlign w:val="bottom"/>
            <w:tcBorders>
              <w:bottom w:val="single" w:sz="8" w:color="auto"/>
              <w:right w:val="single" w:sz="8" w:color="auto"/>
            </w:tcBorders>
          </w:tcPr>
          <w:p>
            <w:pPr>
              <w:spacing w:after="0" w:line="20" w:lineRule="exact"/>
              <w:rPr>
                <w:sz w:val="1"/>
                <w:szCs w:val="1"/>
                <w:color w:val="auto"/>
              </w:rPr>
            </w:pPr>
          </w:p>
        </w:tc>
      </w:tr>
      <w:tr>
        <w:trPr>
          <w:trHeight w:val="234"/>
        </w:trPr>
        <w:tc>
          <w:tcPr>
            <w:tcW w:w="35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Beneficiaries</w:t>
            </w:r>
          </w:p>
        </w:tc>
        <w:tc>
          <w:tcPr>
            <w:tcW w:w="1260" w:type="dxa"/>
            <w:vAlign w:val="bottom"/>
            <w:tcBorders>
              <w:right w:val="single" w:sz="8" w:color="auto"/>
            </w:tcBorders>
          </w:tcPr>
          <w:p>
            <w:pPr>
              <w:spacing w:after="0"/>
              <w:rPr>
                <w:sz w:val="20"/>
                <w:szCs w:val="20"/>
                <w:color w:val="auto"/>
              </w:rPr>
            </w:pP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3</w:t>
            </w:r>
          </w:p>
        </w:tc>
      </w:tr>
      <w:tr>
        <w:trPr>
          <w:trHeight w:val="21"/>
        </w:trPr>
        <w:tc>
          <w:tcPr>
            <w:tcW w:w="3580" w:type="dxa"/>
            <w:vAlign w:val="bottom"/>
            <w:tcBorders>
              <w:left w:val="single" w:sz="8" w:color="auto"/>
              <w:bottom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c>
          <w:tcPr>
            <w:tcW w:w="3200" w:type="dxa"/>
            <w:vAlign w:val="bottom"/>
            <w:tcBorders>
              <w:bottom w:val="single" w:sz="8" w:color="auto"/>
              <w:right w:val="single" w:sz="8" w:color="auto"/>
            </w:tcBorders>
          </w:tcPr>
          <w:p>
            <w:pPr>
              <w:spacing w:after="0" w:line="20" w:lineRule="exact"/>
              <w:rPr>
                <w:sz w:val="1"/>
                <w:szCs w:val="1"/>
                <w:color w:val="auto"/>
              </w:rPr>
            </w:pPr>
          </w:p>
        </w:tc>
      </w:tr>
      <w:tr>
        <w:trPr>
          <w:trHeight w:val="234"/>
        </w:trPr>
        <w:tc>
          <w:tcPr>
            <w:tcW w:w="35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Assignment</w:t>
            </w:r>
          </w:p>
        </w:tc>
        <w:tc>
          <w:tcPr>
            <w:tcW w:w="1260" w:type="dxa"/>
            <w:vAlign w:val="bottom"/>
            <w:tcBorders>
              <w:right w:val="single" w:sz="8" w:color="auto"/>
            </w:tcBorders>
          </w:tcPr>
          <w:p>
            <w:pPr>
              <w:spacing w:after="0"/>
              <w:rPr>
                <w:sz w:val="20"/>
                <w:szCs w:val="20"/>
                <w:color w:val="auto"/>
              </w:rPr>
            </w:pP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3</w:t>
            </w:r>
          </w:p>
        </w:tc>
      </w:tr>
      <w:tr>
        <w:trPr>
          <w:trHeight w:val="21"/>
        </w:trPr>
        <w:tc>
          <w:tcPr>
            <w:tcW w:w="3580" w:type="dxa"/>
            <w:vAlign w:val="bottom"/>
            <w:tcBorders>
              <w:left w:val="single" w:sz="8" w:color="auto"/>
              <w:bottom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c>
          <w:tcPr>
            <w:tcW w:w="3200" w:type="dxa"/>
            <w:vAlign w:val="bottom"/>
            <w:tcBorders>
              <w:bottom w:val="single" w:sz="8" w:color="auto"/>
              <w:right w:val="single" w:sz="8" w:color="auto"/>
            </w:tcBorders>
          </w:tcPr>
          <w:p>
            <w:pPr>
              <w:spacing w:after="0" w:line="20" w:lineRule="exact"/>
              <w:rPr>
                <w:sz w:val="1"/>
                <w:szCs w:val="1"/>
                <w:color w:val="auto"/>
              </w:rPr>
            </w:pPr>
          </w:p>
        </w:tc>
      </w:tr>
      <w:tr>
        <w:trPr>
          <w:trHeight w:val="234"/>
        </w:trPr>
        <w:tc>
          <w:tcPr>
            <w:tcW w:w="35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Qualified Domestic Relations Orders</w:t>
            </w:r>
          </w:p>
        </w:tc>
        <w:tc>
          <w:tcPr>
            <w:tcW w:w="1260" w:type="dxa"/>
            <w:vAlign w:val="bottom"/>
            <w:tcBorders>
              <w:right w:val="single" w:sz="8" w:color="auto"/>
            </w:tcBorders>
          </w:tcPr>
          <w:p>
            <w:pPr>
              <w:spacing w:after="0"/>
              <w:rPr>
                <w:sz w:val="20"/>
                <w:szCs w:val="20"/>
                <w:color w:val="auto"/>
              </w:rPr>
            </w:pP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3</w:t>
            </w:r>
          </w:p>
        </w:tc>
      </w:tr>
      <w:tr>
        <w:trPr>
          <w:trHeight w:val="21"/>
        </w:trPr>
        <w:tc>
          <w:tcPr>
            <w:tcW w:w="3580" w:type="dxa"/>
            <w:vAlign w:val="bottom"/>
            <w:tcBorders>
              <w:left w:val="single" w:sz="8" w:color="auto"/>
              <w:bottom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c>
          <w:tcPr>
            <w:tcW w:w="3200" w:type="dxa"/>
            <w:vAlign w:val="bottom"/>
            <w:tcBorders>
              <w:bottom w:val="single" w:sz="8" w:color="auto"/>
              <w:right w:val="single" w:sz="8" w:color="auto"/>
            </w:tcBorders>
          </w:tcPr>
          <w:p>
            <w:pPr>
              <w:spacing w:after="0" w:line="20" w:lineRule="exact"/>
              <w:rPr>
                <w:sz w:val="1"/>
                <w:szCs w:val="1"/>
                <w:color w:val="auto"/>
              </w:rPr>
            </w:pPr>
          </w:p>
        </w:tc>
      </w:tr>
      <w:tr>
        <w:trPr>
          <w:trHeight w:val="234"/>
        </w:trPr>
        <w:tc>
          <w:tcPr>
            <w:tcW w:w="35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Reliance Upon Affidavit or Other Evidence</w:t>
            </w:r>
          </w:p>
        </w:tc>
        <w:tc>
          <w:tcPr>
            <w:tcW w:w="1260" w:type="dxa"/>
            <w:vAlign w:val="bottom"/>
            <w:tcBorders>
              <w:right w:val="single" w:sz="8" w:color="auto"/>
            </w:tcBorders>
          </w:tcPr>
          <w:p>
            <w:pPr>
              <w:spacing w:after="0"/>
              <w:rPr>
                <w:sz w:val="20"/>
                <w:szCs w:val="20"/>
                <w:color w:val="auto"/>
              </w:rPr>
            </w:pP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3</w:t>
            </w:r>
          </w:p>
        </w:tc>
      </w:tr>
      <w:tr>
        <w:trPr>
          <w:trHeight w:val="21"/>
        </w:trPr>
        <w:tc>
          <w:tcPr>
            <w:tcW w:w="3580" w:type="dxa"/>
            <w:vAlign w:val="bottom"/>
            <w:tcBorders>
              <w:left w:val="single" w:sz="8" w:color="auto"/>
              <w:bottom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c>
          <w:tcPr>
            <w:tcW w:w="3200" w:type="dxa"/>
            <w:vAlign w:val="bottom"/>
            <w:tcBorders>
              <w:bottom w:val="single" w:sz="8" w:color="auto"/>
              <w:right w:val="single" w:sz="8" w:color="auto"/>
            </w:tcBorders>
          </w:tcPr>
          <w:p>
            <w:pPr>
              <w:spacing w:after="0" w:line="20" w:lineRule="exact"/>
              <w:rPr>
                <w:sz w:val="1"/>
                <w:szCs w:val="1"/>
                <w:color w:val="auto"/>
              </w:rPr>
            </w:pPr>
          </w:p>
        </w:tc>
      </w:tr>
      <w:tr>
        <w:trPr>
          <w:trHeight w:val="234"/>
        </w:trPr>
        <w:tc>
          <w:tcPr>
            <w:tcW w:w="35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Misstatements</w:t>
            </w:r>
          </w:p>
        </w:tc>
        <w:tc>
          <w:tcPr>
            <w:tcW w:w="1260" w:type="dxa"/>
            <w:vAlign w:val="bottom"/>
            <w:tcBorders>
              <w:right w:val="single" w:sz="8" w:color="auto"/>
            </w:tcBorders>
          </w:tcPr>
          <w:p>
            <w:pPr>
              <w:spacing w:after="0"/>
              <w:rPr>
                <w:sz w:val="20"/>
                <w:szCs w:val="20"/>
                <w:color w:val="auto"/>
              </w:rPr>
            </w:pP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3</w:t>
            </w:r>
          </w:p>
        </w:tc>
      </w:tr>
      <w:tr>
        <w:trPr>
          <w:trHeight w:val="21"/>
        </w:trPr>
        <w:tc>
          <w:tcPr>
            <w:tcW w:w="3580" w:type="dxa"/>
            <w:vAlign w:val="bottom"/>
            <w:tcBorders>
              <w:left w:val="single" w:sz="8" w:color="auto"/>
              <w:bottom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c>
          <w:tcPr>
            <w:tcW w:w="3200" w:type="dxa"/>
            <w:vAlign w:val="bottom"/>
            <w:tcBorders>
              <w:bottom w:val="single" w:sz="8" w:color="auto"/>
              <w:right w:val="single" w:sz="8" w:color="auto"/>
            </w:tcBorders>
          </w:tcPr>
          <w:p>
            <w:pPr>
              <w:spacing w:after="0" w:line="20" w:lineRule="exact"/>
              <w:rPr>
                <w:sz w:val="1"/>
                <w:szCs w:val="1"/>
                <w:color w:val="auto"/>
              </w:rPr>
            </w:pPr>
          </w:p>
        </w:tc>
      </w:tr>
      <w:tr>
        <w:trPr>
          <w:trHeight w:val="234"/>
        </w:trPr>
        <w:tc>
          <w:tcPr>
            <w:tcW w:w="35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Supplemental Information</w:t>
            </w:r>
          </w:p>
        </w:tc>
        <w:tc>
          <w:tcPr>
            <w:tcW w:w="1260" w:type="dxa"/>
            <w:vAlign w:val="bottom"/>
            <w:tcBorders>
              <w:right w:val="single" w:sz="8" w:color="auto"/>
            </w:tcBorders>
          </w:tcPr>
          <w:p>
            <w:pPr>
              <w:spacing w:after="0"/>
              <w:rPr>
                <w:sz w:val="20"/>
                <w:szCs w:val="20"/>
                <w:color w:val="auto"/>
              </w:rPr>
            </w:pP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4</w:t>
            </w:r>
          </w:p>
        </w:tc>
      </w:tr>
      <w:tr>
        <w:trPr>
          <w:trHeight w:val="21"/>
        </w:trPr>
        <w:tc>
          <w:tcPr>
            <w:tcW w:w="3580" w:type="dxa"/>
            <w:vAlign w:val="bottom"/>
            <w:tcBorders>
              <w:left w:val="single" w:sz="8" w:color="auto"/>
              <w:bottom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c>
          <w:tcPr>
            <w:tcW w:w="3200" w:type="dxa"/>
            <w:vAlign w:val="bottom"/>
            <w:tcBorders>
              <w:bottom w:val="single" w:sz="8" w:color="auto"/>
              <w:right w:val="single" w:sz="8" w:color="auto"/>
            </w:tcBorders>
          </w:tcPr>
          <w:p>
            <w:pPr>
              <w:spacing w:after="0" w:line="20" w:lineRule="exact"/>
              <w:rPr>
                <w:sz w:val="1"/>
                <w:szCs w:val="1"/>
                <w:color w:val="auto"/>
              </w:rPr>
            </w:pPr>
          </w:p>
        </w:tc>
      </w:tr>
      <w:tr>
        <w:trPr>
          <w:trHeight w:val="234"/>
        </w:trPr>
        <w:tc>
          <w:tcPr>
            <w:tcW w:w="35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w w:val="95"/>
              </w:rPr>
              <w:t>Certificate Errors and Replacement Certificate</w:t>
            </w:r>
          </w:p>
        </w:tc>
        <w:tc>
          <w:tcPr>
            <w:tcW w:w="1260" w:type="dxa"/>
            <w:vAlign w:val="bottom"/>
            <w:tcBorders>
              <w:right w:val="single" w:sz="8" w:color="auto"/>
            </w:tcBorders>
          </w:tcPr>
          <w:p>
            <w:pPr>
              <w:spacing w:after="0"/>
              <w:rPr>
                <w:sz w:val="20"/>
                <w:szCs w:val="20"/>
                <w:color w:val="auto"/>
              </w:rPr>
            </w:pP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4</w:t>
            </w:r>
          </w:p>
        </w:tc>
      </w:tr>
      <w:tr>
        <w:trPr>
          <w:trHeight w:val="21"/>
        </w:trPr>
        <w:tc>
          <w:tcPr>
            <w:tcW w:w="3580" w:type="dxa"/>
            <w:vAlign w:val="bottom"/>
            <w:tcBorders>
              <w:left w:val="single" w:sz="8" w:color="auto"/>
              <w:bottom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c>
          <w:tcPr>
            <w:tcW w:w="3200" w:type="dxa"/>
            <w:vAlign w:val="bottom"/>
            <w:tcBorders>
              <w:bottom w:val="single" w:sz="8" w:color="auto"/>
              <w:right w:val="single" w:sz="8" w:color="auto"/>
            </w:tcBorders>
          </w:tcPr>
          <w:p>
            <w:pPr>
              <w:spacing w:after="0" w:line="20" w:lineRule="exact"/>
              <w:rPr>
                <w:sz w:val="1"/>
                <w:szCs w:val="1"/>
                <w:color w:val="auto"/>
              </w:rPr>
            </w:pPr>
          </w:p>
        </w:tc>
      </w:tr>
      <w:tr>
        <w:trPr>
          <w:trHeight w:val="234"/>
        </w:trPr>
        <w:tc>
          <w:tcPr>
            <w:tcW w:w="35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Entire Contract</w:t>
            </w:r>
          </w:p>
        </w:tc>
        <w:tc>
          <w:tcPr>
            <w:tcW w:w="1260" w:type="dxa"/>
            <w:vAlign w:val="bottom"/>
            <w:tcBorders>
              <w:right w:val="single" w:sz="8" w:color="auto"/>
            </w:tcBorders>
          </w:tcPr>
          <w:p>
            <w:pPr>
              <w:spacing w:after="0"/>
              <w:rPr>
                <w:sz w:val="20"/>
                <w:szCs w:val="20"/>
                <w:color w:val="auto"/>
              </w:rPr>
            </w:pP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4</w:t>
            </w:r>
          </w:p>
        </w:tc>
      </w:tr>
      <w:tr>
        <w:trPr>
          <w:trHeight w:val="21"/>
        </w:trPr>
        <w:tc>
          <w:tcPr>
            <w:tcW w:w="3580" w:type="dxa"/>
            <w:vAlign w:val="bottom"/>
            <w:tcBorders>
              <w:left w:val="single" w:sz="8" w:color="auto"/>
              <w:bottom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c>
          <w:tcPr>
            <w:tcW w:w="3200" w:type="dxa"/>
            <w:vAlign w:val="bottom"/>
            <w:tcBorders>
              <w:bottom w:val="single" w:sz="8" w:color="auto"/>
              <w:right w:val="single" w:sz="8" w:color="auto"/>
            </w:tcBorders>
          </w:tcPr>
          <w:p>
            <w:pPr>
              <w:spacing w:after="0" w:line="20" w:lineRule="exact"/>
              <w:rPr>
                <w:sz w:val="1"/>
                <w:szCs w:val="1"/>
                <w:color w:val="auto"/>
              </w:rPr>
            </w:pPr>
          </w:p>
        </w:tc>
      </w:tr>
      <w:tr>
        <w:trPr>
          <w:trHeight w:val="234"/>
        </w:trPr>
        <w:tc>
          <w:tcPr>
            <w:tcW w:w="35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Rights of Payees</w:t>
            </w:r>
          </w:p>
        </w:tc>
        <w:tc>
          <w:tcPr>
            <w:tcW w:w="1260" w:type="dxa"/>
            <w:vAlign w:val="bottom"/>
            <w:tcBorders>
              <w:right w:val="single" w:sz="8" w:color="auto"/>
            </w:tcBorders>
          </w:tcPr>
          <w:p>
            <w:pPr>
              <w:spacing w:after="0"/>
              <w:rPr>
                <w:sz w:val="20"/>
                <w:szCs w:val="20"/>
                <w:color w:val="auto"/>
              </w:rPr>
            </w:pP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4</w:t>
            </w:r>
          </w:p>
        </w:tc>
      </w:tr>
      <w:tr>
        <w:trPr>
          <w:trHeight w:val="21"/>
        </w:trPr>
        <w:tc>
          <w:tcPr>
            <w:tcW w:w="3580" w:type="dxa"/>
            <w:vAlign w:val="bottom"/>
            <w:tcBorders>
              <w:left w:val="single" w:sz="8" w:color="auto"/>
              <w:bottom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c>
          <w:tcPr>
            <w:tcW w:w="3200" w:type="dxa"/>
            <w:vAlign w:val="bottom"/>
            <w:tcBorders>
              <w:bottom w:val="single" w:sz="8" w:color="auto"/>
              <w:right w:val="single" w:sz="8" w:color="auto"/>
            </w:tcBorders>
          </w:tcPr>
          <w:p>
            <w:pPr>
              <w:spacing w:after="0" w:line="20" w:lineRule="exact"/>
              <w:rPr>
                <w:sz w:val="1"/>
                <w:szCs w:val="1"/>
                <w:color w:val="auto"/>
              </w:rPr>
            </w:pPr>
          </w:p>
        </w:tc>
      </w:tr>
      <w:tr>
        <w:trPr>
          <w:trHeight w:val="234"/>
        </w:trPr>
        <w:tc>
          <w:tcPr>
            <w:tcW w:w="35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Prudential Telephone Number</w:t>
            </w:r>
          </w:p>
        </w:tc>
        <w:tc>
          <w:tcPr>
            <w:tcW w:w="1260" w:type="dxa"/>
            <w:vAlign w:val="bottom"/>
            <w:tcBorders>
              <w:right w:val="single" w:sz="8" w:color="auto"/>
            </w:tcBorders>
          </w:tcPr>
          <w:p>
            <w:pPr>
              <w:spacing w:after="0"/>
              <w:rPr>
                <w:sz w:val="20"/>
                <w:szCs w:val="20"/>
                <w:color w:val="auto"/>
              </w:rPr>
            </w:pP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5</w:t>
            </w:r>
          </w:p>
        </w:tc>
      </w:tr>
      <w:tr>
        <w:trPr>
          <w:trHeight w:val="21"/>
        </w:trPr>
        <w:tc>
          <w:tcPr>
            <w:tcW w:w="3580" w:type="dxa"/>
            <w:vAlign w:val="bottom"/>
            <w:tcBorders>
              <w:left w:val="single" w:sz="8" w:color="auto"/>
              <w:bottom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c>
          <w:tcPr>
            <w:tcW w:w="3200" w:type="dxa"/>
            <w:vAlign w:val="bottom"/>
            <w:tcBorders>
              <w:bottom w:val="single" w:sz="8" w:color="auto"/>
              <w:right w:val="single" w:sz="8" w:color="auto"/>
            </w:tcBorders>
          </w:tcPr>
          <w:p>
            <w:pPr>
              <w:spacing w:after="0" w:line="20" w:lineRule="exact"/>
              <w:rPr>
                <w:sz w:val="1"/>
                <w:szCs w:val="1"/>
                <w:color w:val="auto"/>
              </w:rPr>
            </w:pPr>
          </w:p>
        </w:tc>
      </w:tr>
      <w:tr>
        <w:trPr>
          <w:trHeight w:val="234"/>
        </w:trPr>
        <w:tc>
          <w:tcPr>
            <w:tcW w:w="35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Deductions from Annuity Payments</w:t>
            </w:r>
          </w:p>
        </w:tc>
        <w:tc>
          <w:tcPr>
            <w:tcW w:w="1260" w:type="dxa"/>
            <w:vAlign w:val="bottom"/>
            <w:tcBorders>
              <w:right w:val="single" w:sz="8" w:color="auto"/>
            </w:tcBorders>
          </w:tcPr>
          <w:p>
            <w:pPr>
              <w:spacing w:after="0"/>
              <w:rPr>
                <w:sz w:val="20"/>
                <w:szCs w:val="20"/>
                <w:color w:val="auto"/>
              </w:rPr>
            </w:pP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5</w:t>
            </w:r>
          </w:p>
        </w:tc>
      </w:tr>
      <w:tr>
        <w:trPr>
          <w:trHeight w:val="21"/>
        </w:trPr>
        <w:tc>
          <w:tcPr>
            <w:tcW w:w="3580" w:type="dxa"/>
            <w:vAlign w:val="bottom"/>
            <w:tcBorders>
              <w:left w:val="single" w:sz="8" w:color="auto"/>
              <w:bottom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c>
          <w:tcPr>
            <w:tcW w:w="3200" w:type="dxa"/>
            <w:vAlign w:val="bottom"/>
            <w:tcBorders>
              <w:bottom w:val="single" w:sz="8" w:color="auto"/>
              <w:right w:val="single" w:sz="8" w:color="auto"/>
            </w:tcBorders>
          </w:tcPr>
          <w:p>
            <w:pPr>
              <w:spacing w:after="0" w:line="20" w:lineRule="exact"/>
              <w:rPr>
                <w:sz w:val="1"/>
                <w:szCs w:val="1"/>
                <w:color w:val="auto"/>
              </w:rPr>
            </w:pPr>
          </w:p>
        </w:tc>
      </w:tr>
      <w:tr>
        <w:trPr>
          <w:trHeight w:val="234"/>
        </w:trPr>
        <w:tc>
          <w:tcPr>
            <w:tcW w:w="35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Additional Details</w:t>
            </w:r>
          </w:p>
        </w:tc>
        <w:tc>
          <w:tcPr>
            <w:tcW w:w="1260" w:type="dxa"/>
            <w:vAlign w:val="bottom"/>
            <w:tcBorders>
              <w:right w:val="single" w:sz="8" w:color="auto"/>
            </w:tcBorders>
          </w:tcPr>
          <w:p>
            <w:pPr>
              <w:spacing w:after="0"/>
              <w:rPr>
                <w:sz w:val="20"/>
                <w:szCs w:val="20"/>
                <w:color w:val="auto"/>
              </w:rPr>
            </w:pP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5</w:t>
            </w:r>
          </w:p>
        </w:tc>
      </w:tr>
      <w:tr>
        <w:trPr>
          <w:trHeight w:val="21"/>
        </w:trPr>
        <w:tc>
          <w:tcPr>
            <w:tcW w:w="3580" w:type="dxa"/>
            <w:vAlign w:val="bottom"/>
            <w:tcBorders>
              <w:left w:val="single" w:sz="8" w:color="auto"/>
              <w:bottom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c>
          <w:tcPr>
            <w:tcW w:w="3200" w:type="dxa"/>
            <w:vAlign w:val="bottom"/>
            <w:tcBorders>
              <w:bottom w:val="single" w:sz="8" w:color="auto"/>
              <w:right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THE PRUDENTIAL INSURANCE</w:t>
      </w:r>
    </w:p>
    <w:p>
      <w:pPr>
        <w:spacing w:after="0" w:line="30"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COMPANY OF AMERICA</w:t>
      </w:r>
    </w:p>
    <w:p>
      <w:pPr>
        <w:spacing w:after="0" w:line="8"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Newark, New Jersey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ANNUITY CERTIFICATE</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Table of Information</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Appendix 1.3 - 24</w:t>
      </w:r>
    </w:p>
    <w:p>
      <w:pPr>
        <w:sectPr>
          <w:pgSz w:w="11900" w:h="16838" w:orient="portrait"/>
          <w:cols w:equalWidth="0" w:num="1">
            <w:col w:w="11420"/>
          </w:cols>
          <w:pgMar w:left="240" w:top="753" w:right="239" w:bottom="1440" w:gutter="0" w:footer="0" w:header="0"/>
        </w:sectPr>
      </w:pPr>
    </w:p>
    <w:bookmarkStart w:id="138" w:name="page139"/>
    <w:bookmarkEnd w:id="138"/>
    <w:tbl>
      <w:tblPr>
        <w:tblLayout w:type="fixed"/>
        <w:tblInd w:w="490" w:type="dxa"/>
        <w:tblCellMar>
          <w:top w:w="0" w:type="dxa"/>
          <w:left w:w="0" w:type="dxa"/>
          <w:bottom w:w="0" w:type="dxa"/>
          <w:right w:w="0" w:type="dxa"/>
        </w:tblCellMar>
      </w:tblPr>
      <w:tr>
        <w:trPr>
          <w:trHeight w:val="275"/>
        </w:trPr>
        <w:tc>
          <w:tcPr>
            <w:tcW w:w="4840" w:type="dxa"/>
            <w:vAlign w:val="bottom"/>
            <w:tcBorders>
              <w:top w:val="single" w:sz="8" w:color="C0C0C0"/>
              <w:left w:val="single" w:sz="8" w:color="C0C0C0"/>
              <w:bottom w:val="single" w:sz="8" w:color="C0C0C0"/>
              <w:right w:val="single" w:sz="8" w:color="C0C0C0"/>
            </w:tcBorders>
          </w:tcPr>
          <w:p>
            <w:pPr>
              <w:ind w:left="40"/>
              <w:spacing w:after="0"/>
              <w:rPr>
                <w:sz w:val="20"/>
                <w:szCs w:val="20"/>
                <w:color w:val="auto"/>
              </w:rPr>
            </w:pPr>
            <w:r>
              <w:rPr>
                <w:rFonts w:ascii="Arial" w:cs="Arial" w:eastAsia="Arial" w:hAnsi="Arial"/>
                <w:sz w:val="18"/>
                <w:szCs w:val="18"/>
                <w:i w:val="1"/>
                <w:iCs w:val="1"/>
                <w:color w:val="auto"/>
              </w:rPr>
              <w:t>Covered Life:</w:t>
            </w:r>
          </w:p>
        </w:tc>
        <w:tc>
          <w:tcPr>
            <w:tcW w:w="5660" w:type="dxa"/>
            <w:vAlign w:val="bottom"/>
            <w:tcBorders>
              <w:top w:val="single" w:sz="8" w:color="C0C0C0"/>
              <w:bottom w:val="single" w:sz="8" w:color="C0C0C0"/>
              <w:right w:val="single" w:sz="8" w:color="C0C0C0"/>
            </w:tcBorders>
          </w:tcPr>
          <w:p>
            <w:pPr>
              <w:ind w:left="20"/>
              <w:spacing w:after="0"/>
              <w:rPr>
                <w:sz w:val="20"/>
                <w:szCs w:val="20"/>
                <w:color w:val="auto"/>
              </w:rPr>
            </w:pPr>
            <w:r>
              <w:rPr>
                <w:rFonts w:ascii="Arial" w:cs="Arial" w:eastAsia="Arial" w:hAnsi="Arial"/>
                <w:sz w:val="18"/>
                <w:szCs w:val="18"/>
                <w:color w:val="auto"/>
              </w:rPr>
              <w:t xml:space="preserve">[Covered Life Name] </w:t>
            </w:r>
            <w:r>
              <w:rPr>
                <w:rFonts w:ascii="Arial" w:cs="Arial" w:eastAsia="Arial" w:hAnsi="Arial"/>
                <w:sz w:val="23"/>
                <w:szCs w:val="23"/>
                <w:color w:val="auto"/>
                <w:vertAlign w:val="superscript"/>
              </w:rPr>
              <w:t>A</w:t>
            </w:r>
          </w:p>
        </w:tc>
      </w:tr>
      <w:tr>
        <w:trPr>
          <w:trHeight w:val="243"/>
        </w:trPr>
        <w:tc>
          <w:tcPr>
            <w:tcW w:w="4840" w:type="dxa"/>
            <w:vAlign w:val="bottom"/>
            <w:tcBorders>
              <w:left w:val="single" w:sz="8" w:color="C0C0C0"/>
              <w:bottom w:val="single" w:sz="8" w:color="C0C0C0"/>
              <w:right w:val="single" w:sz="8" w:color="C0C0C0"/>
            </w:tcBorders>
          </w:tcPr>
          <w:p>
            <w:pPr>
              <w:spacing w:after="0"/>
              <w:rPr>
                <w:sz w:val="21"/>
                <w:szCs w:val="21"/>
                <w:color w:val="auto"/>
              </w:rPr>
            </w:pPr>
          </w:p>
        </w:tc>
        <w:tc>
          <w:tcPr>
            <w:tcW w:w="5660" w:type="dxa"/>
            <w:vAlign w:val="bottom"/>
            <w:tcBorders>
              <w:bottom w:val="single" w:sz="8" w:color="C0C0C0"/>
              <w:right w:val="single" w:sz="8" w:color="C0C0C0"/>
            </w:tcBorders>
          </w:tcPr>
          <w:p>
            <w:pPr>
              <w:spacing w:after="0"/>
              <w:rPr>
                <w:sz w:val="21"/>
                <w:szCs w:val="21"/>
                <w:color w:val="auto"/>
              </w:rPr>
            </w:pPr>
          </w:p>
        </w:tc>
      </w:tr>
      <w:tr>
        <w:trPr>
          <w:trHeight w:val="255"/>
        </w:trPr>
        <w:tc>
          <w:tcPr>
            <w:tcW w:w="4840" w:type="dxa"/>
            <w:vAlign w:val="bottom"/>
            <w:tcBorders>
              <w:left w:val="single" w:sz="8" w:color="C0C0C0"/>
              <w:bottom w:val="single" w:sz="8" w:color="C0C0C0"/>
              <w:right w:val="single" w:sz="8" w:color="C0C0C0"/>
            </w:tcBorders>
          </w:tcPr>
          <w:p>
            <w:pPr>
              <w:ind w:left="40"/>
              <w:spacing w:after="0"/>
              <w:rPr>
                <w:sz w:val="20"/>
                <w:szCs w:val="20"/>
                <w:color w:val="auto"/>
              </w:rPr>
            </w:pPr>
            <w:r>
              <w:rPr>
                <w:rFonts w:ascii="Arial" w:cs="Arial" w:eastAsia="Arial" w:hAnsi="Arial"/>
                <w:sz w:val="18"/>
                <w:szCs w:val="18"/>
                <w:b w:val="1"/>
                <w:bCs w:val="1"/>
                <w:i w:val="1"/>
                <w:iCs w:val="1"/>
                <w:color w:val="auto"/>
              </w:rPr>
              <w:t>Covered Life's Sex and Date of Birth:</w:t>
            </w:r>
          </w:p>
        </w:tc>
        <w:tc>
          <w:tcPr>
            <w:tcW w:w="5660" w:type="dxa"/>
            <w:vAlign w:val="bottom"/>
            <w:tcBorders>
              <w:bottom w:val="single" w:sz="8" w:color="C0C0C0"/>
              <w:right w:val="single" w:sz="8" w:color="C0C0C0"/>
            </w:tcBorders>
          </w:tcPr>
          <w:p>
            <w:pPr>
              <w:ind w:left="20"/>
              <w:spacing w:after="0" w:line="255" w:lineRule="exact"/>
              <w:rPr>
                <w:sz w:val="20"/>
                <w:szCs w:val="20"/>
                <w:color w:val="auto"/>
              </w:rPr>
            </w:pPr>
            <w:r>
              <w:rPr>
                <w:rFonts w:ascii="Arial" w:cs="Arial" w:eastAsia="Arial" w:hAnsi="Arial"/>
                <w:sz w:val="18"/>
                <w:szCs w:val="18"/>
                <w:color w:val="auto"/>
              </w:rPr>
              <w:t xml:space="preserve">[Male/Female, Date] </w:t>
            </w:r>
            <w:r>
              <w:rPr>
                <w:rFonts w:ascii="Arial" w:cs="Arial" w:eastAsia="Arial" w:hAnsi="Arial"/>
                <w:sz w:val="23"/>
                <w:szCs w:val="23"/>
                <w:color w:val="auto"/>
                <w:vertAlign w:val="superscript"/>
              </w:rPr>
              <w:t>A</w:t>
            </w:r>
          </w:p>
        </w:tc>
      </w:tr>
      <w:tr>
        <w:trPr>
          <w:trHeight w:val="243"/>
        </w:trPr>
        <w:tc>
          <w:tcPr>
            <w:tcW w:w="4840" w:type="dxa"/>
            <w:vAlign w:val="bottom"/>
            <w:tcBorders>
              <w:left w:val="single" w:sz="8" w:color="C0C0C0"/>
              <w:bottom w:val="single" w:sz="8" w:color="C0C0C0"/>
              <w:right w:val="single" w:sz="8" w:color="C0C0C0"/>
            </w:tcBorders>
          </w:tcPr>
          <w:p>
            <w:pPr>
              <w:spacing w:after="0"/>
              <w:rPr>
                <w:sz w:val="21"/>
                <w:szCs w:val="21"/>
                <w:color w:val="auto"/>
              </w:rPr>
            </w:pPr>
          </w:p>
        </w:tc>
        <w:tc>
          <w:tcPr>
            <w:tcW w:w="5660" w:type="dxa"/>
            <w:vAlign w:val="bottom"/>
            <w:tcBorders>
              <w:bottom w:val="single" w:sz="8" w:color="C0C0C0"/>
              <w:right w:val="single" w:sz="8" w:color="C0C0C0"/>
            </w:tcBorders>
          </w:tcPr>
          <w:p>
            <w:pPr>
              <w:spacing w:after="0"/>
              <w:rPr>
                <w:sz w:val="21"/>
                <w:szCs w:val="21"/>
                <w:color w:val="auto"/>
              </w:rPr>
            </w:pPr>
          </w:p>
        </w:tc>
      </w:tr>
      <w:tr>
        <w:trPr>
          <w:trHeight w:val="255"/>
        </w:trPr>
        <w:tc>
          <w:tcPr>
            <w:tcW w:w="4840" w:type="dxa"/>
            <w:vAlign w:val="bottom"/>
            <w:tcBorders>
              <w:left w:val="single" w:sz="8" w:color="C0C0C0"/>
              <w:bottom w:val="single" w:sz="8" w:color="C0C0C0"/>
              <w:right w:val="single" w:sz="8" w:color="C0C0C0"/>
            </w:tcBorders>
          </w:tcPr>
          <w:p>
            <w:pPr>
              <w:ind w:left="40"/>
              <w:spacing w:after="0"/>
              <w:rPr>
                <w:sz w:val="20"/>
                <w:szCs w:val="20"/>
                <w:color w:val="auto"/>
              </w:rPr>
            </w:pPr>
            <w:r>
              <w:rPr>
                <w:rFonts w:ascii="Arial" w:cs="Arial" w:eastAsia="Arial" w:hAnsi="Arial"/>
                <w:sz w:val="18"/>
                <w:szCs w:val="18"/>
                <w:i w:val="1"/>
                <w:iCs w:val="1"/>
                <w:color w:val="auto"/>
              </w:rPr>
              <w:t>Annuity Certificate Number:</w:t>
            </w:r>
          </w:p>
        </w:tc>
        <w:tc>
          <w:tcPr>
            <w:tcW w:w="5660" w:type="dxa"/>
            <w:vAlign w:val="bottom"/>
            <w:tcBorders>
              <w:bottom w:val="single" w:sz="8" w:color="C0C0C0"/>
              <w:right w:val="single" w:sz="8" w:color="C0C0C0"/>
            </w:tcBorders>
          </w:tcPr>
          <w:p>
            <w:pPr>
              <w:ind w:left="20"/>
              <w:spacing w:after="0" w:line="255" w:lineRule="exact"/>
              <w:rPr>
                <w:sz w:val="20"/>
                <w:szCs w:val="20"/>
                <w:color w:val="auto"/>
              </w:rPr>
            </w:pPr>
            <w:r>
              <w:rPr>
                <w:rFonts w:ascii="Arial" w:cs="Arial" w:eastAsia="Arial" w:hAnsi="Arial"/>
                <w:sz w:val="18"/>
                <w:szCs w:val="18"/>
                <w:color w:val="auto"/>
              </w:rPr>
              <w:t>[Certificate Number</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23"/>
                <w:szCs w:val="23"/>
                <w:b w:val="1"/>
                <w:bCs w:val="1"/>
                <w:color w:val="auto"/>
                <w:vertAlign w:val="superscript"/>
              </w:rPr>
              <w:t>A</w:t>
            </w:r>
          </w:p>
        </w:tc>
      </w:tr>
      <w:tr>
        <w:trPr>
          <w:trHeight w:val="243"/>
        </w:trPr>
        <w:tc>
          <w:tcPr>
            <w:tcW w:w="4840" w:type="dxa"/>
            <w:vAlign w:val="bottom"/>
            <w:tcBorders>
              <w:left w:val="single" w:sz="8" w:color="C0C0C0"/>
              <w:bottom w:val="single" w:sz="8" w:color="C0C0C0"/>
              <w:right w:val="single" w:sz="8" w:color="C0C0C0"/>
            </w:tcBorders>
          </w:tcPr>
          <w:p>
            <w:pPr>
              <w:spacing w:after="0"/>
              <w:rPr>
                <w:sz w:val="21"/>
                <w:szCs w:val="21"/>
                <w:color w:val="auto"/>
              </w:rPr>
            </w:pPr>
          </w:p>
        </w:tc>
        <w:tc>
          <w:tcPr>
            <w:tcW w:w="5660" w:type="dxa"/>
            <w:vAlign w:val="bottom"/>
            <w:tcBorders>
              <w:bottom w:val="single" w:sz="8" w:color="C0C0C0"/>
              <w:right w:val="single" w:sz="8" w:color="C0C0C0"/>
            </w:tcBorders>
          </w:tcPr>
          <w:p>
            <w:pPr>
              <w:spacing w:after="0"/>
              <w:rPr>
                <w:sz w:val="21"/>
                <w:szCs w:val="21"/>
                <w:color w:val="auto"/>
              </w:rPr>
            </w:pPr>
          </w:p>
        </w:tc>
      </w:tr>
      <w:tr>
        <w:trPr>
          <w:trHeight w:val="214"/>
        </w:trPr>
        <w:tc>
          <w:tcPr>
            <w:tcW w:w="4840" w:type="dxa"/>
            <w:vAlign w:val="bottom"/>
            <w:tcBorders>
              <w:left w:val="single" w:sz="8" w:color="C0C0C0"/>
              <w:right w:val="single" w:sz="8" w:color="C0C0C0"/>
            </w:tcBorders>
          </w:tcPr>
          <w:p>
            <w:pPr>
              <w:spacing w:after="0"/>
              <w:rPr>
                <w:sz w:val="18"/>
                <w:szCs w:val="18"/>
                <w:color w:val="auto"/>
              </w:rPr>
            </w:pPr>
          </w:p>
        </w:tc>
        <w:tc>
          <w:tcPr>
            <w:tcW w:w="5660" w:type="dxa"/>
            <w:vAlign w:val="bottom"/>
            <w:tcBorders>
              <w:right w:val="single" w:sz="8" w:color="C0C0C0"/>
            </w:tcBorders>
          </w:tcPr>
          <w:p>
            <w:pPr>
              <w:ind w:left="20"/>
              <w:spacing w:after="0"/>
              <w:rPr>
                <w:sz w:val="20"/>
                <w:szCs w:val="20"/>
                <w:color w:val="auto"/>
              </w:rPr>
            </w:pPr>
            <w:r>
              <w:rPr>
                <w:rFonts w:ascii="Arial" w:cs="Arial" w:eastAsia="Arial" w:hAnsi="Arial"/>
                <w:sz w:val="18"/>
                <w:szCs w:val="18"/>
                <w:color w:val="auto"/>
              </w:rPr>
              <w:t>[NAME OF TRUST BANK, as Directed Trustee of the Vita Salaried</w:t>
            </w:r>
          </w:p>
        </w:tc>
      </w:tr>
      <w:tr>
        <w:trPr>
          <w:trHeight w:val="255"/>
        </w:trPr>
        <w:tc>
          <w:tcPr>
            <w:tcW w:w="4840" w:type="dxa"/>
            <w:vAlign w:val="bottom"/>
            <w:tcBorders>
              <w:left w:val="single" w:sz="8" w:color="C0C0C0"/>
              <w:bottom w:val="single" w:sz="8" w:color="C0C0C0"/>
              <w:right w:val="single" w:sz="8" w:color="C0C0C0"/>
            </w:tcBorders>
          </w:tcPr>
          <w:p>
            <w:pPr>
              <w:ind w:left="40"/>
              <w:spacing w:after="0" w:line="255" w:lineRule="exact"/>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Contract-Holder:</w:t>
            </w:r>
            <w:r>
              <w:rPr>
                <w:rFonts w:ascii="Arial" w:cs="Arial" w:eastAsia="Arial" w:hAnsi="Arial"/>
                <w:sz w:val="18"/>
                <w:szCs w:val="18"/>
                <w:color w:val="auto"/>
              </w:rPr>
              <w:t xml:space="preserve"> ] </w:t>
            </w:r>
            <w:r>
              <w:rPr>
                <w:rFonts w:ascii="Arial" w:cs="Arial" w:eastAsia="Arial" w:hAnsi="Arial"/>
                <w:sz w:val="23"/>
                <w:szCs w:val="23"/>
                <w:color w:val="auto"/>
                <w:vertAlign w:val="superscript"/>
              </w:rPr>
              <w:t>A</w:t>
            </w:r>
          </w:p>
        </w:tc>
        <w:tc>
          <w:tcPr>
            <w:tcW w:w="5660" w:type="dxa"/>
            <w:vAlign w:val="bottom"/>
            <w:tcBorders>
              <w:bottom w:val="single" w:sz="8" w:color="C0C0C0"/>
              <w:right w:val="single" w:sz="8" w:color="C0C0C0"/>
            </w:tcBorders>
          </w:tcPr>
          <w:p>
            <w:pPr>
              <w:ind w:left="20"/>
              <w:spacing w:after="0" w:line="255" w:lineRule="exact"/>
              <w:rPr>
                <w:sz w:val="20"/>
                <w:szCs w:val="20"/>
                <w:color w:val="auto"/>
              </w:rPr>
            </w:pPr>
            <w:r>
              <w:rPr>
                <w:rFonts w:ascii="Arial" w:cs="Arial" w:eastAsia="Arial" w:hAnsi="Arial"/>
                <w:sz w:val="18"/>
                <w:szCs w:val="18"/>
                <w:color w:val="auto"/>
              </w:rPr>
              <w:t>Retirement Trust, a New York trust]</w:t>
            </w:r>
            <w:r>
              <w:rPr>
                <w:rFonts w:ascii="Arial" w:cs="Arial" w:eastAsia="Arial" w:hAnsi="Arial"/>
                <w:sz w:val="23"/>
                <w:szCs w:val="23"/>
                <w:color w:val="auto"/>
                <w:vertAlign w:val="superscript"/>
              </w:rPr>
              <w:t>A</w:t>
            </w:r>
          </w:p>
        </w:tc>
      </w:tr>
      <w:tr>
        <w:trPr>
          <w:trHeight w:val="243"/>
        </w:trPr>
        <w:tc>
          <w:tcPr>
            <w:tcW w:w="4840" w:type="dxa"/>
            <w:vAlign w:val="bottom"/>
            <w:tcBorders>
              <w:left w:val="single" w:sz="8" w:color="C0C0C0"/>
              <w:bottom w:val="single" w:sz="8" w:color="C0C0C0"/>
              <w:right w:val="single" w:sz="8" w:color="C0C0C0"/>
            </w:tcBorders>
          </w:tcPr>
          <w:p>
            <w:pPr>
              <w:spacing w:after="0"/>
              <w:rPr>
                <w:sz w:val="21"/>
                <w:szCs w:val="21"/>
                <w:color w:val="auto"/>
              </w:rPr>
            </w:pPr>
          </w:p>
        </w:tc>
        <w:tc>
          <w:tcPr>
            <w:tcW w:w="5660" w:type="dxa"/>
            <w:vAlign w:val="bottom"/>
            <w:tcBorders>
              <w:bottom w:val="single" w:sz="8" w:color="C0C0C0"/>
              <w:right w:val="single" w:sz="8" w:color="C0C0C0"/>
            </w:tcBorders>
          </w:tcPr>
          <w:p>
            <w:pPr>
              <w:spacing w:after="0"/>
              <w:rPr>
                <w:sz w:val="21"/>
                <w:szCs w:val="21"/>
                <w:color w:val="auto"/>
              </w:rPr>
            </w:pPr>
          </w:p>
        </w:tc>
      </w:tr>
      <w:tr>
        <w:trPr>
          <w:trHeight w:val="255"/>
        </w:trPr>
        <w:tc>
          <w:tcPr>
            <w:tcW w:w="4840" w:type="dxa"/>
            <w:vAlign w:val="bottom"/>
            <w:tcBorders>
              <w:left w:val="single" w:sz="8" w:color="C0C0C0"/>
              <w:bottom w:val="single" w:sz="8" w:color="C0C0C0"/>
              <w:right w:val="single" w:sz="8" w:color="C0C0C0"/>
            </w:tcBorders>
          </w:tcPr>
          <w:p>
            <w:pPr>
              <w:ind w:left="40"/>
              <w:spacing w:after="0" w:line="255" w:lineRule="exact"/>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Name of Plan:</w:t>
            </w:r>
            <w:r>
              <w:rPr>
                <w:rFonts w:ascii="Arial" w:cs="Arial" w:eastAsia="Arial" w:hAnsi="Arial"/>
                <w:sz w:val="18"/>
                <w:szCs w:val="18"/>
                <w:color w:val="auto"/>
              </w:rPr>
              <w:t xml:space="preserve"> ] </w:t>
            </w:r>
            <w:r>
              <w:rPr>
                <w:rFonts w:ascii="Arial" w:cs="Arial" w:eastAsia="Arial" w:hAnsi="Arial"/>
                <w:sz w:val="23"/>
                <w:szCs w:val="23"/>
                <w:color w:val="auto"/>
                <w:vertAlign w:val="superscript"/>
              </w:rPr>
              <w:t>A</w:t>
            </w:r>
          </w:p>
        </w:tc>
        <w:tc>
          <w:tcPr>
            <w:tcW w:w="5660" w:type="dxa"/>
            <w:vAlign w:val="bottom"/>
            <w:tcBorders>
              <w:bottom w:val="single" w:sz="8" w:color="C0C0C0"/>
              <w:right w:val="single" w:sz="8" w:color="C0C0C0"/>
            </w:tcBorders>
          </w:tcPr>
          <w:p>
            <w:pPr>
              <w:ind w:left="20"/>
              <w:spacing w:after="0" w:line="255" w:lineRule="exact"/>
              <w:rPr>
                <w:sz w:val="20"/>
                <w:szCs w:val="20"/>
                <w:color w:val="auto"/>
              </w:rPr>
            </w:pPr>
            <w:r>
              <w:rPr>
                <w:rFonts w:ascii="Arial" w:cs="Arial" w:eastAsia="Arial" w:hAnsi="Arial"/>
                <w:sz w:val="18"/>
                <w:szCs w:val="18"/>
                <w:color w:val="auto"/>
              </w:rPr>
              <w:t>[Vita Salaried Retirement Plan]</w:t>
            </w:r>
            <w:r>
              <w:rPr>
                <w:rFonts w:ascii="Arial" w:cs="Arial" w:eastAsia="Arial" w:hAnsi="Arial"/>
                <w:sz w:val="23"/>
                <w:szCs w:val="23"/>
                <w:color w:val="auto"/>
                <w:vertAlign w:val="superscript"/>
              </w:rPr>
              <w:t>A</w:t>
            </w:r>
          </w:p>
        </w:tc>
      </w:tr>
      <w:tr>
        <w:trPr>
          <w:trHeight w:val="243"/>
        </w:trPr>
        <w:tc>
          <w:tcPr>
            <w:tcW w:w="4840" w:type="dxa"/>
            <w:vAlign w:val="bottom"/>
            <w:tcBorders>
              <w:left w:val="single" w:sz="8" w:color="C0C0C0"/>
              <w:bottom w:val="single" w:sz="8" w:color="C0C0C0"/>
              <w:right w:val="single" w:sz="8" w:color="C0C0C0"/>
            </w:tcBorders>
          </w:tcPr>
          <w:p>
            <w:pPr>
              <w:spacing w:after="0"/>
              <w:rPr>
                <w:sz w:val="21"/>
                <w:szCs w:val="21"/>
                <w:color w:val="auto"/>
              </w:rPr>
            </w:pPr>
          </w:p>
        </w:tc>
        <w:tc>
          <w:tcPr>
            <w:tcW w:w="5660" w:type="dxa"/>
            <w:vAlign w:val="bottom"/>
            <w:tcBorders>
              <w:bottom w:val="single" w:sz="8" w:color="C0C0C0"/>
              <w:right w:val="single" w:sz="8" w:color="C0C0C0"/>
            </w:tcBorders>
          </w:tcPr>
          <w:p>
            <w:pPr>
              <w:spacing w:after="0"/>
              <w:rPr>
                <w:sz w:val="21"/>
                <w:szCs w:val="21"/>
                <w:color w:val="auto"/>
              </w:rPr>
            </w:pPr>
          </w:p>
        </w:tc>
      </w:tr>
      <w:tr>
        <w:trPr>
          <w:trHeight w:val="255"/>
        </w:trPr>
        <w:tc>
          <w:tcPr>
            <w:tcW w:w="4840" w:type="dxa"/>
            <w:vAlign w:val="bottom"/>
            <w:tcBorders>
              <w:left w:val="single" w:sz="8" w:color="C0C0C0"/>
              <w:bottom w:val="single" w:sz="8" w:color="C0C0C0"/>
              <w:right w:val="single" w:sz="8" w:color="C0C0C0"/>
            </w:tcBorders>
          </w:tcPr>
          <w:p>
            <w:pPr>
              <w:ind w:left="40"/>
              <w:spacing w:after="0"/>
              <w:rPr>
                <w:sz w:val="20"/>
                <w:szCs w:val="20"/>
                <w:color w:val="auto"/>
              </w:rPr>
            </w:pPr>
            <w:r>
              <w:rPr>
                <w:rFonts w:ascii="Arial" w:cs="Arial" w:eastAsia="Arial" w:hAnsi="Arial"/>
                <w:sz w:val="18"/>
                <w:szCs w:val="18"/>
                <w:i w:val="1"/>
                <w:iCs w:val="1"/>
                <w:color w:val="auto"/>
              </w:rPr>
              <w:t>Group Annuity Contract Number:</w:t>
            </w:r>
          </w:p>
        </w:tc>
        <w:tc>
          <w:tcPr>
            <w:tcW w:w="5660" w:type="dxa"/>
            <w:vAlign w:val="bottom"/>
            <w:tcBorders>
              <w:bottom w:val="single" w:sz="8" w:color="C0C0C0"/>
              <w:right w:val="single" w:sz="8" w:color="C0C0C0"/>
            </w:tcBorders>
          </w:tcPr>
          <w:p>
            <w:pPr>
              <w:ind w:left="20"/>
              <w:spacing w:after="0" w:line="255" w:lineRule="exact"/>
              <w:rPr>
                <w:sz w:val="20"/>
                <w:szCs w:val="20"/>
                <w:color w:val="auto"/>
              </w:rPr>
            </w:pPr>
            <w:r>
              <w:rPr>
                <w:rFonts w:ascii="Arial" w:cs="Arial" w:eastAsia="Arial" w:hAnsi="Arial"/>
                <w:sz w:val="18"/>
                <w:szCs w:val="18"/>
                <w:color w:val="auto"/>
              </w:rPr>
              <w:t>[Article P of GA-300</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23"/>
                <w:szCs w:val="23"/>
                <w:b w:val="1"/>
                <w:bCs w:val="1"/>
                <w:color w:val="auto"/>
                <w:vertAlign w:val="superscript"/>
              </w:rPr>
              <w:t>A</w:t>
            </w:r>
          </w:p>
        </w:tc>
      </w:tr>
      <w:tr>
        <w:trPr>
          <w:trHeight w:val="243"/>
        </w:trPr>
        <w:tc>
          <w:tcPr>
            <w:tcW w:w="4840" w:type="dxa"/>
            <w:vAlign w:val="bottom"/>
            <w:tcBorders>
              <w:left w:val="single" w:sz="8" w:color="C0C0C0"/>
              <w:bottom w:val="single" w:sz="8" w:color="C0C0C0"/>
              <w:right w:val="single" w:sz="8" w:color="C0C0C0"/>
            </w:tcBorders>
          </w:tcPr>
          <w:p>
            <w:pPr>
              <w:spacing w:after="0"/>
              <w:rPr>
                <w:sz w:val="21"/>
                <w:szCs w:val="21"/>
                <w:color w:val="auto"/>
              </w:rPr>
            </w:pPr>
          </w:p>
        </w:tc>
        <w:tc>
          <w:tcPr>
            <w:tcW w:w="5660" w:type="dxa"/>
            <w:vAlign w:val="bottom"/>
            <w:tcBorders>
              <w:bottom w:val="single" w:sz="8" w:color="C0C0C0"/>
              <w:right w:val="single" w:sz="8" w:color="C0C0C0"/>
            </w:tcBorders>
          </w:tcPr>
          <w:p>
            <w:pPr>
              <w:spacing w:after="0"/>
              <w:rPr>
                <w:sz w:val="21"/>
                <w:szCs w:val="21"/>
                <w:color w:val="auto"/>
              </w:rPr>
            </w:pPr>
          </w:p>
        </w:tc>
      </w:tr>
      <w:tr>
        <w:trPr>
          <w:trHeight w:val="234"/>
        </w:trPr>
        <w:tc>
          <w:tcPr>
            <w:tcW w:w="4840" w:type="dxa"/>
            <w:vAlign w:val="bottom"/>
            <w:tcBorders>
              <w:left w:val="single" w:sz="8" w:color="C0C0C0"/>
              <w:right w:val="single" w:sz="8" w:color="C0C0C0"/>
            </w:tcBorders>
          </w:tcPr>
          <w:p>
            <w:pPr>
              <w:ind w:left="40"/>
              <w:spacing w:after="0"/>
              <w:rPr>
                <w:sz w:val="20"/>
                <w:szCs w:val="20"/>
                <w:color w:val="auto"/>
              </w:rPr>
            </w:pPr>
            <w:r>
              <w:rPr>
                <w:rFonts w:ascii="Arial" w:cs="Arial" w:eastAsia="Arial" w:hAnsi="Arial"/>
                <w:sz w:val="18"/>
                <w:szCs w:val="18"/>
                <w:i w:val="1"/>
                <w:iCs w:val="1"/>
                <w:color w:val="auto"/>
              </w:rPr>
              <w:t>Form of Annuity:</w:t>
            </w:r>
          </w:p>
        </w:tc>
        <w:tc>
          <w:tcPr>
            <w:tcW w:w="5660" w:type="dxa"/>
            <w:vAlign w:val="bottom"/>
            <w:tcBorders>
              <w:right w:val="single" w:sz="8" w:color="C0C0C0"/>
            </w:tcBorders>
          </w:tcPr>
          <w:p>
            <w:pPr>
              <w:ind w:left="20"/>
              <w:spacing w:after="0"/>
              <w:rPr>
                <w:sz w:val="20"/>
                <w:szCs w:val="20"/>
                <w:color w:val="auto"/>
              </w:rPr>
            </w:pPr>
            <w:r>
              <w:rPr>
                <w:rFonts w:ascii="Arial" w:cs="Arial" w:eastAsia="Arial" w:hAnsi="Arial"/>
                <w:sz w:val="18"/>
                <w:szCs w:val="18"/>
                <w:color w:val="auto"/>
              </w:rPr>
              <w:t>Period Certain Annuity</w:t>
            </w:r>
          </w:p>
        </w:tc>
      </w:tr>
      <w:tr>
        <w:trPr>
          <w:trHeight w:val="21"/>
        </w:trPr>
        <w:tc>
          <w:tcPr>
            <w:tcW w:w="4840" w:type="dxa"/>
            <w:vAlign w:val="bottom"/>
            <w:tcBorders>
              <w:left w:val="single" w:sz="8" w:color="C0C0C0"/>
              <w:bottom w:val="single" w:sz="8" w:color="C0C0C0"/>
              <w:right w:val="single" w:sz="8" w:color="C0C0C0"/>
            </w:tcBorders>
          </w:tcPr>
          <w:p>
            <w:pPr>
              <w:spacing w:after="0" w:line="20" w:lineRule="exact"/>
              <w:rPr>
                <w:sz w:val="1"/>
                <w:szCs w:val="1"/>
                <w:color w:val="auto"/>
              </w:rPr>
            </w:pPr>
          </w:p>
        </w:tc>
        <w:tc>
          <w:tcPr>
            <w:tcW w:w="5660" w:type="dxa"/>
            <w:vAlign w:val="bottom"/>
            <w:tcBorders>
              <w:bottom w:val="single" w:sz="8" w:color="C0C0C0"/>
              <w:right w:val="single" w:sz="8" w:color="C0C0C0"/>
            </w:tcBorders>
          </w:tcPr>
          <w:p>
            <w:pPr>
              <w:spacing w:after="0" w:line="20" w:lineRule="exact"/>
              <w:rPr>
                <w:sz w:val="1"/>
                <w:szCs w:val="1"/>
                <w:color w:val="auto"/>
              </w:rPr>
            </w:pPr>
          </w:p>
        </w:tc>
      </w:tr>
      <w:tr>
        <w:trPr>
          <w:trHeight w:val="243"/>
        </w:trPr>
        <w:tc>
          <w:tcPr>
            <w:tcW w:w="4840" w:type="dxa"/>
            <w:vAlign w:val="bottom"/>
            <w:tcBorders>
              <w:left w:val="single" w:sz="8" w:color="C0C0C0"/>
              <w:bottom w:val="single" w:sz="8" w:color="C0C0C0"/>
              <w:right w:val="single" w:sz="8" w:color="C0C0C0"/>
            </w:tcBorders>
          </w:tcPr>
          <w:p>
            <w:pPr>
              <w:spacing w:after="0"/>
              <w:rPr>
                <w:sz w:val="21"/>
                <w:szCs w:val="21"/>
                <w:color w:val="auto"/>
              </w:rPr>
            </w:pPr>
          </w:p>
        </w:tc>
        <w:tc>
          <w:tcPr>
            <w:tcW w:w="5660" w:type="dxa"/>
            <w:vAlign w:val="bottom"/>
            <w:tcBorders>
              <w:bottom w:val="single" w:sz="8" w:color="C0C0C0"/>
              <w:right w:val="single" w:sz="8" w:color="C0C0C0"/>
            </w:tcBorders>
          </w:tcPr>
          <w:p>
            <w:pPr>
              <w:spacing w:after="0"/>
              <w:rPr>
                <w:sz w:val="21"/>
                <w:szCs w:val="21"/>
                <w:color w:val="auto"/>
              </w:rPr>
            </w:pPr>
          </w:p>
        </w:tc>
      </w:tr>
      <w:tr>
        <w:trPr>
          <w:trHeight w:val="255"/>
        </w:trPr>
        <w:tc>
          <w:tcPr>
            <w:tcW w:w="4840" w:type="dxa"/>
            <w:vAlign w:val="bottom"/>
            <w:tcBorders>
              <w:left w:val="single" w:sz="8" w:color="C0C0C0"/>
              <w:bottom w:val="single" w:sz="8" w:color="C0C0C0"/>
              <w:right w:val="single" w:sz="8" w:color="C0C0C0"/>
            </w:tcBorders>
          </w:tcPr>
          <w:p>
            <w:pPr>
              <w:ind w:left="40"/>
              <w:spacing w:after="0"/>
              <w:rPr>
                <w:sz w:val="20"/>
                <w:szCs w:val="20"/>
                <w:color w:val="auto"/>
              </w:rPr>
            </w:pPr>
            <w:r>
              <w:rPr>
                <w:rFonts w:ascii="Arial" w:cs="Arial" w:eastAsia="Arial" w:hAnsi="Arial"/>
                <w:sz w:val="18"/>
                <w:szCs w:val="18"/>
                <w:i w:val="1"/>
                <w:iCs w:val="1"/>
                <w:color w:val="auto"/>
              </w:rPr>
              <w:t>Annuity Commencement Date:</w:t>
            </w:r>
          </w:p>
        </w:tc>
        <w:tc>
          <w:tcPr>
            <w:tcW w:w="5660" w:type="dxa"/>
            <w:vAlign w:val="bottom"/>
            <w:tcBorders>
              <w:bottom w:val="single" w:sz="8" w:color="C0C0C0"/>
              <w:right w:val="single" w:sz="8" w:color="C0C0C0"/>
            </w:tcBorders>
          </w:tcPr>
          <w:p>
            <w:pPr>
              <w:ind w:left="20"/>
              <w:spacing w:after="0" w:line="255" w:lineRule="exact"/>
              <w:rPr>
                <w:sz w:val="20"/>
                <w:szCs w:val="20"/>
                <w:color w:val="auto"/>
              </w:rPr>
            </w:pPr>
            <w:r>
              <w:rPr>
                <w:rFonts w:ascii="Arial" w:cs="Arial" w:eastAsia="Arial" w:hAnsi="Arial"/>
                <w:sz w:val="18"/>
                <w:szCs w:val="18"/>
                <w:color w:val="auto"/>
              </w:rPr>
              <w:t>[Date</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23"/>
                <w:szCs w:val="23"/>
                <w:b w:val="1"/>
                <w:bCs w:val="1"/>
                <w:color w:val="auto"/>
                <w:vertAlign w:val="superscript"/>
              </w:rPr>
              <w:t>A</w:t>
            </w:r>
          </w:p>
        </w:tc>
      </w:tr>
      <w:tr>
        <w:trPr>
          <w:trHeight w:val="243"/>
        </w:trPr>
        <w:tc>
          <w:tcPr>
            <w:tcW w:w="4840" w:type="dxa"/>
            <w:vAlign w:val="bottom"/>
            <w:tcBorders>
              <w:left w:val="single" w:sz="8" w:color="C0C0C0"/>
              <w:bottom w:val="single" w:sz="8" w:color="C0C0C0"/>
              <w:right w:val="single" w:sz="8" w:color="C0C0C0"/>
            </w:tcBorders>
          </w:tcPr>
          <w:p>
            <w:pPr>
              <w:spacing w:after="0"/>
              <w:rPr>
                <w:sz w:val="21"/>
                <w:szCs w:val="21"/>
                <w:color w:val="auto"/>
              </w:rPr>
            </w:pPr>
          </w:p>
        </w:tc>
        <w:tc>
          <w:tcPr>
            <w:tcW w:w="5660" w:type="dxa"/>
            <w:vAlign w:val="bottom"/>
            <w:tcBorders>
              <w:bottom w:val="single" w:sz="8" w:color="C0C0C0"/>
              <w:right w:val="single" w:sz="8" w:color="C0C0C0"/>
            </w:tcBorders>
          </w:tcPr>
          <w:p>
            <w:pPr>
              <w:spacing w:after="0"/>
              <w:rPr>
                <w:sz w:val="21"/>
                <w:szCs w:val="21"/>
                <w:color w:val="auto"/>
              </w:rPr>
            </w:pPr>
          </w:p>
        </w:tc>
      </w:tr>
      <w:tr>
        <w:trPr>
          <w:trHeight w:val="255"/>
        </w:trPr>
        <w:tc>
          <w:tcPr>
            <w:tcW w:w="4840" w:type="dxa"/>
            <w:vAlign w:val="bottom"/>
            <w:tcBorders>
              <w:left w:val="single" w:sz="8" w:color="C0C0C0"/>
              <w:bottom w:val="single" w:sz="8" w:color="C0C0C0"/>
              <w:right w:val="single" w:sz="8" w:color="C0C0C0"/>
            </w:tcBorders>
          </w:tcPr>
          <w:p>
            <w:pPr>
              <w:ind w:left="40"/>
              <w:spacing w:after="0" w:line="255" w:lineRule="exact"/>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Original Retirement Date:</w:t>
            </w:r>
            <w:r>
              <w:rPr>
                <w:rFonts w:ascii="Arial" w:cs="Arial" w:eastAsia="Arial" w:hAnsi="Arial"/>
                <w:sz w:val="18"/>
                <w:szCs w:val="18"/>
                <w:color w:val="auto"/>
              </w:rPr>
              <w:t xml:space="preserve"> ] </w:t>
            </w:r>
            <w:r>
              <w:rPr>
                <w:rFonts w:ascii="Arial" w:cs="Arial" w:eastAsia="Arial" w:hAnsi="Arial"/>
                <w:sz w:val="23"/>
                <w:szCs w:val="23"/>
                <w:color w:val="auto"/>
                <w:vertAlign w:val="superscript"/>
              </w:rPr>
              <w:t>A</w:t>
            </w:r>
          </w:p>
        </w:tc>
        <w:tc>
          <w:tcPr>
            <w:tcW w:w="5660" w:type="dxa"/>
            <w:vAlign w:val="bottom"/>
            <w:tcBorders>
              <w:bottom w:val="single" w:sz="8" w:color="C0C0C0"/>
              <w:right w:val="single" w:sz="8" w:color="C0C0C0"/>
            </w:tcBorders>
          </w:tcPr>
          <w:p>
            <w:pPr>
              <w:ind w:left="20"/>
              <w:spacing w:after="0" w:line="255" w:lineRule="exact"/>
              <w:rPr>
                <w:sz w:val="20"/>
                <w:szCs w:val="20"/>
                <w:color w:val="auto"/>
              </w:rPr>
            </w:pPr>
            <w:r>
              <w:rPr>
                <w:rFonts w:ascii="Arial" w:cs="Arial" w:eastAsia="Arial" w:hAnsi="Arial"/>
                <w:sz w:val="18"/>
                <w:szCs w:val="18"/>
                <w:color w:val="auto"/>
              </w:rPr>
              <w:t>[Date</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23"/>
                <w:szCs w:val="23"/>
                <w:b w:val="1"/>
                <w:bCs w:val="1"/>
                <w:color w:val="auto"/>
                <w:vertAlign w:val="superscript"/>
              </w:rPr>
              <w:t>A</w:t>
            </w:r>
          </w:p>
        </w:tc>
      </w:tr>
      <w:tr>
        <w:trPr>
          <w:trHeight w:val="243"/>
        </w:trPr>
        <w:tc>
          <w:tcPr>
            <w:tcW w:w="4840" w:type="dxa"/>
            <w:vAlign w:val="bottom"/>
            <w:tcBorders>
              <w:left w:val="single" w:sz="8" w:color="C0C0C0"/>
              <w:bottom w:val="single" w:sz="8" w:color="C0C0C0"/>
              <w:right w:val="single" w:sz="8" w:color="C0C0C0"/>
            </w:tcBorders>
          </w:tcPr>
          <w:p>
            <w:pPr>
              <w:spacing w:after="0"/>
              <w:rPr>
                <w:sz w:val="21"/>
                <w:szCs w:val="21"/>
                <w:color w:val="auto"/>
              </w:rPr>
            </w:pPr>
          </w:p>
        </w:tc>
        <w:tc>
          <w:tcPr>
            <w:tcW w:w="5660" w:type="dxa"/>
            <w:vAlign w:val="bottom"/>
            <w:tcBorders>
              <w:bottom w:val="single" w:sz="8" w:color="C0C0C0"/>
              <w:right w:val="single" w:sz="8" w:color="C0C0C0"/>
            </w:tcBorders>
          </w:tcPr>
          <w:p>
            <w:pPr>
              <w:spacing w:after="0"/>
              <w:rPr>
                <w:sz w:val="21"/>
                <w:szCs w:val="21"/>
                <w:color w:val="auto"/>
              </w:rPr>
            </w:pPr>
          </w:p>
        </w:tc>
      </w:tr>
      <w:tr>
        <w:trPr>
          <w:trHeight w:val="280"/>
        </w:trPr>
        <w:tc>
          <w:tcPr>
            <w:tcW w:w="4840" w:type="dxa"/>
            <w:vAlign w:val="bottom"/>
            <w:tcBorders>
              <w:left w:val="single" w:sz="8" w:color="C0C0C0"/>
              <w:bottom w:val="single" w:sz="8" w:color="C0C0C0"/>
              <w:right w:val="single" w:sz="8" w:color="C0C0C0"/>
            </w:tcBorders>
          </w:tcPr>
          <w:p>
            <w:pPr>
              <w:ind w:left="40"/>
              <w:spacing w:after="0"/>
              <w:rPr>
                <w:sz w:val="20"/>
                <w:szCs w:val="20"/>
                <w:color w:val="auto"/>
              </w:rPr>
            </w:pPr>
            <w:r>
              <w:rPr>
                <w:rFonts w:ascii="Arial" w:cs="Arial" w:eastAsia="Arial" w:hAnsi="Arial"/>
                <w:sz w:val="18"/>
                <w:szCs w:val="18"/>
                <w:i w:val="1"/>
                <w:iCs w:val="1"/>
                <w:color w:val="auto"/>
              </w:rPr>
              <w:t>Covered Life Amount:</w:t>
            </w:r>
          </w:p>
        </w:tc>
        <w:tc>
          <w:tcPr>
            <w:tcW w:w="5660" w:type="dxa"/>
            <w:vAlign w:val="bottom"/>
            <w:tcBorders>
              <w:bottom w:val="single" w:sz="8" w:color="C0C0C0"/>
              <w:right w:val="single" w:sz="8" w:color="C0C0C0"/>
            </w:tcBorders>
          </w:tcPr>
          <w:p>
            <w:pPr>
              <w:ind w:left="20"/>
              <w:spacing w:after="0"/>
              <w:rPr>
                <w:sz w:val="20"/>
                <w:szCs w:val="20"/>
                <w:color w:val="auto"/>
              </w:rPr>
            </w:pPr>
            <w:r>
              <w:rPr>
                <w:rFonts w:ascii="Arial" w:cs="Arial" w:eastAsia="Arial" w:hAnsi="Arial"/>
                <w:sz w:val="18"/>
                <w:szCs w:val="18"/>
                <w:color w:val="auto"/>
              </w:rPr>
              <w:t xml:space="preserve">[$XXX.XX subject to stated limitations] </w:t>
            </w:r>
            <w:r>
              <w:rPr>
                <w:rFonts w:ascii="Arial" w:cs="Arial" w:eastAsia="Arial" w:hAnsi="Arial"/>
                <w:sz w:val="23"/>
                <w:szCs w:val="23"/>
                <w:color w:val="auto"/>
                <w:vertAlign w:val="superscript"/>
              </w:rPr>
              <w:t>A</w:t>
            </w:r>
          </w:p>
        </w:tc>
      </w:tr>
      <w:tr>
        <w:trPr>
          <w:trHeight w:val="243"/>
        </w:trPr>
        <w:tc>
          <w:tcPr>
            <w:tcW w:w="4840" w:type="dxa"/>
            <w:vAlign w:val="bottom"/>
            <w:tcBorders>
              <w:left w:val="single" w:sz="8" w:color="C0C0C0"/>
              <w:bottom w:val="single" w:sz="8" w:color="C0C0C0"/>
              <w:right w:val="single" w:sz="8" w:color="C0C0C0"/>
            </w:tcBorders>
          </w:tcPr>
          <w:p>
            <w:pPr>
              <w:spacing w:after="0"/>
              <w:rPr>
                <w:sz w:val="21"/>
                <w:szCs w:val="21"/>
                <w:color w:val="auto"/>
              </w:rPr>
            </w:pPr>
          </w:p>
        </w:tc>
        <w:tc>
          <w:tcPr>
            <w:tcW w:w="5660" w:type="dxa"/>
            <w:vAlign w:val="bottom"/>
            <w:tcBorders>
              <w:bottom w:val="single" w:sz="8" w:color="C0C0C0"/>
              <w:right w:val="single" w:sz="8" w:color="C0C0C0"/>
            </w:tcBorders>
          </w:tcPr>
          <w:p>
            <w:pPr>
              <w:spacing w:after="0"/>
              <w:rPr>
                <w:sz w:val="21"/>
                <w:szCs w:val="21"/>
                <w:color w:val="auto"/>
              </w:rPr>
            </w:pPr>
          </w:p>
        </w:tc>
      </w:tr>
      <w:tr>
        <w:trPr>
          <w:trHeight w:val="255"/>
        </w:trPr>
        <w:tc>
          <w:tcPr>
            <w:tcW w:w="4840" w:type="dxa"/>
            <w:vAlign w:val="bottom"/>
            <w:tcBorders>
              <w:left w:val="single" w:sz="8" w:color="C0C0C0"/>
              <w:bottom w:val="single" w:sz="8" w:color="C0C0C0"/>
              <w:right w:val="single" w:sz="8" w:color="C0C0C0"/>
            </w:tcBorders>
          </w:tcPr>
          <w:p>
            <w:pPr>
              <w:ind w:left="40"/>
              <w:spacing w:after="0"/>
              <w:rPr>
                <w:sz w:val="20"/>
                <w:szCs w:val="20"/>
                <w:color w:val="auto"/>
              </w:rPr>
            </w:pPr>
            <w:r>
              <w:rPr>
                <w:rFonts w:ascii="Arial" w:cs="Arial" w:eastAsia="Arial" w:hAnsi="Arial"/>
                <w:sz w:val="18"/>
                <w:szCs w:val="18"/>
                <w:i w:val="1"/>
                <w:iCs w:val="1"/>
                <w:color w:val="auto"/>
              </w:rPr>
              <w:t>Guaranteed Number of Payments</w:t>
            </w:r>
          </w:p>
        </w:tc>
        <w:tc>
          <w:tcPr>
            <w:tcW w:w="5660" w:type="dxa"/>
            <w:vAlign w:val="bottom"/>
            <w:tcBorders>
              <w:bottom w:val="single" w:sz="8" w:color="C0C0C0"/>
              <w:right w:val="single" w:sz="8" w:color="C0C0C0"/>
            </w:tcBorders>
          </w:tcPr>
          <w:p>
            <w:pPr>
              <w:ind w:left="20"/>
              <w:spacing w:after="0" w:line="255" w:lineRule="exact"/>
              <w:rPr>
                <w:sz w:val="20"/>
                <w:szCs w:val="20"/>
                <w:color w:val="auto"/>
              </w:rPr>
            </w:pPr>
            <w:r>
              <w:rPr>
                <w:rFonts w:ascii="Arial" w:cs="Arial" w:eastAsia="Arial" w:hAnsi="Arial"/>
                <w:sz w:val="18"/>
                <w:szCs w:val="18"/>
                <w:color w:val="auto"/>
              </w:rPr>
              <w:t xml:space="preserve">[#] </w:t>
            </w:r>
            <w:r>
              <w:rPr>
                <w:rFonts w:ascii="Arial" w:cs="Arial" w:eastAsia="Arial" w:hAnsi="Arial"/>
                <w:sz w:val="23"/>
                <w:szCs w:val="23"/>
                <w:color w:val="auto"/>
                <w:vertAlign w:val="superscript"/>
              </w:rPr>
              <w:t>A</w:t>
            </w:r>
          </w:p>
        </w:tc>
      </w:tr>
      <w:tr>
        <w:trPr>
          <w:trHeight w:val="243"/>
        </w:trPr>
        <w:tc>
          <w:tcPr>
            <w:tcW w:w="4840" w:type="dxa"/>
            <w:vAlign w:val="bottom"/>
            <w:tcBorders>
              <w:left w:val="single" w:sz="8" w:color="C0C0C0"/>
              <w:bottom w:val="single" w:sz="8" w:color="C0C0C0"/>
              <w:right w:val="single" w:sz="8" w:color="C0C0C0"/>
            </w:tcBorders>
          </w:tcPr>
          <w:p>
            <w:pPr>
              <w:spacing w:after="0"/>
              <w:rPr>
                <w:sz w:val="21"/>
                <w:szCs w:val="21"/>
                <w:color w:val="auto"/>
              </w:rPr>
            </w:pPr>
          </w:p>
        </w:tc>
        <w:tc>
          <w:tcPr>
            <w:tcW w:w="5660" w:type="dxa"/>
            <w:vAlign w:val="bottom"/>
            <w:tcBorders>
              <w:bottom w:val="single" w:sz="8" w:color="C0C0C0"/>
              <w:right w:val="single" w:sz="8" w:color="C0C0C0"/>
            </w:tcBorders>
          </w:tcPr>
          <w:p>
            <w:pPr>
              <w:spacing w:after="0"/>
              <w:rPr>
                <w:sz w:val="21"/>
                <w:szCs w:val="21"/>
                <w:color w:val="auto"/>
              </w:rPr>
            </w:pPr>
          </w:p>
        </w:tc>
      </w:tr>
      <w:tr>
        <w:trPr>
          <w:trHeight w:val="255"/>
        </w:trPr>
        <w:tc>
          <w:tcPr>
            <w:tcW w:w="4840" w:type="dxa"/>
            <w:vAlign w:val="bottom"/>
            <w:tcBorders>
              <w:left w:val="single" w:sz="8" w:color="C0C0C0"/>
              <w:bottom w:val="single" w:sz="8" w:color="C0C0C0"/>
              <w:right w:val="single" w:sz="8" w:color="C0C0C0"/>
            </w:tcBorders>
          </w:tcPr>
          <w:p>
            <w:pPr>
              <w:ind w:left="40"/>
              <w:spacing w:after="0"/>
              <w:rPr>
                <w:sz w:val="20"/>
                <w:szCs w:val="20"/>
                <w:color w:val="auto"/>
              </w:rPr>
            </w:pPr>
            <w:r>
              <w:rPr>
                <w:rFonts w:ascii="Arial" w:cs="Arial" w:eastAsia="Arial" w:hAnsi="Arial"/>
                <w:sz w:val="18"/>
                <w:szCs w:val="18"/>
                <w:i w:val="1"/>
                <w:iCs w:val="1"/>
                <w:color w:val="auto"/>
              </w:rPr>
              <w:t>Beneficiary(ies):</w:t>
            </w:r>
          </w:p>
        </w:tc>
        <w:tc>
          <w:tcPr>
            <w:tcW w:w="5660" w:type="dxa"/>
            <w:vAlign w:val="bottom"/>
            <w:tcBorders>
              <w:bottom w:val="single" w:sz="8" w:color="C0C0C0"/>
              <w:right w:val="single" w:sz="8" w:color="C0C0C0"/>
            </w:tcBorders>
          </w:tcPr>
          <w:p>
            <w:pPr>
              <w:ind w:left="20"/>
              <w:spacing w:after="0" w:line="255" w:lineRule="exact"/>
              <w:rPr>
                <w:sz w:val="20"/>
                <w:szCs w:val="20"/>
                <w:color w:val="auto"/>
              </w:rPr>
            </w:pPr>
            <w:r>
              <w:rPr>
                <w:rFonts w:ascii="Arial" w:cs="Arial" w:eastAsia="Arial" w:hAnsi="Arial"/>
                <w:sz w:val="18"/>
                <w:szCs w:val="18"/>
                <w:color w:val="auto"/>
              </w:rPr>
              <w:t>[Name(s)/As shown on Prudential's records</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23"/>
                <w:szCs w:val="23"/>
                <w:b w:val="1"/>
                <w:bCs w:val="1"/>
                <w:color w:val="auto"/>
                <w:vertAlign w:val="superscript"/>
              </w:rPr>
              <w:t>A</w:t>
            </w:r>
            <w:r>
              <w:rPr>
                <w:rFonts w:ascii="Arial" w:cs="Arial" w:eastAsia="Arial" w:hAnsi="Arial"/>
                <w:sz w:val="18"/>
                <w:szCs w:val="18"/>
                <w:color w:val="auto"/>
              </w:rPr>
              <w:t xml:space="preserve"> [Shares(s)</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23"/>
                <w:szCs w:val="23"/>
                <w:b w:val="1"/>
                <w:bCs w:val="1"/>
                <w:color w:val="auto"/>
                <w:vertAlign w:val="superscript"/>
              </w:rPr>
              <w:t>A</w:t>
            </w:r>
          </w:p>
        </w:tc>
      </w:tr>
      <w:tr>
        <w:trPr>
          <w:trHeight w:val="243"/>
        </w:trPr>
        <w:tc>
          <w:tcPr>
            <w:tcW w:w="4840" w:type="dxa"/>
            <w:vAlign w:val="bottom"/>
            <w:tcBorders>
              <w:left w:val="single" w:sz="8" w:color="C0C0C0"/>
              <w:bottom w:val="single" w:sz="8" w:color="C0C0C0"/>
              <w:right w:val="single" w:sz="8" w:color="C0C0C0"/>
            </w:tcBorders>
          </w:tcPr>
          <w:p>
            <w:pPr>
              <w:spacing w:after="0"/>
              <w:rPr>
                <w:sz w:val="21"/>
                <w:szCs w:val="21"/>
                <w:color w:val="auto"/>
              </w:rPr>
            </w:pPr>
          </w:p>
        </w:tc>
        <w:tc>
          <w:tcPr>
            <w:tcW w:w="5660" w:type="dxa"/>
            <w:vAlign w:val="bottom"/>
            <w:tcBorders>
              <w:bottom w:val="single" w:sz="8" w:color="C0C0C0"/>
              <w:right w:val="single" w:sz="8" w:color="C0C0C0"/>
            </w:tcBorders>
          </w:tcPr>
          <w:p>
            <w:pPr>
              <w:spacing w:after="0"/>
              <w:rPr>
                <w:sz w:val="21"/>
                <w:szCs w:val="21"/>
                <w:color w:val="auto"/>
              </w:rPr>
            </w:pPr>
          </w:p>
        </w:tc>
      </w:tr>
    </w:tbl>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benefits of the policy providing your coverage are governed primarily by the law of a state other than Florida.]</w:t>
      </w:r>
      <w:r>
        <w:rPr>
          <w:rFonts w:ascii="Arial" w:cs="Arial" w:eastAsia="Arial" w:hAnsi="Arial"/>
          <w:sz w:val="26"/>
          <w:szCs w:val="26"/>
          <w:b w:val="1"/>
          <w:bCs w:val="1"/>
          <w:color w:val="auto"/>
          <w:vertAlign w:val="superscript"/>
        </w:rPr>
        <w:t>B</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Prudential's Guarantee:</w:t>
      </w:r>
    </w:p>
    <w:p>
      <w:pPr>
        <w:spacing w:after="0" w:line="205" w:lineRule="exact"/>
        <w:rPr>
          <w:sz w:val="20"/>
          <w:szCs w:val="20"/>
          <w:color w:val="auto"/>
        </w:rPr>
      </w:pPr>
    </w:p>
    <w:p>
      <w:pPr>
        <w:jc w:val="both"/>
        <w:spacing w:after="0" w:line="303" w:lineRule="auto"/>
        <w:rPr>
          <w:sz w:val="20"/>
          <w:szCs w:val="20"/>
          <w:color w:val="auto"/>
        </w:rPr>
      </w:pPr>
      <w:r>
        <w:rPr>
          <w:rFonts w:ascii="Arial" w:cs="Arial" w:eastAsia="Arial" w:hAnsi="Arial"/>
          <w:sz w:val="16"/>
          <w:szCs w:val="16"/>
          <w:color w:val="auto"/>
        </w:rPr>
        <w:t>This Certificate describes the monthly payments irrevocably guaranteed to you by The Prudential Insurance Company of America ("</w:t>
      </w:r>
      <w:r>
        <w:rPr>
          <w:rFonts w:ascii="Arial" w:cs="Arial" w:eastAsia="Arial" w:hAnsi="Arial"/>
          <w:sz w:val="16"/>
          <w:szCs w:val="16"/>
          <w:b w:val="1"/>
          <w:bCs w:val="1"/>
          <w:color w:val="auto"/>
        </w:rPr>
        <w:t>Prudential</w:t>
      </w:r>
      <w:r>
        <w:rPr>
          <w:rFonts w:ascii="Arial" w:cs="Arial" w:eastAsia="Arial" w:hAnsi="Arial"/>
          <w:sz w:val="16"/>
          <w:szCs w:val="16"/>
          <w:color w:val="auto"/>
        </w:rPr>
        <w:t>") under the Group Annuity Contract referred to above (the "</w:t>
      </w:r>
      <w:r>
        <w:rPr>
          <w:rFonts w:ascii="Arial" w:cs="Arial" w:eastAsia="Arial" w:hAnsi="Arial"/>
          <w:sz w:val="16"/>
          <w:szCs w:val="16"/>
          <w:b w:val="1"/>
          <w:bCs w:val="1"/>
          <w:color w:val="auto"/>
        </w:rPr>
        <w:t>Contract</w:t>
      </w:r>
      <w:r>
        <w:rPr>
          <w:rFonts w:ascii="Arial" w:cs="Arial" w:eastAsia="Arial" w:hAnsi="Arial"/>
          <w:sz w:val="16"/>
          <w:szCs w:val="16"/>
          <w:color w:val="auto"/>
        </w:rPr>
        <w:t>"). Prudential will make the payments owed by it under the Contract when those payments are due.</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Definitions &amp; References:</w:t>
      </w:r>
    </w:p>
    <w:p>
      <w:pPr>
        <w:spacing w:after="0" w:line="205"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Capitalized terms in this Certificate, which are in italics, are defined on the front of this Certificate. Those in bold are defined in other parts of this Certificate. “</w:t>
      </w:r>
      <w:r>
        <w:rPr>
          <w:rFonts w:ascii="Arial" w:cs="Arial" w:eastAsia="Arial" w:hAnsi="Arial"/>
          <w:sz w:val="17"/>
          <w:szCs w:val="17"/>
          <w:b w:val="1"/>
          <w:bCs w:val="1"/>
          <w:color w:val="auto"/>
        </w:rPr>
        <w:t>You</w:t>
      </w:r>
      <w:r>
        <w:rPr>
          <w:rFonts w:ascii="Arial" w:cs="Arial" w:eastAsia="Arial" w:hAnsi="Arial"/>
          <w:sz w:val="17"/>
          <w:szCs w:val="17"/>
          <w:color w:val="auto"/>
        </w:rPr>
        <w:t>” and “</w:t>
      </w:r>
      <w:r>
        <w:rPr>
          <w:rFonts w:ascii="Arial" w:cs="Arial" w:eastAsia="Arial" w:hAnsi="Arial"/>
          <w:sz w:val="17"/>
          <w:szCs w:val="17"/>
          <w:b w:val="1"/>
          <w:bCs w:val="1"/>
          <w:color w:val="auto"/>
        </w:rPr>
        <w:t>your</w:t>
      </w:r>
      <w:r>
        <w:rPr>
          <w:rFonts w:ascii="Arial" w:cs="Arial" w:eastAsia="Arial" w:hAnsi="Arial"/>
          <w:sz w:val="17"/>
          <w:szCs w:val="17"/>
          <w:color w:val="auto"/>
        </w:rPr>
        <w:t xml:space="preserve">” means the </w:t>
      </w:r>
      <w:r>
        <w:rPr>
          <w:rFonts w:ascii="Arial" w:cs="Arial" w:eastAsia="Arial" w:hAnsi="Arial"/>
          <w:sz w:val="17"/>
          <w:szCs w:val="17"/>
          <w:i w:val="1"/>
          <w:iCs w:val="1"/>
          <w:color w:val="auto"/>
        </w:rPr>
        <w:t>"Covered Life."</w:t>
      </w:r>
      <w:r>
        <w:rPr>
          <w:rFonts w:ascii="Arial" w:cs="Arial" w:eastAsia="Arial" w:hAnsi="Arial"/>
          <w:sz w:val="17"/>
          <w:szCs w:val="17"/>
          <w:color w:val="auto"/>
        </w:rPr>
        <w:t xml:space="preserve"> "</w:t>
      </w:r>
      <w:r>
        <w:rPr>
          <w:rFonts w:ascii="Arial" w:cs="Arial" w:eastAsia="Arial" w:hAnsi="Arial"/>
          <w:sz w:val="17"/>
          <w:szCs w:val="17"/>
          <w:b w:val="1"/>
          <w:bCs w:val="1"/>
          <w:color w:val="auto"/>
        </w:rPr>
        <w:t>We</w:t>
      </w:r>
      <w:r>
        <w:rPr>
          <w:rFonts w:ascii="Arial" w:cs="Arial" w:eastAsia="Arial" w:hAnsi="Arial"/>
          <w:sz w:val="17"/>
          <w:szCs w:val="17"/>
          <w:color w:val="auto"/>
        </w:rPr>
        <w:t>," "</w:t>
      </w:r>
      <w:r>
        <w:rPr>
          <w:rFonts w:ascii="Arial" w:cs="Arial" w:eastAsia="Arial" w:hAnsi="Arial"/>
          <w:sz w:val="17"/>
          <w:szCs w:val="17"/>
          <w:b w:val="1"/>
          <w:bCs w:val="1"/>
          <w:color w:val="auto"/>
        </w:rPr>
        <w:t>us</w:t>
      </w:r>
      <w:r>
        <w:rPr>
          <w:rFonts w:ascii="Arial" w:cs="Arial" w:eastAsia="Arial" w:hAnsi="Arial"/>
          <w:sz w:val="17"/>
          <w:szCs w:val="17"/>
          <w:color w:val="auto"/>
        </w:rPr>
        <w:t>" and "</w:t>
      </w:r>
      <w:r>
        <w:rPr>
          <w:rFonts w:ascii="Arial" w:cs="Arial" w:eastAsia="Arial" w:hAnsi="Arial"/>
          <w:sz w:val="17"/>
          <w:szCs w:val="17"/>
          <w:b w:val="1"/>
          <w:bCs w:val="1"/>
          <w:color w:val="auto"/>
        </w:rPr>
        <w:t>our</w:t>
      </w:r>
      <w:r>
        <w:rPr>
          <w:rFonts w:ascii="Arial" w:cs="Arial" w:eastAsia="Arial" w:hAnsi="Arial"/>
          <w:sz w:val="17"/>
          <w:szCs w:val="17"/>
          <w:color w:val="auto"/>
        </w:rPr>
        <w:t>" means Prudential. "</w:t>
      </w:r>
      <w:r>
        <w:rPr>
          <w:rFonts w:ascii="Arial" w:cs="Arial" w:eastAsia="Arial" w:hAnsi="Arial"/>
          <w:sz w:val="17"/>
          <w:szCs w:val="17"/>
          <w:b w:val="1"/>
          <w:bCs w:val="1"/>
          <w:color w:val="auto"/>
        </w:rPr>
        <w:t>Payee</w:t>
      </w:r>
      <w:r>
        <w:rPr>
          <w:rFonts w:ascii="Arial" w:cs="Arial" w:eastAsia="Arial" w:hAnsi="Arial"/>
          <w:sz w:val="17"/>
          <w:szCs w:val="17"/>
          <w:color w:val="auto"/>
        </w:rPr>
        <w:t>" means the Covered Life and anyone else with an existing or future right to receive payments under this Annuity, but no Payee (other than the Covered Life) may make any changes or exercise any rights until the Payee has begun receiving payments. “</w:t>
      </w:r>
      <w:r>
        <w:rPr>
          <w:rFonts w:ascii="Arial" w:cs="Arial" w:eastAsia="Arial" w:hAnsi="Arial"/>
          <w:sz w:val="17"/>
          <w:szCs w:val="17"/>
          <w:b w:val="1"/>
          <w:bCs w:val="1"/>
          <w:color w:val="auto"/>
        </w:rPr>
        <w:t>Representative</w:t>
      </w:r>
      <w:r>
        <w:rPr>
          <w:rFonts w:ascii="Arial" w:cs="Arial" w:eastAsia="Arial" w:hAnsi="Arial"/>
          <w:sz w:val="17"/>
          <w:szCs w:val="17"/>
          <w:color w:val="auto"/>
        </w:rPr>
        <w:t>” means, with respect to a Payee, an individual or entity that has been duly appointed in accordance with the Contract to represent the Payee, such as a guardian.</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Payment Terms:</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“Period Certain Annuity,” is the Annuity Form having the payment terms specified in this Payment Terms section.</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General Payment Terms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Appendix 1.3 - 25</w:t>
      </w:r>
    </w:p>
    <w:p>
      <w:pPr>
        <w:sectPr>
          <w:pgSz w:w="11900" w:h="16838" w:orient="portrait"/>
          <w:cols w:equalWidth="0" w:num="1">
            <w:col w:w="11420"/>
          </w:cols>
          <w:pgMar w:left="240" w:top="670" w:right="239" w:bottom="1440" w:gutter="0" w:footer="0" w:header="0"/>
        </w:sectPr>
      </w:pPr>
    </w:p>
    <w:bookmarkStart w:id="139" w:name="page140"/>
    <w:bookmarkEnd w:id="139"/>
    <w:p>
      <w:pPr>
        <w:ind w:right="100"/>
        <w:spacing w:after="0" w:line="256" w:lineRule="auto"/>
        <w:rPr>
          <w:sz w:val="20"/>
          <w:szCs w:val="20"/>
          <w:color w:val="auto"/>
        </w:rPr>
      </w:pPr>
      <w:r>
        <w:rPr>
          <w:rFonts w:ascii="Arial" w:cs="Arial" w:eastAsia="Arial" w:hAnsi="Arial"/>
          <w:sz w:val="17"/>
          <w:szCs w:val="17"/>
          <w:color w:val="auto"/>
        </w:rPr>
        <w:t xml:space="preserve">We will make monthly payments to you equal to your </w:t>
      </w:r>
      <w:r>
        <w:rPr>
          <w:rFonts w:ascii="Arial" w:cs="Arial" w:eastAsia="Arial" w:hAnsi="Arial"/>
          <w:sz w:val="17"/>
          <w:szCs w:val="17"/>
          <w:i w:val="1"/>
          <w:iCs w:val="1"/>
          <w:color w:val="auto"/>
        </w:rPr>
        <w:t>Covered Life Amount</w:t>
      </w:r>
      <w:r>
        <w:rPr>
          <w:rFonts w:ascii="Arial" w:cs="Arial" w:eastAsia="Arial" w:hAnsi="Arial"/>
          <w:sz w:val="17"/>
          <w:szCs w:val="17"/>
          <w:color w:val="auto"/>
        </w:rPr>
        <w:t xml:space="preserve">. We owe the first monthly payment on the </w:t>
      </w:r>
      <w:r>
        <w:rPr>
          <w:rFonts w:ascii="Arial" w:cs="Arial" w:eastAsia="Arial" w:hAnsi="Arial"/>
          <w:sz w:val="17"/>
          <w:szCs w:val="17"/>
          <w:i w:val="1"/>
          <w:iCs w:val="1"/>
          <w:color w:val="auto"/>
        </w:rPr>
        <w:t>Annuity Commencement Date</w:t>
      </w:r>
      <w:r>
        <w:rPr>
          <w:rFonts w:ascii="Arial" w:cs="Arial" w:eastAsia="Arial" w:hAnsi="Arial"/>
          <w:sz w:val="17"/>
          <w:szCs w:val="17"/>
          <w:color w:val="auto"/>
        </w:rPr>
        <w:t xml:space="preserve">. We will pay subsequent monthly payments on the first day of each month. The total number of monthly payments will equal the </w:t>
      </w:r>
      <w:r>
        <w:rPr>
          <w:rFonts w:ascii="Arial" w:cs="Arial" w:eastAsia="Arial" w:hAnsi="Arial"/>
          <w:sz w:val="17"/>
          <w:szCs w:val="17"/>
          <w:i w:val="1"/>
          <w:iCs w:val="1"/>
          <w:color w:val="auto"/>
        </w:rPr>
        <w:t>Guaranteed Number of Payments</w:t>
      </w:r>
      <w:r>
        <w:rPr>
          <w:rFonts w:ascii="Arial" w:cs="Arial" w:eastAsia="Arial" w:hAnsi="Arial"/>
          <w:sz w:val="17"/>
          <w:szCs w:val="17"/>
          <w:color w:val="auto"/>
        </w:rPr>
        <w:t xml:space="preserve"> specified for you in the Table of Information. Once such </w:t>
      </w:r>
      <w:r>
        <w:rPr>
          <w:rFonts w:ascii="Arial" w:cs="Arial" w:eastAsia="Arial" w:hAnsi="Arial"/>
          <w:sz w:val="17"/>
          <w:szCs w:val="17"/>
          <w:i w:val="1"/>
          <w:iCs w:val="1"/>
          <w:color w:val="auto"/>
        </w:rPr>
        <w:t>Guaranteed Number of Payments</w:t>
      </w:r>
      <w:r>
        <w:rPr>
          <w:rFonts w:ascii="Arial" w:cs="Arial" w:eastAsia="Arial" w:hAnsi="Arial"/>
          <w:sz w:val="17"/>
          <w:szCs w:val="17"/>
          <w:color w:val="auto"/>
        </w:rPr>
        <w:t xml:space="preserve"> has been paid, no further payments are due.</w:t>
      </w:r>
    </w:p>
    <w:p>
      <w:pPr>
        <w:spacing w:after="0" w:line="176" w:lineRule="exact"/>
        <w:rPr>
          <w:sz w:val="20"/>
          <w:szCs w:val="20"/>
          <w:color w:val="auto"/>
        </w:rPr>
      </w:pPr>
    </w:p>
    <w:p>
      <w:pPr>
        <w:ind w:right="240"/>
        <w:spacing w:after="0" w:line="252" w:lineRule="auto"/>
        <w:rPr>
          <w:sz w:val="20"/>
          <w:szCs w:val="20"/>
          <w:color w:val="auto"/>
        </w:rPr>
      </w:pPr>
      <w:r>
        <w:rPr>
          <w:rFonts w:ascii="Arial" w:cs="Arial" w:eastAsia="Arial" w:hAnsi="Arial"/>
          <w:sz w:val="17"/>
          <w:szCs w:val="17"/>
          <w:color w:val="auto"/>
        </w:rPr>
        <w:t xml:space="preserve">If you die after the </w:t>
      </w:r>
      <w:r>
        <w:rPr>
          <w:rFonts w:ascii="Arial" w:cs="Arial" w:eastAsia="Arial" w:hAnsi="Arial"/>
          <w:sz w:val="17"/>
          <w:szCs w:val="17"/>
          <w:i w:val="1"/>
          <w:iCs w:val="1"/>
          <w:color w:val="auto"/>
        </w:rPr>
        <w:t>Annuity Commencement Date</w:t>
      </w:r>
      <w:r>
        <w:rPr>
          <w:rFonts w:ascii="Arial" w:cs="Arial" w:eastAsia="Arial" w:hAnsi="Arial"/>
          <w:sz w:val="17"/>
          <w:szCs w:val="17"/>
          <w:color w:val="auto"/>
        </w:rPr>
        <w:t xml:space="preserve">, we will determine the number of monthly payments we made to you after the </w:t>
      </w:r>
      <w:r>
        <w:rPr>
          <w:rFonts w:ascii="Arial" w:cs="Arial" w:eastAsia="Arial" w:hAnsi="Arial"/>
          <w:sz w:val="17"/>
          <w:szCs w:val="17"/>
          <w:i w:val="1"/>
          <w:iCs w:val="1"/>
          <w:color w:val="auto"/>
        </w:rPr>
        <w:t>Annuity Commencement Date</w:t>
      </w:r>
      <w:r>
        <w:rPr>
          <w:rFonts w:ascii="Arial" w:cs="Arial" w:eastAsia="Arial" w:hAnsi="Arial"/>
          <w:sz w:val="17"/>
          <w:szCs w:val="17"/>
          <w:color w:val="auto"/>
        </w:rPr>
        <w:t xml:space="preserve">. If the number payment made is less than such </w:t>
      </w:r>
      <w:r>
        <w:rPr>
          <w:rFonts w:ascii="Arial" w:cs="Arial" w:eastAsia="Arial" w:hAnsi="Arial"/>
          <w:sz w:val="17"/>
          <w:szCs w:val="17"/>
          <w:i w:val="1"/>
          <w:iCs w:val="1"/>
          <w:color w:val="auto"/>
        </w:rPr>
        <w:t>Guaranteed Number of Payments</w:t>
      </w:r>
      <w:r>
        <w:rPr>
          <w:rFonts w:ascii="Arial" w:cs="Arial" w:eastAsia="Arial" w:hAnsi="Arial"/>
          <w:sz w:val="17"/>
          <w:szCs w:val="17"/>
          <w:color w:val="auto"/>
        </w:rPr>
        <w:t xml:space="preserve">, then we will pay the </w:t>
      </w:r>
      <w:r>
        <w:rPr>
          <w:rFonts w:ascii="Arial" w:cs="Arial" w:eastAsia="Arial" w:hAnsi="Arial"/>
          <w:sz w:val="17"/>
          <w:szCs w:val="17"/>
          <w:i w:val="1"/>
          <w:iCs w:val="1"/>
          <w:color w:val="auto"/>
        </w:rPr>
        <w:t>Covered Life Amount</w:t>
      </w:r>
      <w:r>
        <w:rPr>
          <w:rFonts w:ascii="Arial" w:cs="Arial" w:eastAsia="Arial" w:hAnsi="Arial"/>
          <w:sz w:val="17"/>
          <w:szCs w:val="17"/>
          <w:color w:val="auto"/>
        </w:rPr>
        <w:t xml:space="preserve"> to the designated Beneficiary for your Annuity Form. These payments to such Beneficiary will stop when the total number of payments to you, plus the number of payments to the Beneficiary, equals the </w:t>
      </w:r>
      <w:r>
        <w:rPr>
          <w:rFonts w:ascii="Arial" w:cs="Arial" w:eastAsia="Arial" w:hAnsi="Arial"/>
          <w:sz w:val="17"/>
          <w:szCs w:val="17"/>
          <w:i w:val="1"/>
          <w:iCs w:val="1"/>
          <w:color w:val="auto"/>
        </w:rPr>
        <w:t>Guaranteed</w:t>
      </w:r>
      <w:r>
        <w:rPr>
          <w:rFonts w:ascii="Arial" w:cs="Arial" w:eastAsia="Arial" w:hAnsi="Arial"/>
          <w:sz w:val="17"/>
          <w:szCs w:val="17"/>
          <w:color w:val="auto"/>
        </w:rPr>
        <w:t xml:space="preserve"> </w:t>
      </w:r>
      <w:r>
        <w:rPr>
          <w:rFonts w:ascii="Arial" w:cs="Arial" w:eastAsia="Arial" w:hAnsi="Arial"/>
          <w:sz w:val="17"/>
          <w:szCs w:val="17"/>
          <w:i w:val="1"/>
          <w:iCs w:val="1"/>
          <w:color w:val="auto"/>
        </w:rPr>
        <w:t>Number of Payments</w:t>
      </w:r>
      <w:r>
        <w:rPr>
          <w:rFonts w:ascii="Arial" w:cs="Arial" w:eastAsia="Arial" w:hAnsi="Arial"/>
          <w:sz w:val="17"/>
          <w:szCs w:val="17"/>
          <w:color w:val="auto"/>
        </w:rPr>
        <w:t>.</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Covered Life Amount</w:t>
      </w:r>
      <w:r>
        <w:rPr>
          <w:rFonts w:ascii="Arial" w:cs="Arial" w:eastAsia="Arial" w:hAnsi="Arial"/>
          <w:sz w:val="17"/>
          <w:szCs w:val="17"/>
          <w:color w:val="auto"/>
        </w:rPr>
        <w:t>” means an amount that is specified in the Table of Information.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Method of Payment:</w:t>
      </w:r>
    </w:p>
    <w:p>
      <w:pPr>
        <w:spacing w:after="0" w:line="209" w:lineRule="exact"/>
        <w:rPr>
          <w:sz w:val="20"/>
          <w:szCs w:val="20"/>
          <w:color w:val="auto"/>
        </w:rPr>
      </w:pPr>
    </w:p>
    <w:p>
      <w:pPr>
        <w:jc w:val="both"/>
        <w:spacing w:after="0" w:line="375" w:lineRule="auto"/>
        <w:rPr>
          <w:sz w:val="20"/>
          <w:szCs w:val="20"/>
          <w:color w:val="auto"/>
        </w:rPr>
      </w:pPr>
      <w:r>
        <w:rPr>
          <w:rFonts w:ascii="Arial" w:cs="Arial" w:eastAsia="Arial" w:hAnsi="Arial"/>
          <w:sz w:val="14"/>
          <w:szCs w:val="14"/>
          <w:color w:val="auto"/>
        </w:rPr>
        <w:t>We will make all payments in U.S. dollars. Payees may elect to receive payments either by check or by direct deposit to a bank or other financial institution chosen by the Payee. Checks are mailed to the last known address for the Payee as shown on our records. Direct deposit may be selected only by using a form supplied for such purpose.</w:t>
      </w:r>
    </w:p>
    <w:p>
      <w:pPr>
        <w:spacing w:after="0" w:line="98"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 xml:space="preserve">By written notice, a Payee may request a change of the mailing address we use for payments by check. By using a form we supply, a Payee may change the bank or other financial institution receiving direct payments. Payees must deliver these items to Prudential as described below under </w:t>
      </w:r>
      <w:r>
        <w:rPr>
          <w:rFonts w:ascii="Arial" w:cs="Arial" w:eastAsia="Arial" w:hAnsi="Arial"/>
          <w:sz w:val="16"/>
          <w:szCs w:val="16"/>
          <w:b w:val="1"/>
          <w:bCs w:val="1"/>
          <w:color w:val="auto"/>
        </w:rPr>
        <w:t>"Correspondence."</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We may change these procedures by sending a letter to the Payee. We will use the address last shown on our records.</w:t>
      </w:r>
    </w:p>
    <w:p>
      <w:pPr>
        <w:spacing w:after="0" w:line="201" w:lineRule="exact"/>
        <w:rPr>
          <w:sz w:val="20"/>
          <w:szCs w:val="20"/>
          <w:color w:val="auto"/>
        </w:rPr>
      </w:pPr>
    </w:p>
    <w:p>
      <w:pPr>
        <w:ind w:left="3000"/>
        <w:spacing w:after="0"/>
        <w:rPr>
          <w:sz w:val="20"/>
          <w:szCs w:val="20"/>
          <w:color w:val="auto"/>
        </w:rPr>
      </w:pPr>
      <w:r>
        <w:rPr>
          <w:rFonts w:ascii="Arial" w:cs="Arial" w:eastAsia="Arial" w:hAnsi="Arial"/>
          <w:sz w:val="17"/>
          <w:szCs w:val="17"/>
          <w:b w:val="1"/>
          <w:bCs w:val="1"/>
          <w:color w:val="auto"/>
        </w:rPr>
        <w:t>Correspondence:</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Mail any notices and forms to the current notice address. The current notice address is:</w:t>
      </w:r>
    </w:p>
    <w:p>
      <w:pPr>
        <w:spacing w:after="0" w:line="205"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The Prudential Insurance Company of America</w:t>
      </w:r>
    </w:p>
    <w:p>
      <w:pPr>
        <w:spacing w:after="0" w:line="17"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[P.O. Box 5370</w:t>
      </w:r>
    </w:p>
    <w:p>
      <w:pPr>
        <w:spacing w:after="0" w:line="1"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Scranton, PA 18505-5370</w:t>
      </w:r>
      <w:r>
        <w:rPr>
          <w:rFonts w:ascii="Arial" w:cs="Arial" w:eastAsia="Arial" w:hAnsi="Arial"/>
          <w:sz w:val="18"/>
          <w:szCs w:val="18"/>
          <w:color w:val="auto"/>
        </w:rPr>
        <w:t>]</w:t>
      </w:r>
      <w:r>
        <w:rPr>
          <w:rFonts w:ascii="Arial" w:cs="Arial" w:eastAsia="Arial" w:hAnsi="Arial"/>
          <w:sz w:val="17"/>
          <w:szCs w:val="17"/>
          <w:color w:val="auto"/>
        </w:rPr>
        <w:t xml:space="preserve"> </w:t>
      </w:r>
      <w:r>
        <w:rPr>
          <w:rFonts w:ascii="Arial" w:cs="Arial" w:eastAsia="Arial" w:hAnsi="Arial"/>
          <w:sz w:val="23"/>
          <w:szCs w:val="23"/>
          <w:color w:val="auto"/>
          <w:vertAlign w:val="superscript"/>
        </w:rPr>
        <w:t>C</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color w:val="auto"/>
        </w:rPr>
        <w:t>Prudential may change the notice address by sending a letter to the Payee. We will use the address last shown on our records.</w:t>
      </w:r>
    </w:p>
    <w:p>
      <w:pPr>
        <w:spacing w:after="0" w:line="20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All notices must be in writing. Payee must sign all notices and forms. Please refer to the Annuity Certificate Number and the Group Annuity Contract Number (shown on the first page of this Certificate) on all notices and forms sent to us.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[Beneficiaries: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You may change Beneficiaries as described below.</w:t>
      </w:r>
    </w:p>
    <w:p>
      <w:pPr>
        <w:spacing w:after="0" w:line="201"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Selections and changes of Beneficiaries must use a form ("</w:t>
      </w:r>
      <w:r>
        <w:rPr>
          <w:rFonts w:ascii="Arial" w:cs="Arial" w:eastAsia="Arial" w:hAnsi="Arial"/>
          <w:sz w:val="17"/>
          <w:szCs w:val="17"/>
          <w:b w:val="1"/>
          <w:bCs w:val="1"/>
          <w:color w:val="auto"/>
        </w:rPr>
        <w:t>Beneficiary Form</w:t>
      </w:r>
      <w:r>
        <w:rPr>
          <w:rFonts w:ascii="Arial" w:cs="Arial" w:eastAsia="Arial" w:hAnsi="Arial"/>
          <w:sz w:val="17"/>
          <w:szCs w:val="17"/>
          <w:color w:val="auto"/>
        </w:rPr>
        <w:t>") we supply. Beneficiary Forms must be delivered to Prudential as described above under "</w:t>
      </w:r>
      <w:r>
        <w:rPr>
          <w:rFonts w:ascii="Arial" w:cs="Arial" w:eastAsia="Arial" w:hAnsi="Arial"/>
          <w:sz w:val="17"/>
          <w:szCs w:val="17"/>
          <w:b w:val="1"/>
          <w:bCs w:val="1"/>
          <w:color w:val="auto"/>
        </w:rPr>
        <w:t>Correspondence</w:t>
      </w:r>
      <w:r>
        <w:rPr>
          <w:rFonts w:ascii="Arial" w:cs="Arial" w:eastAsia="Arial" w:hAnsi="Arial"/>
          <w:sz w:val="17"/>
          <w:szCs w:val="17"/>
          <w:color w:val="auto"/>
        </w:rPr>
        <w:t>." Selections and changes must comply with all applicable laws, including those relating to spousal waivers. Unless required by law or the Plan, we will not require any existing Beneficiary to consent to a change of Beneficiaries.</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Beneficiary selection and changes shall take effect on the date you sign the change in Beneficiary form. However, no change shall be effective with respect to any action taken by us before we receive the change in Beneficiary form. Unless otherwise indicated on the Beneficiary designation or change form, the interest of any Beneficiary who dies before you ceases altogether.</w:t>
      </w:r>
      <w:r>
        <w:rPr>
          <w:rFonts w:ascii="Arial" w:cs="Arial" w:eastAsia="Arial" w:hAnsi="Arial"/>
          <w:sz w:val="17"/>
          <w:szCs w:val="17"/>
          <w:b w:val="1"/>
          <w:bCs w:val="1"/>
          <w:color w:val="auto"/>
        </w:rPr>
        <w:t>]</w:t>
      </w:r>
      <w:r>
        <w:rPr>
          <w:rFonts w:ascii="Arial" w:cs="Arial" w:eastAsia="Arial" w:hAnsi="Arial"/>
          <w:sz w:val="17"/>
          <w:szCs w:val="17"/>
          <w:color w:val="auto"/>
        </w:rPr>
        <w:t xml:space="preserve"> </w:t>
      </w:r>
      <w:r>
        <w:rPr>
          <w:rFonts w:ascii="Arial" w:cs="Arial" w:eastAsia="Arial" w:hAnsi="Arial"/>
          <w:sz w:val="23"/>
          <w:szCs w:val="23"/>
          <w:color w:val="auto"/>
          <w:vertAlign w:val="superscript"/>
        </w:rPr>
        <w:t>D</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Assignment:</w:t>
      </w:r>
    </w:p>
    <w:p>
      <w:pPr>
        <w:spacing w:after="0" w:line="209"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Payees may not assign, pledge, anticipate, accelerate or transfer this Annuity, except as expressly provided in the Contract. Also, Payees may not use a Representative to do the same. To the full extent permitted by law, Annuity payments are not subject to the claims of creditors. Compliance with a domestic relations order meeting the requirements of the Contract will not be considered an impermissible transaction or claim.</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Appendix 1.3 - 26</w:t>
      </w:r>
    </w:p>
    <w:p>
      <w:pPr>
        <w:sectPr>
          <w:pgSz w:w="11900" w:h="16838" w:orient="portrait"/>
          <w:cols w:equalWidth="0" w:num="1">
            <w:col w:w="11420"/>
          </w:cols>
          <w:pgMar w:left="240" w:top="553" w:right="239" w:bottom="1440" w:gutter="0" w:footer="0" w:header="0"/>
        </w:sectPr>
      </w:pPr>
    </w:p>
    <w:bookmarkStart w:id="140" w:name="page141"/>
    <w:bookmarkEnd w:id="140"/>
    <w:p>
      <w:pPr>
        <w:jc w:val="center"/>
        <w:spacing w:after="0"/>
        <w:rPr>
          <w:sz w:val="20"/>
          <w:szCs w:val="20"/>
          <w:color w:val="auto"/>
        </w:rPr>
      </w:pPr>
      <w:r>
        <w:rPr>
          <w:rFonts w:ascii="Arial" w:cs="Arial" w:eastAsia="Arial" w:hAnsi="Arial"/>
          <w:sz w:val="17"/>
          <w:szCs w:val="17"/>
          <w:b w:val="1"/>
          <w:bCs w:val="1"/>
          <w:color w:val="auto"/>
        </w:rPr>
        <w:t>Qualified Domestic Relations Orders:</w:t>
      </w:r>
    </w:p>
    <w:p>
      <w:pPr>
        <w:spacing w:after="0" w:line="209"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Should your Annuity become subject to a Qualified Domestic Relations Order, we may be required to alter monthly payments under the Annuity. We may make payments according to such order, regardless of the Annuity Form selected. This includes any adjustments needed to retroactively implement the order. We may rely upon any Qualified Domestic Relations Order we believe to be valid.</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Reliance Upon Affidavit or Other Evidence:</w:t>
      </w:r>
    </w:p>
    <w:p>
      <w:pPr>
        <w:spacing w:after="0" w:line="20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We may rely upon an affidavit or other evidence to verify relevant facts. Payments we make in reliance upon this information relieve us from any liability under the Contract and this Certificate.</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Misstatements: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If certain information was misstated to us, your annuity payments may or may not be changed as described below.</w:t>
      </w:r>
    </w:p>
    <w:p>
      <w:pPr>
        <w:spacing w:after="0" w:line="17" w:lineRule="exact"/>
        <w:rPr>
          <w:sz w:val="20"/>
          <w:szCs w:val="20"/>
          <w:color w:val="auto"/>
        </w:rPr>
      </w:pPr>
    </w:p>
    <w:p>
      <w:pPr>
        <w:jc w:val="both"/>
        <w:spacing w:after="0" w:line="248" w:lineRule="auto"/>
        <w:rPr>
          <w:sz w:val="20"/>
          <w:szCs w:val="20"/>
          <w:color w:val="auto"/>
        </w:rPr>
      </w:pPr>
      <w:r>
        <w:rPr>
          <w:rFonts w:ascii="Arial" w:cs="Arial" w:eastAsia="Arial" w:hAnsi="Arial"/>
          <w:sz w:val="17"/>
          <w:szCs w:val="17"/>
          <w:color w:val="auto"/>
        </w:rPr>
        <w:t>If a Payee's date of birth, date of death, or sex was misstated to us, then we will not have the right to reduce any annuity payment below the amount determined using the information contained in the Contract. Also, we will not have the obligation to increase any Annuity Payment above the amount determined using the information contained in the Contract.</w:t>
      </w:r>
    </w:p>
    <w:p>
      <w:pPr>
        <w:spacing w:after="0" w:line="183"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If information other than the Payee's date of birth, date of death, or sex was misstated to us, then Prudential will adjust the annuity payment. First we will determine the portion of the premium paid to us to purchase your annuity. The annuity payment amount owed by us will be increased or decreased to equal the amount that could have been purchased using the premium paid for the annuity assuming the misstatement had not happened. Also, Prudential will not change the date of the first monthly payment.</w:t>
      </w:r>
    </w:p>
    <w:p>
      <w:pPr>
        <w:spacing w:after="0" w:line="180" w:lineRule="exact"/>
        <w:rPr>
          <w:sz w:val="20"/>
          <w:szCs w:val="20"/>
          <w:color w:val="auto"/>
        </w:rPr>
      </w:pPr>
    </w:p>
    <w:p>
      <w:pPr>
        <w:jc w:val="both"/>
        <w:spacing w:after="0" w:line="297" w:lineRule="auto"/>
        <w:rPr>
          <w:sz w:val="20"/>
          <w:szCs w:val="20"/>
          <w:color w:val="auto"/>
        </w:rPr>
      </w:pPr>
      <w:r>
        <w:rPr>
          <w:rFonts w:ascii="Arial" w:cs="Arial" w:eastAsia="Arial" w:hAnsi="Arial"/>
          <w:sz w:val="15"/>
          <w:szCs w:val="15"/>
          <w:color w:val="auto"/>
        </w:rPr>
        <w:t>If the corrected annuity payment is less than the annuity payment determined using the misstated information, then the annuity payment will be decreased to the amount calculated as described in the last paragraph above. We may reduce future annuity payments further by amounts previously overpaid by us to the Payee. If the corrected annuity payment is more than the annuity payment calculated using the misstated information, then the annuity payment will be increased to the amount determined as described in the last paragraph above. We will further pay the amount of the underpayments by us in one of the next two annuity payments due with respect to the Payee.</w:t>
      </w:r>
    </w:p>
    <w:p>
      <w:pPr>
        <w:spacing w:after="0" w:line="14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In addition to changing the amount of annuity payments, the adjustments made pursuant to this section may change other important terms of payment. All adjustments made pursuant to this section will be binding upon the Payee.</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Supplemental Information:</w:t>
      </w:r>
    </w:p>
    <w:p>
      <w:pPr>
        <w:spacing w:after="0" w:line="209"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As a condition to making any payment, we may require a Payee to provide certain information not previously supplied. This information may include copies of signed election forms and signed spousal consent forms (where legally required). If legally required, we may withhold all or a portion of any payment until receiving a Social Security or taxpayer identification number for the Payee and any other items required by law.</w:t>
      </w:r>
    </w:p>
    <w:p>
      <w:pPr>
        <w:spacing w:after="0" w:line="176" w:lineRule="exact"/>
        <w:rPr>
          <w:sz w:val="20"/>
          <w:szCs w:val="20"/>
          <w:color w:val="auto"/>
        </w:rPr>
      </w:pPr>
    </w:p>
    <w:p>
      <w:pPr>
        <w:spacing w:after="0"/>
        <w:rPr>
          <w:sz w:val="20"/>
          <w:szCs w:val="20"/>
          <w:color w:val="auto"/>
        </w:rPr>
      </w:pPr>
      <w:r>
        <w:rPr>
          <w:rFonts w:ascii="Arial" w:cs="Arial" w:eastAsia="Arial" w:hAnsi="Arial"/>
          <w:sz w:val="15"/>
          <w:szCs w:val="15"/>
          <w:color w:val="auto"/>
        </w:rPr>
        <w:t>As a condition to making any payment, we may require satisfactory evidence that any Payee is alive. We may withhold future payments until we receive this evidence.</w:t>
      </w:r>
    </w:p>
    <w:p>
      <w:pPr>
        <w:spacing w:after="0" w:line="228"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Payments under this Certificate will be made to a Payee unless a Representative has been duly appointed in accordance with the Contract with respect to a Payee. If a Representative has been appointed, we may fulfill our obligation to a Payee under this Certificate by making payments to the Payee's Representative.</w:t>
      </w:r>
    </w:p>
    <w:p>
      <w:pPr>
        <w:spacing w:after="0" w:line="44" w:lineRule="exact"/>
        <w:rPr>
          <w:sz w:val="20"/>
          <w:szCs w:val="20"/>
          <w:color w:val="auto"/>
        </w:rPr>
      </w:pPr>
    </w:p>
    <w:p>
      <w:pPr>
        <w:ind w:right="280"/>
        <w:spacing w:after="0" w:line="287" w:lineRule="auto"/>
        <w:rPr>
          <w:sz w:val="20"/>
          <w:szCs w:val="20"/>
          <w:color w:val="auto"/>
        </w:rPr>
      </w:pPr>
      <w:r>
        <w:rPr>
          <w:rFonts w:ascii="Arial" w:cs="Arial" w:eastAsia="Arial" w:hAnsi="Arial"/>
          <w:sz w:val="15"/>
          <w:szCs w:val="15"/>
          <w:color w:val="auto"/>
        </w:rPr>
        <w:t>[For any Payee who is shown in the Contract as having been paid, prior to the Annuity Commencement Date, Plan benefits over the amount owed under the Plan, such overpayments shall be deducted from the annuity payments otherwise owed to such persons pursuant to the Payment Terms of this Certificate. Nothing in the prior sentence shall relate to information that may have been misstated to us. Such misstatements are governed by the above Misstatements section.]</w:t>
      </w:r>
      <w:r>
        <w:rPr>
          <w:rFonts w:ascii="Arial" w:cs="Arial" w:eastAsia="Arial" w:hAnsi="Arial"/>
          <w:sz w:val="21"/>
          <w:szCs w:val="21"/>
          <w:color w:val="auto"/>
          <w:vertAlign w:val="superscript"/>
        </w:rPr>
        <w:t>D</w:t>
      </w:r>
    </w:p>
    <w:p>
      <w:pPr>
        <w:spacing w:after="0" w:line="2" w:lineRule="exact"/>
        <w:rPr>
          <w:sz w:val="20"/>
          <w:szCs w:val="20"/>
          <w:color w:val="auto"/>
        </w:rPr>
      </w:pPr>
    </w:p>
    <w:p>
      <w:pPr>
        <w:jc w:val="both"/>
        <w:ind w:right="60"/>
        <w:spacing w:after="0" w:line="306" w:lineRule="auto"/>
        <w:rPr>
          <w:sz w:val="20"/>
          <w:szCs w:val="20"/>
          <w:color w:val="auto"/>
        </w:rPr>
      </w:pPr>
      <w:r>
        <w:rPr>
          <w:rFonts w:ascii="Arial" w:cs="Arial" w:eastAsia="Arial" w:hAnsi="Arial"/>
          <w:sz w:val="15"/>
          <w:szCs w:val="15"/>
          <w:color w:val="auto"/>
        </w:rPr>
        <w:t>[For any Payee who is shown in the Contract as having been paid, prior to the Annuity Commencement Date, Plan benefits that were less than the amount owed under the Plan, such underpayments shall be added to the annuity payments otherwise owed to such persons pursuant to the Payment Terms of this Certificate. Nothing in the prior sentence shall relate to information that may have been misstated to us. Such misstatements are governed by the above Misstatements section.]</w:t>
      </w:r>
      <w:r>
        <w:rPr>
          <w:rFonts w:ascii="Arial" w:cs="Arial" w:eastAsia="Arial" w:hAnsi="Arial"/>
          <w:sz w:val="21"/>
          <w:szCs w:val="21"/>
          <w:color w:val="auto"/>
          <w:vertAlign w:val="superscript"/>
        </w:rPr>
        <w:t>D</w:t>
      </w:r>
    </w:p>
    <w:p>
      <w:pPr>
        <w:spacing w:after="0" w:line="4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Certificate Errors and Replacement Certificate:</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Appendix 1.3 - 27</w:t>
      </w:r>
    </w:p>
    <w:p>
      <w:pPr>
        <w:sectPr>
          <w:pgSz w:w="11900" w:h="16838" w:orient="portrait"/>
          <w:cols w:equalWidth="0" w:num="1">
            <w:col w:w="11420"/>
          </w:cols>
          <w:pgMar w:left="240" w:top="749" w:right="239" w:bottom="1440" w:gutter="0" w:footer="0" w:header="0"/>
        </w:sectPr>
      </w:pPr>
    </w:p>
    <w:bookmarkStart w:id="141" w:name="page142"/>
    <w:bookmarkEnd w:id="141"/>
    <w:p>
      <w:pPr>
        <w:jc w:val="both"/>
        <w:spacing w:after="0" w:line="270" w:lineRule="auto"/>
        <w:rPr>
          <w:sz w:val="20"/>
          <w:szCs w:val="20"/>
          <w:color w:val="auto"/>
        </w:rPr>
      </w:pPr>
      <w:r>
        <w:rPr>
          <w:rFonts w:ascii="Arial" w:cs="Arial" w:eastAsia="Arial" w:hAnsi="Arial"/>
          <w:sz w:val="16"/>
          <w:szCs w:val="16"/>
          <w:color w:val="auto"/>
        </w:rPr>
        <w:t>This Certificate replaces any certificate that you may have previously received with respect to Prudential's guarantee under the Contract. Please review this Certificate carefully and notify us promptly if you feel any information is incorrect. We are not bound by any incorrect information in this Certificate, nor are we bound by any other errors in this Certificate if clearly inconsistent with the terms of the Contract. We may instead continue to comply with the terms of the Contract as if the Certificate initially had been correctly issued. We may issue a corrected Certificate in the same manner the original Certificate was issued, but we will clearly indicate on the face of the new Certificate that it is a "CORRECTED AND REISSUED" Certificate (or other words to that effect).</w:t>
      </w:r>
    </w:p>
    <w:p>
      <w:pPr>
        <w:spacing w:after="0" w:line="167"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 xml:space="preserve">If you exercise an option that changes your </w:t>
      </w:r>
      <w:r>
        <w:rPr>
          <w:rFonts w:ascii="Arial" w:cs="Arial" w:eastAsia="Arial" w:hAnsi="Arial"/>
          <w:sz w:val="17"/>
          <w:szCs w:val="17"/>
          <w:i w:val="1"/>
          <w:iCs w:val="1"/>
          <w:color w:val="auto"/>
        </w:rPr>
        <w:t>Form of Annuity</w:t>
      </w:r>
      <w:r>
        <w:rPr>
          <w:rFonts w:ascii="Arial" w:cs="Arial" w:eastAsia="Arial" w:hAnsi="Arial"/>
          <w:sz w:val="17"/>
          <w:szCs w:val="17"/>
          <w:color w:val="auto"/>
        </w:rPr>
        <w:t xml:space="preserve">, then a replacement certificate will be issued to you. The replacement certificate will describe the payments that you will receive under your changed </w:t>
      </w:r>
      <w:r>
        <w:rPr>
          <w:rFonts w:ascii="Arial" w:cs="Arial" w:eastAsia="Arial" w:hAnsi="Arial"/>
          <w:sz w:val="17"/>
          <w:szCs w:val="17"/>
          <w:i w:val="1"/>
          <w:iCs w:val="1"/>
          <w:color w:val="auto"/>
        </w:rPr>
        <w:t>Form of Annuity.</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Entire Contract:</w:t>
      </w:r>
    </w:p>
    <w:p>
      <w:pPr>
        <w:spacing w:after="0" w:line="209" w:lineRule="exact"/>
        <w:rPr>
          <w:sz w:val="20"/>
          <w:szCs w:val="20"/>
          <w:color w:val="auto"/>
        </w:rPr>
      </w:pPr>
    </w:p>
    <w:p>
      <w:pPr>
        <w:jc w:val="center"/>
        <w:ind w:right="320"/>
        <w:spacing w:after="0"/>
        <w:rPr>
          <w:sz w:val="20"/>
          <w:szCs w:val="20"/>
          <w:color w:val="auto"/>
        </w:rPr>
      </w:pPr>
      <w:r>
        <w:rPr>
          <w:rFonts w:ascii="Arial" w:cs="Arial" w:eastAsia="Arial" w:hAnsi="Arial"/>
          <w:sz w:val="14"/>
          <w:szCs w:val="14"/>
          <w:color w:val="auto"/>
        </w:rPr>
        <w:t>The Contract constitutes the entire agreement between the Contract-Holder and us solely with respect to the annuity payments owed to each payee under the Contract.</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Rights of Payees:</w:t>
      </w:r>
    </w:p>
    <w:p>
      <w:pPr>
        <w:spacing w:after="0" w:line="209" w:lineRule="exact"/>
        <w:rPr>
          <w:sz w:val="20"/>
          <w:szCs w:val="20"/>
          <w:color w:val="auto"/>
        </w:rPr>
      </w:pPr>
    </w:p>
    <w:p>
      <w:pPr>
        <w:ind w:right="440"/>
        <w:spacing w:after="0" w:line="266" w:lineRule="auto"/>
        <w:rPr>
          <w:sz w:val="20"/>
          <w:szCs w:val="20"/>
          <w:color w:val="auto"/>
        </w:rPr>
      </w:pPr>
      <w:r>
        <w:rPr>
          <w:rFonts w:ascii="Arial" w:cs="Arial" w:eastAsia="Arial" w:hAnsi="Arial"/>
          <w:sz w:val="17"/>
          <w:szCs w:val="17"/>
          <w:color w:val="auto"/>
        </w:rPr>
        <w:t>The Payees have the right to receive the annuity payments set forth under this Certificate. Such right to annuity payments is enforceable by the Payees solely against Prudential and no other person including the Plan, Plan sponsor, Contract-Holder or any affiliate thereof.</w:t>
      </w:r>
    </w:p>
    <w:p>
      <w:pPr>
        <w:spacing w:after="0" w:line="164" w:lineRule="exact"/>
        <w:rPr>
          <w:sz w:val="20"/>
          <w:szCs w:val="20"/>
          <w:color w:val="auto"/>
        </w:rPr>
      </w:pPr>
    </w:p>
    <w:p>
      <w:pPr>
        <w:ind w:left="4600"/>
        <w:spacing w:after="0"/>
        <w:rPr>
          <w:sz w:val="20"/>
          <w:szCs w:val="20"/>
          <w:color w:val="auto"/>
        </w:rPr>
      </w:pPr>
      <w:r>
        <w:rPr>
          <w:rFonts w:ascii="Arial" w:cs="Arial" w:eastAsia="Arial" w:hAnsi="Arial"/>
          <w:sz w:val="17"/>
          <w:szCs w:val="17"/>
          <w:b w:val="1"/>
          <w:bCs w:val="1"/>
          <w:color w:val="auto"/>
        </w:rPr>
        <w:t>Prudential Telephone Number:</w:t>
      </w:r>
    </w:p>
    <w:p>
      <w:pPr>
        <w:spacing w:after="0" w:line="209" w:lineRule="exact"/>
        <w:rPr>
          <w:sz w:val="20"/>
          <w:szCs w:val="20"/>
          <w:color w:val="auto"/>
        </w:rPr>
      </w:pPr>
    </w:p>
    <w:p>
      <w:pPr>
        <w:ind w:left="1800"/>
        <w:spacing w:after="0"/>
        <w:rPr>
          <w:sz w:val="20"/>
          <w:szCs w:val="20"/>
          <w:color w:val="auto"/>
        </w:rPr>
      </w:pPr>
      <w:r>
        <w:rPr>
          <w:rFonts w:ascii="Arial" w:cs="Arial" w:eastAsia="Arial" w:hAnsi="Arial"/>
          <w:sz w:val="17"/>
          <w:szCs w:val="17"/>
          <w:color w:val="auto"/>
        </w:rPr>
        <w:t>The Prudential Insurance Company of America</w:t>
      </w:r>
    </w:p>
    <w:p>
      <w:pPr>
        <w:spacing w:after="0" w:line="17" w:lineRule="exact"/>
        <w:rPr>
          <w:sz w:val="20"/>
          <w:szCs w:val="20"/>
          <w:color w:val="auto"/>
        </w:rPr>
      </w:pPr>
    </w:p>
    <w:p>
      <w:pPr>
        <w:ind w:left="1800"/>
        <w:spacing w:after="0"/>
        <w:rPr>
          <w:sz w:val="20"/>
          <w:szCs w:val="20"/>
          <w:color w:val="auto"/>
        </w:rPr>
      </w:pPr>
      <w:r>
        <w:rPr>
          <w:rFonts w:ascii="Arial" w:cs="Arial" w:eastAsia="Arial" w:hAnsi="Arial"/>
          <w:sz w:val="23"/>
          <w:szCs w:val="23"/>
          <w:b w:val="1"/>
          <w:bCs w:val="1"/>
          <w:color w:val="auto"/>
        </w:rPr>
        <w:t>[</w:t>
      </w:r>
      <w:r>
        <w:rPr>
          <w:rFonts w:ascii="Arial" w:cs="Arial" w:eastAsia="Arial" w:hAnsi="Arial"/>
          <w:sz w:val="16"/>
          <w:szCs w:val="16"/>
          <w:color w:val="auto"/>
        </w:rPr>
        <w:t>1-800-621-1089</w:t>
      </w:r>
      <w:r>
        <w:rPr>
          <w:rFonts w:ascii="Arial" w:cs="Arial" w:eastAsia="Arial" w:hAnsi="Arial"/>
          <w:sz w:val="23"/>
          <w:szCs w:val="23"/>
          <w:b w:val="1"/>
          <w:bCs w:val="1"/>
          <w:color w:val="auto"/>
        </w:rPr>
        <w:t>]</w:t>
      </w:r>
      <w:r>
        <w:rPr>
          <w:rFonts w:ascii="Arial" w:cs="Arial" w:eastAsia="Arial" w:hAnsi="Arial"/>
          <w:sz w:val="26"/>
          <w:szCs w:val="26"/>
          <w:b w:val="1"/>
          <w:bCs w:val="1"/>
          <w:color w:val="auto"/>
          <w:vertAlign w:val="superscript"/>
        </w:rPr>
        <w:t>C</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To contact us, please use the above-listed telephone number.</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[Deductions from Annuity Payments:</w:t>
      </w:r>
    </w:p>
    <w:p>
      <w:pPr>
        <w:spacing w:after="0" w:line="222" w:lineRule="exact"/>
        <w:rPr>
          <w:sz w:val="20"/>
          <w:szCs w:val="20"/>
          <w:color w:val="auto"/>
        </w:rPr>
      </w:pPr>
    </w:p>
    <w:p>
      <w:pPr>
        <w:ind w:right="40"/>
        <w:spacing w:after="0" w:line="303" w:lineRule="auto"/>
        <w:rPr>
          <w:sz w:val="20"/>
          <w:szCs w:val="20"/>
          <w:color w:val="auto"/>
        </w:rPr>
      </w:pPr>
      <w:r>
        <w:rPr>
          <w:rFonts w:ascii="Arial" w:cs="Arial" w:eastAsia="Arial" w:hAnsi="Arial"/>
          <w:sz w:val="15"/>
          <w:szCs w:val="15"/>
          <w:color w:val="auto"/>
        </w:rPr>
        <w:t xml:space="preserve">You (or your Contingent Life) may request in writing in a manner specified by us that we deduct a specified amount each month from the amounts we pay to you (or your Contingent Life). The amounts will be applied for payment of your health care premiums and for payment of other benefits that were permitted to be deducted from Plan benefits governed by the Plan. Upon receipt by us of the request, the amount specified in the request shall, subject to our consent, be deducted each month. Deductions will end if we receive a request (in a manner specified by us) from you (or your Contingent Life) to do so. The amount deducted each month shall be transferred on your behalf (or your Contingent Life's behalf) as specified in the request. The amount transferred will be in full settlement of all of our obligations under the Contract with respect to the amount transferred. Deductions by us on your behalf (or on behalf of your Contingent Life) will begin or end, as the case may be, no earlier than the annuity payment that is due at least 30 days following our receipt of the request to begin or end deductions for you or your Contingent Life).] </w:t>
      </w:r>
      <w:r>
        <w:rPr>
          <w:rFonts w:ascii="Arial" w:cs="Arial" w:eastAsia="Arial" w:hAnsi="Arial"/>
          <w:sz w:val="21"/>
          <w:szCs w:val="21"/>
          <w:color w:val="auto"/>
          <w:vertAlign w:val="superscript"/>
        </w:rPr>
        <w:t>D</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Additional Details:</w:t>
      </w:r>
    </w:p>
    <w:p>
      <w:pPr>
        <w:spacing w:after="0" w:line="209" w:lineRule="exact"/>
        <w:rPr>
          <w:sz w:val="20"/>
          <w:szCs w:val="20"/>
          <w:color w:val="auto"/>
        </w:rPr>
      </w:pPr>
    </w:p>
    <w:p>
      <w:pPr>
        <w:ind w:right="640"/>
        <w:spacing w:after="0" w:line="298" w:lineRule="auto"/>
        <w:rPr>
          <w:sz w:val="20"/>
          <w:szCs w:val="20"/>
          <w:color w:val="auto"/>
        </w:rPr>
      </w:pPr>
      <w:r>
        <w:rPr>
          <w:rFonts w:ascii="Arial" w:cs="Arial" w:eastAsia="Arial" w:hAnsi="Arial"/>
          <w:sz w:val="16"/>
          <w:szCs w:val="16"/>
          <w:color w:val="auto"/>
        </w:rPr>
        <w:t>This Certificate contains a summary of certain important terms of the Contract. The Contract contains a more complete description of your rights and Prudential's obligations. The Contract will control in the event of a conflict between the terms of this Certificate and the terms of the Contract.</w:t>
      </w:r>
    </w:p>
    <w:p>
      <w:pPr>
        <w:spacing w:after="0" w:line="344" w:lineRule="exact"/>
        <w:rPr>
          <w:sz w:val="20"/>
          <w:szCs w:val="20"/>
          <w:color w:val="auto"/>
        </w:rPr>
      </w:pPr>
    </w:p>
    <w:p>
      <w:pPr>
        <w:jc w:val="both"/>
        <w:ind w:right="400"/>
        <w:spacing w:after="0" w:line="334" w:lineRule="auto"/>
        <w:rPr>
          <w:sz w:val="20"/>
          <w:szCs w:val="20"/>
          <w:color w:val="auto"/>
        </w:rPr>
      </w:pPr>
      <w:r>
        <w:rPr>
          <w:rFonts w:ascii="Arial" w:cs="Arial" w:eastAsia="Arial" w:hAnsi="Arial"/>
          <w:sz w:val="15"/>
          <w:szCs w:val="15"/>
          <w:color w:val="auto"/>
        </w:rPr>
        <w:t>Upon a change in the requirements of applicable law or a regulation administered by a governmental agency, we may change the Contract and/or this Certificate. If a change is made, it may be done without the consent of the Payee. Any change will be made only as strictly necessary to satisfy the requirements of law or regulation.</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Appendix 1.3 - 28</w:t>
      </w:r>
    </w:p>
    <w:p>
      <w:pPr>
        <w:sectPr>
          <w:pgSz w:w="11900" w:h="16838" w:orient="portrait"/>
          <w:cols w:equalWidth="0" w:num="1">
            <w:col w:w="11420"/>
          </w:cols>
          <w:pgMar w:left="240" w:top="753" w:right="239" w:bottom="1440" w:gutter="0" w:footer="0" w:header="0"/>
        </w:sectPr>
      </w:pPr>
    </w:p>
    <w:bookmarkStart w:id="142" w:name="page143"/>
    <w:bookmarkEnd w:id="142"/>
    <w:tbl>
      <w:tblPr>
        <w:tblLayout w:type="fixed"/>
        <w:tblInd w:w="510" w:type="dxa"/>
        <w:tblCellMar>
          <w:top w:w="0" w:type="dxa"/>
          <w:left w:w="0" w:type="dxa"/>
          <w:bottom w:w="0" w:type="dxa"/>
          <w:right w:w="0" w:type="dxa"/>
        </w:tblCellMar>
      </w:tblPr>
      <w:tr>
        <w:trPr>
          <w:trHeight w:val="254"/>
        </w:trPr>
        <w:tc>
          <w:tcPr>
            <w:tcW w:w="48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Annuity Certificate Section:</w:t>
            </w:r>
          </w:p>
        </w:tc>
        <w:tc>
          <w:tcPr>
            <w:tcW w:w="32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Page Number</w:t>
            </w:r>
          </w:p>
        </w:tc>
      </w:tr>
      <w:tr>
        <w:trPr>
          <w:trHeight w:val="21"/>
        </w:trPr>
        <w:tc>
          <w:tcPr>
            <w:tcW w:w="48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200" w:type="dxa"/>
            <w:vAlign w:val="bottom"/>
            <w:tcBorders>
              <w:bottom w:val="single" w:sz="8" w:color="auto"/>
              <w:right w:val="single" w:sz="8" w:color="auto"/>
            </w:tcBorders>
          </w:tcPr>
          <w:p>
            <w:pPr>
              <w:spacing w:after="0" w:line="20" w:lineRule="exact"/>
              <w:rPr>
                <w:sz w:val="1"/>
                <w:szCs w:val="1"/>
                <w:color w:val="auto"/>
              </w:rPr>
            </w:pPr>
          </w:p>
        </w:tc>
      </w:tr>
      <w:tr>
        <w:trPr>
          <w:trHeight w:val="706"/>
        </w:trPr>
        <w:tc>
          <w:tcPr>
            <w:tcW w:w="4840" w:type="dxa"/>
            <w:vAlign w:val="bottom"/>
            <w:tcBorders>
              <w:left w:val="single" w:sz="8" w:color="auto"/>
              <w:bottom w:val="single" w:sz="8" w:color="auto"/>
              <w:right w:val="single" w:sz="8" w:color="auto"/>
            </w:tcBorders>
          </w:tcPr>
          <w:p>
            <w:pPr>
              <w:spacing w:after="0"/>
              <w:rPr>
                <w:sz w:val="24"/>
                <w:szCs w:val="24"/>
                <w:color w:val="auto"/>
              </w:rPr>
            </w:pPr>
          </w:p>
        </w:tc>
        <w:tc>
          <w:tcPr>
            <w:tcW w:w="3200" w:type="dxa"/>
            <w:vAlign w:val="bottom"/>
            <w:tcBorders>
              <w:bottom w:val="single" w:sz="8" w:color="auto"/>
              <w:right w:val="single" w:sz="8" w:color="auto"/>
            </w:tcBorders>
          </w:tcPr>
          <w:p>
            <w:pPr>
              <w:spacing w:after="0"/>
              <w:rPr>
                <w:sz w:val="24"/>
                <w:szCs w:val="24"/>
                <w:color w:val="auto"/>
              </w:rPr>
            </w:pPr>
          </w:p>
        </w:tc>
      </w:tr>
      <w:tr>
        <w:trPr>
          <w:trHeight w:val="234"/>
        </w:trPr>
        <w:tc>
          <w:tcPr>
            <w:tcW w:w="4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Table of Information</w:t>
            </w: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w:t>
            </w:r>
          </w:p>
        </w:tc>
      </w:tr>
      <w:tr>
        <w:trPr>
          <w:trHeight w:val="21"/>
        </w:trPr>
        <w:tc>
          <w:tcPr>
            <w:tcW w:w="48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200" w:type="dxa"/>
            <w:vAlign w:val="bottom"/>
            <w:tcBorders>
              <w:bottom w:val="single" w:sz="8" w:color="auto"/>
              <w:right w:val="single" w:sz="8" w:color="auto"/>
            </w:tcBorders>
          </w:tcPr>
          <w:p>
            <w:pPr>
              <w:spacing w:after="0" w:line="20" w:lineRule="exact"/>
              <w:rPr>
                <w:sz w:val="1"/>
                <w:szCs w:val="1"/>
                <w:color w:val="auto"/>
              </w:rPr>
            </w:pPr>
          </w:p>
        </w:tc>
      </w:tr>
      <w:tr>
        <w:trPr>
          <w:trHeight w:val="234"/>
        </w:trPr>
        <w:tc>
          <w:tcPr>
            <w:tcW w:w="4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Prudential's Guarantee</w:t>
            </w: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2</w:t>
            </w:r>
          </w:p>
        </w:tc>
      </w:tr>
      <w:tr>
        <w:trPr>
          <w:trHeight w:val="21"/>
        </w:trPr>
        <w:tc>
          <w:tcPr>
            <w:tcW w:w="48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200" w:type="dxa"/>
            <w:vAlign w:val="bottom"/>
            <w:tcBorders>
              <w:bottom w:val="single" w:sz="8" w:color="auto"/>
              <w:right w:val="single" w:sz="8" w:color="auto"/>
            </w:tcBorders>
          </w:tcPr>
          <w:p>
            <w:pPr>
              <w:spacing w:after="0" w:line="20" w:lineRule="exact"/>
              <w:rPr>
                <w:sz w:val="1"/>
                <w:szCs w:val="1"/>
                <w:color w:val="auto"/>
              </w:rPr>
            </w:pPr>
          </w:p>
        </w:tc>
      </w:tr>
      <w:tr>
        <w:trPr>
          <w:trHeight w:val="234"/>
        </w:trPr>
        <w:tc>
          <w:tcPr>
            <w:tcW w:w="4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Definitions &amp; References</w:t>
            </w: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2</w:t>
            </w:r>
          </w:p>
        </w:tc>
      </w:tr>
      <w:tr>
        <w:trPr>
          <w:trHeight w:val="21"/>
        </w:trPr>
        <w:tc>
          <w:tcPr>
            <w:tcW w:w="48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200" w:type="dxa"/>
            <w:vAlign w:val="bottom"/>
            <w:tcBorders>
              <w:bottom w:val="single" w:sz="8" w:color="auto"/>
              <w:right w:val="single" w:sz="8" w:color="auto"/>
            </w:tcBorders>
          </w:tcPr>
          <w:p>
            <w:pPr>
              <w:spacing w:after="0" w:line="20" w:lineRule="exact"/>
              <w:rPr>
                <w:sz w:val="1"/>
                <w:szCs w:val="1"/>
                <w:color w:val="auto"/>
              </w:rPr>
            </w:pPr>
          </w:p>
        </w:tc>
      </w:tr>
      <w:tr>
        <w:trPr>
          <w:trHeight w:val="234"/>
        </w:trPr>
        <w:tc>
          <w:tcPr>
            <w:tcW w:w="4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Payment Terms</w:t>
            </w: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2</w:t>
            </w:r>
          </w:p>
        </w:tc>
      </w:tr>
      <w:tr>
        <w:trPr>
          <w:trHeight w:val="21"/>
        </w:trPr>
        <w:tc>
          <w:tcPr>
            <w:tcW w:w="48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200" w:type="dxa"/>
            <w:vAlign w:val="bottom"/>
            <w:tcBorders>
              <w:bottom w:val="single" w:sz="8" w:color="auto"/>
              <w:right w:val="single" w:sz="8" w:color="auto"/>
            </w:tcBorders>
          </w:tcPr>
          <w:p>
            <w:pPr>
              <w:spacing w:after="0" w:line="20" w:lineRule="exact"/>
              <w:rPr>
                <w:sz w:val="1"/>
                <w:szCs w:val="1"/>
                <w:color w:val="auto"/>
              </w:rPr>
            </w:pPr>
          </w:p>
        </w:tc>
      </w:tr>
      <w:tr>
        <w:trPr>
          <w:trHeight w:val="234"/>
        </w:trPr>
        <w:tc>
          <w:tcPr>
            <w:tcW w:w="4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Method of Payment</w:t>
            </w: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2</w:t>
            </w:r>
          </w:p>
        </w:tc>
      </w:tr>
      <w:tr>
        <w:trPr>
          <w:trHeight w:val="21"/>
        </w:trPr>
        <w:tc>
          <w:tcPr>
            <w:tcW w:w="48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200" w:type="dxa"/>
            <w:vAlign w:val="bottom"/>
            <w:tcBorders>
              <w:bottom w:val="single" w:sz="8" w:color="auto"/>
              <w:right w:val="single" w:sz="8" w:color="auto"/>
            </w:tcBorders>
          </w:tcPr>
          <w:p>
            <w:pPr>
              <w:spacing w:after="0" w:line="20" w:lineRule="exact"/>
              <w:rPr>
                <w:sz w:val="1"/>
                <w:szCs w:val="1"/>
                <w:color w:val="auto"/>
              </w:rPr>
            </w:pPr>
          </w:p>
        </w:tc>
      </w:tr>
      <w:tr>
        <w:trPr>
          <w:trHeight w:val="234"/>
        </w:trPr>
        <w:tc>
          <w:tcPr>
            <w:tcW w:w="4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Correspondence</w:t>
            </w: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2</w:t>
            </w:r>
          </w:p>
        </w:tc>
      </w:tr>
      <w:tr>
        <w:trPr>
          <w:trHeight w:val="21"/>
        </w:trPr>
        <w:tc>
          <w:tcPr>
            <w:tcW w:w="48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200" w:type="dxa"/>
            <w:vAlign w:val="bottom"/>
            <w:tcBorders>
              <w:bottom w:val="single" w:sz="8" w:color="auto"/>
              <w:right w:val="single" w:sz="8" w:color="auto"/>
            </w:tcBorders>
          </w:tcPr>
          <w:p>
            <w:pPr>
              <w:spacing w:after="0" w:line="20" w:lineRule="exact"/>
              <w:rPr>
                <w:sz w:val="1"/>
                <w:szCs w:val="1"/>
                <w:color w:val="auto"/>
              </w:rPr>
            </w:pPr>
          </w:p>
        </w:tc>
      </w:tr>
      <w:tr>
        <w:trPr>
          <w:trHeight w:val="234"/>
        </w:trPr>
        <w:tc>
          <w:tcPr>
            <w:tcW w:w="4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Beneficiaries</w:t>
            </w: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3</w:t>
            </w:r>
          </w:p>
        </w:tc>
      </w:tr>
      <w:tr>
        <w:trPr>
          <w:trHeight w:val="21"/>
        </w:trPr>
        <w:tc>
          <w:tcPr>
            <w:tcW w:w="48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200" w:type="dxa"/>
            <w:vAlign w:val="bottom"/>
            <w:tcBorders>
              <w:bottom w:val="single" w:sz="8" w:color="auto"/>
              <w:right w:val="single" w:sz="8" w:color="auto"/>
            </w:tcBorders>
          </w:tcPr>
          <w:p>
            <w:pPr>
              <w:spacing w:after="0" w:line="20" w:lineRule="exact"/>
              <w:rPr>
                <w:sz w:val="1"/>
                <w:szCs w:val="1"/>
                <w:color w:val="auto"/>
              </w:rPr>
            </w:pPr>
          </w:p>
        </w:tc>
      </w:tr>
      <w:tr>
        <w:trPr>
          <w:trHeight w:val="234"/>
        </w:trPr>
        <w:tc>
          <w:tcPr>
            <w:tcW w:w="4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Assignment</w:t>
            </w: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3</w:t>
            </w:r>
          </w:p>
        </w:tc>
      </w:tr>
      <w:tr>
        <w:trPr>
          <w:trHeight w:val="21"/>
        </w:trPr>
        <w:tc>
          <w:tcPr>
            <w:tcW w:w="48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200" w:type="dxa"/>
            <w:vAlign w:val="bottom"/>
            <w:tcBorders>
              <w:bottom w:val="single" w:sz="8" w:color="auto"/>
              <w:right w:val="single" w:sz="8" w:color="auto"/>
            </w:tcBorders>
          </w:tcPr>
          <w:p>
            <w:pPr>
              <w:spacing w:after="0" w:line="20" w:lineRule="exact"/>
              <w:rPr>
                <w:sz w:val="1"/>
                <w:szCs w:val="1"/>
                <w:color w:val="auto"/>
              </w:rPr>
            </w:pPr>
          </w:p>
        </w:tc>
      </w:tr>
      <w:tr>
        <w:trPr>
          <w:trHeight w:val="234"/>
        </w:trPr>
        <w:tc>
          <w:tcPr>
            <w:tcW w:w="4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Qualified Domestic Relations Orders</w:t>
            </w: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3</w:t>
            </w:r>
          </w:p>
        </w:tc>
      </w:tr>
      <w:tr>
        <w:trPr>
          <w:trHeight w:val="21"/>
        </w:trPr>
        <w:tc>
          <w:tcPr>
            <w:tcW w:w="48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200" w:type="dxa"/>
            <w:vAlign w:val="bottom"/>
            <w:tcBorders>
              <w:bottom w:val="single" w:sz="8" w:color="auto"/>
              <w:right w:val="single" w:sz="8" w:color="auto"/>
            </w:tcBorders>
          </w:tcPr>
          <w:p>
            <w:pPr>
              <w:spacing w:after="0" w:line="20" w:lineRule="exact"/>
              <w:rPr>
                <w:sz w:val="1"/>
                <w:szCs w:val="1"/>
                <w:color w:val="auto"/>
              </w:rPr>
            </w:pPr>
          </w:p>
        </w:tc>
      </w:tr>
      <w:tr>
        <w:trPr>
          <w:trHeight w:val="234"/>
        </w:trPr>
        <w:tc>
          <w:tcPr>
            <w:tcW w:w="4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Reliance Upon Affidavit or Other Evidence</w:t>
            </w: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3</w:t>
            </w:r>
          </w:p>
        </w:tc>
      </w:tr>
      <w:tr>
        <w:trPr>
          <w:trHeight w:val="21"/>
        </w:trPr>
        <w:tc>
          <w:tcPr>
            <w:tcW w:w="48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200" w:type="dxa"/>
            <w:vAlign w:val="bottom"/>
            <w:tcBorders>
              <w:bottom w:val="single" w:sz="8" w:color="auto"/>
              <w:right w:val="single" w:sz="8" w:color="auto"/>
            </w:tcBorders>
          </w:tcPr>
          <w:p>
            <w:pPr>
              <w:spacing w:after="0" w:line="20" w:lineRule="exact"/>
              <w:rPr>
                <w:sz w:val="1"/>
                <w:szCs w:val="1"/>
                <w:color w:val="auto"/>
              </w:rPr>
            </w:pPr>
          </w:p>
        </w:tc>
      </w:tr>
      <w:tr>
        <w:trPr>
          <w:trHeight w:val="234"/>
        </w:trPr>
        <w:tc>
          <w:tcPr>
            <w:tcW w:w="4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Misstatements</w:t>
            </w: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3</w:t>
            </w:r>
          </w:p>
        </w:tc>
      </w:tr>
      <w:tr>
        <w:trPr>
          <w:trHeight w:val="21"/>
        </w:trPr>
        <w:tc>
          <w:tcPr>
            <w:tcW w:w="48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200" w:type="dxa"/>
            <w:vAlign w:val="bottom"/>
            <w:tcBorders>
              <w:bottom w:val="single" w:sz="8" w:color="auto"/>
              <w:right w:val="single" w:sz="8" w:color="auto"/>
            </w:tcBorders>
          </w:tcPr>
          <w:p>
            <w:pPr>
              <w:spacing w:after="0" w:line="20" w:lineRule="exact"/>
              <w:rPr>
                <w:sz w:val="1"/>
                <w:szCs w:val="1"/>
                <w:color w:val="auto"/>
              </w:rPr>
            </w:pPr>
          </w:p>
        </w:tc>
      </w:tr>
      <w:tr>
        <w:trPr>
          <w:trHeight w:val="234"/>
        </w:trPr>
        <w:tc>
          <w:tcPr>
            <w:tcW w:w="4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Supplemental Information</w:t>
            </w: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4</w:t>
            </w:r>
          </w:p>
        </w:tc>
      </w:tr>
      <w:tr>
        <w:trPr>
          <w:trHeight w:val="21"/>
        </w:trPr>
        <w:tc>
          <w:tcPr>
            <w:tcW w:w="48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200" w:type="dxa"/>
            <w:vAlign w:val="bottom"/>
            <w:tcBorders>
              <w:bottom w:val="single" w:sz="8" w:color="auto"/>
              <w:right w:val="single" w:sz="8" w:color="auto"/>
            </w:tcBorders>
          </w:tcPr>
          <w:p>
            <w:pPr>
              <w:spacing w:after="0" w:line="20" w:lineRule="exact"/>
              <w:rPr>
                <w:sz w:val="1"/>
                <w:szCs w:val="1"/>
                <w:color w:val="auto"/>
              </w:rPr>
            </w:pPr>
          </w:p>
        </w:tc>
      </w:tr>
      <w:tr>
        <w:trPr>
          <w:trHeight w:val="234"/>
        </w:trPr>
        <w:tc>
          <w:tcPr>
            <w:tcW w:w="4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Certificate Errors and Replacement Certificate</w:t>
            </w: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4</w:t>
            </w:r>
          </w:p>
        </w:tc>
      </w:tr>
      <w:tr>
        <w:trPr>
          <w:trHeight w:val="21"/>
        </w:trPr>
        <w:tc>
          <w:tcPr>
            <w:tcW w:w="48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200" w:type="dxa"/>
            <w:vAlign w:val="bottom"/>
            <w:tcBorders>
              <w:bottom w:val="single" w:sz="8" w:color="auto"/>
              <w:right w:val="single" w:sz="8" w:color="auto"/>
            </w:tcBorders>
          </w:tcPr>
          <w:p>
            <w:pPr>
              <w:spacing w:after="0" w:line="20" w:lineRule="exact"/>
              <w:rPr>
                <w:sz w:val="1"/>
                <w:szCs w:val="1"/>
                <w:color w:val="auto"/>
              </w:rPr>
            </w:pPr>
          </w:p>
        </w:tc>
      </w:tr>
      <w:tr>
        <w:trPr>
          <w:trHeight w:val="234"/>
        </w:trPr>
        <w:tc>
          <w:tcPr>
            <w:tcW w:w="4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Entire Contract</w:t>
            </w: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4</w:t>
            </w:r>
          </w:p>
        </w:tc>
      </w:tr>
      <w:tr>
        <w:trPr>
          <w:trHeight w:val="21"/>
        </w:trPr>
        <w:tc>
          <w:tcPr>
            <w:tcW w:w="48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200" w:type="dxa"/>
            <w:vAlign w:val="bottom"/>
            <w:tcBorders>
              <w:bottom w:val="single" w:sz="8" w:color="auto"/>
              <w:right w:val="single" w:sz="8" w:color="auto"/>
            </w:tcBorders>
          </w:tcPr>
          <w:p>
            <w:pPr>
              <w:spacing w:after="0" w:line="20" w:lineRule="exact"/>
              <w:rPr>
                <w:sz w:val="1"/>
                <w:szCs w:val="1"/>
                <w:color w:val="auto"/>
              </w:rPr>
            </w:pPr>
          </w:p>
        </w:tc>
      </w:tr>
      <w:tr>
        <w:trPr>
          <w:trHeight w:val="234"/>
        </w:trPr>
        <w:tc>
          <w:tcPr>
            <w:tcW w:w="4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Rights of Payees</w:t>
            </w: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4</w:t>
            </w:r>
          </w:p>
        </w:tc>
      </w:tr>
      <w:tr>
        <w:trPr>
          <w:trHeight w:val="21"/>
        </w:trPr>
        <w:tc>
          <w:tcPr>
            <w:tcW w:w="48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200" w:type="dxa"/>
            <w:vAlign w:val="bottom"/>
            <w:tcBorders>
              <w:bottom w:val="single" w:sz="8" w:color="auto"/>
              <w:right w:val="single" w:sz="8" w:color="auto"/>
            </w:tcBorders>
          </w:tcPr>
          <w:p>
            <w:pPr>
              <w:spacing w:after="0" w:line="20" w:lineRule="exact"/>
              <w:rPr>
                <w:sz w:val="1"/>
                <w:szCs w:val="1"/>
                <w:color w:val="auto"/>
              </w:rPr>
            </w:pPr>
          </w:p>
        </w:tc>
      </w:tr>
      <w:tr>
        <w:trPr>
          <w:trHeight w:val="234"/>
        </w:trPr>
        <w:tc>
          <w:tcPr>
            <w:tcW w:w="4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Prudential Telephone Number</w:t>
            </w: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5</w:t>
            </w:r>
          </w:p>
        </w:tc>
      </w:tr>
      <w:tr>
        <w:trPr>
          <w:trHeight w:val="21"/>
        </w:trPr>
        <w:tc>
          <w:tcPr>
            <w:tcW w:w="48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200" w:type="dxa"/>
            <w:vAlign w:val="bottom"/>
            <w:tcBorders>
              <w:bottom w:val="single" w:sz="8" w:color="auto"/>
              <w:right w:val="single" w:sz="8" w:color="auto"/>
            </w:tcBorders>
          </w:tcPr>
          <w:p>
            <w:pPr>
              <w:spacing w:after="0" w:line="20" w:lineRule="exact"/>
              <w:rPr>
                <w:sz w:val="1"/>
                <w:szCs w:val="1"/>
                <w:color w:val="auto"/>
              </w:rPr>
            </w:pPr>
          </w:p>
        </w:tc>
      </w:tr>
      <w:tr>
        <w:trPr>
          <w:trHeight w:val="234"/>
        </w:trPr>
        <w:tc>
          <w:tcPr>
            <w:tcW w:w="4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Deductions from Annuity Payments</w:t>
            </w: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5</w:t>
            </w:r>
          </w:p>
        </w:tc>
      </w:tr>
      <w:tr>
        <w:trPr>
          <w:trHeight w:val="21"/>
        </w:trPr>
        <w:tc>
          <w:tcPr>
            <w:tcW w:w="48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200" w:type="dxa"/>
            <w:vAlign w:val="bottom"/>
            <w:tcBorders>
              <w:bottom w:val="single" w:sz="8" w:color="auto"/>
              <w:right w:val="single" w:sz="8" w:color="auto"/>
            </w:tcBorders>
          </w:tcPr>
          <w:p>
            <w:pPr>
              <w:spacing w:after="0" w:line="20" w:lineRule="exact"/>
              <w:rPr>
                <w:sz w:val="1"/>
                <w:szCs w:val="1"/>
                <w:color w:val="auto"/>
              </w:rPr>
            </w:pPr>
          </w:p>
        </w:tc>
      </w:tr>
      <w:tr>
        <w:trPr>
          <w:trHeight w:val="234"/>
        </w:trPr>
        <w:tc>
          <w:tcPr>
            <w:tcW w:w="4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Additional Details</w:t>
            </w: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5</w:t>
            </w:r>
          </w:p>
        </w:tc>
      </w:tr>
      <w:tr>
        <w:trPr>
          <w:trHeight w:val="21"/>
        </w:trPr>
        <w:tc>
          <w:tcPr>
            <w:tcW w:w="48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200" w:type="dxa"/>
            <w:vAlign w:val="bottom"/>
            <w:tcBorders>
              <w:bottom w:val="single" w:sz="8" w:color="auto"/>
              <w:right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THE PRUDENTIAL INSURANCE</w:t>
      </w:r>
    </w:p>
    <w:p>
      <w:pPr>
        <w:spacing w:after="0" w:line="30"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COMPANY OF AMERICA</w:t>
      </w:r>
    </w:p>
    <w:p>
      <w:pPr>
        <w:spacing w:after="0" w:line="8"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Newark, New Jersey</w:t>
      </w:r>
    </w:p>
    <w:p>
      <w:pPr>
        <w:spacing w:after="0" w:line="178"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u w:val="single" w:color="auto"/>
          <w:color w:val="auto"/>
        </w:rPr>
        <w:t>ANNUITY CERTIFICATE</w:t>
      </w:r>
    </w:p>
    <w:p>
      <w:pPr>
        <w:spacing w:after="0" w:line="206" w:lineRule="exact"/>
        <w:rPr>
          <w:sz w:val="20"/>
          <w:szCs w:val="20"/>
          <w:color w:val="auto"/>
        </w:rPr>
      </w:pPr>
    </w:p>
    <w:p>
      <w:pPr>
        <w:ind w:left="3700"/>
        <w:spacing w:after="0"/>
        <w:rPr>
          <w:sz w:val="20"/>
          <w:szCs w:val="20"/>
          <w:color w:val="auto"/>
        </w:rPr>
      </w:pPr>
      <w:r>
        <w:rPr>
          <w:rFonts w:ascii="Arial" w:cs="Arial" w:eastAsia="Arial" w:hAnsi="Arial"/>
          <w:sz w:val="18"/>
          <w:szCs w:val="18"/>
          <w:b w:val="1"/>
          <w:bCs w:val="1"/>
          <w:u w:val="single" w:color="auto"/>
          <w:color w:val="auto"/>
        </w:rPr>
        <w:t>Table of Information</w:t>
      </w:r>
    </w:p>
    <w:p>
      <w:pPr>
        <w:spacing w:after="0" w:line="200" w:lineRule="exact"/>
        <w:rPr>
          <w:sz w:val="20"/>
          <w:szCs w:val="20"/>
          <w:color w:val="auto"/>
        </w:rPr>
      </w:pPr>
    </w:p>
    <w:p>
      <w:pPr>
        <w:spacing w:after="0" w:line="240" w:lineRule="exact"/>
        <w:rPr>
          <w:sz w:val="20"/>
          <w:szCs w:val="20"/>
          <w:color w:val="auto"/>
        </w:rPr>
      </w:pPr>
    </w:p>
    <w:p>
      <w:pPr>
        <w:ind w:left="3900"/>
        <w:spacing w:after="0"/>
        <w:rPr>
          <w:sz w:val="20"/>
          <w:szCs w:val="20"/>
          <w:color w:val="auto"/>
        </w:rPr>
      </w:pPr>
      <w:r>
        <w:rPr>
          <w:rFonts w:ascii="Arial" w:cs="Arial" w:eastAsia="Arial" w:hAnsi="Arial"/>
          <w:sz w:val="17"/>
          <w:szCs w:val="17"/>
          <w:color w:val="auto"/>
        </w:rPr>
        <w:t>Appendix 1.3 - 29</w:t>
      </w:r>
    </w:p>
    <w:p>
      <w:pPr>
        <w:sectPr>
          <w:pgSz w:w="11900" w:h="16838" w:orient="portrait"/>
          <w:cols w:equalWidth="0" w:num="1">
            <w:col w:w="10220"/>
          </w:cols>
          <w:pgMar w:left="1440" w:top="670" w:right="239" w:bottom="1440" w:gutter="0" w:footer="0" w:header="0"/>
        </w:sectPr>
      </w:pPr>
    </w:p>
    <w:bookmarkStart w:id="143" w:name="page144"/>
    <w:bookmarkEnd w:id="143"/>
    <w:tbl>
      <w:tblPr>
        <w:tblLayout w:type="fixed"/>
        <w:tblInd w:w="490" w:type="dxa"/>
        <w:tblCellMar>
          <w:top w:w="0" w:type="dxa"/>
          <w:left w:w="0" w:type="dxa"/>
          <w:bottom w:w="0" w:type="dxa"/>
          <w:right w:w="0" w:type="dxa"/>
        </w:tblCellMar>
      </w:tblPr>
      <w:tr>
        <w:trPr>
          <w:trHeight w:val="275"/>
        </w:trPr>
        <w:tc>
          <w:tcPr>
            <w:tcW w:w="4840" w:type="dxa"/>
            <w:vAlign w:val="bottom"/>
            <w:tcBorders>
              <w:top w:val="single" w:sz="8" w:color="C0C0C0"/>
              <w:left w:val="single" w:sz="8" w:color="C0C0C0"/>
              <w:bottom w:val="single" w:sz="8" w:color="C0C0C0"/>
              <w:right w:val="single" w:sz="8" w:color="C0C0C0"/>
            </w:tcBorders>
          </w:tcPr>
          <w:p>
            <w:pPr>
              <w:ind w:left="40"/>
              <w:spacing w:after="0"/>
              <w:rPr>
                <w:sz w:val="20"/>
                <w:szCs w:val="20"/>
                <w:color w:val="auto"/>
              </w:rPr>
            </w:pPr>
            <w:r>
              <w:rPr>
                <w:rFonts w:ascii="Arial" w:cs="Arial" w:eastAsia="Arial" w:hAnsi="Arial"/>
                <w:sz w:val="18"/>
                <w:szCs w:val="18"/>
                <w:i w:val="1"/>
                <w:iCs w:val="1"/>
                <w:color w:val="auto"/>
              </w:rPr>
              <w:t>Covered Life:</w:t>
            </w:r>
          </w:p>
        </w:tc>
        <w:tc>
          <w:tcPr>
            <w:tcW w:w="5660" w:type="dxa"/>
            <w:vAlign w:val="bottom"/>
            <w:tcBorders>
              <w:top w:val="single" w:sz="8" w:color="C0C0C0"/>
              <w:bottom w:val="single" w:sz="8" w:color="C0C0C0"/>
              <w:right w:val="single" w:sz="8" w:color="C0C0C0"/>
            </w:tcBorders>
          </w:tcPr>
          <w:p>
            <w:pPr>
              <w:ind w:left="20"/>
              <w:spacing w:after="0"/>
              <w:rPr>
                <w:sz w:val="20"/>
                <w:szCs w:val="20"/>
                <w:color w:val="auto"/>
              </w:rPr>
            </w:pPr>
            <w:r>
              <w:rPr>
                <w:rFonts w:ascii="Arial" w:cs="Arial" w:eastAsia="Arial" w:hAnsi="Arial"/>
                <w:sz w:val="18"/>
                <w:szCs w:val="18"/>
                <w:color w:val="auto"/>
              </w:rPr>
              <w:t xml:space="preserve">[Covered Life Name] </w:t>
            </w:r>
            <w:r>
              <w:rPr>
                <w:rFonts w:ascii="Arial" w:cs="Arial" w:eastAsia="Arial" w:hAnsi="Arial"/>
                <w:sz w:val="23"/>
                <w:szCs w:val="23"/>
                <w:color w:val="auto"/>
                <w:vertAlign w:val="superscript"/>
              </w:rPr>
              <w:t>A</w:t>
            </w:r>
          </w:p>
        </w:tc>
      </w:tr>
      <w:tr>
        <w:trPr>
          <w:trHeight w:val="243"/>
        </w:trPr>
        <w:tc>
          <w:tcPr>
            <w:tcW w:w="4840" w:type="dxa"/>
            <w:vAlign w:val="bottom"/>
            <w:tcBorders>
              <w:left w:val="single" w:sz="8" w:color="C0C0C0"/>
              <w:bottom w:val="single" w:sz="8" w:color="C0C0C0"/>
              <w:right w:val="single" w:sz="8" w:color="C0C0C0"/>
            </w:tcBorders>
          </w:tcPr>
          <w:p>
            <w:pPr>
              <w:spacing w:after="0"/>
              <w:rPr>
                <w:sz w:val="21"/>
                <w:szCs w:val="21"/>
                <w:color w:val="auto"/>
              </w:rPr>
            </w:pPr>
          </w:p>
        </w:tc>
        <w:tc>
          <w:tcPr>
            <w:tcW w:w="5660" w:type="dxa"/>
            <w:vAlign w:val="bottom"/>
            <w:tcBorders>
              <w:bottom w:val="single" w:sz="8" w:color="C0C0C0"/>
              <w:right w:val="single" w:sz="8" w:color="C0C0C0"/>
            </w:tcBorders>
          </w:tcPr>
          <w:p>
            <w:pPr>
              <w:spacing w:after="0"/>
              <w:rPr>
                <w:sz w:val="21"/>
                <w:szCs w:val="21"/>
                <w:color w:val="auto"/>
              </w:rPr>
            </w:pPr>
          </w:p>
        </w:tc>
      </w:tr>
      <w:tr>
        <w:trPr>
          <w:trHeight w:val="255"/>
        </w:trPr>
        <w:tc>
          <w:tcPr>
            <w:tcW w:w="4840" w:type="dxa"/>
            <w:vAlign w:val="bottom"/>
            <w:tcBorders>
              <w:left w:val="single" w:sz="8" w:color="C0C0C0"/>
              <w:bottom w:val="single" w:sz="8" w:color="C0C0C0"/>
              <w:right w:val="single" w:sz="8" w:color="C0C0C0"/>
            </w:tcBorders>
          </w:tcPr>
          <w:p>
            <w:pPr>
              <w:ind w:left="40"/>
              <w:spacing w:after="0"/>
              <w:rPr>
                <w:sz w:val="20"/>
                <w:szCs w:val="20"/>
                <w:color w:val="auto"/>
              </w:rPr>
            </w:pPr>
            <w:r>
              <w:rPr>
                <w:rFonts w:ascii="Arial" w:cs="Arial" w:eastAsia="Arial" w:hAnsi="Arial"/>
                <w:sz w:val="18"/>
                <w:szCs w:val="18"/>
                <w:b w:val="1"/>
                <w:bCs w:val="1"/>
                <w:i w:val="1"/>
                <w:iCs w:val="1"/>
                <w:color w:val="auto"/>
              </w:rPr>
              <w:t>Covered Life's Sex and Date of Birth:</w:t>
            </w:r>
          </w:p>
        </w:tc>
        <w:tc>
          <w:tcPr>
            <w:tcW w:w="5660" w:type="dxa"/>
            <w:vAlign w:val="bottom"/>
            <w:tcBorders>
              <w:bottom w:val="single" w:sz="8" w:color="C0C0C0"/>
              <w:right w:val="single" w:sz="8" w:color="C0C0C0"/>
            </w:tcBorders>
          </w:tcPr>
          <w:p>
            <w:pPr>
              <w:ind w:left="20"/>
              <w:spacing w:after="0" w:line="255" w:lineRule="exact"/>
              <w:rPr>
                <w:sz w:val="20"/>
                <w:szCs w:val="20"/>
                <w:color w:val="auto"/>
              </w:rPr>
            </w:pPr>
            <w:r>
              <w:rPr>
                <w:rFonts w:ascii="Arial" w:cs="Arial" w:eastAsia="Arial" w:hAnsi="Arial"/>
                <w:sz w:val="18"/>
                <w:szCs w:val="18"/>
                <w:color w:val="auto"/>
              </w:rPr>
              <w:t xml:space="preserve">[Male/Female, Date] </w:t>
            </w:r>
            <w:r>
              <w:rPr>
                <w:rFonts w:ascii="Arial" w:cs="Arial" w:eastAsia="Arial" w:hAnsi="Arial"/>
                <w:sz w:val="23"/>
                <w:szCs w:val="23"/>
                <w:color w:val="auto"/>
                <w:vertAlign w:val="superscript"/>
              </w:rPr>
              <w:t>A</w:t>
            </w:r>
          </w:p>
        </w:tc>
      </w:tr>
      <w:tr>
        <w:trPr>
          <w:trHeight w:val="243"/>
        </w:trPr>
        <w:tc>
          <w:tcPr>
            <w:tcW w:w="4840" w:type="dxa"/>
            <w:vAlign w:val="bottom"/>
            <w:tcBorders>
              <w:left w:val="single" w:sz="8" w:color="C0C0C0"/>
              <w:bottom w:val="single" w:sz="8" w:color="C0C0C0"/>
              <w:right w:val="single" w:sz="8" w:color="C0C0C0"/>
            </w:tcBorders>
          </w:tcPr>
          <w:p>
            <w:pPr>
              <w:spacing w:after="0"/>
              <w:rPr>
                <w:sz w:val="21"/>
                <w:szCs w:val="21"/>
                <w:color w:val="auto"/>
              </w:rPr>
            </w:pPr>
          </w:p>
        </w:tc>
        <w:tc>
          <w:tcPr>
            <w:tcW w:w="5660" w:type="dxa"/>
            <w:vAlign w:val="bottom"/>
            <w:tcBorders>
              <w:bottom w:val="single" w:sz="8" w:color="C0C0C0"/>
              <w:right w:val="single" w:sz="8" w:color="C0C0C0"/>
            </w:tcBorders>
          </w:tcPr>
          <w:p>
            <w:pPr>
              <w:spacing w:after="0"/>
              <w:rPr>
                <w:sz w:val="21"/>
                <w:szCs w:val="21"/>
                <w:color w:val="auto"/>
              </w:rPr>
            </w:pPr>
          </w:p>
        </w:tc>
      </w:tr>
      <w:tr>
        <w:trPr>
          <w:trHeight w:val="255"/>
        </w:trPr>
        <w:tc>
          <w:tcPr>
            <w:tcW w:w="4840" w:type="dxa"/>
            <w:vAlign w:val="bottom"/>
            <w:tcBorders>
              <w:left w:val="single" w:sz="8" w:color="C0C0C0"/>
              <w:bottom w:val="single" w:sz="8" w:color="C0C0C0"/>
              <w:right w:val="single" w:sz="8" w:color="C0C0C0"/>
            </w:tcBorders>
          </w:tcPr>
          <w:p>
            <w:pPr>
              <w:ind w:left="40"/>
              <w:spacing w:after="0"/>
              <w:rPr>
                <w:sz w:val="20"/>
                <w:szCs w:val="20"/>
                <w:color w:val="auto"/>
              </w:rPr>
            </w:pPr>
            <w:r>
              <w:rPr>
                <w:rFonts w:ascii="Arial" w:cs="Arial" w:eastAsia="Arial" w:hAnsi="Arial"/>
                <w:sz w:val="18"/>
                <w:szCs w:val="18"/>
                <w:i w:val="1"/>
                <w:iCs w:val="1"/>
                <w:color w:val="auto"/>
              </w:rPr>
              <w:t>Annuity Certificate Number:</w:t>
            </w:r>
          </w:p>
        </w:tc>
        <w:tc>
          <w:tcPr>
            <w:tcW w:w="5660" w:type="dxa"/>
            <w:vAlign w:val="bottom"/>
            <w:tcBorders>
              <w:bottom w:val="single" w:sz="8" w:color="C0C0C0"/>
              <w:right w:val="single" w:sz="8" w:color="C0C0C0"/>
            </w:tcBorders>
          </w:tcPr>
          <w:p>
            <w:pPr>
              <w:ind w:left="20"/>
              <w:spacing w:after="0" w:line="255" w:lineRule="exact"/>
              <w:rPr>
                <w:sz w:val="20"/>
                <w:szCs w:val="20"/>
                <w:color w:val="auto"/>
              </w:rPr>
            </w:pPr>
            <w:r>
              <w:rPr>
                <w:rFonts w:ascii="Arial" w:cs="Arial" w:eastAsia="Arial" w:hAnsi="Arial"/>
                <w:sz w:val="18"/>
                <w:szCs w:val="18"/>
                <w:color w:val="auto"/>
              </w:rPr>
              <w:t>[Certificate Number</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23"/>
                <w:szCs w:val="23"/>
                <w:b w:val="1"/>
                <w:bCs w:val="1"/>
                <w:color w:val="auto"/>
                <w:vertAlign w:val="superscript"/>
              </w:rPr>
              <w:t>A</w:t>
            </w:r>
          </w:p>
        </w:tc>
      </w:tr>
      <w:tr>
        <w:trPr>
          <w:trHeight w:val="243"/>
        </w:trPr>
        <w:tc>
          <w:tcPr>
            <w:tcW w:w="4840" w:type="dxa"/>
            <w:vAlign w:val="bottom"/>
            <w:tcBorders>
              <w:left w:val="single" w:sz="8" w:color="C0C0C0"/>
              <w:bottom w:val="single" w:sz="8" w:color="C0C0C0"/>
              <w:right w:val="single" w:sz="8" w:color="C0C0C0"/>
            </w:tcBorders>
          </w:tcPr>
          <w:p>
            <w:pPr>
              <w:spacing w:after="0"/>
              <w:rPr>
                <w:sz w:val="21"/>
                <w:szCs w:val="21"/>
                <w:color w:val="auto"/>
              </w:rPr>
            </w:pPr>
          </w:p>
        </w:tc>
        <w:tc>
          <w:tcPr>
            <w:tcW w:w="5660" w:type="dxa"/>
            <w:vAlign w:val="bottom"/>
            <w:tcBorders>
              <w:bottom w:val="single" w:sz="8" w:color="C0C0C0"/>
              <w:right w:val="single" w:sz="8" w:color="C0C0C0"/>
            </w:tcBorders>
          </w:tcPr>
          <w:p>
            <w:pPr>
              <w:spacing w:after="0"/>
              <w:rPr>
                <w:sz w:val="21"/>
                <w:szCs w:val="21"/>
                <w:color w:val="auto"/>
              </w:rPr>
            </w:pPr>
          </w:p>
        </w:tc>
      </w:tr>
      <w:tr>
        <w:trPr>
          <w:trHeight w:val="214"/>
        </w:trPr>
        <w:tc>
          <w:tcPr>
            <w:tcW w:w="4840" w:type="dxa"/>
            <w:vAlign w:val="bottom"/>
            <w:tcBorders>
              <w:left w:val="single" w:sz="8" w:color="C0C0C0"/>
              <w:right w:val="single" w:sz="8" w:color="C0C0C0"/>
            </w:tcBorders>
          </w:tcPr>
          <w:p>
            <w:pPr>
              <w:spacing w:after="0"/>
              <w:rPr>
                <w:sz w:val="18"/>
                <w:szCs w:val="18"/>
                <w:color w:val="auto"/>
              </w:rPr>
            </w:pPr>
          </w:p>
        </w:tc>
        <w:tc>
          <w:tcPr>
            <w:tcW w:w="5660" w:type="dxa"/>
            <w:vAlign w:val="bottom"/>
            <w:tcBorders>
              <w:right w:val="single" w:sz="8" w:color="C0C0C0"/>
            </w:tcBorders>
          </w:tcPr>
          <w:p>
            <w:pPr>
              <w:ind w:left="20"/>
              <w:spacing w:after="0"/>
              <w:rPr>
                <w:sz w:val="20"/>
                <w:szCs w:val="20"/>
                <w:color w:val="auto"/>
              </w:rPr>
            </w:pPr>
            <w:r>
              <w:rPr>
                <w:rFonts w:ascii="Arial" w:cs="Arial" w:eastAsia="Arial" w:hAnsi="Arial"/>
                <w:sz w:val="18"/>
                <w:szCs w:val="18"/>
                <w:color w:val="auto"/>
              </w:rPr>
              <w:t>[NAME OF TRUST BANK, as Directed Trustee of the Vita Salaried</w:t>
            </w:r>
          </w:p>
        </w:tc>
      </w:tr>
      <w:tr>
        <w:trPr>
          <w:trHeight w:val="255"/>
        </w:trPr>
        <w:tc>
          <w:tcPr>
            <w:tcW w:w="4840" w:type="dxa"/>
            <w:vAlign w:val="bottom"/>
            <w:tcBorders>
              <w:left w:val="single" w:sz="8" w:color="C0C0C0"/>
              <w:bottom w:val="single" w:sz="8" w:color="C0C0C0"/>
              <w:right w:val="single" w:sz="8" w:color="C0C0C0"/>
            </w:tcBorders>
          </w:tcPr>
          <w:p>
            <w:pPr>
              <w:ind w:left="40"/>
              <w:spacing w:after="0" w:line="255" w:lineRule="exact"/>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Contract-Holder:</w:t>
            </w:r>
            <w:r>
              <w:rPr>
                <w:rFonts w:ascii="Arial" w:cs="Arial" w:eastAsia="Arial" w:hAnsi="Arial"/>
                <w:sz w:val="18"/>
                <w:szCs w:val="18"/>
                <w:color w:val="auto"/>
              </w:rPr>
              <w:t xml:space="preserve"> ] </w:t>
            </w:r>
            <w:r>
              <w:rPr>
                <w:rFonts w:ascii="Arial" w:cs="Arial" w:eastAsia="Arial" w:hAnsi="Arial"/>
                <w:sz w:val="23"/>
                <w:szCs w:val="23"/>
                <w:color w:val="auto"/>
                <w:vertAlign w:val="superscript"/>
              </w:rPr>
              <w:t>A</w:t>
            </w:r>
          </w:p>
        </w:tc>
        <w:tc>
          <w:tcPr>
            <w:tcW w:w="5660" w:type="dxa"/>
            <w:vAlign w:val="bottom"/>
            <w:tcBorders>
              <w:bottom w:val="single" w:sz="8" w:color="C0C0C0"/>
              <w:right w:val="single" w:sz="8" w:color="C0C0C0"/>
            </w:tcBorders>
          </w:tcPr>
          <w:p>
            <w:pPr>
              <w:ind w:left="20"/>
              <w:spacing w:after="0" w:line="255" w:lineRule="exact"/>
              <w:rPr>
                <w:sz w:val="20"/>
                <w:szCs w:val="20"/>
                <w:color w:val="auto"/>
              </w:rPr>
            </w:pPr>
            <w:r>
              <w:rPr>
                <w:rFonts w:ascii="Arial" w:cs="Arial" w:eastAsia="Arial" w:hAnsi="Arial"/>
                <w:sz w:val="18"/>
                <w:szCs w:val="18"/>
                <w:color w:val="auto"/>
              </w:rPr>
              <w:t>Retirement Trust, a New York trust]</w:t>
            </w:r>
            <w:r>
              <w:rPr>
                <w:rFonts w:ascii="Arial" w:cs="Arial" w:eastAsia="Arial" w:hAnsi="Arial"/>
                <w:sz w:val="23"/>
                <w:szCs w:val="23"/>
                <w:color w:val="auto"/>
                <w:vertAlign w:val="superscript"/>
              </w:rPr>
              <w:t>A</w:t>
            </w:r>
          </w:p>
        </w:tc>
      </w:tr>
      <w:tr>
        <w:trPr>
          <w:trHeight w:val="243"/>
        </w:trPr>
        <w:tc>
          <w:tcPr>
            <w:tcW w:w="4840" w:type="dxa"/>
            <w:vAlign w:val="bottom"/>
            <w:tcBorders>
              <w:left w:val="single" w:sz="8" w:color="C0C0C0"/>
              <w:bottom w:val="single" w:sz="8" w:color="C0C0C0"/>
              <w:right w:val="single" w:sz="8" w:color="C0C0C0"/>
            </w:tcBorders>
          </w:tcPr>
          <w:p>
            <w:pPr>
              <w:spacing w:after="0"/>
              <w:rPr>
                <w:sz w:val="21"/>
                <w:szCs w:val="21"/>
                <w:color w:val="auto"/>
              </w:rPr>
            </w:pPr>
          </w:p>
        </w:tc>
        <w:tc>
          <w:tcPr>
            <w:tcW w:w="5660" w:type="dxa"/>
            <w:vAlign w:val="bottom"/>
            <w:tcBorders>
              <w:bottom w:val="single" w:sz="8" w:color="C0C0C0"/>
              <w:right w:val="single" w:sz="8" w:color="C0C0C0"/>
            </w:tcBorders>
          </w:tcPr>
          <w:p>
            <w:pPr>
              <w:spacing w:after="0"/>
              <w:rPr>
                <w:sz w:val="21"/>
                <w:szCs w:val="21"/>
                <w:color w:val="auto"/>
              </w:rPr>
            </w:pPr>
          </w:p>
        </w:tc>
      </w:tr>
      <w:tr>
        <w:trPr>
          <w:trHeight w:val="255"/>
        </w:trPr>
        <w:tc>
          <w:tcPr>
            <w:tcW w:w="4840" w:type="dxa"/>
            <w:vAlign w:val="bottom"/>
            <w:tcBorders>
              <w:left w:val="single" w:sz="8" w:color="C0C0C0"/>
              <w:bottom w:val="single" w:sz="8" w:color="C0C0C0"/>
              <w:right w:val="single" w:sz="8" w:color="C0C0C0"/>
            </w:tcBorders>
          </w:tcPr>
          <w:p>
            <w:pPr>
              <w:ind w:left="40"/>
              <w:spacing w:after="0" w:line="255" w:lineRule="exact"/>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Name of Plan:</w:t>
            </w:r>
            <w:r>
              <w:rPr>
                <w:rFonts w:ascii="Arial" w:cs="Arial" w:eastAsia="Arial" w:hAnsi="Arial"/>
                <w:sz w:val="18"/>
                <w:szCs w:val="18"/>
                <w:color w:val="auto"/>
              </w:rPr>
              <w:t xml:space="preserve"> ] </w:t>
            </w:r>
            <w:r>
              <w:rPr>
                <w:rFonts w:ascii="Arial" w:cs="Arial" w:eastAsia="Arial" w:hAnsi="Arial"/>
                <w:sz w:val="23"/>
                <w:szCs w:val="23"/>
                <w:color w:val="auto"/>
                <w:vertAlign w:val="superscript"/>
              </w:rPr>
              <w:t>A</w:t>
            </w:r>
          </w:p>
        </w:tc>
        <w:tc>
          <w:tcPr>
            <w:tcW w:w="5660" w:type="dxa"/>
            <w:vAlign w:val="bottom"/>
            <w:tcBorders>
              <w:bottom w:val="single" w:sz="8" w:color="C0C0C0"/>
              <w:right w:val="single" w:sz="8" w:color="C0C0C0"/>
            </w:tcBorders>
          </w:tcPr>
          <w:p>
            <w:pPr>
              <w:ind w:left="20"/>
              <w:spacing w:after="0" w:line="255" w:lineRule="exact"/>
              <w:rPr>
                <w:sz w:val="20"/>
                <w:szCs w:val="20"/>
                <w:color w:val="auto"/>
              </w:rPr>
            </w:pPr>
            <w:r>
              <w:rPr>
                <w:rFonts w:ascii="Arial" w:cs="Arial" w:eastAsia="Arial" w:hAnsi="Arial"/>
                <w:sz w:val="18"/>
                <w:szCs w:val="18"/>
                <w:color w:val="auto"/>
              </w:rPr>
              <w:t>[Vita Salaried Retirement Plan]</w:t>
            </w:r>
            <w:r>
              <w:rPr>
                <w:rFonts w:ascii="Arial" w:cs="Arial" w:eastAsia="Arial" w:hAnsi="Arial"/>
                <w:sz w:val="23"/>
                <w:szCs w:val="23"/>
                <w:color w:val="auto"/>
                <w:vertAlign w:val="superscript"/>
              </w:rPr>
              <w:t>A</w:t>
            </w:r>
          </w:p>
        </w:tc>
      </w:tr>
      <w:tr>
        <w:trPr>
          <w:trHeight w:val="243"/>
        </w:trPr>
        <w:tc>
          <w:tcPr>
            <w:tcW w:w="4840" w:type="dxa"/>
            <w:vAlign w:val="bottom"/>
            <w:tcBorders>
              <w:left w:val="single" w:sz="8" w:color="C0C0C0"/>
              <w:bottom w:val="single" w:sz="8" w:color="C0C0C0"/>
              <w:right w:val="single" w:sz="8" w:color="C0C0C0"/>
            </w:tcBorders>
          </w:tcPr>
          <w:p>
            <w:pPr>
              <w:spacing w:after="0"/>
              <w:rPr>
                <w:sz w:val="21"/>
                <w:szCs w:val="21"/>
                <w:color w:val="auto"/>
              </w:rPr>
            </w:pPr>
          </w:p>
        </w:tc>
        <w:tc>
          <w:tcPr>
            <w:tcW w:w="5660" w:type="dxa"/>
            <w:vAlign w:val="bottom"/>
            <w:tcBorders>
              <w:bottom w:val="single" w:sz="8" w:color="C0C0C0"/>
              <w:right w:val="single" w:sz="8" w:color="C0C0C0"/>
            </w:tcBorders>
          </w:tcPr>
          <w:p>
            <w:pPr>
              <w:spacing w:after="0"/>
              <w:rPr>
                <w:sz w:val="21"/>
                <w:szCs w:val="21"/>
                <w:color w:val="auto"/>
              </w:rPr>
            </w:pPr>
          </w:p>
        </w:tc>
      </w:tr>
      <w:tr>
        <w:trPr>
          <w:trHeight w:val="255"/>
        </w:trPr>
        <w:tc>
          <w:tcPr>
            <w:tcW w:w="4840" w:type="dxa"/>
            <w:vAlign w:val="bottom"/>
            <w:tcBorders>
              <w:left w:val="single" w:sz="8" w:color="C0C0C0"/>
              <w:bottom w:val="single" w:sz="8" w:color="C0C0C0"/>
              <w:right w:val="single" w:sz="8" w:color="C0C0C0"/>
            </w:tcBorders>
          </w:tcPr>
          <w:p>
            <w:pPr>
              <w:ind w:left="40"/>
              <w:spacing w:after="0"/>
              <w:rPr>
                <w:sz w:val="20"/>
                <w:szCs w:val="20"/>
                <w:color w:val="auto"/>
              </w:rPr>
            </w:pPr>
            <w:r>
              <w:rPr>
                <w:rFonts w:ascii="Arial" w:cs="Arial" w:eastAsia="Arial" w:hAnsi="Arial"/>
                <w:sz w:val="18"/>
                <w:szCs w:val="18"/>
                <w:i w:val="1"/>
                <w:iCs w:val="1"/>
                <w:color w:val="auto"/>
              </w:rPr>
              <w:t>Group Annuity Contract Number:</w:t>
            </w:r>
          </w:p>
        </w:tc>
        <w:tc>
          <w:tcPr>
            <w:tcW w:w="5660" w:type="dxa"/>
            <w:vAlign w:val="bottom"/>
            <w:tcBorders>
              <w:bottom w:val="single" w:sz="8" w:color="C0C0C0"/>
              <w:right w:val="single" w:sz="8" w:color="C0C0C0"/>
            </w:tcBorders>
          </w:tcPr>
          <w:p>
            <w:pPr>
              <w:ind w:left="20"/>
              <w:spacing w:after="0" w:line="255" w:lineRule="exact"/>
              <w:rPr>
                <w:sz w:val="20"/>
                <w:szCs w:val="20"/>
                <w:color w:val="auto"/>
              </w:rPr>
            </w:pPr>
            <w:r>
              <w:rPr>
                <w:rFonts w:ascii="Arial" w:cs="Arial" w:eastAsia="Arial" w:hAnsi="Arial"/>
                <w:sz w:val="18"/>
                <w:szCs w:val="18"/>
                <w:color w:val="auto"/>
              </w:rPr>
              <w:t>[Article P of GA-300</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23"/>
                <w:szCs w:val="23"/>
                <w:b w:val="1"/>
                <w:bCs w:val="1"/>
                <w:color w:val="auto"/>
                <w:vertAlign w:val="superscript"/>
              </w:rPr>
              <w:t>A</w:t>
            </w:r>
          </w:p>
        </w:tc>
      </w:tr>
      <w:tr>
        <w:trPr>
          <w:trHeight w:val="243"/>
        </w:trPr>
        <w:tc>
          <w:tcPr>
            <w:tcW w:w="4840" w:type="dxa"/>
            <w:vAlign w:val="bottom"/>
            <w:tcBorders>
              <w:left w:val="single" w:sz="8" w:color="C0C0C0"/>
              <w:bottom w:val="single" w:sz="8" w:color="C0C0C0"/>
              <w:right w:val="single" w:sz="8" w:color="C0C0C0"/>
            </w:tcBorders>
          </w:tcPr>
          <w:p>
            <w:pPr>
              <w:spacing w:after="0"/>
              <w:rPr>
                <w:sz w:val="21"/>
                <w:szCs w:val="21"/>
                <w:color w:val="auto"/>
              </w:rPr>
            </w:pPr>
          </w:p>
        </w:tc>
        <w:tc>
          <w:tcPr>
            <w:tcW w:w="5660" w:type="dxa"/>
            <w:vAlign w:val="bottom"/>
            <w:tcBorders>
              <w:bottom w:val="single" w:sz="8" w:color="C0C0C0"/>
              <w:right w:val="single" w:sz="8" w:color="C0C0C0"/>
            </w:tcBorders>
          </w:tcPr>
          <w:p>
            <w:pPr>
              <w:spacing w:after="0"/>
              <w:rPr>
                <w:sz w:val="21"/>
                <w:szCs w:val="21"/>
                <w:color w:val="auto"/>
              </w:rPr>
            </w:pPr>
          </w:p>
        </w:tc>
      </w:tr>
      <w:tr>
        <w:trPr>
          <w:trHeight w:val="234"/>
        </w:trPr>
        <w:tc>
          <w:tcPr>
            <w:tcW w:w="4840" w:type="dxa"/>
            <w:vAlign w:val="bottom"/>
            <w:tcBorders>
              <w:left w:val="single" w:sz="8" w:color="C0C0C0"/>
              <w:right w:val="single" w:sz="8" w:color="C0C0C0"/>
            </w:tcBorders>
          </w:tcPr>
          <w:p>
            <w:pPr>
              <w:ind w:left="40"/>
              <w:spacing w:after="0"/>
              <w:rPr>
                <w:sz w:val="20"/>
                <w:szCs w:val="20"/>
                <w:color w:val="auto"/>
              </w:rPr>
            </w:pPr>
            <w:r>
              <w:rPr>
                <w:rFonts w:ascii="Arial" w:cs="Arial" w:eastAsia="Arial" w:hAnsi="Arial"/>
                <w:sz w:val="18"/>
                <w:szCs w:val="18"/>
                <w:i w:val="1"/>
                <w:iCs w:val="1"/>
                <w:color w:val="auto"/>
              </w:rPr>
              <w:t>Form of Annuity:</w:t>
            </w:r>
          </w:p>
        </w:tc>
        <w:tc>
          <w:tcPr>
            <w:tcW w:w="5660" w:type="dxa"/>
            <w:vAlign w:val="bottom"/>
            <w:tcBorders>
              <w:right w:val="single" w:sz="8" w:color="C0C0C0"/>
            </w:tcBorders>
          </w:tcPr>
          <w:p>
            <w:pPr>
              <w:ind w:left="20"/>
              <w:spacing w:after="0"/>
              <w:rPr>
                <w:sz w:val="20"/>
                <w:szCs w:val="20"/>
                <w:color w:val="auto"/>
              </w:rPr>
            </w:pPr>
            <w:r>
              <w:rPr>
                <w:rFonts w:ascii="Arial" w:cs="Arial" w:eastAsia="Arial" w:hAnsi="Arial"/>
                <w:sz w:val="18"/>
                <w:szCs w:val="18"/>
                <w:color w:val="auto"/>
              </w:rPr>
              <w:t>Window Single Life Annuity</w:t>
            </w:r>
          </w:p>
        </w:tc>
      </w:tr>
      <w:tr>
        <w:trPr>
          <w:trHeight w:val="21"/>
        </w:trPr>
        <w:tc>
          <w:tcPr>
            <w:tcW w:w="4840" w:type="dxa"/>
            <w:vAlign w:val="bottom"/>
            <w:tcBorders>
              <w:left w:val="single" w:sz="8" w:color="C0C0C0"/>
              <w:bottom w:val="single" w:sz="8" w:color="C0C0C0"/>
              <w:right w:val="single" w:sz="8" w:color="C0C0C0"/>
            </w:tcBorders>
          </w:tcPr>
          <w:p>
            <w:pPr>
              <w:spacing w:after="0" w:line="20" w:lineRule="exact"/>
              <w:rPr>
                <w:sz w:val="1"/>
                <w:szCs w:val="1"/>
                <w:color w:val="auto"/>
              </w:rPr>
            </w:pPr>
          </w:p>
        </w:tc>
        <w:tc>
          <w:tcPr>
            <w:tcW w:w="5660" w:type="dxa"/>
            <w:vAlign w:val="bottom"/>
            <w:tcBorders>
              <w:bottom w:val="single" w:sz="8" w:color="C0C0C0"/>
              <w:right w:val="single" w:sz="8" w:color="C0C0C0"/>
            </w:tcBorders>
          </w:tcPr>
          <w:p>
            <w:pPr>
              <w:spacing w:after="0" w:line="20" w:lineRule="exact"/>
              <w:rPr>
                <w:sz w:val="1"/>
                <w:szCs w:val="1"/>
                <w:color w:val="auto"/>
              </w:rPr>
            </w:pPr>
          </w:p>
        </w:tc>
      </w:tr>
      <w:tr>
        <w:trPr>
          <w:trHeight w:val="243"/>
        </w:trPr>
        <w:tc>
          <w:tcPr>
            <w:tcW w:w="4840" w:type="dxa"/>
            <w:vAlign w:val="bottom"/>
            <w:tcBorders>
              <w:left w:val="single" w:sz="8" w:color="C0C0C0"/>
              <w:bottom w:val="single" w:sz="8" w:color="C0C0C0"/>
              <w:right w:val="single" w:sz="8" w:color="C0C0C0"/>
            </w:tcBorders>
          </w:tcPr>
          <w:p>
            <w:pPr>
              <w:spacing w:after="0"/>
              <w:rPr>
                <w:sz w:val="21"/>
                <w:szCs w:val="21"/>
                <w:color w:val="auto"/>
              </w:rPr>
            </w:pPr>
          </w:p>
        </w:tc>
        <w:tc>
          <w:tcPr>
            <w:tcW w:w="5660" w:type="dxa"/>
            <w:vAlign w:val="bottom"/>
            <w:tcBorders>
              <w:bottom w:val="single" w:sz="8" w:color="C0C0C0"/>
              <w:right w:val="single" w:sz="8" w:color="C0C0C0"/>
            </w:tcBorders>
          </w:tcPr>
          <w:p>
            <w:pPr>
              <w:spacing w:after="0"/>
              <w:rPr>
                <w:sz w:val="21"/>
                <w:szCs w:val="21"/>
                <w:color w:val="auto"/>
              </w:rPr>
            </w:pPr>
          </w:p>
        </w:tc>
      </w:tr>
      <w:tr>
        <w:trPr>
          <w:trHeight w:val="214"/>
        </w:trPr>
        <w:tc>
          <w:tcPr>
            <w:tcW w:w="4840" w:type="dxa"/>
            <w:vAlign w:val="bottom"/>
            <w:tcBorders>
              <w:left w:val="single" w:sz="8" w:color="C0C0C0"/>
              <w:right w:val="single" w:sz="8" w:color="C0C0C0"/>
            </w:tcBorders>
          </w:tcPr>
          <w:p>
            <w:pPr>
              <w:spacing w:after="0"/>
              <w:rPr>
                <w:sz w:val="18"/>
                <w:szCs w:val="18"/>
                <w:color w:val="auto"/>
              </w:rPr>
            </w:pPr>
          </w:p>
        </w:tc>
        <w:tc>
          <w:tcPr>
            <w:tcW w:w="5660" w:type="dxa"/>
            <w:vAlign w:val="bottom"/>
            <w:tcBorders>
              <w:right w:val="single" w:sz="8" w:color="C0C0C0"/>
            </w:tcBorders>
          </w:tcPr>
          <w:p>
            <w:pPr>
              <w:ind w:left="20"/>
              <w:spacing w:after="0"/>
              <w:rPr>
                <w:sz w:val="20"/>
                <w:szCs w:val="20"/>
                <w:color w:val="auto"/>
              </w:rPr>
            </w:pPr>
            <w:r>
              <w:rPr>
                <w:rFonts w:ascii="Arial" w:cs="Arial" w:eastAsia="Arial" w:hAnsi="Arial"/>
                <w:sz w:val="18"/>
                <w:szCs w:val="18"/>
                <w:color w:val="auto"/>
              </w:rPr>
              <w:t>[Refund Death Benefit Rider</w:t>
            </w:r>
          </w:p>
        </w:tc>
      </w:tr>
      <w:tr>
        <w:trPr>
          <w:trHeight w:val="255"/>
        </w:trPr>
        <w:tc>
          <w:tcPr>
            <w:tcW w:w="4840" w:type="dxa"/>
            <w:vAlign w:val="bottom"/>
            <w:tcBorders>
              <w:left w:val="single" w:sz="8" w:color="C0C0C0"/>
              <w:bottom w:val="single" w:sz="8" w:color="C0C0C0"/>
              <w:right w:val="single" w:sz="8" w:color="C0C0C0"/>
            </w:tcBorders>
          </w:tcPr>
          <w:p>
            <w:pPr>
              <w:ind w:left="40"/>
              <w:spacing w:after="0"/>
              <w:rPr>
                <w:sz w:val="20"/>
                <w:szCs w:val="20"/>
                <w:color w:val="auto"/>
              </w:rPr>
            </w:pPr>
            <w:r>
              <w:rPr>
                <w:rFonts w:ascii="Arial" w:cs="Arial" w:eastAsia="Arial" w:hAnsi="Arial"/>
                <w:sz w:val="18"/>
                <w:szCs w:val="18"/>
                <w:i w:val="1"/>
                <w:iCs w:val="1"/>
                <w:color w:val="auto"/>
              </w:rPr>
              <w:t>Annuity Riders:</w:t>
            </w:r>
          </w:p>
        </w:tc>
        <w:tc>
          <w:tcPr>
            <w:tcW w:w="5660" w:type="dxa"/>
            <w:vAlign w:val="bottom"/>
            <w:tcBorders>
              <w:bottom w:val="single" w:sz="8" w:color="C0C0C0"/>
              <w:right w:val="single" w:sz="8" w:color="C0C0C0"/>
            </w:tcBorders>
          </w:tcPr>
          <w:p>
            <w:pPr>
              <w:ind w:left="20"/>
              <w:spacing w:after="0" w:line="255" w:lineRule="exact"/>
              <w:rPr>
                <w:sz w:val="20"/>
                <w:szCs w:val="20"/>
                <w:color w:val="auto"/>
              </w:rPr>
            </w:pPr>
            <w:r>
              <w:rPr>
                <w:rFonts w:ascii="Arial" w:cs="Arial" w:eastAsia="Arial" w:hAnsi="Arial"/>
                <w:sz w:val="18"/>
                <w:szCs w:val="18"/>
                <w:color w:val="auto"/>
              </w:rPr>
              <w:t xml:space="preserve">None] </w:t>
            </w:r>
            <w:r>
              <w:rPr>
                <w:rFonts w:ascii="Arial" w:cs="Arial" w:eastAsia="Arial" w:hAnsi="Arial"/>
                <w:sz w:val="23"/>
                <w:szCs w:val="23"/>
                <w:color w:val="auto"/>
                <w:vertAlign w:val="superscript"/>
              </w:rPr>
              <w:t>A</w:t>
            </w:r>
          </w:p>
        </w:tc>
      </w:tr>
      <w:tr>
        <w:trPr>
          <w:trHeight w:val="243"/>
        </w:trPr>
        <w:tc>
          <w:tcPr>
            <w:tcW w:w="4840" w:type="dxa"/>
            <w:vAlign w:val="bottom"/>
            <w:tcBorders>
              <w:left w:val="single" w:sz="8" w:color="C0C0C0"/>
              <w:bottom w:val="single" w:sz="8" w:color="C0C0C0"/>
              <w:right w:val="single" w:sz="8" w:color="C0C0C0"/>
            </w:tcBorders>
          </w:tcPr>
          <w:p>
            <w:pPr>
              <w:spacing w:after="0"/>
              <w:rPr>
                <w:sz w:val="21"/>
                <w:szCs w:val="21"/>
                <w:color w:val="auto"/>
              </w:rPr>
            </w:pPr>
          </w:p>
        </w:tc>
        <w:tc>
          <w:tcPr>
            <w:tcW w:w="5660" w:type="dxa"/>
            <w:vAlign w:val="bottom"/>
            <w:tcBorders>
              <w:bottom w:val="single" w:sz="8" w:color="C0C0C0"/>
              <w:right w:val="single" w:sz="8" w:color="C0C0C0"/>
            </w:tcBorders>
          </w:tcPr>
          <w:p>
            <w:pPr>
              <w:spacing w:after="0"/>
              <w:rPr>
                <w:sz w:val="21"/>
                <w:szCs w:val="21"/>
                <w:color w:val="auto"/>
              </w:rPr>
            </w:pPr>
          </w:p>
        </w:tc>
      </w:tr>
      <w:tr>
        <w:trPr>
          <w:trHeight w:val="255"/>
        </w:trPr>
        <w:tc>
          <w:tcPr>
            <w:tcW w:w="4840" w:type="dxa"/>
            <w:vAlign w:val="bottom"/>
            <w:tcBorders>
              <w:left w:val="single" w:sz="8" w:color="C0C0C0"/>
              <w:bottom w:val="single" w:sz="8" w:color="C0C0C0"/>
              <w:right w:val="single" w:sz="8" w:color="C0C0C0"/>
            </w:tcBorders>
          </w:tcPr>
          <w:p>
            <w:pPr>
              <w:ind w:left="40"/>
              <w:spacing w:after="0"/>
              <w:rPr>
                <w:sz w:val="20"/>
                <w:szCs w:val="20"/>
                <w:color w:val="auto"/>
              </w:rPr>
            </w:pPr>
            <w:r>
              <w:rPr>
                <w:rFonts w:ascii="Arial" w:cs="Arial" w:eastAsia="Arial" w:hAnsi="Arial"/>
                <w:sz w:val="18"/>
                <w:szCs w:val="18"/>
                <w:i w:val="1"/>
                <w:iCs w:val="1"/>
                <w:color w:val="auto"/>
              </w:rPr>
              <w:t>Annuity Commencement Date:</w:t>
            </w:r>
          </w:p>
        </w:tc>
        <w:tc>
          <w:tcPr>
            <w:tcW w:w="5660" w:type="dxa"/>
            <w:vAlign w:val="bottom"/>
            <w:tcBorders>
              <w:bottom w:val="single" w:sz="8" w:color="C0C0C0"/>
              <w:right w:val="single" w:sz="8" w:color="C0C0C0"/>
            </w:tcBorders>
          </w:tcPr>
          <w:p>
            <w:pPr>
              <w:ind w:left="20"/>
              <w:spacing w:after="0" w:line="255" w:lineRule="exact"/>
              <w:rPr>
                <w:sz w:val="20"/>
                <w:szCs w:val="20"/>
                <w:color w:val="auto"/>
              </w:rPr>
            </w:pPr>
            <w:r>
              <w:rPr>
                <w:rFonts w:ascii="Arial" w:cs="Arial" w:eastAsia="Arial" w:hAnsi="Arial"/>
                <w:sz w:val="18"/>
                <w:szCs w:val="18"/>
                <w:color w:val="auto"/>
              </w:rPr>
              <w:t>[Date</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23"/>
                <w:szCs w:val="23"/>
                <w:b w:val="1"/>
                <w:bCs w:val="1"/>
                <w:color w:val="auto"/>
                <w:vertAlign w:val="superscript"/>
              </w:rPr>
              <w:t>A</w:t>
            </w:r>
          </w:p>
        </w:tc>
      </w:tr>
      <w:tr>
        <w:trPr>
          <w:trHeight w:val="243"/>
        </w:trPr>
        <w:tc>
          <w:tcPr>
            <w:tcW w:w="4840" w:type="dxa"/>
            <w:vAlign w:val="bottom"/>
            <w:tcBorders>
              <w:left w:val="single" w:sz="8" w:color="C0C0C0"/>
              <w:bottom w:val="single" w:sz="8" w:color="C0C0C0"/>
              <w:right w:val="single" w:sz="8" w:color="C0C0C0"/>
            </w:tcBorders>
          </w:tcPr>
          <w:p>
            <w:pPr>
              <w:spacing w:after="0"/>
              <w:rPr>
                <w:sz w:val="21"/>
                <w:szCs w:val="21"/>
                <w:color w:val="auto"/>
              </w:rPr>
            </w:pPr>
          </w:p>
        </w:tc>
        <w:tc>
          <w:tcPr>
            <w:tcW w:w="5660" w:type="dxa"/>
            <w:vAlign w:val="bottom"/>
            <w:tcBorders>
              <w:bottom w:val="single" w:sz="8" w:color="C0C0C0"/>
              <w:right w:val="single" w:sz="8" w:color="C0C0C0"/>
            </w:tcBorders>
          </w:tcPr>
          <w:p>
            <w:pPr>
              <w:spacing w:after="0"/>
              <w:rPr>
                <w:sz w:val="21"/>
                <w:szCs w:val="21"/>
                <w:color w:val="auto"/>
              </w:rPr>
            </w:pPr>
          </w:p>
        </w:tc>
      </w:tr>
      <w:tr>
        <w:trPr>
          <w:trHeight w:val="255"/>
        </w:trPr>
        <w:tc>
          <w:tcPr>
            <w:tcW w:w="4840" w:type="dxa"/>
            <w:vAlign w:val="bottom"/>
            <w:tcBorders>
              <w:left w:val="single" w:sz="8" w:color="C0C0C0"/>
              <w:bottom w:val="single" w:sz="8" w:color="C0C0C0"/>
              <w:right w:val="single" w:sz="8" w:color="C0C0C0"/>
            </w:tcBorders>
          </w:tcPr>
          <w:p>
            <w:pPr>
              <w:ind w:left="40"/>
              <w:spacing w:after="0" w:line="255" w:lineRule="exact"/>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Original Retirement Date:</w:t>
            </w:r>
            <w:r>
              <w:rPr>
                <w:rFonts w:ascii="Arial" w:cs="Arial" w:eastAsia="Arial" w:hAnsi="Arial"/>
                <w:sz w:val="18"/>
                <w:szCs w:val="18"/>
                <w:color w:val="auto"/>
              </w:rPr>
              <w:t xml:space="preserve"> ] </w:t>
            </w:r>
            <w:r>
              <w:rPr>
                <w:rFonts w:ascii="Arial" w:cs="Arial" w:eastAsia="Arial" w:hAnsi="Arial"/>
                <w:sz w:val="23"/>
                <w:szCs w:val="23"/>
                <w:color w:val="auto"/>
                <w:vertAlign w:val="superscript"/>
              </w:rPr>
              <w:t>A</w:t>
            </w:r>
          </w:p>
        </w:tc>
        <w:tc>
          <w:tcPr>
            <w:tcW w:w="5660" w:type="dxa"/>
            <w:vAlign w:val="bottom"/>
            <w:tcBorders>
              <w:bottom w:val="single" w:sz="8" w:color="C0C0C0"/>
              <w:right w:val="single" w:sz="8" w:color="C0C0C0"/>
            </w:tcBorders>
          </w:tcPr>
          <w:p>
            <w:pPr>
              <w:ind w:left="20"/>
              <w:spacing w:after="0" w:line="255" w:lineRule="exact"/>
              <w:rPr>
                <w:sz w:val="20"/>
                <w:szCs w:val="20"/>
                <w:color w:val="auto"/>
              </w:rPr>
            </w:pPr>
            <w:r>
              <w:rPr>
                <w:rFonts w:ascii="Arial" w:cs="Arial" w:eastAsia="Arial" w:hAnsi="Arial"/>
                <w:sz w:val="18"/>
                <w:szCs w:val="18"/>
                <w:color w:val="auto"/>
              </w:rPr>
              <w:t>[Date</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23"/>
                <w:szCs w:val="23"/>
                <w:b w:val="1"/>
                <w:bCs w:val="1"/>
                <w:color w:val="auto"/>
                <w:vertAlign w:val="superscript"/>
              </w:rPr>
              <w:t>A</w:t>
            </w:r>
          </w:p>
        </w:tc>
      </w:tr>
      <w:tr>
        <w:trPr>
          <w:trHeight w:val="243"/>
        </w:trPr>
        <w:tc>
          <w:tcPr>
            <w:tcW w:w="4840" w:type="dxa"/>
            <w:vAlign w:val="bottom"/>
            <w:tcBorders>
              <w:left w:val="single" w:sz="8" w:color="C0C0C0"/>
              <w:bottom w:val="single" w:sz="8" w:color="C0C0C0"/>
              <w:right w:val="single" w:sz="8" w:color="C0C0C0"/>
            </w:tcBorders>
          </w:tcPr>
          <w:p>
            <w:pPr>
              <w:spacing w:after="0"/>
              <w:rPr>
                <w:sz w:val="21"/>
                <w:szCs w:val="21"/>
                <w:color w:val="auto"/>
              </w:rPr>
            </w:pPr>
          </w:p>
        </w:tc>
        <w:tc>
          <w:tcPr>
            <w:tcW w:w="5660" w:type="dxa"/>
            <w:vAlign w:val="bottom"/>
            <w:tcBorders>
              <w:bottom w:val="single" w:sz="8" w:color="C0C0C0"/>
              <w:right w:val="single" w:sz="8" w:color="C0C0C0"/>
            </w:tcBorders>
          </w:tcPr>
          <w:p>
            <w:pPr>
              <w:spacing w:after="0"/>
              <w:rPr>
                <w:sz w:val="21"/>
                <w:szCs w:val="21"/>
                <w:color w:val="auto"/>
              </w:rPr>
            </w:pPr>
          </w:p>
        </w:tc>
      </w:tr>
      <w:tr>
        <w:trPr>
          <w:trHeight w:val="280"/>
        </w:trPr>
        <w:tc>
          <w:tcPr>
            <w:tcW w:w="4840" w:type="dxa"/>
            <w:vAlign w:val="bottom"/>
            <w:tcBorders>
              <w:left w:val="single" w:sz="8" w:color="C0C0C0"/>
              <w:bottom w:val="single" w:sz="8" w:color="C0C0C0"/>
              <w:right w:val="single" w:sz="8" w:color="C0C0C0"/>
            </w:tcBorders>
          </w:tcPr>
          <w:p>
            <w:pPr>
              <w:ind w:left="40"/>
              <w:spacing w:after="0"/>
              <w:rPr>
                <w:sz w:val="20"/>
                <w:szCs w:val="20"/>
                <w:color w:val="auto"/>
              </w:rPr>
            </w:pPr>
            <w:r>
              <w:rPr>
                <w:rFonts w:ascii="Arial" w:cs="Arial" w:eastAsia="Arial" w:hAnsi="Arial"/>
                <w:sz w:val="18"/>
                <w:szCs w:val="18"/>
                <w:i w:val="1"/>
                <w:iCs w:val="1"/>
                <w:color w:val="auto"/>
              </w:rPr>
              <w:t>Covered Life Amount:</w:t>
            </w:r>
          </w:p>
        </w:tc>
        <w:tc>
          <w:tcPr>
            <w:tcW w:w="5660" w:type="dxa"/>
            <w:vAlign w:val="bottom"/>
            <w:tcBorders>
              <w:bottom w:val="single" w:sz="8" w:color="C0C0C0"/>
              <w:right w:val="single" w:sz="8" w:color="C0C0C0"/>
            </w:tcBorders>
          </w:tcPr>
          <w:p>
            <w:pPr>
              <w:ind w:left="20"/>
              <w:spacing w:after="0"/>
              <w:rPr>
                <w:sz w:val="20"/>
                <w:szCs w:val="20"/>
                <w:color w:val="auto"/>
              </w:rPr>
            </w:pPr>
            <w:r>
              <w:rPr>
                <w:rFonts w:ascii="Arial" w:cs="Arial" w:eastAsia="Arial" w:hAnsi="Arial"/>
                <w:sz w:val="18"/>
                <w:szCs w:val="18"/>
                <w:color w:val="auto"/>
              </w:rPr>
              <w:t xml:space="preserve">[$XXX.XX subject to stated limitations] </w:t>
            </w:r>
            <w:r>
              <w:rPr>
                <w:rFonts w:ascii="Arial" w:cs="Arial" w:eastAsia="Arial" w:hAnsi="Arial"/>
                <w:sz w:val="23"/>
                <w:szCs w:val="23"/>
                <w:color w:val="auto"/>
                <w:vertAlign w:val="superscript"/>
              </w:rPr>
              <w:t>A</w:t>
            </w:r>
          </w:p>
        </w:tc>
      </w:tr>
      <w:tr>
        <w:trPr>
          <w:trHeight w:val="243"/>
        </w:trPr>
        <w:tc>
          <w:tcPr>
            <w:tcW w:w="4840" w:type="dxa"/>
            <w:vAlign w:val="bottom"/>
            <w:tcBorders>
              <w:left w:val="single" w:sz="8" w:color="C0C0C0"/>
              <w:bottom w:val="single" w:sz="8" w:color="C0C0C0"/>
              <w:right w:val="single" w:sz="8" w:color="C0C0C0"/>
            </w:tcBorders>
          </w:tcPr>
          <w:p>
            <w:pPr>
              <w:spacing w:after="0"/>
              <w:rPr>
                <w:sz w:val="21"/>
                <w:szCs w:val="21"/>
                <w:color w:val="auto"/>
              </w:rPr>
            </w:pPr>
          </w:p>
        </w:tc>
        <w:tc>
          <w:tcPr>
            <w:tcW w:w="5660" w:type="dxa"/>
            <w:vAlign w:val="bottom"/>
            <w:tcBorders>
              <w:bottom w:val="single" w:sz="8" w:color="C0C0C0"/>
              <w:right w:val="single" w:sz="8" w:color="C0C0C0"/>
            </w:tcBorders>
          </w:tcPr>
          <w:p>
            <w:pPr>
              <w:spacing w:after="0"/>
              <w:rPr>
                <w:sz w:val="21"/>
                <w:szCs w:val="21"/>
                <w:color w:val="auto"/>
              </w:rPr>
            </w:pPr>
          </w:p>
        </w:tc>
      </w:tr>
      <w:tr>
        <w:trPr>
          <w:trHeight w:val="255"/>
        </w:trPr>
        <w:tc>
          <w:tcPr>
            <w:tcW w:w="4840" w:type="dxa"/>
            <w:vAlign w:val="bottom"/>
            <w:tcBorders>
              <w:left w:val="single" w:sz="8" w:color="C0C0C0"/>
              <w:bottom w:val="single" w:sz="8" w:color="C0C0C0"/>
              <w:right w:val="single" w:sz="8" w:color="C0C0C0"/>
            </w:tcBorders>
          </w:tcPr>
          <w:p>
            <w:pPr>
              <w:ind w:left="40"/>
              <w:spacing w:after="0" w:line="255" w:lineRule="exact"/>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Maximum Refund Death Benefit:</w:t>
            </w:r>
            <w:r>
              <w:rPr>
                <w:rFonts w:ascii="Arial" w:cs="Arial" w:eastAsia="Arial" w:hAnsi="Arial"/>
                <w:sz w:val="18"/>
                <w:szCs w:val="18"/>
                <w:color w:val="auto"/>
              </w:rPr>
              <w:t xml:space="preserve"> ]</w:t>
            </w:r>
            <w:r>
              <w:rPr>
                <w:rFonts w:ascii="Arial" w:cs="Arial" w:eastAsia="Arial" w:hAnsi="Arial"/>
                <w:sz w:val="23"/>
                <w:szCs w:val="23"/>
                <w:color w:val="auto"/>
                <w:vertAlign w:val="superscript"/>
              </w:rPr>
              <w:t>A</w:t>
            </w:r>
          </w:p>
        </w:tc>
        <w:tc>
          <w:tcPr>
            <w:tcW w:w="5660" w:type="dxa"/>
            <w:vAlign w:val="bottom"/>
            <w:tcBorders>
              <w:bottom w:val="single" w:sz="8" w:color="C0C0C0"/>
              <w:right w:val="single" w:sz="8" w:color="C0C0C0"/>
            </w:tcBorders>
          </w:tcPr>
          <w:p>
            <w:pPr>
              <w:ind w:left="20"/>
              <w:spacing w:after="0" w:line="255" w:lineRule="exact"/>
              <w:rPr>
                <w:sz w:val="20"/>
                <w:szCs w:val="20"/>
                <w:color w:val="auto"/>
              </w:rPr>
            </w:pPr>
            <w:r>
              <w:rPr>
                <w:rFonts w:ascii="Arial" w:cs="Arial" w:eastAsia="Arial" w:hAnsi="Arial"/>
                <w:sz w:val="18"/>
                <w:szCs w:val="18"/>
                <w:color w:val="auto"/>
              </w:rPr>
              <w:t xml:space="preserve">[$XXX.XX] </w:t>
            </w:r>
            <w:r>
              <w:rPr>
                <w:rFonts w:ascii="Arial" w:cs="Arial" w:eastAsia="Arial" w:hAnsi="Arial"/>
                <w:sz w:val="23"/>
                <w:szCs w:val="23"/>
                <w:color w:val="auto"/>
                <w:vertAlign w:val="superscript"/>
              </w:rPr>
              <w:t>A</w:t>
            </w:r>
          </w:p>
        </w:tc>
      </w:tr>
      <w:tr>
        <w:trPr>
          <w:trHeight w:val="243"/>
        </w:trPr>
        <w:tc>
          <w:tcPr>
            <w:tcW w:w="4840" w:type="dxa"/>
            <w:vAlign w:val="bottom"/>
            <w:tcBorders>
              <w:left w:val="single" w:sz="8" w:color="C0C0C0"/>
              <w:bottom w:val="single" w:sz="8" w:color="C0C0C0"/>
              <w:right w:val="single" w:sz="8" w:color="C0C0C0"/>
            </w:tcBorders>
          </w:tcPr>
          <w:p>
            <w:pPr>
              <w:spacing w:after="0"/>
              <w:rPr>
                <w:sz w:val="21"/>
                <w:szCs w:val="21"/>
                <w:color w:val="auto"/>
              </w:rPr>
            </w:pPr>
          </w:p>
        </w:tc>
        <w:tc>
          <w:tcPr>
            <w:tcW w:w="5660" w:type="dxa"/>
            <w:vAlign w:val="bottom"/>
            <w:tcBorders>
              <w:bottom w:val="single" w:sz="8" w:color="C0C0C0"/>
              <w:right w:val="single" w:sz="8" w:color="C0C0C0"/>
            </w:tcBorders>
          </w:tcPr>
          <w:p>
            <w:pPr>
              <w:spacing w:after="0"/>
              <w:rPr>
                <w:sz w:val="21"/>
                <w:szCs w:val="21"/>
                <w:color w:val="auto"/>
              </w:rPr>
            </w:pPr>
          </w:p>
        </w:tc>
      </w:tr>
      <w:tr>
        <w:trPr>
          <w:trHeight w:val="255"/>
        </w:trPr>
        <w:tc>
          <w:tcPr>
            <w:tcW w:w="4840" w:type="dxa"/>
            <w:vAlign w:val="bottom"/>
            <w:tcBorders>
              <w:left w:val="single" w:sz="8" w:color="C0C0C0"/>
              <w:bottom w:val="single" w:sz="8" w:color="C0C0C0"/>
              <w:right w:val="single" w:sz="8" w:color="C0C0C0"/>
            </w:tcBorders>
          </w:tcPr>
          <w:p>
            <w:pPr>
              <w:ind w:left="40"/>
              <w:spacing w:after="0" w:line="255" w:lineRule="exact"/>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Beneficiary(ies):</w:t>
            </w:r>
            <w:r>
              <w:rPr>
                <w:rFonts w:ascii="Arial" w:cs="Arial" w:eastAsia="Arial" w:hAnsi="Arial"/>
                <w:sz w:val="18"/>
                <w:szCs w:val="18"/>
                <w:color w:val="auto"/>
              </w:rPr>
              <w:t xml:space="preserve"> ] </w:t>
            </w:r>
            <w:r>
              <w:rPr>
                <w:rFonts w:ascii="Arial" w:cs="Arial" w:eastAsia="Arial" w:hAnsi="Arial"/>
                <w:sz w:val="23"/>
                <w:szCs w:val="23"/>
                <w:color w:val="auto"/>
                <w:vertAlign w:val="superscript"/>
              </w:rPr>
              <w:t>A</w:t>
            </w:r>
          </w:p>
        </w:tc>
        <w:tc>
          <w:tcPr>
            <w:tcW w:w="5660" w:type="dxa"/>
            <w:vAlign w:val="bottom"/>
            <w:tcBorders>
              <w:bottom w:val="single" w:sz="8" w:color="C0C0C0"/>
              <w:right w:val="single" w:sz="8" w:color="C0C0C0"/>
            </w:tcBorders>
          </w:tcPr>
          <w:p>
            <w:pPr>
              <w:ind w:left="20"/>
              <w:spacing w:after="0" w:line="255" w:lineRule="exact"/>
              <w:rPr>
                <w:sz w:val="20"/>
                <w:szCs w:val="20"/>
                <w:color w:val="auto"/>
              </w:rPr>
            </w:pPr>
            <w:r>
              <w:rPr>
                <w:rFonts w:ascii="Arial" w:cs="Arial" w:eastAsia="Arial" w:hAnsi="Arial"/>
                <w:sz w:val="18"/>
                <w:szCs w:val="18"/>
                <w:color w:val="auto"/>
              </w:rPr>
              <w:t>[Names(s)/As shown on Prudential's records</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23"/>
                <w:szCs w:val="23"/>
                <w:b w:val="1"/>
                <w:bCs w:val="1"/>
                <w:color w:val="auto"/>
                <w:vertAlign w:val="superscript"/>
              </w:rPr>
              <w:t>A</w:t>
            </w:r>
            <w:r>
              <w:rPr>
                <w:rFonts w:ascii="Arial" w:cs="Arial" w:eastAsia="Arial" w:hAnsi="Arial"/>
                <w:sz w:val="18"/>
                <w:szCs w:val="18"/>
                <w:color w:val="auto"/>
              </w:rPr>
              <w:t xml:space="preserve"> [Share(s)] </w:t>
            </w:r>
            <w:r>
              <w:rPr>
                <w:rFonts w:ascii="Arial" w:cs="Arial" w:eastAsia="Arial" w:hAnsi="Arial"/>
                <w:sz w:val="23"/>
                <w:szCs w:val="23"/>
                <w:b w:val="1"/>
                <w:bCs w:val="1"/>
                <w:color w:val="auto"/>
                <w:vertAlign w:val="superscript"/>
              </w:rPr>
              <w:t>A</w:t>
            </w:r>
          </w:p>
        </w:tc>
      </w:tr>
      <w:tr>
        <w:trPr>
          <w:trHeight w:val="243"/>
        </w:trPr>
        <w:tc>
          <w:tcPr>
            <w:tcW w:w="4840" w:type="dxa"/>
            <w:vAlign w:val="bottom"/>
            <w:tcBorders>
              <w:left w:val="single" w:sz="8" w:color="C0C0C0"/>
              <w:bottom w:val="single" w:sz="8" w:color="C0C0C0"/>
              <w:right w:val="single" w:sz="8" w:color="C0C0C0"/>
            </w:tcBorders>
          </w:tcPr>
          <w:p>
            <w:pPr>
              <w:spacing w:after="0"/>
              <w:rPr>
                <w:sz w:val="21"/>
                <w:szCs w:val="21"/>
                <w:color w:val="auto"/>
              </w:rPr>
            </w:pPr>
          </w:p>
        </w:tc>
        <w:tc>
          <w:tcPr>
            <w:tcW w:w="5660" w:type="dxa"/>
            <w:vAlign w:val="bottom"/>
            <w:tcBorders>
              <w:bottom w:val="single" w:sz="8" w:color="C0C0C0"/>
              <w:right w:val="single" w:sz="8" w:color="C0C0C0"/>
            </w:tcBorders>
          </w:tcPr>
          <w:p>
            <w:pPr>
              <w:spacing w:after="0"/>
              <w:rPr>
                <w:sz w:val="21"/>
                <w:szCs w:val="21"/>
                <w:color w:val="auto"/>
              </w:rPr>
            </w:pPr>
          </w:p>
        </w:tc>
      </w:tr>
      <w:tr>
        <w:trPr>
          <w:trHeight w:val="255"/>
        </w:trPr>
        <w:tc>
          <w:tcPr>
            <w:tcW w:w="4840" w:type="dxa"/>
            <w:vAlign w:val="bottom"/>
            <w:tcBorders>
              <w:left w:val="single" w:sz="8" w:color="C0C0C0"/>
              <w:bottom w:val="single" w:sz="8" w:color="C0C0C0"/>
              <w:right w:val="single" w:sz="8" w:color="C0C0C0"/>
            </w:tcBorders>
          </w:tcPr>
          <w:p>
            <w:pPr>
              <w:ind w:left="40"/>
              <w:spacing w:after="0" w:line="255" w:lineRule="exact"/>
              <w:rPr>
                <w:sz w:val="20"/>
                <w:szCs w:val="20"/>
                <w:color w:val="auto"/>
              </w:rPr>
            </w:pPr>
            <w:r>
              <w:rPr>
                <w:rFonts w:ascii="Arial" w:cs="Arial" w:eastAsia="Arial" w:hAnsi="Arial"/>
                <w:sz w:val="18"/>
                <w:szCs w:val="18"/>
                <w:color w:val="auto"/>
              </w:rPr>
              <w:t xml:space="preserve">[Pre-1985 </w:t>
            </w:r>
            <w:r>
              <w:rPr>
                <w:rFonts w:ascii="Arial" w:cs="Arial" w:eastAsia="Arial" w:hAnsi="Arial"/>
                <w:sz w:val="18"/>
                <w:szCs w:val="18"/>
                <w:i w:val="1"/>
                <w:iCs w:val="1"/>
                <w:color w:val="auto"/>
              </w:rPr>
              <w:t>Part B Primary Amount:</w:t>
            </w:r>
            <w:r>
              <w:rPr>
                <w:rFonts w:ascii="Arial" w:cs="Arial" w:eastAsia="Arial" w:hAnsi="Arial"/>
                <w:sz w:val="18"/>
                <w:szCs w:val="18"/>
                <w:color w:val="auto"/>
              </w:rPr>
              <w:t xml:space="preserve"> ] </w:t>
            </w:r>
            <w:r>
              <w:rPr>
                <w:rFonts w:ascii="Arial" w:cs="Arial" w:eastAsia="Arial" w:hAnsi="Arial"/>
                <w:sz w:val="23"/>
                <w:szCs w:val="23"/>
                <w:color w:val="auto"/>
                <w:vertAlign w:val="superscript"/>
              </w:rPr>
              <w:t>A</w:t>
            </w:r>
          </w:p>
        </w:tc>
        <w:tc>
          <w:tcPr>
            <w:tcW w:w="5660" w:type="dxa"/>
            <w:vAlign w:val="bottom"/>
            <w:tcBorders>
              <w:bottom w:val="single" w:sz="8" w:color="C0C0C0"/>
              <w:right w:val="single" w:sz="8" w:color="C0C0C0"/>
            </w:tcBorders>
          </w:tcPr>
          <w:p>
            <w:pPr>
              <w:ind w:left="20"/>
              <w:spacing w:after="0" w:line="255" w:lineRule="exact"/>
              <w:rPr>
                <w:sz w:val="20"/>
                <w:szCs w:val="20"/>
                <w:color w:val="auto"/>
              </w:rPr>
            </w:pPr>
            <w:r>
              <w:rPr>
                <w:rFonts w:ascii="Arial" w:cs="Arial" w:eastAsia="Arial" w:hAnsi="Arial"/>
                <w:sz w:val="18"/>
                <w:szCs w:val="18"/>
                <w:color w:val="auto"/>
              </w:rPr>
              <w:t xml:space="preserve">[$XXX.XX] </w:t>
            </w:r>
            <w:r>
              <w:rPr>
                <w:rFonts w:ascii="Arial" w:cs="Arial" w:eastAsia="Arial" w:hAnsi="Arial"/>
                <w:sz w:val="23"/>
                <w:szCs w:val="23"/>
                <w:color w:val="auto"/>
                <w:vertAlign w:val="superscript"/>
              </w:rPr>
              <w:t>A</w:t>
            </w:r>
          </w:p>
        </w:tc>
      </w:tr>
      <w:tr>
        <w:trPr>
          <w:trHeight w:val="243"/>
        </w:trPr>
        <w:tc>
          <w:tcPr>
            <w:tcW w:w="4840" w:type="dxa"/>
            <w:vAlign w:val="bottom"/>
            <w:tcBorders>
              <w:left w:val="single" w:sz="8" w:color="C0C0C0"/>
              <w:bottom w:val="single" w:sz="8" w:color="C0C0C0"/>
              <w:right w:val="single" w:sz="8" w:color="C0C0C0"/>
            </w:tcBorders>
          </w:tcPr>
          <w:p>
            <w:pPr>
              <w:spacing w:after="0"/>
              <w:rPr>
                <w:sz w:val="21"/>
                <w:szCs w:val="21"/>
                <w:color w:val="auto"/>
              </w:rPr>
            </w:pPr>
          </w:p>
        </w:tc>
        <w:tc>
          <w:tcPr>
            <w:tcW w:w="5660" w:type="dxa"/>
            <w:vAlign w:val="bottom"/>
            <w:tcBorders>
              <w:bottom w:val="single" w:sz="8" w:color="C0C0C0"/>
              <w:right w:val="single" w:sz="8" w:color="C0C0C0"/>
            </w:tcBorders>
          </w:tcPr>
          <w:p>
            <w:pPr>
              <w:spacing w:after="0"/>
              <w:rPr>
                <w:sz w:val="21"/>
                <w:szCs w:val="21"/>
                <w:color w:val="auto"/>
              </w:rPr>
            </w:pPr>
          </w:p>
        </w:tc>
      </w:tr>
      <w:tr>
        <w:trPr>
          <w:trHeight w:val="255"/>
        </w:trPr>
        <w:tc>
          <w:tcPr>
            <w:tcW w:w="4840" w:type="dxa"/>
            <w:vAlign w:val="bottom"/>
            <w:tcBorders>
              <w:left w:val="single" w:sz="8" w:color="C0C0C0"/>
              <w:bottom w:val="single" w:sz="8" w:color="C0C0C0"/>
              <w:right w:val="single" w:sz="8" w:color="C0C0C0"/>
            </w:tcBorders>
          </w:tcPr>
          <w:p>
            <w:pPr>
              <w:ind w:left="40"/>
              <w:spacing w:after="0" w:line="255" w:lineRule="exact"/>
              <w:rPr>
                <w:sz w:val="20"/>
                <w:szCs w:val="20"/>
                <w:color w:val="auto"/>
              </w:rPr>
            </w:pPr>
            <w:r>
              <w:rPr>
                <w:rFonts w:ascii="Arial" w:cs="Arial" w:eastAsia="Arial" w:hAnsi="Arial"/>
                <w:sz w:val="18"/>
                <w:szCs w:val="18"/>
                <w:color w:val="auto"/>
              </w:rPr>
              <w:t xml:space="preserve">[Post-1985 </w:t>
            </w:r>
            <w:r>
              <w:rPr>
                <w:rFonts w:ascii="Arial" w:cs="Arial" w:eastAsia="Arial" w:hAnsi="Arial"/>
                <w:sz w:val="18"/>
                <w:szCs w:val="18"/>
                <w:i w:val="1"/>
                <w:iCs w:val="1"/>
                <w:color w:val="auto"/>
              </w:rPr>
              <w:t>Part B Primary Amount:</w:t>
            </w:r>
            <w:r>
              <w:rPr>
                <w:rFonts w:ascii="Arial" w:cs="Arial" w:eastAsia="Arial" w:hAnsi="Arial"/>
                <w:sz w:val="18"/>
                <w:szCs w:val="18"/>
                <w:color w:val="auto"/>
              </w:rPr>
              <w:t xml:space="preserve">] </w:t>
            </w:r>
            <w:r>
              <w:rPr>
                <w:rFonts w:ascii="Arial" w:cs="Arial" w:eastAsia="Arial" w:hAnsi="Arial"/>
                <w:sz w:val="23"/>
                <w:szCs w:val="23"/>
                <w:color w:val="auto"/>
                <w:vertAlign w:val="superscript"/>
              </w:rPr>
              <w:t>A</w:t>
            </w:r>
          </w:p>
        </w:tc>
        <w:tc>
          <w:tcPr>
            <w:tcW w:w="5660" w:type="dxa"/>
            <w:vAlign w:val="bottom"/>
            <w:tcBorders>
              <w:bottom w:val="single" w:sz="8" w:color="C0C0C0"/>
              <w:right w:val="single" w:sz="8" w:color="C0C0C0"/>
            </w:tcBorders>
          </w:tcPr>
          <w:p>
            <w:pPr>
              <w:ind w:left="20"/>
              <w:spacing w:after="0" w:line="255" w:lineRule="exact"/>
              <w:rPr>
                <w:sz w:val="20"/>
                <w:szCs w:val="20"/>
                <w:color w:val="auto"/>
              </w:rPr>
            </w:pPr>
            <w:r>
              <w:rPr>
                <w:rFonts w:ascii="Arial" w:cs="Arial" w:eastAsia="Arial" w:hAnsi="Arial"/>
                <w:sz w:val="18"/>
                <w:szCs w:val="18"/>
                <w:color w:val="auto"/>
              </w:rPr>
              <w:t xml:space="preserve">[$XXX.XX] </w:t>
            </w:r>
            <w:r>
              <w:rPr>
                <w:rFonts w:ascii="Arial" w:cs="Arial" w:eastAsia="Arial" w:hAnsi="Arial"/>
                <w:sz w:val="23"/>
                <w:szCs w:val="23"/>
                <w:color w:val="auto"/>
                <w:vertAlign w:val="superscript"/>
              </w:rPr>
              <w:t>A</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benefits of the policy providing your coverage are governed primarily by the law of a state other than Florida.]</w:t>
      </w:r>
      <w:r>
        <w:rPr>
          <w:rFonts w:ascii="Arial" w:cs="Arial" w:eastAsia="Arial" w:hAnsi="Arial"/>
          <w:sz w:val="26"/>
          <w:szCs w:val="26"/>
          <w:b w:val="1"/>
          <w:bCs w:val="1"/>
          <w:color w:val="auto"/>
          <w:vertAlign w:val="superscript"/>
        </w:rPr>
        <w:t>B</w:t>
      </w:r>
    </w:p>
    <w:p>
      <w:pPr>
        <w:spacing w:after="0" w:line="347"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Prudential's Guarantee:</w:t>
      </w:r>
    </w:p>
    <w:p>
      <w:pPr>
        <w:spacing w:after="0" w:line="205"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This Certificate describes the monthly payments irrevocably guaranteed to you by The Prudential Insurance Company of America ("</w:t>
      </w:r>
      <w:r>
        <w:rPr>
          <w:rFonts w:ascii="Arial" w:cs="Arial" w:eastAsia="Arial" w:hAnsi="Arial"/>
          <w:sz w:val="17"/>
          <w:szCs w:val="17"/>
          <w:b w:val="1"/>
          <w:bCs w:val="1"/>
          <w:color w:val="auto"/>
        </w:rPr>
        <w:t>Prudential</w:t>
      </w:r>
      <w:r>
        <w:rPr>
          <w:rFonts w:ascii="Arial" w:cs="Arial" w:eastAsia="Arial" w:hAnsi="Arial"/>
          <w:sz w:val="17"/>
          <w:szCs w:val="17"/>
          <w:color w:val="auto"/>
        </w:rPr>
        <w:t>") under the Group Annuity Contract referred to above (the "</w:t>
      </w:r>
      <w:r>
        <w:rPr>
          <w:rFonts w:ascii="Arial" w:cs="Arial" w:eastAsia="Arial" w:hAnsi="Arial"/>
          <w:sz w:val="17"/>
          <w:szCs w:val="17"/>
          <w:b w:val="1"/>
          <w:bCs w:val="1"/>
          <w:color w:val="auto"/>
        </w:rPr>
        <w:t>Contract</w:t>
      </w:r>
      <w:r>
        <w:rPr>
          <w:rFonts w:ascii="Arial" w:cs="Arial" w:eastAsia="Arial" w:hAnsi="Arial"/>
          <w:sz w:val="17"/>
          <w:szCs w:val="17"/>
          <w:color w:val="auto"/>
        </w:rPr>
        <w:t xml:space="preserve">"). Prudential will make the payments owed by it under the Contract when those payments are due. We do not owe any payments to anyone under this Annuity Form if you have died before the </w:t>
      </w:r>
      <w:r>
        <w:rPr>
          <w:rFonts w:ascii="Arial" w:cs="Arial" w:eastAsia="Arial" w:hAnsi="Arial"/>
          <w:sz w:val="17"/>
          <w:szCs w:val="17"/>
          <w:i w:val="1"/>
          <w:iCs w:val="1"/>
          <w:color w:val="auto"/>
        </w:rPr>
        <w:t>Annuity Commencement Date</w:t>
      </w:r>
      <w:r>
        <w:rPr>
          <w:rFonts w:ascii="Arial" w:cs="Arial" w:eastAsia="Arial" w:hAnsi="Arial"/>
          <w:sz w:val="17"/>
          <w:szCs w:val="17"/>
          <w:color w:val="auto"/>
        </w:rPr>
        <w:t>.</w:t>
      </w:r>
    </w:p>
    <w:p>
      <w:pPr>
        <w:spacing w:after="0" w:line="171"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Definitions &amp; References:</w:t>
      </w:r>
    </w:p>
    <w:p>
      <w:pPr>
        <w:spacing w:after="0" w:line="234"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Appendix 1.3 - 30</w:t>
      </w:r>
    </w:p>
    <w:p>
      <w:pPr>
        <w:sectPr>
          <w:pgSz w:w="11900" w:h="16838" w:orient="portrait"/>
          <w:cols w:equalWidth="0" w:num="1">
            <w:col w:w="11320"/>
          </w:cols>
          <w:pgMar w:left="240" w:top="871" w:right="339" w:bottom="1440" w:gutter="0" w:footer="0" w:header="0"/>
        </w:sectPr>
      </w:pPr>
    </w:p>
    <w:bookmarkStart w:id="144" w:name="page145"/>
    <w:bookmarkEnd w:id="144"/>
    <w:p>
      <w:pPr>
        <w:jc w:val="both"/>
        <w:spacing w:after="0" w:line="252" w:lineRule="auto"/>
        <w:rPr>
          <w:sz w:val="20"/>
          <w:szCs w:val="20"/>
          <w:color w:val="auto"/>
        </w:rPr>
      </w:pPr>
      <w:r>
        <w:rPr>
          <w:rFonts w:ascii="Arial" w:cs="Arial" w:eastAsia="Arial" w:hAnsi="Arial"/>
          <w:sz w:val="17"/>
          <w:szCs w:val="17"/>
          <w:color w:val="auto"/>
        </w:rPr>
        <w:t>Capitalized terms in this Certificate, which are in italics, are defined on the front of this Certificate. Those in bold are defined in other parts of this Certificate. “</w:t>
      </w:r>
      <w:r>
        <w:rPr>
          <w:rFonts w:ascii="Arial" w:cs="Arial" w:eastAsia="Arial" w:hAnsi="Arial"/>
          <w:sz w:val="17"/>
          <w:szCs w:val="17"/>
          <w:b w:val="1"/>
          <w:bCs w:val="1"/>
          <w:color w:val="auto"/>
        </w:rPr>
        <w:t>You</w:t>
      </w:r>
      <w:r>
        <w:rPr>
          <w:rFonts w:ascii="Arial" w:cs="Arial" w:eastAsia="Arial" w:hAnsi="Arial"/>
          <w:sz w:val="17"/>
          <w:szCs w:val="17"/>
          <w:color w:val="auto"/>
        </w:rPr>
        <w:t>” and “</w:t>
      </w:r>
      <w:r>
        <w:rPr>
          <w:rFonts w:ascii="Arial" w:cs="Arial" w:eastAsia="Arial" w:hAnsi="Arial"/>
          <w:sz w:val="17"/>
          <w:szCs w:val="17"/>
          <w:b w:val="1"/>
          <w:bCs w:val="1"/>
          <w:color w:val="auto"/>
        </w:rPr>
        <w:t>your</w:t>
      </w:r>
      <w:r>
        <w:rPr>
          <w:rFonts w:ascii="Arial" w:cs="Arial" w:eastAsia="Arial" w:hAnsi="Arial"/>
          <w:sz w:val="17"/>
          <w:szCs w:val="17"/>
          <w:color w:val="auto"/>
        </w:rPr>
        <w:t xml:space="preserve">” means the </w:t>
      </w:r>
      <w:r>
        <w:rPr>
          <w:rFonts w:ascii="Arial" w:cs="Arial" w:eastAsia="Arial" w:hAnsi="Arial"/>
          <w:sz w:val="17"/>
          <w:szCs w:val="17"/>
          <w:i w:val="1"/>
          <w:iCs w:val="1"/>
          <w:color w:val="auto"/>
        </w:rPr>
        <w:t>"Covered Life."</w:t>
      </w:r>
      <w:r>
        <w:rPr>
          <w:rFonts w:ascii="Arial" w:cs="Arial" w:eastAsia="Arial" w:hAnsi="Arial"/>
          <w:sz w:val="17"/>
          <w:szCs w:val="17"/>
          <w:color w:val="auto"/>
        </w:rPr>
        <w:t xml:space="preserve"> "</w:t>
      </w:r>
      <w:r>
        <w:rPr>
          <w:rFonts w:ascii="Arial" w:cs="Arial" w:eastAsia="Arial" w:hAnsi="Arial"/>
          <w:sz w:val="17"/>
          <w:szCs w:val="17"/>
          <w:b w:val="1"/>
          <w:bCs w:val="1"/>
          <w:color w:val="auto"/>
        </w:rPr>
        <w:t>We</w:t>
      </w:r>
      <w:r>
        <w:rPr>
          <w:rFonts w:ascii="Arial" w:cs="Arial" w:eastAsia="Arial" w:hAnsi="Arial"/>
          <w:sz w:val="17"/>
          <w:szCs w:val="17"/>
          <w:color w:val="auto"/>
        </w:rPr>
        <w:t>," "</w:t>
      </w:r>
      <w:r>
        <w:rPr>
          <w:rFonts w:ascii="Arial" w:cs="Arial" w:eastAsia="Arial" w:hAnsi="Arial"/>
          <w:sz w:val="17"/>
          <w:szCs w:val="17"/>
          <w:b w:val="1"/>
          <w:bCs w:val="1"/>
          <w:color w:val="auto"/>
        </w:rPr>
        <w:t>us</w:t>
      </w:r>
      <w:r>
        <w:rPr>
          <w:rFonts w:ascii="Arial" w:cs="Arial" w:eastAsia="Arial" w:hAnsi="Arial"/>
          <w:sz w:val="17"/>
          <w:szCs w:val="17"/>
          <w:color w:val="auto"/>
        </w:rPr>
        <w:t>" and "</w:t>
      </w:r>
      <w:r>
        <w:rPr>
          <w:rFonts w:ascii="Arial" w:cs="Arial" w:eastAsia="Arial" w:hAnsi="Arial"/>
          <w:sz w:val="17"/>
          <w:szCs w:val="17"/>
          <w:b w:val="1"/>
          <w:bCs w:val="1"/>
          <w:color w:val="auto"/>
        </w:rPr>
        <w:t>our</w:t>
      </w:r>
      <w:r>
        <w:rPr>
          <w:rFonts w:ascii="Arial" w:cs="Arial" w:eastAsia="Arial" w:hAnsi="Arial"/>
          <w:sz w:val="17"/>
          <w:szCs w:val="17"/>
          <w:color w:val="auto"/>
        </w:rPr>
        <w:t>" means Prudential. "</w:t>
      </w:r>
      <w:r>
        <w:rPr>
          <w:rFonts w:ascii="Arial" w:cs="Arial" w:eastAsia="Arial" w:hAnsi="Arial"/>
          <w:sz w:val="17"/>
          <w:szCs w:val="17"/>
          <w:b w:val="1"/>
          <w:bCs w:val="1"/>
          <w:color w:val="auto"/>
        </w:rPr>
        <w:t>Payee</w:t>
      </w:r>
      <w:r>
        <w:rPr>
          <w:rFonts w:ascii="Arial" w:cs="Arial" w:eastAsia="Arial" w:hAnsi="Arial"/>
          <w:sz w:val="17"/>
          <w:szCs w:val="17"/>
          <w:color w:val="auto"/>
        </w:rPr>
        <w:t>" means the Covered Life and anyone else with an existing or future right to receive payments under this Annuity, but no Payee (other than the Covered Life) may make any changes or exercise any rights until the Payee has begun receiving payments. “</w:t>
      </w:r>
      <w:r>
        <w:rPr>
          <w:rFonts w:ascii="Arial" w:cs="Arial" w:eastAsia="Arial" w:hAnsi="Arial"/>
          <w:sz w:val="17"/>
          <w:szCs w:val="17"/>
          <w:b w:val="1"/>
          <w:bCs w:val="1"/>
          <w:color w:val="auto"/>
        </w:rPr>
        <w:t>Representative</w:t>
      </w:r>
      <w:r>
        <w:rPr>
          <w:rFonts w:ascii="Arial" w:cs="Arial" w:eastAsia="Arial" w:hAnsi="Arial"/>
          <w:sz w:val="17"/>
          <w:szCs w:val="17"/>
          <w:color w:val="auto"/>
        </w:rPr>
        <w:t>” means, with respect to a Payee, an individual or entity that has been duly appointed in accordance with the Contract to represent the Payee, such as a guardian.</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Payment Terms:</w:t>
      </w:r>
    </w:p>
    <w:p>
      <w:pPr>
        <w:spacing w:after="0" w:line="209" w:lineRule="exact"/>
        <w:rPr>
          <w:sz w:val="20"/>
          <w:szCs w:val="20"/>
          <w:color w:val="auto"/>
        </w:rPr>
      </w:pPr>
    </w:p>
    <w:p>
      <w:pPr>
        <w:ind w:right="160"/>
        <w:spacing w:after="0" w:line="334" w:lineRule="auto"/>
        <w:rPr>
          <w:sz w:val="20"/>
          <w:szCs w:val="20"/>
          <w:color w:val="auto"/>
        </w:rPr>
      </w:pPr>
      <w:r>
        <w:rPr>
          <w:rFonts w:ascii="Arial" w:cs="Arial" w:eastAsia="Arial" w:hAnsi="Arial"/>
          <w:sz w:val="15"/>
          <w:szCs w:val="15"/>
          <w:color w:val="auto"/>
        </w:rPr>
        <w:t>“Window Single Life Annuity,” is the Annuity Form having the payment terms specified in this Payment Terms section. Payments may also be made in accordance with any of the following Riders if specified in the Table of Information on the front of this Certificate. Those riders are also described below in this Payment Terms section.</w:t>
      </w:r>
    </w:p>
    <w:p>
      <w:pPr>
        <w:spacing w:after="0" w:line="121" w:lineRule="exact"/>
        <w:rPr>
          <w:sz w:val="20"/>
          <w:szCs w:val="20"/>
          <w:color w:val="auto"/>
        </w:rPr>
      </w:pPr>
    </w:p>
    <w:p>
      <w:pPr>
        <w:ind w:left="900"/>
        <w:spacing w:after="0"/>
        <w:rPr>
          <w:sz w:val="20"/>
          <w:szCs w:val="20"/>
          <w:color w:val="auto"/>
        </w:rPr>
      </w:pPr>
      <w:r>
        <w:rPr>
          <w:rFonts w:ascii="Arial" w:cs="Arial" w:eastAsia="Arial" w:hAnsi="Arial"/>
          <w:sz w:val="17"/>
          <w:szCs w:val="17"/>
          <w:color w:val="auto"/>
        </w:rPr>
        <w:t>Refund Death Benefit Rider</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General Payment Terms</w:t>
      </w:r>
    </w:p>
    <w:p>
      <w:pPr>
        <w:spacing w:after="0" w:line="205" w:lineRule="exact"/>
        <w:rPr>
          <w:sz w:val="20"/>
          <w:szCs w:val="20"/>
          <w:color w:val="auto"/>
        </w:rPr>
      </w:pPr>
    </w:p>
    <w:p>
      <w:pPr>
        <w:ind w:right="180"/>
        <w:spacing w:after="0" w:line="334" w:lineRule="auto"/>
        <w:rPr>
          <w:sz w:val="20"/>
          <w:szCs w:val="20"/>
          <w:color w:val="auto"/>
        </w:rPr>
      </w:pPr>
      <w:r>
        <w:rPr>
          <w:rFonts w:ascii="Arial" w:cs="Arial" w:eastAsia="Arial" w:hAnsi="Arial"/>
          <w:sz w:val="15"/>
          <w:szCs w:val="15"/>
          <w:color w:val="auto"/>
        </w:rPr>
        <w:t xml:space="preserve">During your lifetime, we will make monthly payments to you equal to your Covered Life Amount. We owe the first monthly payment on the </w:t>
      </w:r>
      <w:r>
        <w:rPr>
          <w:rFonts w:ascii="Arial" w:cs="Arial" w:eastAsia="Arial" w:hAnsi="Arial"/>
          <w:sz w:val="15"/>
          <w:szCs w:val="15"/>
          <w:i w:val="1"/>
          <w:iCs w:val="1"/>
          <w:color w:val="auto"/>
        </w:rPr>
        <w:t>Annuity Commencement</w:t>
      </w:r>
      <w:r>
        <w:rPr>
          <w:rFonts w:ascii="Arial" w:cs="Arial" w:eastAsia="Arial" w:hAnsi="Arial"/>
          <w:sz w:val="15"/>
          <w:szCs w:val="15"/>
          <w:color w:val="auto"/>
        </w:rPr>
        <w:t xml:space="preserve"> </w:t>
      </w:r>
      <w:r>
        <w:rPr>
          <w:rFonts w:ascii="Arial" w:cs="Arial" w:eastAsia="Arial" w:hAnsi="Arial"/>
          <w:sz w:val="15"/>
          <w:szCs w:val="15"/>
          <w:i w:val="1"/>
          <w:iCs w:val="1"/>
          <w:color w:val="auto"/>
        </w:rPr>
        <w:t>Date</w:t>
      </w:r>
      <w:r>
        <w:rPr>
          <w:rFonts w:ascii="Arial" w:cs="Arial" w:eastAsia="Arial" w:hAnsi="Arial"/>
          <w:sz w:val="15"/>
          <w:szCs w:val="15"/>
          <w:color w:val="auto"/>
        </w:rPr>
        <w:t>. We will pay subsequent monthly payments on the first day of each month. Our last monthly payment to you will be on the first day of the month in which you die.</w:t>
      </w:r>
    </w:p>
    <w:p>
      <w:pPr>
        <w:spacing w:after="0" w:line="121" w:lineRule="exact"/>
        <w:rPr>
          <w:sz w:val="20"/>
          <w:szCs w:val="20"/>
          <w:color w:val="auto"/>
        </w:rPr>
      </w:pPr>
    </w:p>
    <w:p>
      <w:pPr>
        <w:ind w:right="120"/>
        <w:spacing w:after="0" w:line="266" w:lineRule="auto"/>
        <w:rPr>
          <w:sz w:val="20"/>
          <w:szCs w:val="20"/>
          <w:color w:val="auto"/>
        </w:rPr>
      </w:pPr>
      <w:r>
        <w:rPr>
          <w:rFonts w:ascii="Arial" w:cs="Arial" w:eastAsia="Arial" w:hAnsi="Arial"/>
          <w:sz w:val="17"/>
          <w:szCs w:val="17"/>
          <w:color w:val="auto"/>
        </w:rPr>
        <w:t xml:space="preserve">If you have a Refund Death Benefit Rider, we may owe a Refund Death Benefit to the designated </w:t>
      </w:r>
      <w:r>
        <w:rPr>
          <w:rFonts w:ascii="Arial" w:cs="Arial" w:eastAsia="Arial" w:hAnsi="Arial"/>
          <w:sz w:val="17"/>
          <w:szCs w:val="17"/>
          <w:i w:val="1"/>
          <w:iCs w:val="1"/>
          <w:color w:val="auto"/>
        </w:rPr>
        <w:t>Beneficiary</w:t>
      </w:r>
      <w:r>
        <w:rPr>
          <w:rFonts w:ascii="Arial" w:cs="Arial" w:eastAsia="Arial" w:hAnsi="Arial"/>
          <w:sz w:val="17"/>
          <w:szCs w:val="17"/>
          <w:color w:val="auto"/>
        </w:rPr>
        <w:t xml:space="preserve"> for your Annuity Form. After you die, we will determine if we owe such payment. The following explains how we will determine if a payment is owed by us under this rider.</w:t>
      </w:r>
    </w:p>
    <w:p>
      <w:pPr>
        <w:spacing w:after="0" w:line="168"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The amount of the Refund Death Benefit, if any, will equal the Maximum Refund Death Benefit (as specified in the Table of Information) less the Pre 1985 Part B Primary Amounts and the Post 1985 Part B Primary Amounts (as specified in the Table of Information) paid by us after the Annuity Commencement Date to you (or to any related alternate payee, arising, for example, from a domestic relations order).</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Covered Life Amount</w:t>
      </w:r>
      <w:r>
        <w:rPr>
          <w:rFonts w:ascii="Arial" w:cs="Arial" w:eastAsia="Arial" w:hAnsi="Arial"/>
          <w:sz w:val="17"/>
          <w:szCs w:val="17"/>
          <w:color w:val="auto"/>
        </w:rPr>
        <w:t>” means an amount that is specified in the Table of Information.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Method of Payment:</w:t>
      </w:r>
    </w:p>
    <w:p>
      <w:pPr>
        <w:spacing w:after="0" w:line="209" w:lineRule="exact"/>
        <w:rPr>
          <w:sz w:val="20"/>
          <w:szCs w:val="20"/>
          <w:color w:val="auto"/>
        </w:rPr>
      </w:pPr>
    </w:p>
    <w:p>
      <w:pPr>
        <w:jc w:val="both"/>
        <w:spacing w:after="0" w:line="375" w:lineRule="auto"/>
        <w:rPr>
          <w:sz w:val="20"/>
          <w:szCs w:val="20"/>
          <w:color w:val="auto"/>
        </w:rPr>
      </w:pPr>
      <w:r>
        <w:rPr>
          <w:rFonts w:ascii="Arial" w:cs="Arial" w:eastAsia="Arial" w:hAnsi="Arial"/>
          <w:sz w:val="14"/>
          <w:szCs w:val="14"/>
          <w:color w:val="auto"/>
        </w:rPr>
        <w:t>We will make all payments in U.S. dollars. Payees may elect to receive payments either by check or by direct deposit to a bank or other financial institution chosen by the Payee. Checks are mailed to the last known address for the Payee as shown on our records. Direct deposit may be selected only by using a form supplied for such purpose.</w:t>
      </w:r>
    </w:p>
    <w:p>
      <w:pPr>
        <w:spacing w:after="0" w:line="98"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 xml:space="preserve">By written notice, a Payee may request a change of the mailing address we use for payments by check. By using a form we supply, a Payee may change the bank or other financial institution receiving direct payments. Payees must deliver these items to Prudential as described below under </w:t>
      </w:r>
      <w:r>
        <w:rPr>
          <w:rFonts w:ascii="Arial" w:cs="Arial" w:eastAsia="Arial" w:hAnsi="Arial"/>
          <w:sz w:val="16"/>
          <w:szCs w:val="16"/>
          <w:b w:val="1"/>
          <w:bCs w:val="1"/>
          <w:color w:val="auto"/>
        </w:rPr>
        <w:t>"Correspondence."</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We may change these procedures by sending a letter to the Payee. We will use the address last shown on our records.</w:t>
      </w:r>
    </w:p>
    <w:p>
      <w:pPr>
        <w:spacing w:after="0" w:line="201" w:lineRule="exact"/>
        <w:rPr>
          <w:sz w:val="20"/>
          <w:szCs w:val="20"/>
          <w:color w:val="auto"/>
        </w:rPr>
      </w:pPr>
    </w:p>
    <w:p>
      <w:pPr>
        <w:ind w:left="3000"/>
        <w:spacing w:after="0"/>
        <w:rPr>
          <w:sz w:val="20"/>
          <w:szCs w:val="20"/>
          <w:color w:val="auto"/>
        </w:rPr>
      </w:pPr>
      <w:r>
        <w:rPr>
          <w:rFonts w:ascii="Arial" w:cs="Arial" w:eastAsia="Arial" w:hAnsi="Arial"/>
          <w:sz w:val="17"/>
          <w:szCs w:val="17"/>
          <w:b w:val="1"/>
          <w:bCs w:val="1"/>
          <w:color w:val="auto"/>
        </w:rPr>
        <w:t>Correspondence:</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Mail any notices and forms to the current notice address. The current notice address is:</w:t>
      </w:r>
    </w:p>
    <w:p>
      <w:pPr>
        <w:spacing w:after="0" w:line="205"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The Prudential Insurance Company of America</w:t>
      </w:r>
    </w:p>
    <w:p>
      <w:pPr>
        <w:spacing w:after="0" w:line="17"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[P.O. Box 5370</w:t>
      </w:r>
    </w:p>
    <w:p>
      <w:pPr>
        <w:spacing w:after="0" w:line="1"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Scranton, PA 18505-5370</w:t>
      </w:r>
      <w:r>
        <w:rPr>
          <w:rFonts w:ascii="Arial" w:cs="Arial" w:eastAsia="Arial" w:hAnsi="Arial"/>
          <w:sz w:val="18"/>
          <w:szCs w:val="18"/>
          <w:color w:val="auto"/>
        </w:rPr>
        <w:t>]</w:t>
      </w:r>
      <w:r>
        <w:rPr>
          <w:rFonts w:ascii="Arial" w:cs="Arial" w:eastAsia="Arial" w:hAnsi="Arial"/>
          <w:sz w:val="17"/>
          <w:szCs w:val="17"/>
          <w:color w:val="auto"/>
        </w:rPr>
        <w:t xml:space="preserve"> </w:t>
      </w:r>
      <w:r>
        <w:rPr>
          <w:rFonts w:ascii="Arial" w:cs="Arial" w:eastAsia="Arial" w:hAnsi="Arial"/>
          <w:sz w:val="23"/>
          <w:szCs w:val="23"/>
          <w:color w:val="auto"/>
          <w:vertAlign w:val="superscript"/>
        </w:rPr>
        <w:t>C</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color w:val="auto"/>
        </w:rPr>
        <w:t>Prudential may change the notice address by sending a letter to the Payee. We will use the address last shown on our records.</w:t>
      </w:r>
    </w:p>
    <w:p>
      <w:pPr>
        <w:spacing w:after="0" w:line="20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All notices must be in writing. Payee must sign all notices and forms. Please refer to the Annuity Certificate Number and the Group Annuity Contract Number (shown on the first page of this Certificate) on all notices and forms sent to us.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Appendix 1.3 - 31</w:t>
      </w:r>
    </w:p>
    <w:p>
      <w:pPr>
        <w:sectPr>
          <w:pgSz w:w="11900" w:h="16838" w:orient="portrait"/>
          <w:cols w:equalWidth="0" w:num="1">
            <w:col w:w="11420"/>
          </w:cols>
          <w:pgMar w:left="240" w:top="749" w:right="239" w:bottom="1440" w:gutter="0" w:footer="0" w:header="0"/>
        </w:sectPr>
      </w:pPr>
    </w:p>
    <w:bookmarkStart w:id="145" w:name="page146"/>
    <w:bookmarkEnd w:id="145"/>
    <w:p>
      <w:pPr>
        <w:jc w:val="center"/>
        <w:spacing w:after="0"/>
        <w:rPr>
          <w:sz w:val="20"/>
          <w:szCs w:val="20"/>
          <w:color w:val="auto"/>
        </w:rPr>
      </w:pPr>
      <w:r>
        <w:rPr>
          <w:rFonts w:ascii="Arial" w:cs="Arial" w:eastAsia="Arial" w:hAnsi="Arial"/>
          <w:sz w:val="17"/>
          <w:szCs w:val="17"/>
          <w:b w:val="1"/>
          <w:bCs w:val="1"/>
          <w:color w:val="auto"/>
        </w:rPr>
        <w:t>[Beneficiaries: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You may change Beneficiaries as described below.</w:t>
      </w:r>
    </w:p>
    <w:p>
      <w:pPr>
        <w:spacing w:after="0" w:line="201"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Selections and changes of Beneficiaries must use a form ("</w:t>
      </w:r>
      <w:r>
        <w:rPr>
          <w:rFonts w:ascii="Arial" w:cs="Arial" w:eastAsia="Arial" w:hAnsi="Arial"/>
          <w:sz w:val="17"/>
          <w:szCs w:val="17"/>
          <w:b w:val="1"/>
          <w:bCs w:val="1"/>
          <w:color w:val="auto"/>
        </w:rPr>
        <w:t>Beneficiary Form</w:t>
      </w:r>
      <w:r>
        <w:rPr>
          <w:rFonts w:ascii="Arial" w:cs="Arial" w:eastAsia="Arial" w:hAnsi="Arial"/>
          <w:sz w:val="17"/>
          <w:szCs w:val="17"/>
          <w:color w:val="auto"/>
        </w:rPr>
        <w:t>") we supply. Beneficiary Forms must be delivered to Prudential as described above under "</w:t>
      </w:r>
      <w:r>
        <w:rPr>
          <w:rFonts w:ascii="Arial" w:cs="Arial" w:eastAsia="Arial" w:hAnsi="Arial"/>
          <w:sz w:val="17"/>
          <w:szCs w:val="17"/>
          <w:b w:val="1"/>
          <w:bCs w:val="1"/>
          <w:color w:val="auto"/>
        </w:rPr>
        <w:t>Correspondence</w:t>
      </w:r>
      <w:r>
        <w:rPr>
          <w:rFonts w:ascii="Arial" w:cs="Arial" w:eastAsia="Arial" w:hAnsi="Arial"/>
          <w:sz w:val="17"/>
          <w:szCs w:val="17"/>
          <w:color w:val="auto"/>
        </w:rPr>
        <w:t>." Selections and changes must comply with all applicable laws, including those relating to spousal waivers. Unless required by law or the Plan, we will not require any existing Beneficiary to consent to a change of Beneficiaries.</w:t>
      </w:r>
    </w:p>
    <w:p>
      <w:pPr>
        <w:spacing w:after="0" w:line="175" w:lineRule="exact"/>
        <w:rPr>
          <w:sz w:val="20"/>
          <w:szCs w:val="20"/>
          <w:color w:val="auto"/>
        </w:rPr>
      </w:pPr>
    </w:p>
    <w:p>
      <w:pPr>
        <w:jc w:val="both"/>
        <w:ind w:right="160"/>
        <w:spacing w:after="0" w:line="264" w:lineRule="auto"/>
        <w:rPr>
          <w:sz w:val="20"/>
          <w:szCs w:val="20"/>
          <w:color w:val="auto"/>
        </w:rPr>
      </w:pPr>
      <w:r>
        <w:rPr>
          <w:rFonts w:ascii="Arial" w:cs="Arial" w:eastAsia="Arial" w:hAnsi="Arial"/>
          <w:sz w:val="17"/>
          <w:szCs w:val="17"/>
          <w:color w:val="auto"/>
        </w:rPr>
        <w:t>Beneficiary selection and changes shall take effect on the date you sign the change in Beneficiary form. However, no change shall be effective with respect to any action taken by us before we receive the change in Beneficiary form. Unless otherwise indicated on the Beneficiary designation or change form, the interest of any Beneficiary who dies before you ceases altogether.</w:t>
      </w:r>
      <w:r>
        <w:rPr>
          <w:rFonts w:ascii="Arial" w:cs="Arial" w:eastAsia="Arial" w:hAnsi="Arial"/>
          <w:sz w:val="17"/>
          <w:szCs w:val="17"/>
          <w:b w:val="1"/>
          <w:bCs w:val="1"/>
          <w:color w:val="auto"/>
        </w:rPr>
        <w:t>]</w:t>
      </w:r>
      <w:r>
        <w:rPr>
          <w:rFonts w:ascii="Arial" w:cs="Arial" w:eastAsia="Arial" w:hAnsi="Arial"/>
          <w:sz w:val="17"/>
          <w:szCs w:val="17"/>
          <w:color w:val="auto"/>
        </w:rPr>
        <w:t xml:space="preserve"> </w:t>
      </w:r>
      <w:r>
        <w:rPr>
          <w:rFonts w:ascii="Arial" w:cs="Arial" w:eastAsia="Arial" w:hAnsi="Arial"/>
          <w:sz w:val="23"/>
          <w:szCs w:val="23"/>
          <w:color w:val="auto"/>
          <w:vertAlign w:val="superscript"/>
        </w:rPr>
        <w:t>D</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Assignment:</w:t>
      </w:r>
    </w:p>
    <w:p>
      <w:pPr>
        <w:spacing w:after="0" w:line="209"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Payees may not assign, pledge, anticipate, accelerate or transfer this Annuity, except as expressly provided in the Contract. Also, Payees may not use a Representative to do the same. To the full extent permitted by law, Annuity payments are not subject to the claims of creditors. Compliance with a domestic relations order meeting the requirements of the Contract will not be considered an impermissible transaction or claim.</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Qualified Domestic Relations Orders:</w:t>
      </w:r>
    </w:p>
    <w:p>
      <w:pPr>
        <w:spacing w:after="0" w:line="209"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Should your Annuity become subject to a Qualified Domestic Relations Order, we may be required to alter monthly payments under the Annuity. We may make payments according to such order, regardless of the Annuity Form selected. This includes any adjustments needed to retroactively implement the order. We may rely upon any Qualified Domestic Relations Order we believe to be valid.</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Reliance Upon Affidavit or Other Evidence:</w:t>
      </w:r>
    </w:p>
    <w:p>
      <w:pPr>
        <w:spacing w:after="0" w:line="20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We may rely upon an affidavit or other evidence to verify relevant facts. Payments we make in reliance upon this information relieve us from any liability under the Contract and this Certificate.</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Misstatements: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If certain information was misstated to us, your annuity payments may or may not be changed as described below.</w:t>
      </w:r>
    </w:p>
    <w:p>
      <w:pPr>
        <w:spacing w:after="0" w:line="17" w:lineRule="exact"/>
        <w:rPr>
          <w:sz w:val="20"/>
          <w:szCs w:val="20"/>
          <w:color w:val="auto"/>
        </w:rPr>
      </w:pPr>
    </w:p>
    <w:p>
      <w:pPr>
        <w:jc w:val="both"/>
        <w:spacing w:after="0" w:line="248" w:lineRule="auto"/>
        <w:rPr>
          <w:sz w:val="20"/>
          <w:szCs w:val="20"/>
          <w:color w:val="auto"/>
        </w:rPr>
      </w:pPr>
      <w:r>
        <w:rPr>
          <w:rFonts w:ascii="Arial" w:cs="Arial" w:eastAsia="Arial" w:hAnsi="Arial"/>
          <w:sz w:val="17"/>
          <w:szCs w:val="17"/>
          <w:color w:val="auto"/>
        </w:rPr>
        <w:t>If a Payee's date of birth, date of death, or sex was misstated to us, then we will not have the right to reduce any annuity payment below the amount determined using the information contained in the Contract. Also, we will not have the obligation to increase any Annuity Payment above the amount determined using the information contained in the Contract.</w:t>
      </w:r>
    </w:p>
    <w:p>
      <w:pPr>
        <w:spacing w:after="0" w:line="183"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If information other than the Payee's date of birth, date of death, or sex was misstated to us, then Prudential will adjust the annuity payment. First we will determine the portion of the premium paid to us to purchase your annuity. The annuity payment amount owed by us will be increased or decreased to equal the amount that could have been purchased using the premium paid for the annuity assuming the misstatement had not happened. Also, Prudential will not change the date of the first monthly payment.</w:t>
      </w:r>
    </w:p>
    <w:p>
      <w:pPr>
        <w:spacing w:after="0" w:line="180" w:lineRule="exact"/>
        <w:rPr>
          <w:sz w:val="20"/>
          <w:szCs w:val="20"/>
          <w:color w:val="auto"/>
        </w:rPr>
      </w:pPr>
    </w:p>
    <w:p>
      <w:pPr>
        <w:jc w:val="both"/>
        <w:spacing w:after="0" w:line="297" w:lineRule="auto"/>
        <w:rPr>
          <w:sz w:val="20"/>
          <w:szCs w:val="20"/>
          <w:color w:val="auto"/>
        </w:rPr>
      </w:pPr>
      <w:r>
        <w:rPr>
          <w:rFonts w:ascii="Arial" w:cs="Arial" w:eastAsia="Arial" w:hAnsi="Arial"/>
          <w:sz w:val="15"/>
          <w:szCs w:val="15"/>
          <w:color w:val="auto"/>
        </w:rPr>
        <w:t>If the corrected annuity payment is less than the annuity payment determined using the misstated information, then the annuity payment will be decreased to the amount calculated as described in the last paragraph above. We may reduce future annuity payments further by amounts previously overpaid by us to the Payee. If the corrected annuity payment is more than the annuity payment calculated using the misstated information, then the annuity payment will be increased to the amount determined as described in the last paragraph above. We will further pay the amount of the underpayments by us in one of the next two annuity payments due with respect to the Payee.</w:t>
      </w:r>
    </w:p>
    <w:p>
      <w:pPr>
        <w:spacing w:after="0" w:line="14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In addition to changing the amount of annuity payments, the adjustments made pursuant to this section may change other important terms of payment. For example, the form of annuity for a Payee may change. All adjustments made pursuant to this section will be binding upon the Payee.</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Supplemental Information:</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Appendix 1.3 - 32</w:t>
      </w:r>
    </w:p>
    <w:p>
      <w:pPr>
        <w:sectPr>
          <w:pgSz w:w="11900" w:h="16838" w:orient="portrait"/>
          <w:cols w:equalWidth="0" w:num="1">
            <w:col w:w="11420"/>
          </w:cols>
          <w:pgMar w:left="240" w:top="749" w:right="239" w:bottom="1440" w:gutter="0" w:footer="0" w:header="0"/>
        </w:sectPr>
      </w:pPr>
    </w:p>
    <w:bookmarkStart w:id="146" w:name="page147"/>
    <w:bookmarkEnd w:id="146"/>
    <w:p>
      <w:pPr>
        <w:jc w:val="both"/>
        <w:spacing w:after="0" w:line="256" w:lineRule="auto"/>
        <w:rPr>
          <w:sz w:val="20"/>
          <w:szCs w:val="20"/>
          <w:color w:val="auto"/>
        </w:rPr>
      </w:pPr>
      <w:r>
        <w:rPr>
          <w:rFonts w:ascii="Arial" w:cs="Arial" w:eastAsia="Arial" w:hAnsi="Arial"/>
          <w:sz w:val="17"/>
          <w:szCs w:val="17"/>
          <w:color w:val="auto"/>
        </w:rPr>
        <w:t>As a condition to making any payment, we may require a Payee to provide certain information not previously supplied. This information may include copies of signed election forms and signed spousal consent forms (where required). If legally required, we may withhold all or a portion of any payment until receiving a Social Security or taxpayer identification number for the Payee and any other items required by law.</w:t>
      </w:r>
    </w:p>
    <w:p>
      <w:pPr>
        <w:spacing w:after="0" w:line="176" w:lineRule="exact"/>
        <w:rPr>
          <w:sz w:val="20"/>
          <w:szCs w:val="20"/>
          <w:color w:val="auto"/>
        </w:rPr>
      </w:pPr>
    </w:p>
    <w:p>
      <w:pPr>
        <w:spacing w:after="0"/>
        <w:rPr>
          <w:sz w:val="20"/>
          <w:szCs w:val="20"/>
          <w:color w:val="auto"/>
        </w:rPr>
      </w:pPr>
      <w:r>
        <w:rPr>
          <w:rFonts w:ascii="Arial" w:cs="Arial" w:eastAsia="Arial" w:hAnsi="Arial"/>
          <w:sz w:val="15"/>
          <w:szCs w:val="15"/>
          <w:color w:val="auto"/>
        </w:rPr>
        <w:t>As a condition to making any payment, we may require satisfactory evidence that any Payee is alive. We may withhold future payments until we receive this evidence.</w:t>
      </w:r>
    </w:p>
    <w:p>
      <w:pPr>
        <w:spacing w:after="0" w:line="228"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Payments under this Certificate will be made to a Payee unless a Representative has been duly appointed in accordance with the Contract with respect to a Payee. If a Representative has been appointed, we may fulfill our obligation to a Payee under this Certificate by making payments to the Payee's Representative.</w:t>
      </w:r>
    </w:p>
    <w:p>
      <w:pPr>
        <w:spacing w:after="0" w:line="44" w:lineRule="exact"/>
        <w:rPr>
          <w:sz w:val="20"/>
          <w:szCs w:val="20"/>
          <w:color w:val="auto"/>
        </w:rPr>
      </w:pPr>
    </w:p>
    <w:p>
      <w:pPr>
        <w:ind w:right="280"/>
        <w:spacing w:after="0" w:line="287" w:lineRule="auto"/>
        <w:rPr>
          <w:sz w:val="20"/>
          <w:szCs w:val="20"/>
          <w:color w:val="auto"/>
        </w:rPr>
      </w:pPr>
      <w:r>
        <w:rPr>
          <w:rFonts w:ascii="Arial" w:cs="Arial" w:eastAsia="Arial" w:hAnsi="Arial"/>
          <w:sz w:val="15"/>
          <w:szCs w:val="15"/>
          <w:color w:val="auto"/>
        </w:rPr>
        <w:t>[For any Payee who is shown in the Contract as having been paid, prior to the Annuity Commencement Date, Plan benefits over the amount owed under the Plan, such overpayments shall be deducted from the annuity payments otherwise owed to such persons pursuant to the Payment Terms of this Certificate. Nothing in the prior sentence shall relate to information that may have been misstated to us. Such misstatements are governed by the above Misstatements section.]</w:t>
      </w:r>
      <w:r>
        <w:rPr>
          <w:rFonts w:ascii="Arial" w:cs="Arial" w:eastAsia="Arial" w:hAnsi="Arial"/>
          <w:sz w:val="21"/>
          <w:szCs w:val="21"/>
          <w:color w:val="auto"/>
          <w:vertAlign w:val="superscript"/>
        </w:rPr>
        <w:t>D</w:t>
      </w:r>
    </w:p>
    <w:p>
      <w:pPr>
        <w:spacing w:after="0" w:line="2" w:lineRule="exact"/>
        <w:rPr>
          <w:sz w:val="20"/>
          <w:szCs w:val="20"/>
          <w:color w:val="auto"/>
        </w:rPr>
      </w:pPr>
    </w:p>
    <w:p>
      <w:pPr>
        <w:jc w:val="both"/>
        <w:ind w:right="60"/>
        <w:spacing w:after="0" w:line="306" w:lineRule="auto"/>
        <w:rPr>
          <w:sz w:val="20"/>
          <w:szCs w:val="20"/>
          <w:color w:val="auto"/>
        </w:rPr>
      </w:pPr>
      <w:r>
        <w:rPr>
          <w:rFonts w:ascii="Arial" w:cs="Arial" w:eastAsia="Arial" w:hAnsi="Arial"/>
          <w:sz w:val="15"/>
          <w:szCs w:val="15"/>
          <w:color w:val="auto"/>
        </w:rPr>
        <w:t>[For any Payee who is shown in the Contract as having been paid, prior to the Annuity Commencement Date, Plan benefits that were less than the amount owed under the Plan, such underpayments shall be added to the annuity payments otherwise owed to such persons pursuant to the Payment Terms of this Certificate. Nothing in the prior sentence shall relate to information that may have been misstated to us. Such misstatements are governed by the above Misstatements section.]</w:t>
      </w:r>
      <w:r>
        <w:rPr>
          <w:rFonts w:ascii="Arial" w:cs="Arial" w:eastAsia="Arial" w:hAnsi="Arial"/>
          <w:sz w:val="21"/>
          <w:szCs w:val="21"/>
          <w:color w:val="auto"/>
          <w:vertAlign w:val="superscript"/>
        </w:rPr>
        <w:t>D</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Certificate Errors and Replacement Certificate:</w:t>
      </w:r>
    </w:p>
    <w:p>
      <w:pPr>
        <w:spacing w:after="0" w:line="209"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This Certificate replaces any certificate that you may have previously received with respect to Prudential's guarantee under the Contract. Please review this Certificate carefully and notify us promptly if you feel any information is incorrect. We are not bound by any incorrect information in this Certificate, nor are we bound by any other errors in this Certificate if clearly inconsistent with the terms of the Contract. We may instead continue to comply with the terms of the Contract as if the Certificate initially had been correctly issued. We may issue a corrected Certificate in the same manner the original Certificate was issued, but we will clearly indicate on the face of the new Certificate that it is a "CORRECTED AND REISSUED" Certificate (or other words to that effect).</w:t>
      </w:r>
    </w:p>
    <w:p>
      <w:pPr>
        <w:spacing w:after="0" w:line="167"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 xml:space="preserve">If you exercise an option that changes your </w:t>
      </w:r>
      <w:r>
        <w:rPr>
          <w:rFonts w:ascii="Arial" w:cs="Arial" w:eastAsia="Arial" w:hAnsi="Arial"/>
          <w:sz w:val="17"/>
          <w:szCs w:val="17"/>
          <w:i w:val="1"/>
          <w:iCs w:val="1"/>
          <w:color w:val="auto"/>
        </w:rPr>
        <w:t>Form of Annuity</w:t>
      </w:r>
      <w:r>
        <w:rPr>
          <w:rFonts w:ascii="Arial" w:cs="Arial" w:eastAsia="Arial" w:hAnsi="Arial"/>
          <w:sz w:val="17"/>
          <w:szCs w:val="17"/>
          <w:color w:val="auto"/>
        </w:rPr>
        <w:t xml:space="preserve">, then a replacement certificate will be issued to you. The replacement certificate will describe the payments that you will receive under your changed </w:t>
      </w:r>
      <w:r>
        <w:rPr>
          <w:rFonts w:ascii="Arial" w:cs="Arial" w:eastAsia="Arial" w:hAnsi="Arial"/>
          <w:sz w:val="17"/>
          <w:szCs w:val="17"/>
          <w:i w:val="1"/>
          <w:iCs w:val="1"/>
          <w:color w:val="auto"/>
        </w:rPr>
        <w:t>Form of Annuity.</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Entire Contract:</w:t>
      </w:r>
    </w:p>
    <w:p>
      <w:pPr>
        <w:spacing w:after="0" w:line="209" w:lineRule="exact"/>
        <w:rPr>
          <w:sz w:val="20"/>
          <w:szCs w:val="20"/>
          <w:color w:val="auto"/>
        </w:rPr>
      </w:pPr>
    </w:p>
    <w:p>
      <w:pPr>
        <w:spacing w:after="0"/>
        <w:rPr>
          <w:sz w:val="20"/>
          <w:szCs w:val="20"/>
          <w:color w:val="auto"/>
        </w:rPr>
      </w:pPr>
      <w:r>
        <w:rPr>
          <w:rFonts w:ascii="Arial" w:cs="Arial" w:eastAsia="Arial" w:hAnsi="Arial"/>
          <w:sz w:val="15"/>
          <w:szCs w:val="15"/>
          <w:color w:val="auto"/>
        </w:rPr>
        <w:t>The Contract constitutes the entire agreement between the Contract-Holder and us solely with respect to the annuity payments owed to each payee under the Contract.</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Rights of Payees:</w:t>
      </w:r>
    </w:p>
    <w:p>
      <w:pPr>
        <w:spacing w:after="0" w:line="209" w:lineRule="exact"/>
        <w:rPr>
          <w:sz w:val="20"/>
          <w:szCs w:val="20"/>
          <w:color w:val="auto"/>
        </w:rPr>
      </w:pPr>
    </w:p>
    <w:p>
      <w:pPr>
        <w:ind w:right="440"/>
        <w:spacing w:after="0" w:line="266" w:lineRule="auto"/>
        <w:rPr>
          <w:sz w:val="20"/>
          <w:szCs w:val="20"/>
          <w:color w:val="auto"/>
        </w:rPr>
      </w:pPr>
      <w:r>
        <w:rPr>
          <w:rFonts w:ascii="Arial" w:cs="Arial" w:eastAsia="Arial" w:hAnsi="Arial"/>
          <w:sz w:val="17"/>
          <w:szCs w:val="17"/>
          <w:color w:val="auto"/>
        </w:rPr>
        <w:t>The Payees have the right to receive the annuity payments set forth under this Certificate. Such right to annuity payments is enforceable by the Payees solely against Prudential and no other person including the Plan, Plan sponsor, Contract-Holder or any affiliate thereof.</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600"/>
        <w:spacing w:after="0"/>
        <w:rPr>
          <w:sz w:val="20"/>
          <w:szCs w:val="20"/>
          <w:color w:val="auto"/>
        </w:rPr>
      </w:pPr>
      <w:r>
        <w:rPr>
          <w:rFonts w:ascii="Arial" w:cs="Arial" w:eastAsia="Arial" w:hAnsi="Arial"/>
          <w:sz w:val="17"/>
          <w:szCs w:val="17"/>
          <w:b w:val="1"/>
          <w:bCs w:val="1"/>
          <w:color w:val="auto"/>
        </w:rPr>
        <w:t>Prudential Telephone Number:</w:t>
      </w:r>
    </w:p>
    <w:p>
      <w:pPr>
        <w:spacing w:after="0" w:line="209" w:lineRule="exact"/>
        <w:rPr>
          <w:sz w:val="20"/>
          <w:szCs w:val="20"/>
          <w:color w:val="auto"/>
        </w:rPr>
      </w:pPr>
    </w:p>
    <w:p>
      <w:pPr>
        <w:ind w:left="1800"/>
        <w:spacing w:after="0"/>
        <w:rPr>
          <w:sz w:val="20"/>
          <w:szCs w:val="20"/>
          <w:color w:val="auto"/>
        </w:rPr>
      </w:pPr>
      <w:r>
        <w:rPr>
          <w:rFonts w:ascii="Arial" w:cs="Arial" w:eastAsia="Arial" w:hAnsi="Arial"/>
          <w:sz w:val="17"/>
          <w:szCs w:val="17"/>
          <w:color w:val="auto"/>
        </w:rPr>
        <w:t>The Prudential Insurance Company of America</w:t>
      </w:r>
    </w:p>
    <w:p>
      <w:pPr>
        <w:spacing w:after="0" w:line="17" w:lineRule="exact"/>
        <w:rPr>
          <w:sz w:val="20"/>
          <w:szCs w:val="20"/>
          <w:color w:val="auto"/>
        </w:rPr>
      </w:pPr>
    </w:p>
    <w:p>
      <w:pPr>
        <w:ind w:left="1800"/>
        <w:spacing w:after="0"/>
        <w:rPr>
          <w:sz w:val="20"/>
          <w:szCs w:val="20"/>
          <w:color w:val="auto"/>
        </w:rPr>
      </w:pPr>
      <w:r>
        <w:rPr>
          <w:rFonts w:ascii="Arial" w:cs="Arial" w:eastAsia="Arial" w:hAnsi="Arial"/>
          <w:sz w:val="23"/>
          <w:szCs w:val="23"/>
          <w:b w:val="1"/>
          <w:bCs w:val="1"/>
          <w:color w:val="auto"/>
        </w:rPr>
        <w:t>[</w:t>
      </w:r>
      <w:r>
        <w:rPr>
          <w:rFonts w:ascii="Arial" w:cs="Arial" w:eastAsia="Arial" w:hAnsi="Arial"/>
          <w:sz w:val="16"/>
          <w:szCs w:val="16"/>
          <w:color w:val="auto"/>
        </w:rPr>
        <w:t>1-800-621-1089</w:t>
      </w:r>
      <w:r>
        <w:rPr>
          <w:rFonts w:ascii="Arial" w:cs="Arial" w:eastAsia="Arial" w:hAnsi="Arial"/>
          <w:sz w:val="23"/>
          <w:szCs w:val="23"/>
          <w:b w:val="1"/>
          <w:bCs w:val="1"/>
          <w:color w:val="auto"/>
        </w:rPr>
        <w:t>]</w:t>
      </w:r>
      <w:r>
        <w:rPr>
          <w:rFonts w:ascii="Arial" w:cs="Arial" w:eastAsia="Arial" w:hAnsi="Arial"/>
          <w:sz w:val="26"/>
          <w:szCs w:val="26"/>
          <w:b w:val="1"/>
          <w:bCs w:val="1"/>
          <w:color w:val="auto"/>
          <w:vertAlign w:val="superscript"/>
        </w:rPr>
        <w:t>C</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To contact us, please use the above-listed telephone number.</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[Deductions from Annuity Payments:</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Appendix 1.3 - 33</w:t>
      </w:r>
    </w:p>
    <w:p>
      <w:pPr>
        <w:sectPr>
          <w:pgSz w:w="11900" w:h="16838" w:orient="portrait"/>
          <w:cols w:equalWidth="0" w:num="1">
            <w:col w:w="11420"/>
          </w:cols>
          <w:pgMar w:left="240" w:top="553" w:right="239" w:bottom="1440" w:gutter="0" w:footer="0" w:header="0"/>
        </w:sectPr>
      </w:pPr>
    </w:p>
    <w:bookmarkStart w:id="147" w:name="page148"/>
    <w:bookmarkEnd w:id="147"/>
    <w:p>
      <w:pPr>
        <w:ind w:right="40"/>
        <w:spacing w:after="0" w:line="303" w:lineRule="auto"/>
        <w:rPr>
          <w:sz w:val="20"/>
          <w:szCs w:val="20"/>
          <w:color w:val="auto"/>
        </w:rPr>
      </w:pPr>
      <w:r>
        <w:rPr>
          <w:rFonts w:ascii="Arial" w:cs="Arial" w:eastAsia="Arial" w:hAnsi="Arial"/>
          <w:sz w:val="15"/>
          <w:szCs w:val="15"/>
          <w:color w:val="auto"/>
        </w:rPr>
        <w:t xml:space="preserve">You (or your Contingent Life) may request in writing in a manner specified by us that we deduct a specified amount each month from the amounts we pay to you (or your Contingent Life). The amounts will be applied for payment of your health care premiums and for payment of other benefits that were permitted to be deducted from Plan benefits governed by the Plan. Upon receipt by us of the request, the amount specified in the request shall, subject to our consent, be deducted each month. Deductions will end if we receive a request (in a manner specified by us) from you (or your Contingent Life) to do so. The amount deducted each month shall be transferred on your behalf (or your Contingent Life's behalf) as specified in the request. The amount transferred will be in full settlement of all of our obligations under the Contract with respect to the amount transferred. Deductions by us on your behalf (or on behalf of your Contingent Life) will begin or end, as the case may be, no earlier than the annuity payment that is due at least 30 days following our receipt of the request to begin or end deductions for you or your Contingent Life).] </w:t>
      </w:r>
      <w:r>
        <w:rPr>
          <w:rFonts w:ascii="Arial" w:cs="Arial" w:eastAsia="Arial" w:hAnsi="Arial"/>
          <w:sz w:val="21"/>
          <w:szCs w:val="21"/>
          <w:color w:val="auto"/>
          <w:vertAlign w:val="superscript"/>
        </w:rPr>
        <w:t>D</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Additional Details:</w:t>
      </w:r>
    </w:p>
    <w:p>
      <w:pPr>
        <w:spacing w:after="0" w:line="209" w:lineRule="exact"/>
        <w:rPr>
          <w:sz w:val="20"/>
          <w:szCs w:val="20"/>
          <w:color w:val="auto"/>
        </w:rPr>
      </w:pPr>
    </w:p>
    <w:p>
      <w:pPr>
        <w:ind w:right="640"/>
        <w:spacing w:after="0" w:line="298" w:lineRule="auto"/>
        <w:rPr>
          <w:sz w:val="20"/>
          <w:szCs w:val="20"/>
          <w:color w:val="auto"/>
        </w:rPr>
      </w:pPr>
      <w:r>
        <w:rPr>
          <w:rFonts w:ascii="Arial" w:cs="Arial" w:eastAsia="Arial" w:hAnsi="Arial"/>
          <w:sz w:val="16"/>
          <w:szCs w:val="16"/>
          <w:color w:val="auto"/>
        </w:rPr>
        <w:t>This Certificate contains a summary of certain important terms of the Contract. The Contract contains a more complete description of your rights and Prudential's obligations. The Contract will control in the event of a conflict between the terms of this Certificate and the terms of the Contract.</w:t>
      </w:r>
    </w:p>
    <w:p>
      <w:pPr>
        <w:spacing w:after="0" w:line="344" w:lineRule="exact"/>
        <w:rPr>
          <w:sz w:val="20"/>
          <w:szCs w:val="20"/>
          <w:color w:val="auto"/>
        </w:rPr>
      </w:pPr>
    </w:p>
    <w:p>
      <w:pPr>
        <w:jc w:val="both"/>
        <w:ind w:right="400"/>
        <w:spacing w:after="0" w:line="334" w:lineRule="auto"/>
        <w:rPr>
          <w:sz w:val="20"/>
          <w:szCs w:val="20"/>
          <w:color w:val="auto"/>
        </w:rPr>
      </w:pPr>
      <w:r>
        <w:rPr>
          <w:rFonts w:ascii="Arial" w:cs="Arial" w:eastAsia="Arial" w:hAnsi="Arial"/>
          <w:sz w:val="15"/>
          <w:szCs w:val="15"/>
          <w:color w:val="auto"/>
        </w:rPr>
        <w:t>Upon a change in the requirements of applicable law or a regulation administered by a governmental agency, we may change the Contract and/or this Certificate. If a change is made, it may be done without the consent of the Payee. Any change will be made only as strictly necessary to satisfy the requirements of law or regulation.</w:t>
      </w:r>
    </w:p>
    <w:p>
      <w:pPr>
        <w:spacing w:after="0" w:line="112" w:lineRule="exact"/>
        <w:rPr>
          <w:sz w:val="20"/>
          <w:szCs w:val="20"/>
          <w:color w:val="auto"/>
        </w:rPr>
      </w:pPr>
    </w:p>
    <w:tbl>
      <w:tblPr>
        <w:tblLayout w:type="fixed"/>
        <w:tblInd w:w="1710" w:type="dxa"/>
        <w:tblCellMar>
          <w:top w:w="0" w:type="dxa"/>
          <w:left w:w="0" w:type="dxa"/>
          <w:bottom w:w="0" w:type="dxa"/>
          <w:right w:w="0" w:type="dxa"/>
        </w:tblCellMar>
      </w:tblPr>
      <w:tr>
        <w:trPr>
          <w:trHeight w:val="237"/>
        </w:trPr>
        <w:tc>
          <w:tcPr>
            <w:tcW w:w="3420" w:type="dxa"/>
            <w:vAlign w:val="bottom"/>
          </w:tcPr>
          <w:p>
            <w:pPr>
              <w:spacing w:after="0"/>
              <w:rPr>
                <w:sz w:val="20"/>
                <w:szCs w:val="20"/>
                <w:color w:val="auto"/>
              </w:rPr>
            </w:pPr>
          </w:p>
        </w:tc>
        <w:tc>
          <w:tcPr>
            <w:tcW w:w="4620" w:type="dxa"/>
            <w:vAlign w:val="bottom"/>
            <w:gridSpan w:val="2"/>
          </w:tcPr>
          <w:p>
            <w:pPr>
              <w:ind w:left="260"/>
              <w:spacing w:after="0"/>
              <w:rPr>
                <w:sz w:val="20"/>
                <w:szCs w:val="20"/>
                <w:color w:val="auto"/>
              </w:rPr>
            </w:pPr>
            <w:r>
              <w:rPr>
                <w:rFonts w:ascii="Arial" w:cs="Arial" w:eastAsia="Arial" w:hAnsi="Arial"/>
                <w:sz w:val="18"/>
                <w:szCs w:val="18"/>
                <w:b w:val="1"/>
                <w:bCs w:val="1"/>
                <w:color w:val="auto"/>
              </w:rPr>
              <w:t>INDEX:</w:t>
            </w:r>
          </w:p>
        </w:tc>
      </w:tr>
      <w:tr>
        <w:trPr>
          <w:trHeight w:val="322"/>
        </w:trPr>
        <w:tc>
          <w:tcPr>
            <w:tcW w:w="34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r>
      <w:tr>
        <w:trPr>
          <w:trHeight w:val="218"/>
        </w:trPr>
        <w:tc>
          <w:tcPr>
            <w:tcW w:w="3420" w:type="dxa"/>
            <w:vAlign w:val="bottom"/>
            <w:tcBorders>
              <w:left w:val="single" w:sz="8" w:color="auto"/>
            </w:tcBorders>
          </w:tcPr>
          <w:p>
            <w:pPr>
              <w:ind w:left="40"/>
              <w:spacing w:after="0"/>
              <w:rPr>
                <w:sz w:val="20"/>
                <w:szCs w:val="20"/>
                <w:color w:val="auto"/>
              </w:rPr>
            </w:pPr>
            <w:r>
              <w:rPr>
                <w:rFonts w:ascii="Arial" w:cs="Arial" w:eastAsia="Arial" w:hAnsi="Arial"/>
                <w:sz w:val="17"/>
                <w:szCs w:val="17"/>
                <w:color w:val="auto"/>
              </w:rPr>
              <w:t>Annuity Certificate Section:</w:t>
            </w:r>
          </w:p>
        </w:tc>
        <w:tc>
          <w:tcPr>
            <w:tcW w:w="1420" w:type="dxa"/>
            <w:vAlign w:val="bottom"/>
            <w:tcBorders>
              <w:right w:val="single" w:sz="8" w:color="auto"/>
            </w:tcBorders>
          </w:tcPr>
          <w:p>
            <w:pPr>
              <w:spacing w:after="0"/>
              <w:rPr>
                <w:sz w:val="18"/>
                <w:szCs w:val="18"/>
                <w:color w:val="auto"/>
              </w:rPr>
            </w:pP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Page Number</w:t>
            </w:r>
          </w:p>
        </w:tc>
      </w:tr>
      <w:tr>
        <w:trPr>
          <w:trHeight w:val="25"/>
        </w:trPr>
        <w:tc>
          <w:tcPr>
            <w:tcW w:w="3420" w:type="dxa"/>
            <w:vAlign w:val="bottom"/>
            <w:tcBorders>
              <w:left w:val="single" w:sz="8" w:color="auto"/>
              <w:bottom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318"/>
        </w:trPr>
        <w:tc>
          <w:tcPr>
            <w:tcW w:w="3420" w:type="dxa"/>
            <w:vAlign w:val="bottom"/>
            <w:tcBorders>
              <w:left w:val="single" w:sz="8" w:color="auto"/>
              <w:bottom w:val="single" w:sz="8" w:color="auto"/>
            </w:tcBorders>
          </w:tcPr>
          <w:p>
            <w:pPr>
              <w:spacing w:after="0"/>
              <w:rPr>
                <w:sz w:val="24"/>
                <w:szCs w:val="24"/>
                <w:color w:val="auto"/>
              </w:rPr>
            </w:pPr>
          </w:p>
        </w:tc>
        <w:tc>
          <w:tcPr>
            <w:tcW w:w="1420" w:type="dxa"/>
            <w:vAlign w:val="bottom"/>
            <w:tcBorders>
              <w:bottom w:val="single" w:sz="8" w:color="auto"/>
              <w:right w:val="single" w:sz="8" w:color="auto"/>
            </w:tcBorders>
          </w:tcPr>
          <w:p>
            <w:pPr>
              <w:spacing w:after="0"/>
              <w:rPr>
                <w:sz w:val="24"/>
                <w:szCs w:val="24"/>
                <w:color w:val="auto"/>
              </w:rPr>
            </w:pPr>
          </w:p>
        </w:tc>
        <w:tc>
          <w:tcPr>
            <w:tcW w:w="3200" w:type="dxa"/>
            <w:vAlign w:val="bottom"/>
            <w:tcBorders>
              <w:bottom w:val="single" w:sz="8" w:color="auto"/>
              <w:right w:val="single" w:sz="8" w:color="auto"/>
            </w:tcBorders>
          </w:tcPr>
          <w:p>
            <w:pPr>
              <w:spacing w:after="0"/>
              <w:rPr>
                <w:sz w:val="24"/>
                <w:szCs w:val="24"/>
                <w:color w:val="auto"/>
              </w:rPr>
            </w:pPr>
          </w:p>
        </w:tc>
      </w:tr>
      <w:tr>
        <w:trPr>
          <w:trHeight w:val="218"/>
        </w:trPr>
        <w:tc>
          <w:tcPr>
            <w:tcW w:w="3420" w:type="dxa"/>
            <w:vAlign w:val="bottom"/>
            <w:tcBorders>
              <w:left w:val="single" w:sz="8" w:color="auto"/>
            </w:tcBorders>
          </w:tcPr>
          <w:p>
            <w:pPr>
              <w:ind w:left="40"/>
              <w:spacing w:after="0"/>
              <w:rPr>
                <w:sz w:val="20"/>
                <w:szCs w:val="20"/>
                <w:color w:val="auto"/>
              </w:rPr>
            </w:pPr>
            <w:r>
              <w:rPr>
                <w:rFonts w:ascii="Arial" w:cs="Arial" w:eastAsia="Arial" w:hAnsi="Arial"/>
                <w:sz w:val="17"/>
                <w:szCs w:val="17"/>
                <w:color w:val="auto"/>
              </w:rPr>
              <w:t>Table of Information</w:t>
            </w:r>
          </w:p>
        </w:tc>
        <w:tc>
          <w:tcPr>
            <w:tcW w:w="1420" w:type="dxa"/>
            <w:vAlign w:val="bottom"/>
            <w:tcBorders>
              <w:right w:val="single" w:sz="8" w:color="auto"/>
            </w:tcBorders>
          </w:tcPr>
          <w:p>
            <w:pPr>
              <w:spacing w:after="0"/>
              <w:rPr>
                <w:sz w:val="18"/>
                <w:szCs w:val="18"/>
                <w:color w:val="auto"/>
              </w:rPr>
            </w:pP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1</w:t>
            </w:r>
          </w:p>
        </w:tc>
      </w:tr>
      <w:tr>
        <w:trPr>
          <w:trHeight w:val="25"/>
        </w:trPr>
        <w:tc>
          <w:tcPr>
            <w:tcW w:w="3420" w:type="dxa"/>
            <w:vAlign w:val="bottom"/>
            <w:tcBorders>
              <w:left w:val="single" w:sz="8" w:color="auto"/>
              <w:bottom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18"/>
        </w:trPr>
        <w:tc>
          <w:tcPr>
            <w:tcW w:w="3420" w:type="dxa"/>
            <w:vAlign w:val="bottom"/>
            <w:tcBorders>
              <w:left w:val="single" w:sz="8" w:color="auto"/>
            </w:tcBorders>
          </w:tcPr>
          <w:p>
            <w:pPr>
              <w:ind w:left="40"/>
              <w:spacing w:after="0"/>
              <w:rPr>
                <w:sz w:val="20"/>
                <w:szCs w:val="20"/>
                <w:color w:val="auto"/>
              </w:rPr>
            </w:pPr>
            <w:r>
              <w:rPr>
                <w:rFonts w:ascii="Arial" w:cs="Arial" w:eastAsia="Arial" w:hAnsi="Arial"/>
                <w:sz w:val="17"/>
                <w:szCs w:val="17"/>
                <w:color w:val="auto"/>
              </w:rPr>
              <w:t>Prudential's Guarantee</w:t>
            </w:r>
          </w:p>
        </w:tc>
        <w:tc>
          <w:tcPr>
            <w:tcW w:w="1420" w:type="dxa"/>
            <w:vAlign w:val="bottom"/>
            <w:tcBorders>
              <w:right w:val="single" w:sz="8" w:color="auto"/>
            </w:tcBorders>
          </w:tcPr>
          <w:p>
            <w:pPr>
              <w:spacing w:after="0"/>
              <w:rPr>
                <w:sz w:val="18"/>
                <w:szCs w:val="18"/>
                <w:color w:val="auto"/>
              </w:rPr>
            </w:pP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2</w:t>
            </w:r>
          </w:p>
        </w:tc>
      </w:tr>
      <w:tr>
        <w:trPr>
          <w:trHeight w:val="25"/>
        </w:trPr>
        <w:tc>
          <w:tcPr>
            <w:tcW w:w="3420" w:type="dxa"/>
            <w:vAlign w:val="bottom"/>
            <w:tcBorders>
              <w:left w:val="single" w:sz="8" w:color="auto"/>
              <w:bottom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18"/>
        </w:trPr>
        <w:tc>
          <w:tcPr>
            <w:tcW w:w="3420" w:type="dxa"/>
            <w:vAlign w:val="bottom"/>
            <w:tcBorders>
              <w:left w:val="single" w:sz="8" w:color="auto"/>
            </w:tcBorders>
          </w:tcPr>
          <w:p>
            <w:pPr>
              <w:ind w:left="40"/>
              <w:spacing w:after="0"/>
              <w:rPr>
                <w:sz w:val="20"/>
                <w:szCs w:val="20"/>
                <w:color w:val="auto"/>
              </w:rPr>
            </w:pPr>
            <w:r>
              <w:rPr>
                <w:rFonts w:ascii="Arial" w:cs="Arial" w:eastAsia="Arial" w:hAnsi="Arial"/>
                <w:sz w:val="17"/>
                <w:szCs w:val="17"/>
                <w:color w:val="auto"/>
              </w:rPr>
              <w:t>Definitions &amp; References</w:t>
            </w:r>
          </w:p>
        </w:tc>
        <w:tc>
          <w:tcPr>
            <w:tcW w:w="1420" w:type="dxa"/>
            <w:vAlign w:val="bottom"/>
            <w:tcBorders>
              <w:right w:val="single" w:sz="8" w:color="auto"/>
            </w:tcBorders>
          </w:tcPr>
          <w:p>
            <w:pPr>
              <w:spacing w:after="0"/>
              <w:rPr>
                <w:sz w:val="18"/>
                <w:szCs w:val="18"/>
                <w:color w:val="auto"/>
              </w:rPr>
            </w:pP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2</w:t>
            </w:r>
          </w:p>
        </w:tc>
      </w:tr>
      <w:tr>
        <w:trPr>
          <w:trHeight w:val="25"/>
        </w:trPr>
        <w:tc>
          <w:tcPr>
            <w:tcW w:w="3420" w:type="dxa"/>
            <w:vAlign w:val="bottom"/>
            <w:tcBorders>
              <w:left w:val="single" w:sz="8" w:color="auto"/>
              <w:bottom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18"/>
        </w:trPr>
        <w:tc>
          <w:tcPr>
            <w:tcW w:w="3420" w:type="dxa"/>
            <w:vAlign w:val="bottom"/>
            <w:tcBorders>
              <w:left w:val="single" w:sz="8" w:color="auto"/>
            </w:tcBorders>
          </w:tcPr>
          <w:p>
            <w:pPr>
              <w:ind w:left="40"/>
              <w:spacing w:after="0"/>
              <w:rPr>
                <w:sz w:val="20"/>
                <w:szCs w:val="20"/>
                <w:color w:val="auto"/>
              </w:rPr>
            </w:pPr>
            <w:r>
              <w:rPr>
                <w:rFonts w:ascii="Arial" w:cs="Arial" w:eastAsia="Arial" w:hAnsi="Arial"/>
                <w:sz w:val="17"/>
                <w:szCs w:val="17"/>
                <w:color w:val="auto"/>
              </w:rPr>
              <w:t>Payment Terms</w:t>
            </w:r>
          </w:p>
        </w:tc>
        <w:tc>
          <w:tcPr>
            <w:tcW w:w="1420" w:type="dxa"/>
            <w:vAlign w:val="bottom"/>
            <w:tcBorders>
              <w:right w:val="single" w:sz="8" w:color="auto"/>
            </w:tcBorders>
          </w:tcPr>
          <w:p>
            <w:pPr>
              <w:spacing w:after="0"/>
              <w:rPr>
                <w:sz w:val="18"/>
                <w:szCs w:val="18"/>
                <w:color w:val="auto"/>
              </w:rPr>
            </w:pP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2</w:t>
            </w:r>
          </w:p>
        </w:tc>
      </w:tr>
      <w:tr>
        <w:trPr>
          <w:trHeight w:val="25"/>
        </w:trPr>
        <w:tc>
          <w:tcPr>
            <w:tcW w:w="3420" w:type="dxa"/>
            <w:vAlign w:val="bottom"/>
            <w:tcBorders>
              <w:left w:val="single" w:sz="8" w:color="auto"/>
              <w:bottom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18"/>
        </w:trPr>
        <w:tc>
          <w:tcPr>
            <w:tcW w:w="3420" w:type="dxa"/>
            <w:vAlign w:val="bottom"/>
            <w:tcBorders>
              <w:left w:val="single" w:sz="8" w:color="auto"/>
            </w:tcBorders>
          </w:tcPr>
          <w:p>
            <w:pPr>
              <w:ind w:left="40"/>
              <w:spacing w:after="0"/>
              <w:rPr>
                <w:sz w:val="20"/>
                <w:szCs w:val="20"/>
                <w:color w:val="auto"/>
              </w:rPr>
            </w:pPr>
            <w:r>
              <w:rPr>
                <w:rFonts w:ascii="Arial" w:cs="Arial" w:eastAsia="Arial" w:hAnsi="Arial"/>
                <w:sz w:val="17"/>
                <w:szCs w:val="17"/>
                <w:color w:val="auto"/>
              </w:rPr>
              <w:t>Method of Payment</w:t>
            </w:r>
          </w:p>
        </w:tc>
        <w:tc>
          <w:tcPr>
            <w:tcW w:w="1420" w:type="dxa"/>
            <w:vAlign w:val="bottom"/>
            <w:tcBorders>
              <w:right w:val="single" w:sz="8" w:color="auto"/>
            </w:tcBorders>
          </w:tcPr>
          <w:p>
            <w:pPr>
              <w:spacing w:after="0"/>
              <w:rPr>
                <w:sz w:val="18"/>
                <w:szCs w:val="18"/>
                <w:color w:val="auto"/>
              </w:rPr>
            </w:pP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2</w:t>
            </w:r>
          </w:p>
        </w:tc>
      </w:tr>
      <w:tr>
        <w:trPr>
          <w:trHeight w:val="25"/>
        </w:trPr>
        <w:tc>
          <w:tcPr>
            <w:tcW w:w="3420" w:type="dxa"/>
            <w:vAlign w:val="bottom"/>
            <w:tcBorders>
              <w:left w:val="single" w:sz="8" w:color="auto"/>
              <w:bottom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18"/>
        </w:trPr>
        <w:tc>
          <w:tcPr>
            <w:tcW w:w="3420" w:type="dxa"/>
            <w:vAlign w:val="bottom"/>
            <w:tcBorders>
              <w:left w:val="single" w:sz="8" w:color="auto"/>
            </w:tcBorders>
          </w:tcPr>
          <w:p>
            <w:pPr>
              <w:ind w:left="40"/>
              <w:spacing w:after="0"/>
              <w:rPr>
                <w:sz w:val="20"/>
                <w:szCs w:val="20"/>
                <w:color w:val="auto"/>
              </w:rPr>
            </w:pPr>
            <w:r>
              <w:rPr>
                <w:rFonts w:ascii="Arial" w:cs="Arial" w:eastAsia="Arial" w:hAnsi="Arial"/>
                <w:sz w:val="17"/>
                <w:szCs w:val="17"/>
                <w:color w:val="auto"/>
              </w:rPr>
              <w:t>Correspondence</w:t>
            </w:r>
          </w:p>
        </w:tc>
        <w:tc>
          <w:tcPr>
            <w:tcW w:w="1420" w:type="dxa"/>
            <w:vAlign w:val="bottom"/>
            <w:tcBorders>
              <w:right w:val="single" w:sz="8" w:color="auto"/>
            </w:tcBorders>
          </w:tcPr>
          <w:p>
            <w:pPr>
              <w:spacing w:after="0"/>
              <w:rPr>
                <w:sz w:val="18"/>
                <w:szCs w:val="18"/>
                <w:color w:val="auto"/>
              </w:rPr>
            </w:pP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3</w:t>
            </w:r>
          </w:p>
        </w:tc>
      </w:tr>
      <w:tr>
        <w:trPr>
          <w:trHeight w:val="25"/>
        </w:trPr>
        <w:tc>
          <w:tcPr>
            <w:tcW w:w="3420" w:type="dxa"/>
            <w:vAlign w:val="bottom"/>
            <w:tcBorders>
              <w:left w:val="single" w:sz="8" w:color="auto"/>
              <w:bottom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18"/>
        </w:trPr>
        <w:tc>
          <w:tcPr>
            <w:tcW w:w="3420" w:type="dxa"/>
            <w:vAlign w:val="bottom"/>
            <w:tcBorders>
              <w:left w:val="single" w:sz="8" w:color="auto"/>
            </w:tcBorders>
          </w:tcPr>
          <w:p>
            <w:pPr>
              <w:ind w:left="40"/>
              <w:spacing w:after="0"/>
              <w:rPr>
                <w:sz w:val="20"/>
                <w:szCs w:val="20"/>
                <w:color w:val="auto"/>
              </w:rPr>
            </w:pPr>
            <w:r>
              <w:rPr>
                <w:rFonts w:ascii="Arial" w:cs="Arial" w:eastAsia="Arial" w:hAnsi="Arial"/>
                <w:sz w:val="17"/>
                <w:szCs w:val="17"/>
                <w:color w:val="auto"/>
              </w:rPr>
              <w:t>Beneficiaries</w:t>
            </w:r>
          </w:p>
        </w:tc>
        <w:tc>
          <w:tcPr>
            <w:tcW w:w="1420" w:type="dxa"/>
            <w:vAlign w:val="bottom"/>
            <w:tcBorders>
              <w:right w:val="single" w:sz="8" w:color="auto"/>
            </w:tcBorders>
          </w:tcPr>
          <w:p>
            <w:pPr>
              <w:spacing w:after="0"/>
              <w:rPr>
                <w:sz w:val="18"/>
                <w:szCs w:val="18"/>
                <w:color w:val="auto"/>
              </w:rPr>
            </w:pP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3</w:t>
            </w:r>
          </w:p>
        </w:tc>
      </w:tr>
      <w:tr>
        <w:trPr>
          <w:trHeight w:val="25"/>
        </w:trPr>
        <w:tc>
          <w:tcPr>
            <w:tcW w:w="3420" w:type="dxa"/>
            <w:vAlign w:val="bottom"/>
            <w:tcBorders>
              <w:left w:val="single" w:sz="8" w:color="auto"/>
              <w:bottom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18"/>
        </w:trPr>
        <w:tc>
          <w:tcPr>
            <w:tcW w:w="3420" w:type="dxa"/>
            <w:vAlign w:val="bottom"/>
            <w:tcBorders>
              <w:left w:val="single" w:sz="8" w:color="auto"/>
            </w:tcBorders>
          </w:tcPr>
          <w:p>
            <w:pPr>
              <w:ind w:left="40"/>
              <w:spacing w:after="0"/>
              <w:rPr>
                <w:sz w:val="20"/>
                <w:szCs w:val="20"/>
                <w:color w:val="auto"/>
              </w:rPr>
            </w:pPr>
            <w:r>
              <w:rPr>
                <w:rFonts w:ascii="Arial" w:cs="Arial" w:eastAsia="Arial" w:hAnsi="Arial"/>
                <w:sz w:val="17"/>
                <w:szCs w:val="17"/>
                <w:color w:val="auto"/>
              </w:rPr>
              <w:t>Assignment</w:t>
            </w:r>
          </w:p>
        </w:tc>
        <w:tc>
          <w:tcPr>
            <w:tcW w:w="1420" w:type="dxa"/>
            <w:vAlign w:val="bottom"/>
            <w:tcBorders>
              <w:right w:val="single" w:sz="8" w:color="auto"/>
            </w:tcBorders>
          </w:tcPr>
          <w:p>
            <w:pPr>
              <w:spacing w:after="0"/>
              <w:rPr>
                <w:sz w:val="18"/>
                <w:szCs w:val="18"/>
                <w:color w:val="auto"/>
              </w:rPr>
            </w:pP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3</w:t>
            </w:r>
          </w:p>
        </w:tc>
      </w:tr>
      <w:tr>
        <w:trPr>
          <w:trHeight w:val="25"/>
        </w:trPr>
        <w:tc>
          <w:tcPr>
            <w:tcW w:w="3420" w:type="dxa"/>
            <w:vAlign w:val="bottom"/>
            <w:tcBorders>
              <w:left w:val="single" w:sz="8" w:color="auto"/>
              <w:bottom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18"/>
        </w:trPr>
        <w:tc>
          <w:tcPr>
            <w:tcW w:w="3420" w:type="dxa"/>
            <w:vAlign w:val="bottom"/>
            <w:tcBorders>
              <w:left w:val="single" w:sz="8" w:color="auto"/>
            </w:tcBorders>
          </w:tcPr>
          <w:p>
            <w:pPr>
              <w:ind w:left="40"/>
              <w:spacing w:after="0"/>
              <w:rPr>
                <w:sz w:val="20"/>
                <w:szCs w:val="20"/>
                <w:color w:val="auto"/>
              </w:rPr>
            </w:pPr>
            <w:r>
              <w:rPr>
                <w:rFonts w:ascii="Arial" w:cs="Arial" w:eastAsia="Arial" w:hAnsi="Arial"/>
                <w:sz w:val="17"/>
                <w:szCs w:val="17"/>
                <w:color w:val="auto"/>
              </w:rPr>
              <w:t>Qualified Domestic Relations Orders</w:t>
            </w:r>
          </w:p>
        </w:tc>
        <w:tc>
          <w:tcPr>
            <w:tcW w:w="1420" w:type="dxa"/>
            <w:vAlign w:val="bottom"/>
            <w:tcBorders>
              <w:right w:val="single" w:sz="8" w:color="auto"/>
            </w:tcBorders>
          </w:tcPr>
          <w:p>
            <w:pPr>
              <w:spacing w:after="0"/>
              <w:rPr>
                <w:sz w:val="18"/>
                <w:szCs w:val="18"/>
                <w:color w:val="auto"/>
              </w:rPr>
            </w:pP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3</w:t>
            </w:r>
          </w:p>
        </w:tc>
      </w:tr>
      <w:tr>
        <w:trPr>
          <w:trHeight w:val="25"/>
        </w:trPr>
        <w:tc>
          <w:tcPr>
            <w:tcW w:w="3420" w:type="dxa"/>
            <w:vAlign w:val="bottom"/>
            <w:tcBorders>
              <w:left w:val="single" w:sz="8" w:color="auto"/>
              <w:bottom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18"/>
        </w:trPr>
        <w:tc>
          <w:tcPr>
            <w:tcW w:w="3420" w:type="dxa"/>
            <w:vAlign w:val="bottom"/>
            <w:tcBorders>
              <w:left w:val="single" w:sz="8" w:color="auto"/>
            </w:tcBorders>
          </w:tcPr>
          <w:p>
            <w:pPr>
              <w:ind w:left="40"/>
              <w:spacing w:after="0"/>
              <w:rPr>
                <w:sz w:val="20"/>
                <w:szCs w:val="20"/>
                <w:color w:val="auto"/>
              </w:rPr>
            </w:pPr>
            <w:r>
              <w:rPr>
                <w:rFonts w:ascii="Arial" w:cs="Arial" w:eastAsia="Arial" w:hAnsi="Arial"/>
                <w:sz w:val="17"/>
                <w:szCs w:val="17"/>
                <w:color w:val="auto"/>
              </w:rPr>
              <w:t>Reliance Upon Affidavit or Other Evidence</w:t>
            </w:r>
          </w:p>
        </w:tc>
        <w:tc>
          <w:tcPr>
            <w:tcW w:w="1420" w:type="dxa"/>
            <w:vAlign w:val="bottom"/>
            <w:tcBorders>
              <w:right w:val="single" w:sz="8" w:color="auto"/>
            </w:tcBorders>
          </w:tcPr>
          <w:p>
            <w:pPr>
              <w:spacing w:after="0"/>
              <w:rPr>
                <w:sz w:val="18"/>
                <w:szCs w:val="18"/>
                <w:color w:val="auto"/>
              </w:rPr>
            </w:pP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3</w:t>
            </w:r>
          </w:p>
        </w:tc>
      </w:tr>
      <w:tr>
        <w:trPr>
          <w:trHeight w:val="25"/>
        </w:trPr>
        <w:tc>
          <w:tcPr>
            <w:tcW w:w="3420" w:type="dxa"/>
            <w:vAlign w:val="bottom"/>
            <w:tcBorders>
              <w:left w:val="single" w:sz="8" w:color="auto"/>
              <w:bottom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18"/>
        </w:trPr>
        <w:tc>
          <w:tcPr>
            <w:tcW w:w="3420" w:type="dxa"/>
            <w:vAlign w:val="bottom"/>
            <w:tcBorders>
              <w:left w:val="single" w:sz="8" w:color="auto"/>
            </w:tcBorders>
          </w:tcPr>
          <w:p>
            <w:pPr>
              <w:ind w:left="40"/>
              <w:spacing w:after="0"/>
              <w:rPr>
                <w:sz w:val="20"/>
                <w:szCs w:val="20"/>
                <w:color w:val="auto"/>
              </w:rPr>
            </w:pPr>
            <w:r>
              <w:rPr>
                <w:rFonts w:ascii="Arial" w:cs="Arial" w:eastAsia="Arial" w:hAnsi="Arial"/>
                <w:sz w:val="17"/>
                <w:szCs w:val="17"/>
                <w:color w:val="auto"/>
              </w:rPr>
              <w:t>Misstatements</w:t>
            </w:r>
          </w:p>
        </w:tc>
        <w:tc>
          <w:tcPr>
            <w:tcW w:w="1420" w:type="dxa"/>
            <w:vAlign w:val="bottom"/>
            <w:tcBorders>
              <w:right w:val="single" w:sz="8" w:color="auto"/>
            </w:tcBorders>
          </w:tcPr>
          <w:p>
            <w:pPr>
              <w:spacing w:after="0"/>
              <w:rPr>
                <w:sz w:val="18"/>
                <w:szCs w:val="18"/>
                <w:color w:val="auto"/>
              </w:rPr>
            </w:pP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3</w:t>
            </w:r>
          </w:p>
        </w:tc>
      </w:tr>
      <w:tr>
        <w:trPr>
          <w:trHeight w:val="25"/>
        </w:trPr>
        <w:tc>
          <w:tcPr>
            <w:tcW w:w="3420" w:type="dxa"/>
            <w:vAlign w:val="bottom"/>
            <w:tcBorders>
              <w:left w:val="single" w:sz="8" w:color="auto"/>
              <w:bottom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18"/>
        </w:trPr>
        <w:tc>
          <w:tcPr>
            <w:tcW w:w="3420" w:type="dxa"/>
            <w:vAlign w:val="bottom"/>
            <w:tcBorders>
              <w:left w:val="single" w:sz="8" w:color="auto"/>
            </w:tcBorders>
          </w:tcPr>
          <w:p>
            <w:pPr>
              <w:ind w:left="40"/>
              <w:spacing w:after="0"/>
              <w:rPr>
                <w:sz w:val="20"/>
                <w:szCs w:val="20"/>
                <w:color w:val="auto"/>
              </w:rPr>
            </w:pPr>
            <w:r>
              <w:rPr>
                <w:rFonts w:ascii="Arial" w:cs="Arial" w:eastAsia="Arial" w:hAnsi="Arial"/>
                <w:sz w:val="17"/>
                <w:szCs w:val="17"/>
                <w:color w:val="auto"/>
              </w:rPr>
              <w:t>Supplemental Information</w:t>
            </w:r>
          </w:p>
        </w:tc>
        <w:tc>
          <w:tcPr>
            <w:tcW w:w="1420" w:type="dxa"/>
            <w:vAlign w:val="bottom"/>
            <w:tcBorders>
              <w:right w:val="single" w:sz="8" w:color="auto"/>
            </w:tcBorders>
          </w:tcPr>
          <w:p>
            <w:pPr>
              <w:spacing w:after="0"/>
              <w:rPr>
                <w:sz w:val="18"/>
                <w:szCs w:val="18"/>
                <w:color w:val="auto"/>
              </w:rPr>
            </w:pP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4</w:t>
            </w:r>
          </w:p>
        </w:tc>
      </w:tr>
      <w:tr>
        <w:trPr>
          <w:trHeight w:val="25"/>
        </w:trPr>
        <w:tc>
          <w:tcPr>
            <w:tcW w:w="3420" w:type="dxa"/>
            <w:vAlign w:val="bottom"/>
            <w:tcBorders>
              <w:left w:val="single" w:sz="8" w:color="auto"/>
              <w:bottom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18"/>
        </w:trPr>
        <w:tc>
          <w:tcPr>
            <w:tcW w:w="3420" w:type="dxa"/>
            <w:vAlign w:val="bottom"/>
            <w:tcBorders>
              <w:left w:val="single" w:sz="8" w:color="auto"/>
            </w:tcBorders>
          </w:tcPr>
          <w:p>
            <w:pPr>
              <w:ind w:left="40"/>
              <w:spacing w:after="0"/>
              <w:rPr>
                <w:sz w:val="20"/>
                <w:szCs w:val="20"/>
                <w:color w:val="auto"/>
              </w:rPr>
            </w:pPr>
            <w:r>
              <w:rPr>
                <w:rFonts w:ascii="Arial" w:cs="Arial" w:eastAsia="Arial" w:hAnsi="Arial"/>
                <w:sz w:val="17"/>
                <w:szCs w:val="17"/>
                <w:color w:val="auto"/>
                <w:w w:val="96"/>
              </w:rPr>
              <w:t>Certificate Errors and Replacement Certificate</w:t>
            </w:r>
          </w:p>
        </w:tc>
        <w:tc>
          <w:tcPr>
            <w:tcW w:w="1420" w:type="dxa"/>
            <w:vAlign w:val="bottom"/>
            <w:tcBorders>
              <w:right w:val="single" w:sz="8" w:color="auto"/>
            </w:tcBorders>
          </w:tcPr>
          <w:p>
            <w:pPr>
              <w:spacing w:after="0"/>
              <w:rPr>
                <w:sz w:val="18"/>
                <w:szCs w:val="18"/>
                <w:color w:val="auto"/>
              </w:rPr>
            </w:pP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4</w:t>
            </w:r>
          </w:p>
        </w:tc>
      </w:tr>
      <w:tr>
        <w:trPr>
          <w:trHeight w:val="25"/>
        </w:trPr>
        <w:tc>
          <w:tcPr>
            <w:tcW w:w="3420" w:type="dxa"/>
            <w:vAlign w:val="bottom"/>
            <w:tcBorders>
              <w:left w:val="single" w:sz="8" w:color="auto"/>
              <w:bottom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18"/>
        </w:trPr>
        <w:tc>
          <w:tcPr>
            <w:tcW w:w="3420" w:type="dxa"/>
            <w:vAlign w:val="bottom"/>
            <w:tcBorders>
              <w:left w:val="single" w:sz="8" w:color="auto"/>
            </w:tcBorders>
          </w:tcPr>
          <w:p>
            <w:pPr>
              <w:ind w:left="40"/>
              <w:spacing w:after="0"/>
              <w:rPr>
                <w:sz w:val="20"/>
                <w:szCs w:val="20"/>
                <w:color w:val="auto"/>
              </w:rPr>
            </w:pPr>
            <w:r>
              <w:rPr>
                <w:rFonts w:ascii="Arial" w:cs="Arial" w:eastAsia="Arial" w:hAnsi="Arial"/>
                <w:sz w:val="17"/>
                <w:szCs w:val="17"/>
                <w:color w:val="auto"/>
              </w:rPr>
              <w:t>Entire Contract</w:t>
            </w:r>
          </w:p>
        </w:tc>
        <w:tc>
          <w:tcPr>
            <w:tcW w:w="1420" w:type="dxa"/>
            <w:vAlign w:val="bottom"/>
            <w:tcBorders>
              <w:right w:val="single" w:sz="8" w:color="auto"/>
            </w:tcBorders>
          </w:tcPr>
          <w:p>
            <w:pPr>
              <w:spacing w:after="0"/>
              <w:rPr>
                <w:sz w:val="18"/>
                <w:szCs w:val="18"/>
                <w:color w:val="auto"/>
              </w:rPr>
            </w:pP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5</w:t>
            </w:r>
          </w:p>
        </w:tc>
      </w:tr>
      <w:tr>
        <w:trPr>
          <w:trHeight w:val="25"/>
        </w:trPr>
        <w:tc>
          <w:tcPr>
            <w:tcW w:w="3420" w:type="dxa"/>
            <w:vAlign w:val="bottom"/>
            <w:tcBorders>
              <w:left w:val="single" w:sz="8" w:color="auto"/>
              <w:bottom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18"/>
        </w:trPr>
        <w:tc>
          <w:tcPr>
            <w:tcW w:w="3420" w:type="dxa"/>
            <w:vAlign w:val="bottom"/>
            <w:tcBorders>
              <w:left w:val="single" w:sz="8" w:color="auto"/>
            </w:tcBorders>
          </w:tcPr>
          <w:p>
            <w:pPr>
              <w:ind w:left="40"/>
              <w:spacing w:after="0"/>
              <w:rPr>
                <w:sz w:val="20"/>
                <w:szCs w:val="20"/>
                <w:color w:val="auto"/>
              </w:rPr>
            </w:pPr>
            <w:r>
              <w:rPr>
                <w:rFonts w:ascii="Arial" w:cs="Arial" w:eastAsia="Arial" w:hAnsi="Arial"/>
                <w:sz w:val="17"/>
                <w:szCs w:val="17"/>
                <w:color w:val="auto"/>
              </w:rPr>
              <w:t>Rights of Payees</w:t>
            </w:r>
          </w:p>
        </w:tc>
        <w:tc>
          <w:tcPr>
            <w:tcW w:w="1420" w:type="dxa"/>
            <w:vAlign w:val="bottom"/>
            <w:tcBorders>
              <w:right w:val="single" w:sz="8" w:color="auto"/>
            </w:tcBorders>
          </w:tcPr>
          <w:p>
            <w:pPr>
              <w:spacing w:after="0"/>
              <w:rPr>
                <w:sz w:val="18"/>
                <w:szCs w:val="18"/>
                <w:color w:val="auto"/>
              </w:rPr>
            </w:pP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5</w:t>
            </w:r>
          </w:p>
        </w:tc>
      </w:tr>
      <w:tr>
        <w:trPr>
          <w:trHeight w:val="25"/>
        </w:trPr>
        <w:tc>
          <w:tcPr>
            <w:tcW w:w="3420" w:type="dxa"/>
            <w:vAlign w:val="bottom"/>
            <w:tcBorders>
              <w:left w:val="single" w:sz="8" w:color="auto"/>
              <w:bottom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18"/>
        </w:trPr>
        <w:tc>
          <w:tcPr>
            <w:tcW w:w="3420" w:type="dxa"/>
            <w:vAlign w:val="bottom"/>
            <w:tcBorders>
              <w:left w:val="single" w:sz="8" w:color="auto"/>
            </w:tcBorders>
          </w:tcPr>
          <w:p>
            <w:pPr>
              <w:ind w:left="40"/>
              <w:spacing w:after="0"/>
              <w:rPr>
                <w:sz w:val="20"/>
                <w:szCs w:val="20"/>
                <w:color w:val="auto"/>
              </w:rPr>
            </w:pPr>
            <w:r>
              <w:rPr>
                <w:rFonts w:ascii="Arial" w:cs="Arial" w:eastAsia="Arial" w:hAnsi="Arial"/>
                <w:sz w:val="17"/>
                <w:szCs w:val="17"/>
                <w:color w:val="auto"/>
              </w:rPr>
              <w:t>Prudential Telephone Number</w:t>
            </w:r>
          </w:p>
        </w:tc>
        <w:tc>
          <w:tcPr>
            <w:tcW w:w="1420" w:type="dxa"/>
            <w:vAlign w:val="bottom"/>
            <w:tcBorders>
              <w:right w:val="single" w:sz="8" w:color="auto"/>
            </w:tcBorders>
          </w:tcPr>
          <w:p>
            <w:pPr>
              <w:spacing w:after="0"/>
              <w:rPr>
                <w:sz w:val="18"/>
                <w:szCs w:val="18"/>
                <w:color w:val="auto"/>
              </w:rPr>
            </w:pP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5</w:t>
            </w:r>
          </w:p>
        </w:tc>
      </w:tr>
      <w:tr>
        <w:trPr>
          <w:trHeight w:val="25"/>
        </w:trPr>
        <w:tc>
          <w:tcPr>
            <w:tcW w:w="3420" w:type="dxa"/>
            <w:vAlign w:val="bottom"/>
            <w:tcBorders>
              <w:left w:val="single" w:sz="8" w:color="auto"/>
              <w:bottom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18"/>
        </w:trPr>
        <w:tc>
          <w:tcPr>
            <w:tcW w:w="3420" w:type="dxa"/>
            <w:vAlign w:val="bottom"/>
            <w:tcBorders>
              <w:left w:val="single" w:sz="8" w:color="auto"/>
            </w:tcBorders>
          </w:tcPr>
          <w:p>
            <w:pPr>
              <w:ind w:left="40"/>
              <w:spacing w:after="0"/>
              <w:rPr>
                <w:sz w:val="20"/>
                <w:szCs w:val="20"/>
                <w:color w:val="auto"/>
              </w:rPr>
            </w:pPr>
            <w:r>
              <w:rPr>
                <w:rFonts w:ascii="Arial" w:cs="Arial" w:eastAsia="Arial" w:hAnsi="Arial"/>
                <w:sz w:val="17"/>
                <w:szCs w:val="17"/>
                <w:color w:val="auto"/>
              </w:rPr>
              <w:t>Deductions from Annuity Payments</w:t>
            </w:r>
          </w:p>
        </w:tc>
        <w:tc>
          <w:tcPr>
            <w:tcW w:w="1420" w:type="dxa"/>
            <w:vAlign w:val="bottom"/>
            <w:tcBorders>
              <w:right w:val="single" w:sz="8" w:color="auto"/>
            </w:tcBorders>
          </w:tcPr>
          <w:p>
            <w:pPr>
              <w:spacing w:after="0"/>
              <w:rPr>
                <w:sz w:val="18"/>
                <w:szCs w:val="18"/>
                <w:color w:val="auto"/>
              </w:rPr>
            </w:pP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5</w:t>
            </w:r>
          </w:p>
        </w:tc>
      </w:tr>
      <w:tr>
        <w:trPr>
          <w:trHeight w:val="25"/>
        </w:trPr>
        <w:tc>
          <w:tcPr>
            <w:tcW w:w="3420" w:type="dxa"/>
            <w:vAlign w:val="bottom"/>
            <w:tcBorders>
              <w:left w:val="single" w:sz="8" w:color="auto"/>
              <w:bottom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18"/>
        </w:trPr>
        <w:tc>
          <w:tcPr>
            <w:tcW w:w="3420" w:type="dxa"/>
            <w:vAlign w:val="bottom"/>
            <w:tcBorders>
              <w:left w:val="single" w:sz="8" w:color="auto"/>
            </w:tcBorders>
          </w:tcPr>
          <w:p>
            <w:pPr>
              <w:ind w:left="40"/>
              <w:spacing w:after="0"/>
              <w:rPr>
                <w:sz w:val="20"/>
                <w:szCs w:val="20"/>
                <w:color w:val="auto"/>
              </w:rPr>
            </w:pPr>
            <w:r>
              <w:rPr>
                <w:rFonts w:ascii="Arial" w:cs="Arial" w:eastAsia="Arial" w:hAnsi="Arial"/>
                <w:sz w:val="17"/>
                <w:szCs w:val="17"/>
                <w:color w:val="auto"/>
              </w:rPr>
              <w:t>Additional Details</w:t>
            </w:r>
          </w:p>
        </w:tc>
        <w:tc>
          <w:tcPr>
            <w:tcW w:w="1420" w:type="dxa"/>
            <w:vAlign w:val="bottom"/>
            <w:tcBorders>
              <w:right w:val="single" w:sz="8" w:color="auto"/>
            </w:tcBorders>
          </w:tcPr>
          <w:p>
            <w:pPr>
              <w:spacing w:after="0"/>
              <w:rPr>
                <w:sz w:val="18"/>
                <w:szCs w:val="18"/>
                <w:color w:val="auto"/>
              </w:rPr>
            </w:pP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5</w:t>
            </w:r>
          </w:p>
        </w:tc>
      </w:tr>
      <w:tr>
        <w:trPr>
          <w:trHeight w:val="25"/>
        </w:trPr>
        <w:tc>
          <w:tcPr>
            <w:tcW w:w="3420" w:type="dxa"/>
            <w:vAlign w:val="bottom"/>
            <w:tcBorders>
              <w:left w:val="single" w:sz="8" w:color="auto"/>
              <w:bottom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bl>
    <w:p>
      <w:pPr>
        <w:spacing w:after="0" w:line="188"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THE PRUDENTIAL INSURANCE</w:t>
      </w:r>
    </w:p>
    <w:p>
      <w:pPr>
        <w:spacing w:after="0" w:line="30"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COMPANY OF AMERICA</w:t>
      </w:r>
    </w:p>
    <w:p>
      <w:pPr>
        <w:spacing w:after="0" w:line="8"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Newark, New Jersey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ANNUITY CERTIFICATE</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Appendix 1.3 - 34</w:t>
      </w:r>
    </w:p>
    <w:p>
      <w:pPr>
        <w:sectPr>
          <w:pgSz w:w="11900" w:h="16838" w:orient="portrait"/>
          <w:cols w:equalWidth="0" w:num="1">
            <w:col w:w="11420"/>
          </w:cols>
          <w:pgMar w:left="240" w:top="765" w:right="239" w:bottom="1440" w:gutter="0" w:footer="0" w:header="0"/>
        </w:sectPr>
      </w:pPr>
    </w:p>
    <w:bookmarkStart w:id="148" w:name="page149"/>
    <w:bookmarkEnd w:id="148"/>
    <w:tbl>
      <w:tblPr>
        <w:tblLayout w:type="fixed"/>
        <w:tblInd w:w="490" w:type="dxa"/>
        <w:tblCellMar>
          <w:top w:w="0" w:type="dxa"/>
          <w:left w:w="0" w:type="dxa"/>
          <w:bottom w:w="0" w:type="dxa"/>
          <w:right w:w="0" w:type="dxa"/>
        </w:tblCellMar>
      </w:tblPr>
      <w:tr>
        <w:trPr>
          <w:trHeight w:val="207"/>
        </w:trPr>
        <w:tc>
          <w:tcPr>
            <w:tcW w:w="4040" w:type="dxa"/>
            <w:vAlign w:val="bottom"/>
          </w:tcPr>
          <w:p>
            <w:pPr>
              <w:spacing w:after="0"/>
              <w:rPr>
                <w:sz w:val="17"/>
                <w:szCs w:val="17"/>
                <w:color w:val="auto"/>
              </w:rPr>
            </w:pPr>
          </w:p>
        </w:tc>
        <w:tc>
          <w:tcPr>
            <w:tcW w:w="6460" w:type="dxa"/>
            <w:vAlign w:val="bottom"/>
            <w:gridSpan w:val="4"/>
          </w:tcPr>
          <w:p>
            <w:pPr>
              <w:ind w:left="380"/>
              <w:spacing w:after="0"/>
              <w:rPr>
                <w:sz w:val="20"/>
                <w:szCs w:val="20"/>
                <w:color w:val="auto"/>
              </w:rPr>
            </w:pPr>
            <w:r>
              <w:rPr>
                <w:rFonts w:ascii="Arial" w:cs="Arial" w:eastAsia="Arial" w:hAnsi="Arial"/>
                <w:sz w:val="18"/>
                <w:szCs w:val="18"/>
                <w:b w:val="1"/>
                <w:bCs w:val="1"/>
                <w:color w:val="auto"/>
              </w:rPr>
              <w:t>Table of Information</w:t>
            </w:r>
          </w:p>
        </w:tc>
      </w:tr>
      <w:tr>
        <w:trPr>
          <w:trHeight w:val="543"/>
        </w:trPr>
        <w:tc>
          <w:tcPr>
            <w:tcW w:w="4040" w:type="dxa"/>
            <w:vAlign w:val="bottom"/>
            <w:tcBorders>
              <w:bottom w:val="single" w:sz="8" w:color="C0C0C0"/>
            </w:tcBorders>
          </w:tcPr>
          <w:p>
            <w:pPr>
              <w:spacing w:after="0"/>
              <w:rPr>
                <w:sz w:val="24"/>
                <w:szCs w:val="24"/>
                <w:color w:val="auto"/>
              </w:rPr>
            </w:pPr>
          </w:p>
        </w:tc>
        <w:tc>
          <w:tcPr>
            <w:tcW w:w="380" w:type="dxa"/>
            <w:vAlign w:val="bottom"/>
            <w:tcBorders>
              <w:bottom w:val="single" w:sz="8" w:color="C0C0C0"/>
            </w:tcBorders>
          </w:tcPr>
          <w:p>
            <w:pPr>
              <w:spacing w:after="0"/>
              <w:rPr>
                <w:sz w:val="24"/>
                <w:szCs w:val="24"/>
                <w:color w:val="auto"/>
              </w:rPr>
            </w:pPr>
          </w:p>
        </w:tc>
        <w:tc>
          <w:tcPr>
            <w:tcW w:w="420" w:type="dxa"/>
            <w:vAlign w:val="bottom"/>
            <w:tcBorders>
              <w:top w:val="single" w:sz="8" w:color="auto"/>
              <w:bottom w:val="single" w:sz="8" w:color="C0C0C0"/>
            </w:tcBorders>
          </w:tcPr>
          <w:p>
            <w:pPr>
              <w:spacing w:after="0"/>
              <w:rPr>
                <w:sz w:val="24"/>
                <w:szCs w:val="24"/>
                <w:color w:val="auto"/>
              </w:rPr>
            </w:pPr>
          </w:p>
        </w:tc>
        <w:tc>
          <w:tcPr>
            <w:tcW w:w="1220" w:type="dxa"/>
            <w:vAlign w:val="bottom"/>
            <w:tcBorders>
              <w:top w:val="single" w:sz="8" w:color="auto"/>
              <w:bottom w:val="single" w:sz="8" w:color="C0C0C0"/>
            </w:tcBorders>
          </w:tcPr>
          <w:p>
            <w:pPr>
              <w:spacing w:after="0"/>
              <w:rPr>
                <w:sz w:val="24"/>
                <w:szCs w:val="24"/>
                <w:color w:val="auto"/>
              </w:rPr>
            </w:pPr>
          </w:p>
        </w:tc>
        <w:tc>
          <w:tcPr>
            <w:tcW w:w="4440" w:type="dxa"/>
            <w:vAlign w:val="bottom"/>
            <w:tcBorders>
              <w:bottom w:val="single" w:sz="8" w:color="C0C0C0"/>
            </w:tcBorders>
          </w:tcPr>
          <w:p>
            <w:pPr>
              <w:spacing w:after="0"/>
              <w:rPr>
                <w:sz w:val="24"/>
                <w:szCs w:val="24"/>
                <w:color w:val="auto"/>
              </w:rPr>
            </w:pPr>
          </w:p>
        </w:tc>
      </w:tr>
      <w:tr>
        <w:trPr>
          <w:trHeight w:val="243"/>
        </w:trPr>
        <w:tc>
          <w:tcPr>
            <w:tcW w:w="4040" w:type="dxa"/>
            <w:vAlign w:val="bottom"/>
            <w:tcBorders>
              <w:left w:val="single" w:sz="8" w:color="C0C0C0"/>
              <w:bottom w:val="single" w:sz="8" w:color="C0C0C0"/>
            </w:tcBorders>
          </w:tcPr>
          <w:p>
            <w:pPr>
              <w:ind w:left="40"/>
              <w:spacing w:after="0"/>
              <w:rPr>
                <w:sz w:val="20"/>
                <w:szCs w:val="20"/>
                <w:color w:val="auto"/>
              </w:rPr>
            </w:pPr>
            <w:r>
              <w:rPr>
                <w:rFonts w:ascii="Arial" w:cs="Arial" w:eastAsia="Arial" w:hAnsi="Arial"/>
                <w:sz w:val="17"/>
                <w:szCs w:val="17"/>
                <w:i w:val="1"/>
                <w:iCs w:val="1"/>
                <w:color w:val="auto"/>
              </w:rPr>
              <w:t>Covered Life:</w:t>
            </w:r>
          </w:p>
        </w:tc>
        <w:tc>
          <w:tcPr>
            <w:tcW w:w="380" w:type="dxa"/>
            <w:vAlign w:val="bottom"/>
            <w:tcBorders>
              <w:bottom w:val="single" w:sz="8" w:color="C0C0C0"/>
            </w:tcBorders>
          </w:tcPr>
          <w:p>
            <w:pPr>
              <w:spacing w:after="0"/>
              <w:rPr>
                <w:sz w:val="21"/>
                <w:szCs w:val="21"/>
                <w:color w:val="auto"/>
              </w:rPr>
            </w:pPr>
          </w:p>
        </w:tc>
        <w:tc>
          <w:tcPr>
            <w:tcW w:w="420" w:type="dxa"/>
            <w:vAlign w:val="bottom"/>
            <w:tcBorders>
              <w:bottom w:val="single" w:sz="8" w:color="C0C0C0"/>
              <w:right w:val="single" w:sz="8" w:color="C0C0C0"/>
            </w:tcBorders>
          </w:tcPr>
          <w:p>
            <w:pPr>
              <w:spacing w:after="0"/>
              <w:rPr>
                <w:sz w:val="21"/>
                <w:szCs w:val="21"/>
                <w:color w:val="auto"/>
              </w:rPr>
            </w:pPr>
          </w:p>
        </w:tc>
        <w:tc>
          <w:tcPr>
            <w:tcW w:w="5660" w:type="dxa"/>
            <w:vAlign w:val="bottom"/>
            <w:tcBorders>
              <w:bottom w:val="single" w:sz="8" w:color="C0C0C0"/>
              <w:right w:val="single" w:sz="8" w:color="C0C0C0"/>
            </w:tcBorders>
            <w:gridSpan w:val="2"/>
          </w:tcPr>
          <w:p>
            <w:pPr>
              <w:ind w:left="20"/>
              <w:spacing w:after="0" w:line="243" w:lineRule="exact"/>
              <w:rPr>
                <w:sz w:val="20"/>
                <w:szCs w:val="20"/>
                <w:color w:val="auto"/>
              </w:rPr>
            </w:pPr>
            <w:r>
              <w:rPr>
                <w:rFonts w:ascii="Arial" w:cs="Arial" w:eastAsia="Arial" w:hAnsi="Arial"/>
                <w:sz w:val="17"/>
                <w:szCs w:val="17"/>
                <w:color w:val="auto"/>
              </w:rPr>
              <w:t xml:space="preserve">[Covered Life Name] </w:t>
            </w:r>
            <w:r>
              <w:rPr>
                <w:rFonts w:ascii="Arial" w:cs="Arial" w:eastAsia="Arial" w:hAnsi="Arial"/>
                <w:sz w:val="23"/>
                <w:szCs w:val="23"/>
                <w:color w:val="auto"/>
                <w:vertAlign w:val="superscript"/>
              </w:rPr>
              <w:t>A</w:t>
            </w:r>
          </w:p>
        </w:tc>
      </w:tr>
      <w:tr>
        <w:trPr>
          <w:trHeight w:val="168"/>
        </w:trPr>
        <w:tc>
          <w:tcPr>
            <w:tcW w:w="4040" w:type="dxa"/>
            <w:vAlign w:val="bottom"/>
            <w:tcBorders>
              <w:left w:val="single" w:sz="8" w:color="C0C0C0"/>
              <w:bottom w:val="single" w:sz="8" w:color="C0C0C0"/>
            </w:tcBorders>
          </w:tcPr>
          <w:p>
            <w:pPr>
              <w:spacing w:after="0"/>
              <w:rPr>
                <w:sz w:val="14"/>
                <w:szCs w:val="14"/>
                <w:color w:val="auto"/>
              </w:rPr>
            </w:pPr>
          </w:p>
        </w:tc>
        <w:tc>
          <w:tcPr>
            <w:tcW w:w="380" w:type="dxa"/>
            <w:vAlign w:val="bottom"/>
            <w:tcBorders>
              <w:bottom w:val="single" w:sz="8" w:color="C0C0C0"/>
            </w:tcBorders>
          </w:tcPr>
          <w:p>
            <w:pPr>
              <w:spacing w:after="0"/>
              <w:rPr>
                <w:sz w:val="14"/>
                <w:szCs w:val="14"/>
                <w:color w:val="auto"/>
              </w:rPr>
            </w:pPr>
          </w:p>
        </w:tc>
        <w:tc>
          <w:tcPr>
            <w:tcW w:w="420" w:type="dxa"/>
            <w:vAlign w:val="bottom"/>
            <w:tcBorders>
              <w:bottom w:val="single" w:sz="8" w:color="C0C0C0"/>
              <w:right w:val="single" w:sz="8" w:color="C0C0C0"/>
            </w:tcBorders>
          </w:tcPr>
          <w:p>
            <w:pPr>
              <w:spacing w:after="0"/>
              <w:rPr>
                <w:sz w:val="14"/>
                <w:szCs w:val="14"/>
                <w:color w:val="auto"/>
              </w:rPr>
            </w:pPr>
          </w:p>
        </w:tc>
        <w:tc>
          <w:tcPr>
            <w:tcW w:w="1220" w:type="dxa"/>
            <w:vAlign w:val="bottom"/>
            <w:tcBorders>
              <w:bottom w:val="single" w:sz="8" w:color="C0C0C0"/>
            </w:tcBorders>
          </w:tcPr>
          <w:p>
            <w:pPr>
              <w:spacing w:after="0"/>
              <w:rPr>
                <w:sz w:val="14"/>
                <w:szCs w:val="14"/>
                <w:color w:val="auto"/>
              </w:rPr>
            </w:pPr>
          </w:p>
        </w:tc>
        <w:tc>
          <w:tcPr>
            <w:tcW w:w="4440" w:type="dxa"/>
            <w:vAlign w:val="bottom"/>
            <w:tcBorders>
              <w:bottom w:val="single" w:sz="8" w:color="C0C0C0"/>
              <w:right w:val="single" w:sz="8" w:color="C0C0C0"/>
            </w:tcBorders>
          </w:tcPr>
          <w:p>
            <w:pPr>
              <w:spacing w:after="0"/>
              <w:rPr>
                <w:sz w:val="14"/>
                <w:szCs w:val="14"/>
                <w:color w:val="auto"/>
              </w:rPr>
            </w:pPr>
          </w:p>
        </w:tc>
      </w:tr>
      <w:tr>
        <w:trPr>
          <w:trHeight w:val="243"/>
        </w:trPr>
        <w:tc>
          <w:tcPr>
            <w:tcW w:w="4040" w:type="dxa"/>
            <w:vAlign w:val="bottom"/>
            <w:tcBorders>
              <w:left w:val="single" w:sz="8" w:color="C0C0C0"/>
              <w:bottom w:val="single" w:sz="8" w:color="C0C0C0"/>
            </w:tcBorders>
          </w:tcPr>
          <w:p>
            <w:pPr>
              <w:ind w:left="40"/>
              <w:spacing w:after="0"/>
              <w:rPr>
                <w:sz w:val="20"/>
                <w:szCs w:val="20"/>
                <w:color w:val="auto"/>
              </w:rPr>
            </w:pPr>
            <w:r>
              <w:rPr>
                <w:rFonts w:ascii="Arial" w:cs="Arial" w:eastAsia="Arial" w:hAnsi="Arial"/>
                <w:sz w:val="17"/>
                <w:szCs w:val="17"/>
                <w:b w:val="1"/>
                <w:bCs w:val="1"/>
                <w:i w:val="1"/>
                <w:iCs w:val="1"/>
                <w:color w:val="auto"/>
              </w:rPr>
              <w:t>Covered Life's Sex and Date of Birth:</w:t>
            </w:r>
          </w:p>
        </w:tc>
        <w:tc>
          <w:tcPr>
            <w:tcW w:w="380" w:type="dxa"/>
            <w:vAlign w:val="bottom"/>
            <w:tcBorders>
              <w:bottom w:val="single" w:sz="8" w:color="C0C0C0"/>
            </w:tcBorders>
          </w:tcPr>
          <w:p>
            <w:pPr>
              <w:spacing w:after="0"/>
              <w:rPr>
                <w:sz w:val="21"/>
                <w:szCs w:val="21"/>
                <w:color w:val="auto"/>
              </w:rPr>
            </w:pPr>
          </w:p>
        </w:tc>
        <w:tc>
          <w:tcPr>
            <w:tcW w:w="420" w:type="dxa"/>
            <w:vAlign w:val="bottom"/>
            <w:tcBorders>
              <w:bottom w:val="single" w:sz="8" w:color="C0C0C0"/>
              <w:right w:val="single" w:sz="8" w:color="C0C0C0"/>
            </w:tcBorders>
          </w:tcPr>
          <w:p>
            <w:pPr>
              <w:spacing w:after="0"/>
              <w:rPr>
                <w:sz w:val="21"/>
                <w:szCs w:val="21"/>
                <w:color w:val="auto"/>
              </w:rPr>
            </w:pPr>
          </w:p>
        </w:tc>
        <w:tc>
          <w:tcPr>
            <w:tcW w:w="5660" w:type="dxa"/>
            <w:vAlign w:val="bottom"/>
            <w:tcBorders>
              <w:bottom w:val="single" w:sz="8" w:color="C0C0C0"/>
              <w:right w:val="single" w:sz="8" w:color="C0C0C0"/>
            </w:tcBorders>
            <w:gridSpan w:val="2"/>
          </w:tcPr>
          <w:p>
            <w:pPr>
              <w:ind w:left="20"/>
              <w:spacing w:after="0" w:line="243" w:lineRule="exact"/>
              <w:rPr>
                <w:sz w:val="20"/>
                <w:szCs w:val="20"/>
                <w:color w:val="auto"/>
              </w:rPr>
            </w:pPr>
            <w:r>
              <w:rPr>
                <w:rFonts w:ascii="Arial" w:cs="Arial" w:eastAsia="Arial" w:hAnsi="Arial"/>
                <w:sz w:val="17"/>
                <w:szCs w:val="17"/>
                <w:color w:val="auto"/>
              </w:rPr>
              <w:t xml:space="preserve">[Male/Female, Date] </w:t>
            </w:r>
            <w:r>
              <w:rPr>
                <w:rFonts w:ascii="Arial" w:cs="Arial" w:eastAsia="Arial" w:hAnsi="Arial"/>
                <w:sz w:val="23"/>
                <w:szCs w:val="23"/>
                <w:color w:val="auto"/>
                <w:vertAlign w:val="superscript"/>
              </w:rPr>
              <w:t>A</w:t>
            </w:r>
          </w:p>
        </w:tc>
      </w:tr>
      <w:tr>
        <w:trPr>
          <w:trHeight w:val="143"/>
        </w:trPr>
        <w:tc>
          <w:tcPr>
            <w:tcW w:w="4040" w:type="dxa"/>
            <w:vAlign w:val="bottom"/>
            <w:tcBorders>
              <w:left w:val="single" w:sz="8" w:color="C0C0C0"/>
              <w:bottom w:val="single" w:sz="8" w:color="C0C0C0"/>
            </w:tcBorders>
          </w:tcPr>
          <w:p>
            <w:pPr>
              <w:spacing w:after="0"/>
              <w:rPr>
                <w:sz w:val="12"/>
                <w:szCs w:val="12"/>
                <w:color w:val="auto"/>
              </w:rPr>
            </w:pPr>
          </w:p>
        </w:tc>
        <w:tc>
          <w:tcPr>
            <w:tcW w:w="380" w:type="dxa"/>
            <w:vAlign w:val="bottom"/>
            <w:tcBorders>
              <w:bottom w:val="single" w:sz="8" w:color="C0C0C0"/>
            </w:tcBorders>
          </w:tcPr>
          <w:p>
            <w:pPr>
              <w:spacing w:after="0"/>
              <w:rPr>
                <w:sz w:val="12"/>
                <w:szCs w:val="12"/>
                <w:color w:val="auto"/>
              </w:rPr>
            </w:pPr>
          </w:p>
        </w:tc>
        <w:tc>
          <w:tcPr>
            <w:tcW w:w="420" w:type="dxa"/>
            <w:vAlign w:val="bottom"/>
            <w:tcBorders>
              <w:bottom w:val="single" w:sz="8" w:color="C0C0C0"/>
              <w:right w:val="single" w:sz="8" w:color="C0C0C0"/>
            </w:tcBorders>
          </w:tcPr>
          <w:p>
            <w:pPr>
              <w:spacing w:after="0"/>
              <w:rPr>
                <w:sz w:val="12"/>
                <w:szCs w:val="12"/>
                <w:color w:val="auto"/>
              </w:rPr>
            </w:pPr>
          </w:p>
        </w:tc>
        <w:tc>
          <w:tcPr>
            <w:tcW w:w="1220" w:type="dxa"/>
            <w:vAlign w:val="bottom"/>
            <w:tcBorders>
              <w:bottom w:val="single" w:sz="8" w:color="C0C0C0"/>
            </w:tcBorders>
          </w:tcPr>
          <w:p>
            <w:pPr>
              <w:spacing w:after="0"/>
              <w:rPr>
                <w:sz w:val="12"/>
                <w:szCs w:val="12"/>
                <w:color w:val="auto"/>
              </w:rPr>
            </w:pPr>
          </w:p>
        </w:tc>
        <w:tc>
          <w:tcPr>
            <w:tcW w:w="4440" w:type="dxa"/>
            <w:vAlign w:val="bottom"/>
            <w:tcBorders>
              <w:bottom w:val="single" w:sz="8" w:color="C0C0C0"/>
              <w:right w:val="single" w:sz="8" w:color="C0C0C0"/>
            </w:tcBorders>
          </w:tcPr>
          <w:p>
            <w:pPr>
              <w:spacing w:after="0"/>
              <w:rPr>
                <w:sz w:val="12"/>
                <w:szCs w:val="12"/>
                <w:color w:val="auto"/>
              </w:rPr>
            </w:pPr>
          </w:p>
        </w:tc>
      </w:tr>
      <w:tr>
        <w:trPr>
          <w:trHeight w:val="243"/>
        </w:trPr>
        <w:tc>
          <w:tcPr>
            <w:tcW w:w="4040" w:type="dxa"/>
            <w:vAlign w:val="bottom"/>
            <w:tcBorders>
              <w:left w:val="single" w:sz="8" w:color="C0C0C0"/>
              <w:bottom w:val="single" w:sz="8" w:color="C0C0C0"/>
            </w:tcBorders>
          </w:tcPr>
          <w:p>
            <w:pPr>
              <w:ind w:left="40"/>
              <w:spacing w:after="0"/>
              <w:rPr>
                <w:sz w:val="20"/>
                <w:szCs w:val="20"/>
                <w:color w:val="auto"/>
              </w:rPr>
            </w:pPr>
            <w:r>
              <w:rPr>
                <w:rFonts w:ascii="Arial" w:cs="Arial" w:eastAsia="Arial" w:hAnsi="Arial"/>
                <w:sz w:val="17"/>
                <w:szCs w:val="17"/>
                <w:i w:val="1"/>
                <w:iCs w:val="1"/>
                <w:color w:val="auto"/>
              </w:rPr>
              <w:t>Annuity Certificate Number:</w:t>
            </w:r>
          </w:p>
        </w:tc>
        <w:tc>
          <w:tcPr>
            <w:tcW w:w="380" w:type="dxa"/>
            <w:vAlign w:val="bottom"/>
            <w:tcBorders>
              <w:bottom w:val="single" w:sz="8" w:color="C0C0C0"/>
            </w:tcBorders>
          </w:tcPr>
          <w:p>
            <w:pPr>
              <w:spacing w:after="0"/>
              <w:rPr>
                <w:sz w:val="21"/>
                <w:szCs w:val="21"/>
                <w:color w:val="auto"/>
              </w:rPr>
            </w:pPr>
          </w:p>
        </w:tc>
        <w:tc>
          <w:tcPr>
            <w:tcW w:w="420" w:type="dxa"/>
            <w:vAlign w:val="bottom"/>
            <w:tcBorders>
              <w:bottom w:val="single" w:sz="8" w:color="C0C0C0"/>
              <w:right w:val="single" w:sz="8" w:color="C0C0C0"/>
            </w:tcBorders>
          </w:tcPr>
          <w:p>
            <w:pPr>
              <w:spacing w:after="0"/>
              <w:rPr>
                <w:sz w:val="21"/>
                <w:szCs w:val="21"/>
                <w:color w:val="auto"/>
              </w:rPr>
            </w:pPr>
          </w:p>
        </w:tc>
        <w:tc>
          <w:tcPr>
            <w:tcW w:w="5660" w:type="dxa"/>
            <w:vAlign w:val="bottom"/>
            <w:tcBorders>
              <w:bottom w:val="single" w:sz="8" w:color="C0C0C0"/>
              <w:right w:val="single" w:sz="8" w:color="C0C0C0"/>
            </w:tcBorders>
            <w:gridSpan w:val="2"/>
          </w:tcPr>
          <w:p>
            <w:pPr>
              <w:ind w:left="20"/>
              <w:spacing w:after="0" w:line="243" w:lineRule="exact"/>
              <w:rPr>
                <w:sz w:val="20"/>
                <w:szCs w:val="20"/>
                <w:color w:val="auto"/>
              </w:rPr>
            </w:pPr>
            <w:r>
              <w:rPr>
                <w:rFonts w:ascii="Arial" w:cs="Arial" w:eastAsia="Arial" w:hAnsi="Arial"/>
                <w:sz w:val="17"/>
                <w:szCs w:val="17"/>
                <w:color w:val="auto"/>
              </w:rPr>
              <w:t>[Certificate Number</w:t>
            </w:r>
            <w:r>
              <w:rPr>
                <w:rFonts w:ascii="Arial" w:cs="Arial" w:eastAsia="Arial" w:hAnsi="Arial"/>
                <w:sz w:val="17"/>
                <w:szCs w:val="17"/>
                <w:b w:val="1"/>
                <w:bCs w:val="1"/>
                <w:color w:val="auto"/>
              </w:rPr>
              <w:t>]</w:t>
            </w:r>
            <w:r>
              <w:rPr>
                <w:rFonts w:ascii="Arial" w:cs="Arial" w:eastAsia="Arial" w:hAnsi="Arial"/>
                <w:sz w:val="17"/>
                <w:szCs w:val="17"/>
                <w:color w:val="auto"/>
              </w:rPr>
              <w:t xml:space="preserve"> </w:t>
            </w:r>
            <w:r>
              <w:rPr>
                <w:rFonts w:ascii="Arial" w:cs="Arial" w:eastAsia="Arial" w:hAnsi="Arial"/>
                <w:sz w:val="23"/>
                <w:szCs w:val="23"/>
                <w:b w:val="1"/>
                <w:bCs w:val="1"/>
                <w:color w:val="auto"/>
                <w:vertAlign w:val="superscript"/>
              </w:rPr>
              <w:t>A</w:t>
            </w:r>
          </w:p>
        </w:tc>
      </w:tr>
      <w:tr>
        <w:trPr>
          <w:trHeight w:val="243"/>
        </w:trPr>
        <w:tc>
          <w:tcPr>
            <w:tcW w:w="4040" w:type="dxa"/>
            <w:vAlign w:val="bottom"/>
            <w:tcBorders>
              <w:left w:val="single" w:sz="8" w:color="C0C0C0"/>
              <w:bottom w:val="single" w:sz="8" w:color="C0C0C0"/>
            </w:tcBorders>
          </w:tcPr>
          <w:p>
            <w:pPr>
              <w:spacing w:after="0"/>
              <w:rPr>
                <w:sz w:val="21"/>
                <w:szCs w:val="21"/>
                <w:color w:val="auto"/>
              </w:rPr>
            </w:pPr>
          </w:p>
        </w:tc>
        <w:tc>
          <w:tcPr>
            <w:tcW w:w="380" w:type="dxa"/>
            <w:vAlign w:val="bottom"/>
            <w:tcBorders>
              <w:bottom w:val="single" w:sz="8" w:color="C0C0C0"/>
            </w:tcBorders>
          </w:tcPr>
          <w:p>
            <w:pPr>
              <w:spacing w:after="0"/>
              <w:rPr>
                <w:sz w:val="21"/>
                <w:szCs w:val="21"/>
                <w:color w:val="auto"/>
              </w:rPr>
            </w:pPr>
          </w:p>
        </w:tc>
        <w:tc>
          <w:tcPr>
            <w:tcW w:w="420" w:type="dxa"/>
            <w:vAlign w:val="bottom"/>
            <w:tcBorders>
              <w:bottom w:val="single" w:sz="8" w:color="C0C0C0"/>
              <w:right w:val="single" w:sz="8" w:color="C0C0C0"/>
            </w:tcBorders>
          </w:tcPr>
          <w:p>
            <w:pPr>
              <w:spacing w:after="0"/>
              <w:rPr>
                <w:sz w:val="21"/>
                <w:szCs w:val="21"/>
                <w:color w:val="auto"/>
              </w:rPr>
            </w:pPr>
          </w:p>
        </w:tc>
        <w:tc>
          <w:tcPr>
            <w:tcW w:w="1220" w:type="dxa"/>
            <w:vAlign w:val="bottom"/>
            <w:tcBorders>
              <w:bottom w:val="single" w:sz="8" w:color="C0C0C0"/>
            </w:tcBorders>
          </w:tcPr>
          <w:p>
            <w:pPr>
              <w:spacing w:after="0"/>
              <w:rPr>
                <w:sz w:val="21"/>
                <w:szCs w:val="21"/>
                <w:color w:val="auto"/>
              </w:rPr>
            </w:pPr>
          </w:p>
        </w:tc>
        <w:tc>
          <w:tcPr>
            <w:tcW w:w="4440" w:type="dxa"/>
            <w:vAlign w:val="bottom"/>
            <w:tcBorders>
              <w:bottom w:val="single" w:sz="8" w:color="C0C0C0"/>
              <w:right w:val="single" w:sz="8" w:color="C0C0C0"/>
            </w:tcBorders>
          </w:tcPr>
          <w:p>
            <w:pPr>
              <w:spacing w:after="0"/>
              <w:rPr>
                <w:sz w:val="21"/>
                <w:szCs w:val="21"/>
                <w:color w:val="auto"/>
              </w:rPr>
            </w:pPr>
          </w:p>
        </w:tc>
      </w:tr>
      <w:tr>
        <w:trPr>
          <w:trHeight w:val="204"/>
        </w:trPr>
        <w:tc>
          <w:tcPr>
            <w:tcW w:w="4040" w:type="dxa"/>
            <w:vAlign w:val="bottom"/>
            <w:tcBorders>
              <w:left w:val="single" w:sz="8" w:color="C0C0C0"/>
            </w:tcBorders>
          </w:tcPr>
          <w:p>
            <w:pPr>
              <w:spacing w:after="0"/>
              <w:rPr>
                <w:sz w:val="17"/>
                <w:szCs w:val="17"/>
                <w:color w:val="auto"/>
              </w:rPr>
            </w:pPr>
          </w:p>
        </w:tc>
        <w:tc>
          <w:tcPr>
            <w:tcW w:w="380" w:type="dxa"/>
            <w:vAlign w:val="bottom"/>
          </w:tcPr>
          <w:p>
            <w:pPr>
              <w:spacing w:after="0"/>
              <w:rPr>
                <w:sz w:val="17"/>
                <w:szCs w:val="17"/>
                <w:color w:val="auto"/>
              </w:rPr>
            </w:pPr>
          </w:p>
        </w:tc>
        <w:tc>
          <w:tcPr>
            <w:tcW w:w="420" w:type="dxa"/>
            <w:vAlign w:val="bottom"/>
            <w:tcBorders>
              <w:right w:val="single" w:sz="8" w:color="C0C0C0"/>
            </w:tcBorders>
          </w:tcPr>
          <w:p>
            <w:pPr>
              <w:spacing w:after="0"/>
              <w:rPr>
                <w:sz w:val="17"/>
                <w:szCs w:val="17"/>
                <w:color w:val="auto"/>
              </w:rPr>
            </w:pPr>
          </w:p>
        </w:tc>
        <w:tc>
          <w:tcPr>
            <w:tcW w:w="5660" w:type="dxa"/>
            <w:vAlign w:val="bottom"/>
            <w:tcBorders>
              <w:right w:val="single" w:sz="8" w:color="C0C0C0"/>
            </w:tcBorders>
            <w:gridSpan w:val="2"/>
          </w:tcPr>
          <w:p>
            <w:pPr>
              <w:ind w:left="20"/>
              <w:spacing w:after="0"/>
              <w:rPr>
                <w:sz w:val="20"/>
                <w:szCs w:val="20"/>
                <w:color w:val="auto"/>
              </w:rPr>
            </w:pPr>
            <w:r>
              <w:rPr>
                <w:rFonts w:ascii="Arial" w:cs="Arial" w:eastAsia="Arial" w:hAnsi="Arial"/>
                <w:sz w:val="17"/>
                <w:szCs w:val="17"/>
                <w:color w:val="auto"/>
                <w:w w:val="95"/>
              </w:rPr>
              <w:t>[NAME OF TRUST BANK, as Directed Trustee of the Vita Salaried Retirement</w:t>
            </w:r>
          </w:p>
        </w:tc>
      </w:tr>
      <w:tr>
        <w:trPr>
          <w:trHeight w:val="239"/>
        </w:trPr>
        <w:tc>
          <w:tcPr>
            <w:tcW w:w="4040" w:type="dxa"/>
            <w:vAlign w:val="bottom"/>
            <w:tcBorders>
              <w:left w:val="single" w:sz="8" w:color="C0C0C0"/>
              <w:bottom w:val="single" w:sz="8" w:color="C0C0C0"/>
            </w:tcBorders>
          </w:tcPr>
          <w:p>
            <w:pPr>
              <w:ind w:left="40"/>
              <w:spacing w:after="0" w:line="240" w:lineRule="exact"/>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Contract-Holder:</w:t>
            </w:r>
            <w:r>
              <w:rPr>
                <w:rFonts w:ascii="Arial" w:cs="Arial" w:eastAsia="Arial" w:hAnsi="Arial"/>
                <w:sz w:val="17"/>
                <w:szCs w:val="17"/>
                <w:color w:val="auto"/>
              </w:rPr>
              <w:t xml:space="preserve"> ] </w:t>
            </w:r>
            <w:r>
              <w:rPr>
                <w:rFonts w:ascii="Arial" w:cs="Arial" w:eastAsia="Arial" w:hAnsi="Arial"/>
                <w:sz w:val="23"/>
                <w:szCs w:val="23"/>
                <w:color w:val="auto"/>
                <w:vertAlign w:val="superscript"/>
              </w:rPr>
              <w:t>A</w:t>
            </w:r>
          </w:p>
        </w:tc>
        <w:tc>
          <w:tcPr>
            <w:tcW w:w="380" w:type="dxa"/>
            <w:vAlign w:val="bottom"/>
            <w:tcBorders>
              <w:bottom w:val="single" w:sz="8" w:color="C0C0C0"/>
            </w:tcBorders>
          </w:tcPr>
          <w:p>
            <w:pPr>
              <w:spacing w:after="0"/>
              <w:rPr>
                <w:sz w:val="20"/>
                <w:szCs w:val="20"/>
                <w:color w:val="auto"/>
              </w:rPr>
            </w:pPr>
          </w:p>
        </w:tc>
        <w:tc>
          <w:tcPr>
            <w:tcW w:w="420" w:type="dxa"/>
            <w:vAlign w:val="bottom"/>
            <w:tcBorders>
              <w:bottom w:val="single" w:sz="8" w:color="C0C0C0"/>
              <w:right w:val="single" w:sz="8" w:color="C0C0C0"/>
            </w:tcBorders>
          </w:tcPr>
          <w:p>
            <w:pPr>
              <w:spacing w:after="0"/>
              <w:rPr>
                <w:sz w:val="20"/>
                <w:szCs w:val="20"/>
                <w:color w:val="auto"/>
              </w:rPr>
            </w:pPr>
          </w:p>
        </w:tc>
        <w:tc>
          <w:tcPr>
            <w:tcW w:w="5660" w:type="dxa"/>
            <w:vAlign w:val="bottom"/>
            <w:tcBorders>
              <w:bottom w:val="single" w:sz="8" w:color="C0C0C0"/>
              <w:right w:val="single" w:sz="8" w:color="C0C0C0"/>
            </w:tcBorders>
            <w:gridSpan w:val="2"/>
          </w:tcPr>
          <w:p>
            <w:pPr>
              <w:ind w:left="20"/>
              <w:spacing w:after="0" w:line="240" w:lineRule="exact"/>
              <w:rPr>
                <w:sz w:val="20"/>
                <w:szCs w:val="20"/>
                <w:color w:val="auto"/>
              </w:rPr>
            </w:pPr>
            <w:r>
              <w:rPr>
                <w:rFonts w:ascii="Arial" w:cs="Arial" w:eastAsia="Arial" w:hAnsi="Arial"/>
                <w:sz w:val="17"/>
                <w:szCs w:val="17"/>
                <w:color w:val="auto"/>
              </w:rPr>
              <w:t>Trust, a New York trust]</w:t>
            </w:r>
            <w:r>
              <w:rPr>
                <w:rFonts w:ascii="Arial" w:cs="Arial" w:eastAsia="Arial" w:hAnsi="Arial"/>
                <w:sz w:val="23"/>
                <w:szCs w:val="23"/>
                <w:color w:val="auto"/>
                <w:vertAlign w:val="superscript"/>
              </w:rPr>
              <w:t>A</w:t>
            </w:r>
          </w:p>
        </w:tc>
      </w:tr>
      <w:tr>
        <w:trPr>
          <w:trHeight w:val="243"/>
        </w:trPr>
        <w:tc>
          <w:tcPr>
            <w:tcW w:w="4040" w:type="dxa"/>
            <w:vAlign w:val="bottom"/>
            <w:tcBorders>
              <w:left w:val="single" w:sz="8" w:color="C0C0C0"/>
              <w:bottom w:val="single" w:sz="8" w:color="C0C0C0"/>
            </w:tcBorders>
          </w:tcPr>
          <w:p>
            <w:pPr>
              <w:spacing w:after="0"/>
              <w:rPr>
                <w:sz w:val="21"/>
                <w:szCs w:val="21"/>
                <w:color w:val="auto"/>
              </w:rPr>
            </w:pPr>
          </w:p>
        </w:tc>
        <w:tc>
          <w:tcPr>
            <w:tcW w:w="380" w:type="dxa"/>
            <w:vAlign w:val="bottom"/>
            <w:tcBorders>
              <w:bottom w:val="single" w:sz="8" w:color="C0C0C0"/>
            </w:tcBorders>
          </w:tcPr>
          <w:p>
            <w:pPr>
              <w:spacing w:after="0"/>
              <w:rPr>
                <w:sz w:val="21"/>
                <w:szCs w:val="21"/>
                <w:color w:val="auto"/>
              </w:rPr>
            </w:pPr>
          </w:p>
        </w:tc>
        <w:tc>
          <w:tcPr>
            <w:tcW w:w="420" w:type="dxa"/>
            <w:vAlign w:val="bottom"/>
            <w:tcBorders>
              <w:bottom w:val="single" w:sz="8" w:color="C0C0C0"/>
              <w:right w:val="single" w:sz="8" w:color="C0C0C0"/>
            </w:tcBorders>
          </w:tcPr>
          <w:p>
            <w:pPr>
              <w:spacing w:after="0"/>
              <w:rPr>
                <w:sz w:val="21"/>
                <w:szCs w:val="21"/>
                <w:color w:val="auto"/>
              </w:rPr>
            </w:pPr>
          </w:p>
        </w:tc>
        <w:tc>
          <w:tcPr>
            <w:tcW w:w="1220" w:type="dxa"/>
            <w:vAlign w:val="bottom"/>
            <w:tcBorders>
              <w:bottom w:val="single" w:sz="8" w:color="C0C0C0"/>
            </w:tcBorders>
          </w:tcPr>
          <w:p>
            <w:pPr>
              <w:spacing w:after="0"/>
              <w:rPr>
                <w:sz w:val="21"/>
                <w:szCs w:val="21"/>
                <w:color w:val="auto"/>
              </w:rPr>
            </w:pPr>
          </w:p>
        </w:tc>
        <w:tc>
          <w:tcPr>
            <w:tcW w:w="4440" w:type="dxa"/>
            <w:vAlign w:val="bottom"/>
            <w:tcBorders>
              <w:bottom w:val="single" w:sz="8" w:color="C0C0C0"/>
              <w:right w:val="single" w:sz="8" w:color="C0C0C0"/>
            </w:tcBorders>
          </w:tcPr>
          <w:p>
            <w:pPr>
              <w:spacing w:after="0"/>
              <w:rPr>
                <w:sz w:val="21"/>
                <w:szCs w:val="21"/>
                <w:color w:val="auto"/>
              </w:rPr>
            </w:pPr>
          </w:p>
        </w:tc>
      </w:tr>
      <w:tr>
        <w:trPr>
          <w:trHeight w:val="243"/>
        </w:trPr>
        <w:tc>
          <w:tcPr>
            <w:tcW w:w="4040" w:type="dxa"/>
            <w:vAlign w:val="bottom"/>
            <w:tcBorders>
              <w:left w:val="single" w:sz="8" w:color="C0C0C0"/>
              <w:bottom w:val="single" w:sz="8" w:color="C0C0C0"/>
            </w:tcBorders>
          </w:tcPr>
          <w:p>
            <w:pPr>
              <w:ind w:left="40"/>
              <w:spacing w:after="0" w:line="243" w:lineRule="exact"/>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Name of Plan:</w:t>
            </w:r>
            <w:r>
              <w:rPr>
                <w:rFonts w:ascii="Arial" w:cs="Arial" w:eastAsia="Arial" w:hAnsi="Arial"/>
                <w:sz w:val="17"/>
                <w:szCs w:val="17"/>
                <w:color w:val="auto"/>
              </w:rPr>
              <w:t xml:space="preserve"> ] </w:t>
            </w:r>
            <w:r>
              <w:rPr>
                <w:rFonts w:ascii="Arial" w:cs="Arial" w:eastAsia="Arial" w:hAnsi="Arial"/>
                <w:sz w:val="23"/>
                <w:szCs w:val="23"/>
                <w:color w:val="auto"/>
                <w:vertAlign w:val="superscript"/>
              </w:rPr>
              <w:t>A</w:t>
            </w:r>
          </w:p>
        </w:tc>
        <w:tc>
          <w:tcPr>
            <w:tcW w:w="380" w:type="dxa"/>
            <w:vAlign w:val="bottom"/>
            <w:tcBorders>
              <w:bottom w:val="single" w:sz="8" w:color="C0C0C0"/>
            </w:tcBorders>
          </w:tcPr>
          <w:p>
            <w:pPr>
              <w:spacing w:after="0"/>
              <w:rPr>
                <w:sz w:val="21"/>
                <w:szCs w:val="21"/>
                <w:color w:val="auto"/>
              </w:rPr>
            </w:pPr>
          </w:p>
        </w:tc>
        <w:tc>
          <w:tcPr>
            <w:tcW w:w="420" w:type="dxa"/>
            <w:vAlign w:val="bottom"/>
            <w:tcBorders>
              <w:bottom w:val="single" w:sz="8" w:color="C0C0C0"/>
              <w:right w:val="single" w:sz="8" w:color="C0C0C0"/>
            </w:tcBorders>
          </w:tcPr>
          <w:p>
            <w:pPr>
              <w:spacing w:after="0"/>
              <w:rPr>
                <w:sz w:val="21"/>
                <w:szCs w:val="21"/>
                <w:color w:val="auto"/>
              </w:rPr>
            </w:pPr>
          </w:p>
        </w:tc>
        <w:tc>
          <w:tcPr>
            <w:tcW w:w="5660" w:type="dxa"/>
            <w:vAlign w:val="bottom"/>
            <w:tcBorders>
              <w:bottom w:val="single" w:sz="8" w:color="C0C0C0"/>
              <w:right w:val="single" w:sz="8" w:color="C0C0C0"/>
            </w:tcBorders>
            <w:gridSpan w:val="2"/>
          </w:tcPr>
          <w:p>
            <w:pPr>
              <w:ind w:left="20"/>
              <w:spacing w:after="0" w:line="243" w:lineRule="exact"/>
              <w:rPr>
                <w:sz w:val="20"/>
                <w:szCs w:val="20"/>
                <w:color w:val="auto"/>
              </w:rPr>
            </w:pPr>
            <w:r>
              <w:rPr>
                <w:rFonts w:ascii="Arial" w:cs="Arial" w:eastAsia="Arial" w:hAnsi="Arial"/>
                <w:sz w:val="17"/>
                <w:szCs w:val="17"/>
                <w:color w:val="auto"/>
              </w:rPr>
              <w:t>[Vita Salaried Retirement Plan]</w:t>
            </w:r>
            <w:r>
              <w:rPr>
                <w:rFonts w:ascii="Arial" w:cs="Arial" w:eastAsia="Arial" w:hAnsi="Arial"/>
                <w:sz w:val="23"/>
                <w:szCs w:val="23"/>
                <w:color w:val="auto"/>
                <w:vertAlign w:val="superscript"/>
              </w:rPr>
              <w:t>A</w:t>
            </w:r>
          </w:p>
        </w:tc>
      </w:tr>
      <w:tr>
        <w:trPr>
          <w:trHeight w:val="243"/>
        </w:trPr>
        <w:tc>
          <w:tcPr>
            <w:tcW w:w="4040" w:type="dxa"/>
            <w:vAlign w:val="bottom"/>
            <w:tcBorders>
              <w:left w:val="single" w:sz="8" w:color="C0C0C0"/>
              <w:bottom w:val="single" w:sz="8" w:color="C0C0C0"/>
            </w:tcBorders>
          </w:tcPr>
          <w:p>
            <w:pPr>
              <w:spacing w:after="0"/>
              <w:rPr>
                <w:sz w:val="21"/>
                <w:szCs w:val="21"/>
                <w:color w:val="auto"/>
              </w:rPr>
            </w:pPr>
          </w:p>
        </w:tc>
        <w:tc>
          <w:tcPr>
            <w:tcW w:w="380" w:type="dxa"/>
            <w:vAlign w:val="bottom"/>
            <w:tcBorders>
              <w:bottom w:val="single" w:sz="8" w:color="C0C0C0"/>
            </w:tcBorders>
          </w:tcPr>
          <w:p>
            <w:pPr>
              <w:spacing w:after="0"/>
              <w:rPr>
                <w:sz w:val="21"/>
                <w:szCs w:val="21"/>
                <w:color w:val="auto"/>
              </w:rPr>
            </w:pPr>
          </w:p>
        </w:tc>
        <w:tc>
          <w:tcPr>
            <w:tcW w:w="420" w:type="dxa"/>
            <w:vAlign w:val="bottom"/>
            <w:tcBorders>
              <w:bottom w:val="single" w:sz="8" w:color="C0C0C0"/>
              <w:right w:val="single" w:sz="8" w:color="C0C0C0"/>
            </w:tcBorders>
          </w:tcPr>
          <w:p>
            <w:pPr>
              <w:spacing w:after="0"/>
              <w:rPr>
                <w:sz w:val="21"/>
                <w:szCs w:val="21"/>
                <w:color w:val="auto"/>
              </w:rPr>
            </w:pPr>
          </w:p>
        </w:tc>
        <w:tc>
          <w:tcPr>
            <w:tcW w:w="1220" w:type="dxa"/>
            <w:vAlign w:val="bottom"/>
            <w:tcBorders>
              <w:bottom w:val="single" w:sz="8" w:color="C0C0C0"/>
            </w:tcBorders>
          </w:tcPr>
          <w:p>
            <w:pPr>
              <w:spacing w:after="0"/>
              <w:rPr>
                <w:sz w:val="21"/>
                <w:szCs w:val="21"/>
                <w:color w:val="auto"/>
              </w:rPr>
            </w:pPr>
          </w:p>
        </w:tc>
        <w:tc>
          <w:tcPr>
            <w:tcW w:w="4440" w:type="dxa"/>
            <w:vAlign w:val="bottom"/>
            <w:tcBorders>
              <w:bottom w:val="single" w:sz="8" w:color="C0C0C0"/>
              <w:right w:val="single" w:sz="8" w:color="C0C0C0"/>
            </w:tcBorders>
          </w:tcPr>
          <w:p>
            <w:pPr>
              <w:spacing w:after="0"/>
              <w:rPr>
                <w:sz w:val="21"/>
                <w:szCs w:val="21"/>
                <w:color w:val="auto"/>
              </w:rPr>
            </w:pPr>
          </w:p>
        </w:tc>
      </w:tr>
      <w:tr>
        <w:trPr>
          <w:trHeight w:val="243"/>
        </w:trPr>
        <w:tc>
          <w:tcPr>
            <w:tcW w:w="4040" w:type="dxa"/>
            <w:vAlign w:val="bottom"/>
            <w:tcBorders>
              <w:left w:val="single" w:sz="8" w:color="C0C0C0"/>
              <w:bottom w:val="single" w:sz="8" w:color="C0C0C0"/>
            </w:tcBorders>
          </w:tcPr>
          <w:p>
            <w:pPr>
              <w:ind w:left="40"/>
              <w:spacing w:after="0"/>
              <w:rPr>
                <w:sz w:val="20"/>
                <w:szCs w:val="20"/>
                <w:color w:val="auto"/>
              </w:rPr>
            </w:pPr>
            <w:r>
              <w:rPr>
                <w:rFonts w:ascii="Arial" w:cs="Arial" w:eastAsia="Arial" w:hAnsi="Arial"/>
                <w:sz w:val="17"/>
                <w:szCs w:val="17"/>
                <w:i w:val="1"/>
                <w:iCs w:val="1"/>
                <w:color w:val="auto"/>
              </w:rPr>
              <w:t>Group Annuity Contract Number:</w:t>
            </w:r>
          </w:p>
        </w:tc>
        <w:tc>
          <w:tcPr>
            <w:tcW w:w="380" w:type="dxa"/>
            <w:vAlign w:val="bottom"/>
            <w:tcBorders>
              <w:bottom w:val="single" w:sz="8" w:color="C0C0C0"/>
            </w:tcBorders>
          </w:tcPr>
          <w:p>
            <w:pPr>
              <w:spacing w:after="0"/>
              <w:rPr>
                <w:sz w:val="21"/>
                <w:szCs w:val="21"/>
                <w:color w:val="auto"/>
              </w:rPr>
            </w:pPr>
          </w:p>
        </w:tc>
        <w:tc>
          <w:tcPr>
            <w:tcW w:w="420" w:type="dxa"/>
            <w:vAlign w:val="bottom"/>
            <w:tcBorders>
              <w:bottom w:val="single" w:sz="8" w:color="C0C0C0"/>
              <w:right w:val="single" w:sz="8" w:color="C0C0C0"/>
            </w:tcBorders>
          </w:tcPr>
          <w:p>
            <w:pPr>
              <w:spacing w:after="0"/>
              <w:rPr>
                <w:sz w:val="21"/>
                <w:szCs w:val="21"/>
                <w:color w:val="auto"/>
              </w:rPr>
            </w:pPr>
          </w:p>
        </w:tc>
        <w:tc>
          <w:tcPr>
            <w:tcW w:w="5660" w:type="dxa"/>
            <w:vAlign w:val="bottom"/>
            <w:tcBorders>
              <w:bottom w:val="single" w:sz="8" w:color="C0C0C0"/>
              <w:right w:val="single" w:sz="8" w:color="C0C0C0"/>
            </w:tcBorders>
            <w:gridSpan w:val="2"/>
          </w:tcPr>
          <w:p>
            <w:pPr>
              <w:ind w:left="20"/>
              <w:spacing w:after="0" w:line="243" w:lineRule="exact"/>
              <w:rPr>
                <w:sz w:val="20"/>
                <w:szCs w:val="20"/>
                <w:color w:val="auto"/>
              </w:rPr>
            </w:pPr>
            <w:r>
              <w:rPr>
                <w:rFonts w:ascii="Arial" w:cs="Arial" w:eastAsia="Arial" w:hAnsi="Arial"/>
                <w:sz w:val="17"/>
                <w:szCs w:val="17"/>
                <w:color w:val="auto"/>
              </w:rPr>
              <w:t>[Article P of GA-300</w:t>
            </w:r>
            <w:r>
              <w:rPr>
                <w:rFonts w:ascii="Arial" w:cs="Arial" w:eastAsia="Arial" w:hAnsi="Arial"/>
                <w:sz w:val="17"/>
                <w:szCs w:val="17"/>
                <w:b w:val="1"/>
                <w:bCs w:val="1"/>
                <w:color w:val="auto"/>
              </w:rPr>
              <w:t>]</w:t>
            </w:r>
            <w:r>
              <w:rPr>
                <w:rFonts w:ascii="Arial" w:cs="Arial" w:eastAsia="Arial" w:hAnsi="Arial"/>
                <w:sz w:val="17"/>
                <w:szCs w:val="17"/>
                <w:color w:val="auto"/>
              </w:rPr>
              <w:t xml:space="preserve"> </w:t>
            </w:r>
            <w:r>
              <w:rPr>
                <w:rFonts w:ascii="Arial" w:cs="Arial" w:eastAsia="Arial" w:hAnsi="Arial"/>
                <w:sz w:val="23"/>
                <w:szCs w:val="23"/>
                <w:b w:val="1"/>
                <w:bCs w:val="1"/>
                <w:color w:val="auto"/>
                <w:vertAlign w:val="superscript"/>
              </w:rPr>
              <w:t>A</w:t>
            </w:r>
          </w:p>
        </w:tc>
      </w:tr>
      <w:tr>
        <w:trPr>
          <w:trHeight w:val="243"/>
        </w:trPr>
        <w:tc>
          <w:tcPr>
            <w:tcW w:w="4040" w:type="dxa"/>
            <w:vAlign w:val="bottom"/>
            <w:tcBorders>
              <w:left w:val="single" w:sz="8" w:color="C0C0C0"/>
              <w:bottom w:val="single" w:sz="8" w:color="C0C0C0"/>
            </w:tcBorders>
          </w:tcPr>
          <w:p>
            <w:pPr>
              <w:spacing w:after="0"/>
              <w:rPr>
                <w:sz w:val="21"/>
                <w:szCs w:val="21"/>
                <w:color w:val="auto"/>
              </w:rPr>
            </w:pPr>
          </w:p>
        </w:tc>
        <w:tc>
          <w:tcPr>
            <w:tcW w:w="380" w:type="dxa"/>
            <w:vAlign w:val="bottom"/>
            <w:tcBorders>
              <w:bottom w:val="single" w:sz="8" w:color="C0C0C0"/>
            </w:tcBorders>
          </w:tcPr>
          <w:p>
            <w:pPr>
              <w:spacing w:after="0"/>
              <w:rPr>
                <w:sz w:val="21"/>
                <w:szCs w:val="21"/>
                <w:color w:val="auto"/>
              </w:rPr>
            </w:pPr>
          </w:p>
        </w:tc>
        <w:tc>
          <w:tcPr>
            <w:tcW w:w="420" w:type="dxa"/>
            <w:vAlign w:val="bottom"/>
            <w:tcBorders>
              <w:bottom w:val="single" w:sz="8" w:color="C0C0C0"/>
              <w:right w:val="single" w:sz="8" w:color="C0C0C0"/>
            </w:tcBorders>
          </w:tcPr>
          <w:p>
            <w:pPr>
              <w:spacing w:after="0"/>
              <w:rPr>
                <w:sz w:val="21"/>
                <w:szCs w:val="21"/>
                <w:color w:val="auto"/>
              </w:rPr>
            </w:pPr>
          </w:p>
        </w:tc>
        <w:tc>
          <w:tcPr>
            <w:tcW w:w="1220" w:type="dxa"/>
            <w:vAlign w:val="bottom"/>
            <w:tcBorders>
              <w:bottom w:val="single" w:sz="8" w:color="C0C0C0"/>
            </w:tcBorders>
          </w:tcPr>
          <w:p>
            <w:pPr>
              <w:spacing w:after="0"/>
              <w:rPr>
                <w:sz w:val="21"/>
                <w:szCs w:val="21"/>
                <w:color w:val="auto"/>
              </w:rPr>
            </w:pPr>
          </w:p>
        </w:tc>
        <w:tc>
          <w:tcPr>
            <w:tcW w:w="4440" w:type="dxa"/>
            <w:vAlign w:val="bottom"/>
            <w:tcBorders>
              <w:bottom w:val="single" w:sz="8" w:color="C0C0C0"/>
              <w:right w:val="single" w:sz="8" w:color="C0C0C0"/>
            </w:tcBorders>
          </w:tcPr>
          <w:p>
            <w:pPr>
              <w:spacing w:after="0"/>
              <w:rPr>
                <w:sz w:val="21"/>
                <w:szCs w:val="21"/>
                <w:color w:val="auto"/>
              </w:rPr>
            </w:pPr>
          </w:p>
        </w:tc>
      </w:tr>
      <w:tr>
        <w:trPr>
          <w:trHeight w:val="218"/>
        </w:trPr>
        <w:tc>
          <w:tcPr>
            <w:tcW w:w="4040" w:type="dxa"/>
            <w:vAlign w:val="bottom"/>
            <w:tcBorders>
              <w:left w:val="single" w:sz="8" w:color="C0C0C0"/>
            </w:tcBorders>
          </w:tcPr>
          <w:p>
            <w:pPr>
              <w:ind w:left="40"/>
              <w:spacing w:after="0"/>
              <w:rPr>
                <w:sz w:val="20"/>
                <w:szCs w:val="20"/>
                <w:color w:val="auto"/>
              </w:rPr>
            </w:pPr>
            <w:r>
              <w:rPr>
                <w:rFonts w:ascii="Arial" w:cs="Arial" w:eastAsia="Arial" w:hAnsi="Arial"/>
                <w:sz w:val="17"/>
                <w:szCs w:val="17"/>
                <w:i w:val="1"/>
                <w:iCs w:val="1"/>
                <w:color w:val="auto"/>
              </w:rPr>
              <w:t>Form of Annuity:</w:t>
            </w:r>
          </w:p>
        </w:tc>
        <w:tc>
          <w:tcPr>
            <w:tcW w:w="380" w:type="dxa"/>
            <w:vAlign w:val="bottom"/>
          </w:tcPr>
          <w:p>
            <w:pPr>
              <w:spacing w:after="0"/>
              <w:rPr>
                <w:sz w:val="18"/>
                <w:szCs w:val="18"/>
                <w:color w:val="auto"/>
              </w:rPr>
            </w:pPr>
          </w:p>
        </w:tc>
        <w:tc>
          <w:tcPr>
            <w:tcW w:w="420" w:type="dxa"/>
            <w:vAlign w:val="bottom"/>
            <w:tcBorders>
              <w:right w:val="single" w:sz="8" w:color="C0C0C0"/>
            </w:tcBorders>
          </w:tcPr>
          <w:p>
            <w:pPr>
              <w:spacing w:after="0"/>
              <w:rPr>
                <w:sz w:val="18"/>
                <w:szCs w:val="18"/>
                <w:color w:val="auto"/>
              </w:rPr>
            </w:pPr>
          </w:p>
        </w:tc>
        <w:tc>
          <w:tcPr>
            <w:tcW w:w="5660" w:type="dxa"/>
            <w:vAlign w:val="bottom"/>
            <w:tcBorders>
              <w:right w:val="single" w:sz="8" w:color="C0C0C0"/>
            </w:tcBorders>
            <w:gridSpan w:val="2"/>
          </w:tcPr>
          <w:p>
            <w:pPr>
              <w:ind w:left="20"/>
              <w:spacing w:after="0"/>
              <w:rPr>
                <w:sz w:val="20"/>
                <w:szCs w:val="20"/>
                <w:color w:val="auto"/>
              </w:rPr>
            </w:pPr>
            <w:r>
              <w:rPr>
                <w:rFonts w:ascii="Arial" w:cs="Arial" w:eastAsia="Arial" w:hAnsi="Arial"/>
                <w:sz w:val="17"/>
                <w:szCs w:val="17"/>
                <w:color w:val="auto"/>
              </w:rPr>
              <w:t>Window Spousal Contingent Joint and Survivor Life Annuity</w:t>
            </w:r>
          </w:p>
        </w:tc>
      </w:tr>
      <w:tr>
        <w:trPr>
          <w:trHeight w:val="25"/>
        </w:trPr>
        <w:tc>
          <w:tcPr>
            <w:tcW w:w="4040" w:type="dxa"/>
            <w:vAlign w:val="bottom"/>
            <w:tcBorders>
              <w:left w:val="single" w:sz="8" w:color="C0C0C0"/>
              <w:bottom w:val="single" w:sz="8" w:color="C0C0C0"/>
            </w:tcBorders>
          </w:tcPr>
          <w:p>
            <w:pPr>
              <w:spacing w:after="0"/>
              <w:rPr>
                <w:sz w:val="2"/>
                <w:szCs w:val="2"/>
                <w:color w:val="auto"/>
              </w:rPr>
            </w:pPr>
          </w:p>
        </w:tc>
        <w:tc>
          <w:tcPr>
            <w:tcW w:w="380" w:type="dxa"/>
            <w:vAlign w:val="bottom"/>
            <w:tcBorders>
              <w:bottom w:val="single" w:sz="8" w:color="C0C0C0"/>
            </w:tcBorders>
          </w:tcPr>
          <w:p>
            <w:pPr>
              <w:spacing w:after="0"/>
              <w:rPr>
                <w:sz w:val="2"/>
                <w:szCs w:val="2"/>
                <w:color w:val="auto"/>
              </w:rPr>
            </w:pPr>
          </w:p>
        </w:tc>
        <w:tc>
          <w:tcPr>
            <w:tcW w:w="420" w:type="dxa"/>
            <w:vAlign w:val="bottom"/>
            <w:tcBorders>
              <w:bottom w:val="single" w:sz="8" w:color="C0C0C0"/>
              <w:right w:val="single" w:sz="8" w:color="C0C0C0"/>
            </w:tcBorders>
          </w:tcPr>
          <w:p>
            <w:pPr>
              <w:spacing w:after="0"/>
              <w:rPr>
                <w:sz w:val="2"/>
                <w:szCs w:val="2"/>
                <w:color w:val="auto"/>
              </w:rPr>
            </w:pPr>
          </w:p>
        </w:tc>
        <w:tc>
          <w:tcPr>
            <w:tcW w:w="1220" w:type="dxa"/>
            <w:vAlign w:val="bottom"/>
            <w:tcBorders>
              <w:bottom w:val="single" w:sz="8" w:color="C0C0C0"/>
            </w:tcBorders>
          </w:tcPr>
          <w:p>
            <w:pPr>
              <w:spacing w:after="0"/>
              <w:rPr>
                <w:sz w:val="2"/>
                <w:szCs w:val="2"/>
                <w:color w:val="auto"/>
              </w:rPr>
            </w:pPr>
          </w:p>
        </w:tc>
        <w:tc>
          <w:tcPr>
            <w:tcW w:w="4440" w:type="dxa"/>
            <w:vAlign w:val="bottom"/>
            <w:tcBorders>
              <w:bottom w:val="single" w:sz="8" w:color="C0C0C0"/>
              <w:right w:val="single" w:sz="8" w:color="C0C0C0"/>
            </w:tcBorders>
          </w:tcPr>
          <w:p>
            <w:pPr>
              <w:spacing w:after="0"/>
              <w:rPr>
                <w:sz w:val="2"/>
                <w:szCs w:val="2"/>
                <w:color w:val="auto"/>
              </w:rPr>
            </w:pPr>
          </w:p>
        </w:tc>
      </w:tr>
      <w:tr>
        <w:trPr>
          <w:trHeight w:val="243"/>
        </w:trPr>
        <w:tc>
          <w:tcPr>
            <w:tcW w:w="4040" w:type="dxa"/>
            <w:vAlign w:val="bottom"/>
            <w:tcBorders>
              <w:left w:val="single" w:sz="8" w:color="C0C0C0"/>
              <w:bottom w:val="single" w:sz="8" w:color="C0C0C0"/>
            </w:tcBorders>
          </w:tcPr>
          <w:p>
            <w:pPr>
              <w:spacing w:after="0"/>
              <w:rPr>
                <w:sz w:val="21"/>
                <w:szCs w:val="21"/>
                <w:color w:val="auto"/>
              </w:rPr>
            </w:pPr>
          </w:p>
        </w:tc>
        <w:tc>
          <w:tcPr>
            <w:tcW w:w="380" w:type="dxa"/>
            <w:vAlign w:val="bottom"/>
            <w:tcBorders>
              <w:bottom w:val="single" w:sz="8" w:color="C0C0C0"/>
            </w:tcBorders>
          </w:tcPr>
          <w:p>
            <w:pPr>
              <w:spacing w:after="0"/>
              <w:rPr>
                <w:sz w:val="21"/>
                <w:szCs w:val="21"/>
                <w:color w:val="auto"/>
              </w:rPr>
            </w:pPr>
          </w:p>
        </w:tc>
        <w:tc>
          <w:tcPr>
            <w:tcW w:w="420" w:type="dxa"/>
            <w:vAlign w:val="bottom"/>
            <w:tcBorders>
              <w:bottom w:val="single" w:sz="8" w:color="C0C0C0"/>
              <w:right w:val="single" w:sz="8" w:color="C0C0C0"/>
            </w:tcBorders>
          </w:tcPr>
          <w:p>
            <w:pPr>
              <w:spacing w:after="0"/>
              <w:rPr>
                <w:sz w:val="21"/>
                <w:szCs w:val="21"/>
                <w:color w:val="auto"/>
              </w:rPr>
            </w:pPr>
          </w:p>
        </w:tc>
        <w:tc>
          <w:tcPr>
            <w:tcW w:w="1220" w:type="dxa"/>
            <w:vAlign w:val="bottom"/>
            <w:tcBorders>
              <w:bottom w:val="single" w:sz="8" w:color="C0C0C0"/>
            </w:tcBorders>
          </w:tcPr>
          <w:p>
            <w:pPr>
              <w:spacing w:after="0"/>
              <w:rPr>
                <w:sz w:val="21"/>
                <w:szCs w:val="21"/>
                <w:color w:val="auto"/>
              </w:rPr>
            </w:pPr>
          </w:p>
        </w:tc>
        <w:tc>
          <w:tcPr>
            <w:tcW w:w="4440" w:type="dxa"/>
            <w:vAlign w:val="bottom"/>
            <w:tcBorders>
              <w:bottom w:val="single" w:sz="8" w:color="C0C0C0"/>
              <w:right w:val="single" w:sz="8" w:color="C0C0C0"/>
            </w:tcBorders>
          </w:tcPr>
          <w:p>
            <w:pPr>
              <w:spacing w:after="0"/>
              <w:rPr>
                <w:sz w:val="21"/>
                <w:szCs w:val="21"/>
                <w:color w:val="auto"/>
              </w:rPr>
            </w:pPr>
          </w:p>
        </w:tc>
      </w:tr>
      <w:tr>
        <w:trPr>
          <w:trHeight w:val="204"/>
        </w:trPr>
        <w:tc>
          <w:tcPr>
            <w:tcW w:w="4040" w:type="dxa"/>
            <w:vAlign w:val="bottom"/>
            <w:tcBorders>
              <w:left w:val="single" w:sz="8" w:color="C0C0C0"/>
            </w:tcBorders>
          </w:tcPr>
          <w:p>
            <w:pPr>
              <w:spacing w:after="0"/>
              <w:rPr>
                <w:sz w:val="17"/>
                <w:szCs w:val="17"/>
                <w:color w:val="auto"/>
              </w:rPr>
            </w:pPr>
          </w:p>
        </w:tc>
        <w:tc>
          <w:tcPr>
            <w:tcW w:w="380" w:type="dxa"/>
            <w:vAlign w:val="bottom"/>
          </w:tcPr>
          <w:p>
            <w:pPr>
              <w:spacing w:after="0"/>
              <w:rPr>
                <w:sz w:val="17"/>
                <w:szCs w:val="17"/>
                <w:color w:val="auto"/>
              </w:rPr>
            </w:pPr>
          </w:p>
        </w:tc>
        <w:tc>
          <w:tcPr>
            <w:tcW w:w="420" w:type="dxa"/>
            <w:vAlign w:val="bottom"/>
            <w:tcBorders>
              <w:right w:val="single" w:sz="8" w:color="C0C0C0"/>
            </w:tcBorders>
          </w:tcPr>
          <w:p>
            <w:pPr>
              <w:spacing w:after="0"/>
              <w:rPr>
                <w:sz w:val="17"/>
                <w:szCs w:val="17"/>
                <w:color w:val="auto"/>
              </w:rPr>
            </w:pPr>
          </w:p>
        </w:tc>
        <w:tc>
          <w:tcPr>
            <w:tcW w:w="5660" w:type="dxa"/>
            <w:vAlign w:val="bottom"/>
            <w:tcBorders>
              <w:right w:val="single" w:sz="8" w:color="C0C0C0"/>
            </w:tcBorders>
            <w:gridSpan w:val="2"/>
          </w:tcPr>
          <w:p>
            <w:pPr>
              <w:ind w:left="20"/>
              <w:spacing w:after="0"/>
              <w:rPr>
                <w:sz w:val="20"/>
                <w:szCs w:val="20"/>
                <w:color w:val="auto"/>
              </w:rPr>
            </w:pPr>
            <w:r>
              <w:rPr>
                <w:rFonts w:ascii="Arial" w:cs="Arial" w:eastAsia="Arial" w:hAnsi="Arial"/>
                <w:sz w:val="17"/>
                <w:szCs w:val="17"/>
                <w:color w:val="auto"/>
              </w:rPr>
              <w:t>[Refund Death Benefit Rider</w:t>
            </w:r>
          </w:p>
        </w:tc>
      </w:tr>
      <w:tr>
        <w:trPr>
          <w:trHeight w:val="239"/>
        </w:trPr>
        <w:tc>
          <w:tcPr>
            <w:tcW w:w="4040" w:type="dxa"/>
            <w:vAlign w:val="bottom"/>
            <w:tcBorders>
              <w:left w:val="single" w:sz="8" w:color="C0C0C0"/>
              <w:bottom w:val="single" w:sz="8" w:color="C0C0C0"/>
            </w:tcBorders>
          </w:tcPr>
          <w:p>
            <w:pPr>
              <w:ind w:left="40"/>
              <w:spacing w:after="0"/>
              <w:rPr>
                <w:sz w:val="20"/>
                <w:szCs w:val="20"/>
                <w:color w:val="auto"/>
              </w:rPr>
            </w:pPr>
            <w:r>
              <w:rPr>
                <w:rFonts w:ascii="Arial" w:cs="Arial" w:eastAsia="Arial" w:hAnsi="Arial"/>
                <w:sz w:val="17"/>
                <w:szCs w:val="17"/>
                <w:i w:val="1"/>
                <w:iCs w:val="1"/>
                <w:color w:val="auto"/>
              </w:rPr>
              <w:t>Annuity Riders:</w:t>
            </w:r>
          </w:p>
        </w:tc>
        <w:tc>
          <w:tcPr>
            <w:tcW w:w="380" w:type="dxa"/>
            <w:vAlign w:val="bottom"/>
            <w:tcBorders>
              <w:bottom w:val="single" w:sz="8" w:color="C0C0C0"/>
            </w:tcBorders>
          </w:tcPr>
          <w:p>
            <w:pPr>
              <w:spacing w:after="0"/>
              <w:rPr>
                <w:sz w:val="20"/>
                <w:szCs w:val="20"/>
                <w:color w:val="auto"/>
              </w:rPr>
            </w:pPr>
          </w:p>
        </w:tc>
        <w:tc>
          <w:tcPr>
            <w:tcW w:w="420" w:type="dxa"/>
            <w:vAlign w:val="bottom"/>
            <w:tcBorders>
              <w:bottom w:val="single" w:sz="8" w:color="C0C0C0"/>
              <w:right w:val="single" w:sz="8" w:color="C0C0C0"/>
            </w:tcBorders>
          </w:tcPr>
          <w:p>
            <w:pPr>
              <w:spacing w:after="0"/>
              <w:rPr>
                <w:sz w:val="20"/>
                <w:szCs w:val="20"/>
                <w:color w:val="auto"/>
              </w:rPr>
            </w:pPr>
          </w:p>
        </w:tc>
        <w:tc>
          <w:tcPr>
            <w:tcW w:w="5660" w:type="dxa"/>
            <w:vAlign w:val="bottom"/>
            <w:tcBorders>
              <w:bottom w:val="single" w:sz="8" w:color="C0C0C0"/>
              <w:right w:val="single" w:sz="8" w:color="C0C0C0"/>
            </w:tcBorders>
            <w:gridSpan w:val="2"/>
          </w:tcPr>
          <w:p>
            <w:pPr>
              <w:ind w:left="20"/>
              <w:spacing w:after="0" w:line="240" w:lineRule="exact"/>
              <w:rPr>
                <w:sz w:val="20"/>
                <w:szCs w:val="20"/>
                <w:color w:val="auto"/>
              </w:rPr>
            </w:pPr>
            <w:r>
              <w:rPr>
                <w:rFonts w:ascii="Arial" w:cs="Arial" w:eastAsia="Arial" w:hAnsi="Arial"/>
                <w:sz w:val="17"/>
                <w:szCs w:val="17"/>
                <w:color w:val="auto"/>
              </w:rPr>
              <w:t xml:space="preserve">None] </w:t>
            </w:r>
            <w:r>
              <w:rPr>
                <w:rFonts w:ascii="Arial" w:cs="Arial" w:eastAsia="Arial" w:hAnsi="Arial"/>
                <w:sz w:val="23"/>
                <w:szCs w:val="23"/>
                <w:color w:val="auto"/>
                <w:vertAlign w:val="superscript"/>
              </w:rPr>
              <w:t>A</w:t>
            </w:r>
          </w:p>
        </w:tc>
      </w:tr>
      <w:tr>
        <w:trPr>
          <w:trHeight w:val="243"/>
        </w:trPr>
        <w:tc>
          <w:tcPr>
            <w:tcW w:w="4040" w:type="dxa"/>
            <w:vAlign w:val="bottom"/>
            <w:tcBorders>
              <w:left w:val="single" w:sz="8" w:color="C0C0C0"/>
              <w:bottom w:val="single" w:sz="8" w:color="C0C0C0"/>
            </w:tcBorders>
          </w:tcPr>
          <w:p>
            <w:pPr>
              <w:spacing w:after="0"/>
              <w:rPr>
                <w:sz w:val="21"/>
                <w:szCs w:val="21"/>
                <w:color w:val="auto"/>
              </w:rPr>
            </w:pPr>
          </w:p>
        </w:tc>
        <w:tc>
          <w:tcPr>
            <w:tcW w:w="380" w:type="dxa"/>
            <w:vAlign w:val="bottom"/>
            <w:tcBorders>
              <w:bottom w:val="single" w:sz="8" w:color="C0C0C0"/>
            </w:tcBorders>
          </w:tcPr>
          <w:p>
            <w:pPr>
              <w:spacing w:after="0"/>
              <w:rPr>
                <w:sz w:val="21"/>
                <w:szCs w:val="21"/>
                <w:color w:val="auto"/>
              </w:rPr>
            </w:pPr>
          </w:p>
        </w:tc>
        <w:tc>
          <w:tcPr>
            <w:tcW w:w="420" w:type="dxa"/>
            <w:vAlign w:val="bottom"/>
            <w:tcBorders>
              <w:bottom w:val="single" w:sz="8" w:color="C0C0C0"/>
              <w:right w:val="single" w:sz="8" w:color="C0C0C0"/>
            </w:tcBorders>
          </w:tcPr>
          <w:p>
            <w:pPr>
              <w:spacing w:after="0"/>
              <w:rPr>
                <w:sz w:val="21"/>
                <w:szCs w:val="21"/>
                <w:color w:val="auto"/>
              </w:rPr>
            </w:pPr>
          </w:p>
        </w:tc>
        <w:tc>
          <w:tcPr>
            <w:tcW w:w="1220" w:type="dxa"/>
            <w:vAlign w:val="bottom"/>
            <w:tcBorders>
              <w:bottom w:val="single" w:sz="8" w:color="C0C0C0"/>
            </w:tcBorders>
          </w:tcPr>
          <w:p>
            <w:pPr>
              <w:spacing w:after="0"/>
              <w:rPr>
                <w:sz w:val="21"/>
                <w:szCs w:val="21"/>
                <w:color w:val="auto"/>
              </w:rPr>
            </w:pPr>
          </w:p>
        </w:tc>
        <w:tc>
          <w:tcPr>
            <w:tcW w:w="4440" w:type="dxa"/>
            <w:vAlign w:val="bottom"/>
            <w:tcBorders>
              <w:bottom w:val="single" w:sz="8" w:color="C0C0C0"/>
              <w:right w:val="single" w:sz="8" w:color="C0C0C0"/>
            </w:tcBorders>
          </w:tcPr>
          <w:p>
            <w:pPr>
              <w:spacing w:after="0"/>
              <w:rPr>
                <w:sz w:val="21"/>
                <w:szCs w:val="21"/>
                <w:color w:val="auto"/>
              </w:rPr>
            </w:pPr>
          </w:p>
        </w:tc>
      </w:tr>
      <w:tr>
        <w:trPr>
          <w:trHeight w:val="243"/>
        </w:trPr>
        <w:tc>
          <w:tcPr>
            <w:tcW w:w="4040" w:type="dxa"/>
            <w:vAlign w:val="bottom"/>
            <w:tcBorders>
              <w:left w:val="single" w:sz="8" w:color="C0C0C0"/>
              <w:bottom w:val="single" w:sz="8" w:color="C0C0C0"/>
            </w:tcBorders>
          </w:tcPr>
          <w:p>
            <w:pPr>
              <w:ind w:left="40"/>
              <w:spacing w:after="0"/>
              <w:rPr>
                <w:sz w:val="20"/>
                <w:szCs w:val="20"/>
                <w:color w:val="auto"/>
              </w:rPr>
            </w:pPr>
            <w:r>
              <w:rPr>
                <w:rFonts w:ascii="Arial" w:cs="Arial" w:eastAsia="Arial" w:hAnsi="Arial"/>
                <w:sz w:val="17"/>
                <w:szCs w:val="17"/>
                <w:i w:val="1"/>
                <w:iCs w:val="1"/>
                <w:color w:val="auto"/>
              </w:rPr>
              <w:t>Annuity Commencement Date:</w:t>
            </w:r>
          </w:p>
        </w:tc>
        <w:tc>
          <w:tcPr>
            <w:tcW w:w="380" w:type="dxa"/>
            <w:vAlign w:val="bottom"/>
            <w:tcBorders>
              <w:bottom w:val="single" w:sz="8" w:color="C0C0C0"/>
            </w:tcBorders>
          </w:tcPr>
          <w:p>
            <w:pPr>
              <w:spacing w:after="0"/>
              <w:rPr>
                <w:sz w:val="21"/>
                <w:szCs w:val="21"/>
                <w:color w:val="auto"/>
              </w:rPr>
            </w:pPr>
          </w:p>
        </w:tc>
        <w:tc>
          <w:tcPr>
            <w:tcW w:w="420" w:type="dxa"/>
            <w:vAlign w:val="bottom"/>
            <w:tcBorders>
              <w:bottom w:val="single" w:sz="8" w:color="C0C0C0"/>
              <w:right w:val="single" w:sz="8" w:color="C0C0C0"/>
            </w:tcBorders>
          </w:tcPr>
          <w:p>
            <w:pPr>
              <w:spacing w:after="0"/>
              <w:rPr>
                <w:sz w:val="21"/>
                <w:szCs w:val="21"/>
                <w:color w:val="auto"/>
              </w:rPr>
            </w:pPr>
          </w:p>
        </w:tc>
        <w:tc>
          <w:tcPr>
            <w:tcW w:w="5660" w:type="dxa"/>
            <w:vAlign w:val="bottom"/>
            <w:tcBorders>
              <w:bottom w:val="single" w:sz="8" w:color="C0C0C0"/>
              <w:right w:val="single" w:sz="8" w:color="C0C0C0"/>
            </w:tcBorders>
            <w:gridSpan w:val="2"/>
          </w:tcPr>
          <w:p>
            <w:pPr>
              <w:ind w:left="20"/>
              <w:spacing w:after="0" w:line="243" w:lineRule="exact"/>
              <w:rPr>
                <w:sz w:val="20"/>
                <w:szCs w:val="20"/>
                <w:color w:val="auto"/>
              </w:rPr>
            </w:pPr>
            <w:r>
              <w:rPr>
                <w:rFonts w:ascii="Arial" w:cs="Arial" w:eastAsia="Arial" w:hAnsi="Arial"/>
                <w:sz w:val="17"/>
                <w:szCs w:val="17"/>
                <w:color w:val="auto"/>
              </w:rPr>
              <w:t>[Date</w:t>
            </w:r>
            <w:r>
              <w:rPr>
                <w:rFonts w:ascii="Arial" w:cs="Arial" w:eastAsia="Arial" w:hAnsi="Arial"/>
                <w:sz w:val="17"/>
                <w:szCs w:val="17"/>
                <w:b w:val="1"/>
                <w:bCs w:val="1"/>
                <w:color w:val="auto"/>
              </w:rPr>
              <w:t>]</w:t>
            </w:r>
            <w:r>
              <w:rPr>
                <w:rFonts w:ascii="Arial" w:cs="Arial" w:eastAsia="Arial" w:hAnsi="Arial"/>
                <w:sz w:val="17"/>
                <w:szCs w:val="17"/>
                <w:color w:val="auto"/>
              </w:rPr>
              <w:t xml:space="preserve"> </w:t>
            </w:r>
            <w:r>
              <w:rPr>
                <w:rFonts w:ascii="Arial" w:cs="Arial" w:eastAsia="Arial" w:hAnsi="Arial"/>
                <w:sz w:val="23"/>
                <w:szCs w:val="23"/>
                <w:b w:val="1"/>
                <w:bCs w:val="1"/>
                <w:color w:val="auto"/>
                <w:vertAlign w:val="superscript"/>
              </w:rPr>
              <w:t>A</w:t>
            </w:r>
          </w:p>
        </w:tc>
      </w:tr>
      <w:tr>
        <w:trPr>
          <w:trHeight w:val="243"/>
        </w:trPr>
        <w:tc>
          <w:tcPr>
            <w:tcW w:w="4040" w:type="dxa"/>
            <w:vAlign w:val="bottom"/>
            <w:tcBorders>
              <w:left w:val="single" w:sz="8" w:color="C0C0C0"/>
              <w:bottom w:val="single" w:sz="8" w:color="C0C0C0"/>
            </w:tcBorders>
          </w:tcPr>
          <w:p>
            <w:pPr>
              <w:spacing w:after="0"/>
              <w:rPr>
                <w:sz w:val="21"/>
                <w:szCs w:val="21"/>
                <w:color w:val="auto"/>
              </w:rPr>
            </w:pPr>
          </w:p>
        </w:tc>
        <w:tc>
          <w:tcPr>
            <w:tcW w:w="380" w:type="dxa"/>
            <w:vAlign w:val="bottom"/>
            <w:tcBorders>
              <w:bottom w:val="single" w:sz="8" w:color="C0C0C0"/>
            </w:tcBorders>
          </w:tcPr>
          <w:p>
            <w:pPr>
              <w:spacing w:after="0"/>
              <w:rPr>
                <w:sz w:val="21"/>
                <w:szCs w:val="21"/>
                <w:color w:val="auto"/>
              </w:rPr>
            </w:pPr>
          </w:p>
        </w:tc>
        <w:tc>
          <w:tcPr>
            <w:tcW w:w="420" w:type="dxa"/>
            <w:vAlign w:val="bottom"/>
            <w:tcBorders>
              <w:bottom w:val="single" w:sz="8" w:color="C0C0C0"/>
              <w:right w:val="single" w:sz="8" w:color="C0C0C0"/>
            </w:tcBorders>
          </w:tcPr>
          <w:p>
            <w:pPr>
              <w:spacing w:after="0"/>
              <w:rPr>
                <w:sz w:val="21"/>
                <w:szCs w:val="21"/>
                <w:color w:val="auto"/>
              </w:rPr>
            </w:pPr>
          </w:p>
        </w:tc>
        <w:tc>
          <w:tcPr>
            <w:tcW w:w="1220" w:type="dxa"/>
            <w:vAlign w:val="bottom"/>
            <w:tcBorders>
              <w:bottom w:val="single" w:sz="8" w:color="C0C0C0"/>
            </w:tcBorders>
          </w:tcPr>
          <w:p>
            <w:pPr>
              <w:spacing w:after="0"/>
              <w:rPr>
                <w:sz w:val="21"/>
                <w:szCs w:val="21"/>
                <w:color w:val="auto"/>
              </w:rPr>
            </w:pPr>
          </w:p>
        </w:tc>
        <w:tc>
          <w:tcPr>
            <w:tcW w:w="4440" w:type="dxa"/>
            <w:vAlign w:val="bottom"/>
            <w:tcBorders>
              <w:bottom w:val="single" w:sz="8" w:color="C0C0C0"/>
              <w:right w:val="single" w:sz="8" w:color="C0C0C0"/>
            </w:tcBorders>
          </w:tcPr>
          <w:p>
            <w:pPr>
              <w:spacing w:after="0"/>
              <w:rPr>
                <w:sz w:val="21"/>
                <w:szCs w:val="21"/>
                <w:color w:val="auto"/>
              </w:rPr>
            </w:pPr>
          </w:p>
        </w:tc>
      </w:tr>
      <w:tr>
        <w:trPr>
          <w:trHeight w:val="243"/>
        </w:trPr>
        <w:tc>
          <w:tcPr>
            <w:tcW w:w="4040" w:type="dxa"/>
            <w:vAlign w:val="bottom"/>
            <w:tcBorders>
              <w:left w:val="single" w:sz="8" w:color="C0C0C0"/>
              <w:bottom w:val="single" w:sz="8" w:color="C0C0C0"/>
            </w:tcBorders>
          </w:tcPr>
          <w:p>
            <w:pPr>
              <w:ind w:left="40"/>
              <w:spacing w:after="0" w:line="243" w:lineRule="exact"/>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Original Retirement Date:</w:t>
            </w:r>
            <w:r>
              <w:rPr>
                <w:rFonts w:ascii="Arial" w:cs="Arial" w:eastAsia="Arial" w:hAnsi="Arial"/>
                <w:sz w:val="17"/>
                <w:szCs w:val="17"/>
                <w:color w:val="auto"/>
              </w:rPr>
              <w:t xml:space="preserve"> ] </w:t>
            </w:r>
            <w:r>
              <w:rPr>
                <w:rFonts w:ascii="Arial" w:cs="Arial" w:eastAsia="Arial" w:hAnsi="Arial"/>
                <w:sz w:val="23"/>
                <w:szCs w:val="23"/>
                <w:color w:val="auto"/>
                <w:vertAlign w:val="superscript"/>
              </w:rPr>
              <w:t>A</w:t>
            </w:r>
          </w:p>
        </w:tc>
        <w:tc>
          <w:tcPr>
            <w:tcW w:w="380" w:type="dxa"/>
            <w:vAlign w:val="bottom"/>
            <w:tcBorders>
              <w:bottom w:val="single" w:sz="8" w:color="C0C0C0"/>
            </w:tcBorders>
          </w:tcPr>
          <w:p>
            <w:pPr>
              <w:spacing w:after="0"/>
              <w:rPr>
                <w:sz w:val="21"/>
                <w:szCs w:val="21"/>
                <w:color w:val="auto"/>
              </w:rPr>
            </w:pPr>
          </w:p>
        </w:tc>
        <w:tc>
          <w:tcPr>
            <w:tcW w:w="420" w:type="dxa"/>
            <w:vAlign w:val="bottom"/>
            <w:tcBorders>
              <w:bottom w:val="single" w:sz="8" w:color="C0C0C0"/>
              <w:right w:val="single" w:sz="8" w:color="C0C0C0"/>
            </w:tcBorders>
          </w:tcPr>
          <w:p>
            <w:pPr>
              <w:spacing w:after="0"/>
              <w:rPr>
                <w:sz w:val="21"/>
                <w:szCs w:val="21"/>
                <w:color w:val="auto"/>
              </w:rPr>
            </w:pPr>
          </w:p>
        </w:tc>
        <w:tc>
          <w:tcPr>
            <w:tcW w:w="5660" w:type="dxa"/>
            <w:vAlign w:val="bottom"/>
            <w:tcBorders>
              <w:bottom w:val="single" w:sz="8" w:color="C0C0C0"/>
              <w:right w:val="single" w:sz="8" w:color="C0C0C0"/>
            </w:tcBorders>
            <w:gridSpan w:val="2"/>
          </w:tcPr>
          <w:p>
            <w:pPr>
              <w:ind w:left="20"/>
              <w:spacing w:after="0" w:line="243" w:lineRule="exact"/>
              <w:rPr>
                <w:sz w:val="20"/>
                <w:szCs w:val="20"/>
                <w:color w:val="auto"/>
              </w:rPr>
            </w:pPr>
            <w:r>
              <w:rPr>
                <w:rFonts w:ascii="Arial" w:cs="Arial" w:eastAsia="Arial" w:hAnsi="Arial"/>
                <w:sz w:val="17"/>
                <w:szCs w:val="17"/>
                <w:color w:val="auto"/>
              </w:rPr>
              <w:t>[Date</w:t>
            </w:r>
            <w:r>
              <w:rPr>
                <w:rFonts w:ascii="Arial" w:cs="Arial" w:eastAsia="Arial" w:hAnsi="Arial"/>
                <w:sz w:val="17"/>
                <w:szCs w:val="17"/>
                <w:b w:val="1"/>
                <w:bCs w:val="1"/>
                <w:color w:val="auto"/>
              </w:rPr>
              <w:t>]</w:t>
            </w:r>
            <w:r>
              <w:rPr>
                <w:rFonts w:ascii="Arial" w:cs="Arial" w:eastAsia="Arial" w:hAnsi="Arial"/>
                <w:sz w:val="17"/>
                <w:szCs w:val="17"/>
                <w:color w:val="auto"/>
              </w:rPr>
              <w:t xml:space="preserve"> </w:t>
            </w:r>
            <w:r>
              <w:rPr>
                <w:rFonts w:ascii="Arial" w:cs="Arial" w:eastAsia="Arial" w:hAnsi="Arial"/>
                <w:sz w:val="23"/>
                <w:szCs w:val="23"/>
                <w:b w:val="1"/>
                <w:bCs w:val="1"/>
                <w:color w:val="auto"/>
                <w:vertAlign w:val="superscript"/>
              </w:rPr>
              <w:t>A</w:t>
            </w:r>
          </w:p>
        </w:tc>
      </w:tr>
      <w:tr>
        <w:trPr>
          <w:trHeight w:val="243"/>
        </w:trPr>
        <w:tc>
          <w:tcPr>
            <w:tcW w:w="4040" w:type="dxa"/>
            <w:vAlign w:val="bottom"/>
            <w:tcBorders>
              <w:left w:val="single" w:sz="8" w:color="C0C0C0"/>
              <w:bottom w:val="single" w:sz="8" w:color="C0C0C0"/>
            </w:tcBorders>
          </w:tcPr>
          <w:p>
            <w:pPr>
              <w:spacing w:after="0"/>
              <w:rPr>
                <w:sz w:val="21"/>
                <w:szCs w:val="21"/>
                <w:color w:val="auto"/>
              </w:rPr>
            </w:pPr>
          </w:p>
        </w:tc>
        <w:tc>
          <w:tcPr>
            <w:tcW w:w="380" w:type="dxa"/>
            <w:vAlign w:val="bottom"/>
            <w:tcBorders>
              <w:bottom w:val="single" w:sz="8" w:color="C0C0C0"/>
            </w:tcBorders>
          </w:tcPr>
          <w:p>
            <w:pPr>
              <w:spacing w:after="0"/>
              <w:rPr>
                <w:sz w:val="21"/>
                <w:szCs w:val="21"/>
                <w:color w:val="auto"/>
              </w:rPr>
            </w:pPr>
          </w:p>
        </w:tc>
        <w:tc>
          <w:tcPr>
            <w:tcW w:w="420" w:type="dxa"/>
            <w:vAlign w:val="bottom"/>
            <w:tcBorders>
              <w:bottom w:val="single" w:sz="8" w:color="C0C0C0"/>
              <w:right w:val="single" w:sz="8" w:color="C0C0C0"/>
            </w:tcBorders>
          </w:tcPr>
          <w:p>
            <w:pPr>
              <w:spacing w:after="0"/>
              <w:rPr>
                <w:sz w:val="21"/>
                <w:szCs w:val="21"/>
                <w:color w:val="auto"/>
              </w:rPr>
            </w:pPr>
          </w:p>
        </w:tc>
        <w:tc>
          <w:tcPr>
            <w:tcW w:w="1220" w:type="dxa"/>
            <w:vAlign w:val="bottom"/>
            <w:tcBorders>
              <w:bottom w:val="single" w:sz="8" w:color="C0C0C0"/>
            </w:tcBorders>
          </w:tcPr>
          <w:p>
            <w:pPr>
              <w:spacing w:after="0"/>
              <w:rPr>
                <w:sz w:val="21"/>
                <w:szCs w:val="21"/>
                <w:color w:val="auto"/>
              </w:rPr>
            </w:pPr>
          </w:p>
        </w:tc>
        <w:tc>
          <w:tcPr>
            <w:tcW w:w="4440" w:type="dxa"/>
            <w:vAlign w:val="bottom"/>
            <w:tcBorders>
              <w:bottom w:val="single" w:sz="8" w:color="C0C0C0"/>
              <w:right w:val="single" w:sz="8" w:color="C0C0C0"/>
            </w:tcBorders>
          </w:tcPr>
          <w:p>
            <w:pPr>
              <w:spacing w:after="0"/>
              <w:rPr>
                <w:sz w:val="21"/>
                <w:szCs w:val="21"/>
                <w:color w:val="auto"/>
              </w:rPr>
            </w:pPr>
          </w:p>
        </w:tc>
      </w:tr>
      <w:tr>
        <w:trPr>
          <w:trHeight w:val="268"/>
        </w:trPr>
        <w:tc>
          <w:tcPr>
            <w:tcW w:w="4040" w:type="dxa"/>
            <w:vAlign w:val="bottom"/>
            <w:tcBorders>
              <w:left w:val="single" w:sz="8" w:color="C0C0C0"/>
              <w:bottom w:val="single" w:sz="8" w:color="C0C0C0"/>
            </w:tcBorders>
          </w:tcPr>
          <w:p>
            <w:pPr>
              <w:ind w:left="40"/>
              <w:spacing w:after="0"/>
              <w:rPr>
                <w:sz w:val="20"/>
                <w:szCs w:val="20"/>
                <w:color w:val="auto"/>
              </w:rPr>
            </w:pPr>
            <w:r>
              <w:rPr>
                <w:rFonts w:ascii="Arial" w:cs="Arial" w:eastAsia="Arial" w:hAnsi="Arial"/>
                <w:sz w:val="17"/>
                <w:szCs w:val="17"/>
                <w:i w:val="1"/>
                <w:iCs w:val="1"/>
                <w:color w:val="auto"/>
              </w:rPr>
              <w:t>Covered Life Amount:</w:t>
            </w:r>
          </w:p>
        </w:tc>
        <w:tc>
          <w:tcPr>
            <w:tcW w:w="380" w:type="dxa"/>
            <w:vAlign w:val="bottom"/>
            <w:tcBorders>
              <w:bottom w:val="single" w:sz="8" w:color="C0C0C0"/>
            </w:tcBorders>
          </w:tcPr>
          <w:p>
            <w:pPr>
              <w:spacing w:after="0"/>
              <w:rPr>
                <w:sz w:val="23"/>
                <w:szCs w:val="23"/>
                <w:color w:val="auto"/>
              </w:rPr>
            </w:pPr>
          </w:p>
        </w:tc>
        <w:tc>
          <w:tcPr>
            <w:tcW w:w="420" w:type="dxa"/>
            <w:vAlign w:val="bottom"/>
            <w:tcBorders>
              <w:bottom w:val="single" w:sz="8" w:color="C0C0C0"/>
              <w:right w:val="single" w:sz="8" w:color="C0C0C0"/>
            </w:tcBorders>
          </w:tcPr>
          <w:p>
            <w:pPr>
              <w:spacing w:after="0"/>
              <w:rPr>
                <w:sz w:val="23"/>
                <w:szCs w:val="23"/>
                <w:color w:val="auto"/>
              </w:rPr>
            </w:pPr>
          </w:p>
        </w:tc>
        <w:tc>
          <w:tcPr>
            <w:tcW w:w="5660" w:type="dxa"/>
            <w:vAlign w:val="bottom"/>
            <w:tcBorders>
              <w:bottom w:val="single" w:sz="8" w:color="C0C0C0"/>
              <w:right w:val="single" w:sz="8" w:color="C0C0C0"/>
            </w:tcBorders>
            <w:gridSpan w:val="2"/>
          </w:tcPr>
          <w:p>
            <w:pPr>
              <w:ind w:left="20"/>
              <w:spacing w:after="0"/>
              <w:rPr>
                <w:sz w:val="20"/>
                <w:szCs w:val="20"/>
                <w:color w:val="auto"/>
              </w:rPr>
            </w:pPr>
            <w:r>
              <w:rPr>
                <w:rFonts w:ascii="Arial" w:cs="Arial" w:eastAsia="Arial" w:hAnsi="Arial"/>
                <w:sz w:val="17"/>
                <w:szCs w:val="17"/>
                <w:color w:val="auto"/>
              </w:rPr>
              <w:t xml:space="preserve">[$XXX.XX subject to stated limitations] </w:t>
            </w:r>
            <w:r>
              <w:rPr>
                <w:rFonts w:ascii="Arial" w:cs="Arial" w:eastAsia="Arial" w:hAnsi="Arial"/>
                <w:sz w:val="23"/>
                <w:szCs w:val="23"/>
                <w:color w:val="auto"/>
                <w:vertAlign w:val="superscript"/>
              </w:rPr>
              <w:t>A</w:t>
            </w:r>
          </w:p>
        </w:tc>
      </w:tr>
      <w:tr>
        <w:trPr>
          <w:trHeight w:val="243"/>
        </w:trPr>
        <w:tc>
          <w:tcPr>
            <w:tcW w:w="4040" w:type="dxa"/>
            <w:vAlign w:val="bottom"/>
            <w:tcBorders>
              <w:left w:val="single" w:sz="8" w:color="C0C0C0"/>
              <w:bottom w:val="single" w:sz="8" w:color="C0C0C0"/>
            </w:tcBorders>
          </w:tcPr>
          <w:p>
            <w:pPr>
              <w:spacing w:after="0"/>
              <w:rPr>
                <w:sz w:val="21"/>
                <w:szCs w:val="21"/>
                <w:color w:val="auto"/>
              </w:rPr>
            </w:pPr>
          </w:p>
        </w:tc>
        <w:tc>
          <w:tcPr>
            <w:tcW w:w="380" w:type="dxa"/>
            <w:vAlign w:val="bottom"/>
            <w:tcBorders>
              <w:bottom w:val="single" w:sz="8" w:color="C0C0C0"/>
            </w:tcBorders>
          </w:tcPr>
          <w:p>
            <w:pPr>
              <w:spacing w:after="0"/>
              <w:rPr>
                <w:sz w:val="21"/>
                <w:szCs w:val="21"/>
                <w:color w:val="auto"/>
              </w:rPr>
            </w:pPr>
          </w:p>
        </w:tc>
        <w:tc>
          <w:tcPr>
            <w:tcW w:w="420" w:type="dxa"/>
            <w:vAlign w:val="bottom"/>
            <w:tcBorders>
              <w:bottom w:val="single" w:sz="8" w:color="C0C0C0"/>
              <w:right w:val="single" w:sz="8" w:color="C0C0C0"/>
            </w:tcBorders>
          </w:tcPr>
          <w:p>
            <w:pPr>
              <w:spacing w:after="0"/>
              <w:rPr>
                <w:sz w:val="21"/>
                <w:szCs w:val="21"/>
                <w:color w:val="auto"/>
              </w:rPr>
            </w:pPr>
          </w:p>
        </w:tc>
        <w:tc>
          <w:tcPr>
            <w:tcW w:w="1220" w:type="dxa"/>
            <w:vAlign w:val="bottom"/>
            <w:tcBorders>
              <w:bottom w:val="single" w:sz="8" w:color="C0C0C0"/>
            </w:tcBorders>
          </w:tcPr>
          <w:p>
            <w:pPr>
              <w:spacing w:after="0"/>
              <w:rPr>
                <w:sz w:val="21"/>
                <w:szCs w:val="21"/>
                <w:color w:val="auto"/>
              </w:rPr>
            </w:pPr>
          </w:p>
        </w:tc>
        <w:tc>
          <w:tcPr>
            <w:tcW w:w="4440" w:type="dxa"/>
            <w:vAlign w:val="bottom"/>
            <w:tcBorders>
              <w:bottom w:val="single" w:sz="8" w:color="C0C0C0"/>
              <w:right w:val="single" w:sz="8" w:color="C0C0C0"/>
            </w:tcBorders>
          </w:tcPr>
          <w:p>
            <w:pPr>
              <w:spacing w:after="0"/>
              <w:rPr>
                <w:sz w:val="21"/>
                <w:szCs w:val="21"/>
                <w:color w:val="auto"/>
              </w:rPr>
            </w:pPr>
          </w:p>
        </w:tc>
      </w:tr>
      <w:tr>
        <w:trPr>
          <w:trHeight w:val="243"/>
        </w:trPr>
        <w:tc>
          <w:tcPr>
            <w:tcW w:w="4040" w:type="dxa"/>
            <w:vAlign w:val="bottom"/>
            <w:tcBorders>
              <w:left w:val="single" w:sz="8" w:color="C0C0C0"/>
              <w:bottom w:val="single" w:sz="8" w:color="C0C0C0"/>
            </w:tcBorders>
          </w:tcPr>
          <w:p>
            <w:pPr>
              <w:ind w:left="40"/>
              <w:spacing w:after="0" w:line="243" w:lineRule="exact"/>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Contingent Life:</w:t>
            </w:r>
            <w:r>
              <w:rPr>
                <w:rFonts w:ascii="Arial" w:cs="Arial" w:eastAsia="Arial" w:hAnsi="Arial"/>
                <w:sz w:val="17"/>
                <w:szCs w:val="17"/>
                <w:color w:val="auto"/>
              </w:rPr>
              <w:t xml:space="preserve"> ] </w:t>
            </w:r>
            <w:r>
              <w:rPr>
                <w:rFonts w:ascii="Arial" w:cs="Arial" w:eastAsia="Arial" w:hAnsi="Arial"/>
                <w:sz w:val="23"/>
                <w:szCs w:val="23"/>
                <w:color w:val="auto"/>
                <w:vertAlign w:val="superscript"/>
              </w:rPr>
              <w:t>A</w:t>
            </w:r>
          </w:p>
        </w:tc>
        <w:tc>
          <w:tcPr>
            <w:tcW w:w="380" w:type="dxa"/>
            <w:vAlign w:val="bottom"/>
            <w:tcBorders>
              <w:bottom w:val="single" w:sz="8" w:color="C0C0C0"/>
            </w:tcBorders>
          </w:tcPr>
          <w:p>
            <w:pPr>
              <w:spacing w:after="0"/>
              <w:rPr>
                <w:sz w:val="21"/>
                <w:szCs w:val="21"/>
                <w:color w:val="auto"/>
              </w:rPr>
            </w:pPr>
          </w:p>
        </w:tc>
        <w:tc>
          <w:tcPr>
            <w:tcW w:w="420" w:type="dxa"/>
            <w:vAlign w:val="bottom"/>
            <w:tcBorders>
              <w:bottom w:val="single" w:sz="8" w:color="C0C0C0"/>
              <w:right w:val="single" w:sz="8" w:color="C0C0C0"/>
            </w:tcBorders>
          </w:tcPr>
          <w:p>
            <w:pPr>
              <w:spacing w:after="0"/>
              <w:rPr>
                <w:sz w:val="21"/>
                <w:szCs w:val="21"/>
                <w:color w:val="auto"/>
              </w:rPr>
            </w:pPr>
          </w:p>
        </w:tc>
        <w:tc>
          <w:tcPr>
            <w:tcW w:w="5660" w:type="dxa"/>
            <w:vAlign w:val="bottom"/>
            <w:tcBorders>
              <w:bottom w:val="single" w:sz="8" w:color="C0C0C0"/>
              <w:right w:val="single" w:sz="8" w:color="C0C0C0"/>
            </w:tcBorders>
            <w:gridSpan w:val="2"/>
          </w:tcPr>
          <w:p>
            <w:pPr>
              <w:ind w:left="20"/>
              <w:spacing w:after="0" w:line="243" w:lineRule="exact"/>
              <w:rPr>
                <w:sz w:val="20"/>
                <w:szCs w:val="20"/>
                <w:color w:val="auto"/>
              </w:rPr>
            </w:pPr>
            <w:r>
              <w:rPr>
                <w:rFonts w:ascii="Arial" w:cs="Arial" w:eastAsia="Arial" w:hAnsi="Arial"/>
                <w:sz w:val="17"/>
                <w:szCs w:val="17"/>
                <w:color w:val="auto"/>
              </w:rPr>
              <w:t xml:space="preserve">[Contingent Life Name] </w:t>
            </w:r>
            <w:r>
              <w:rPr>
                <w:rFonts w:ascii="Arial" w:cs="Arial" w:eastAsia="Arial" w:hAnsi="Arial"/>
                <w:sz w:val="23"/>
                <w:szCs w:val="23"/>
                <w:color w:val="auto"/>
                <w:vertAlign w:val="superscript"/>
              </w:rPr>
              <w:t>A</w:t>
            </w:r>
          </w:p>
        </w:tc>
      </w:tr>
      <w:tr>
        <w:trPr>
          <w:trHeight w:val="243"/>
        </w:trPr>
        <w:tc>
          <w:tcPr>
            <w:tcW w:w="4040" w:type="dxa"/>
            <w:vAlign w:val="bottom"/>
            <w:tcBorders>
              <w:left w:val="single" w:sz="8" w:color="C0C0C0"/>
              <w:bottom w:val="single" w:sz="8" w:color="C0C0C0"/>
            </w:tcBorders>
          </w:tcPr>
          <w:p>
            <w:pPr>
              <w:spacing w:after="0"/>
              <w:rPr>
                <w:sz w:val="21"/>
                <w:szCs w:val="21"/>
                <w:color w:val="auto"/>
              </w:rPr>
            </w:pPr>
          </w:p>
        </w:tc>
        <w:tc>
          <w:tcPr>
            <w:tcW w:w="380" w:type="dxa"/>
            <w:vAlign w:val="bottom"/>
            <w:tcBorders>
              <w:bottom w:val="single" w:sz="8" w:color="C0C0C0"/>
            </w:tcBorders>
          </w:tcPr>
          <w:p>
            <w:pPr>
              <w:spacing w:after="0"/>
              <w:rPr>
                <w:sz w:val="21"/>
                <w:szCs w:val="21"/>
                <w:color w:val="auto"/>
              </w:rPr>
            </w:pPr>
          </w:p>
        </w:tc>
        <w:tc>
          <w:tcPr>
            <w:tcW w:w="420" w:type="dxa"/>
            <w:vAlign w:val="bottom"/>
            <w:tcBorders>
              <w:bottom w:val="single" w:sz="8" w:color="C0C0C0"/>
              <w:right w:val="single" w:sz="8" w:color="C0C0C0"/>
            </w:tcBorders>
          </w:tcPr>
          <w:p>
            <w:pPr>
              <w:spacing w:after="0"/>
              <w:rPr>
                <w:sz w:val="21"/>
                <w:szCs w:val="21"/>
                <w:color w:val="auto"/>
              </w:rPr>
            </w:pPr>
          </w:p>
        </w:tc>
        <w:tc>
          <w:tcPr>
            <w:tcW w:w="1220" w:type="dxa"/>
            <w:vAlign w:val="bottom"/>
            <w:tcBorders>
              <w:bottom w:val="single" w:sz="8" w:color="C0C0C0"/>
            </w:tcBorders>
          </w:tcPr>
          <w:p>
            <w:pPr>
              <w:spacing w:after="0"/>
              <w:rPr>
                <w:sz w:val="21"/>
                <w:szCs w:val="21"/>
                <w:color w:val="auto"/>
              </w:rPr>
            </w:pPr>
          </w:p>
        </w:tc>
        <w:tc>
          <w:tcPr>
            <w:tcW w:w="4440" w:type="dxa"/>
            <w:vAlign w:val="bottom"/>
            <w:tcBorders>
              <w:bottom w:val="single" w:sz="8" w:color="C0C0C0"/>
              <w:right w:val="single" w:sz="8" w:color="C0C0C0"/>
            </w:tcBorders>
          </w:tcPr>
          <w:p>
            <w:pPr>
              <w:spacing w:after="0"/>
              <w:rPr>
                <w:sz w:val="21"/>
                <w:szCs w:val="21"/>
                <w:color w:val="auto"/>
              </w:rPr>
            </w:pPr>
          </w:p>
        </w:tc>
      </w:tr>
      <w:tr>
        <w:trPr>
          <w:trHeight w:val="243"/>
        </w:trPr>
        <w:tc>
          <w:tcPr>
            <w:tcW w:w="4040" w:type="dxa"/>
            <w:vAlign w:val="bottom"/>
            <w:tcBorders>
              <w:left w:val="single" w:sz="8" w:color="C0C0C0"/>
              <w:bottom w:val="single" w:sz="8" w:color="C0C0C0"/>
            </w:tcBorders>
          </w:tcPr>
          <w:p>
            <w:pPr>
              <w:ind w:left="40"/>
              <w:spacing w:after="0" w:line="243" w:lineRule="exact"/>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Contingent Life's Sex and Date of Birth:</w:t>
            </w:r>
            <w:r>
              <w:rPr>
                <w:rFonts w:ascii="Arial" w:cs="Arial" w:eastAsia="Arial" w:hAnsi="Arial"/>
                <w:sz w:val="17"/>
                <w:szCs w:val="17"/>
                <w:color w:val="auto"/>
              </w:rPr>
              <w:t xml:space="preserve"> ]</w:t>
            </w:r>
            <w:r>
              <w:rPr>
                <w:rFonts w:ascii="Arial" w:cs="Arial" w:eastAsia="Arial" w:hAnsi="Arial"/>
                <w:sz w:val="23"/>
                <w:szCs w:val="23"/>
                <w:color w:val="auto"/>
                <w:vertAlign w:val="superscript"/>
              </w:rPr>
              <w:t>A</w:t>
            </w:r>
          </w:p>
        </w:tc>
        <w:tc>
          <w:tcPr>
            <w:tcW w:w="380" w:type="dxa"/>
            <w:vAlign w:val="bottom"/>
            <w:tcBorders>
              <w:bottom w:val="single" w:sz="8" w:color="C0C0C0"/>
            </w:tcBorders>
          </w:tcPr>
          <w:p>
            <w:pPr>
              <w:spacing w:after="0"/>
              <w:rPr>
                <w:sz w:val="21"/>
                <w:szCs w:val="21"/>
                <w:color w:val="auto"/>
              </w:rPr>
            </w:pPr>
          </w:p>
        </w:tc>
        <w:tc>
          <w:tcPr>
            <w:tcW w:w="420" w:type="dxa"/>
            <w:vAlign w:val="bottom"/>
            <w:tcBorders>
              <w:bottom w:val="single" w:sz="8" w:color="C0C0C0"/>
              <w:right w:val="single" w:sz="8" w:color="C0C0C0"/>
            </w:tcBorders>
          </w:tcPr>
          <w:p>
            <w:pPr>
              <w:spacing w:after="0"/>
              <w:rPr>
                <w:sz w:val="21"/>
                <w:szCs w:val="21"/>
                <w:color w:val="auto"/>
              </w:rPr>
            </w:pPr>
          </w:p>
        </w:tc>
        <w:tc>
          <w:tcPr>
            <w:tcW w:w="5660" w:type="dxa"/>
            <w:vAlign w:val="bottom"/>
            <w:tcBorders>
              <w:bottom w:val="single" w:sz="8" w:color="C0C0C0"/>
              <w:right w:val="single" w:sz="8" w:color="C0C0C0"/>
            </w:tcBorders>
            <w:gridSpan w:val="2"/>
          </w:tcPr>
          <w:p>
            <w:pPr>
              <w:ind w:left="20"/>
              <w:spacing w:after="0" w:line="243" w:lineRule="exact"/>
              <w:rPr>
                <w:sz w:val="20"/>
                <w:szCs w:val="20"/>
                <w:color w:val="auto"/>
              </w:rPr>
            </w:pPr>
            <w:r>
              <w:rPr>
                <w:rFonts w:ascii="Arial" w:cs="Arial" w:eastAsia="Arial" w:hAnsi="Arial"/>
                <w:sz w:val="17"/>
                <w:szCs w:val="17"/>
                <w:color w:val="auto"/>
              </w:rPr>
              <w:t>[Male/Female, Date</w:t>
            </w:r>
            <w:r>
              <w:rPr>
                <w:rFonts w:ascii="Arial" w:cs="Arial" w:eastAsia="Arial" w:hAnsi="Arial"/>
                <w:sz w:val="17"/>
                <w:szCs w:val="17"/>
                <w:b w:val="1"/>
                <w:bCs w:val="1"/>
                <w:color w:val="auto"/>
              </w:rPr>
              <w:t>]</w:t>
            </w:r>
            <w:r>
              <w:rPr>
                <w:rFonts w:ascii="Arial" w:cs="Arial" w:eastAsia="Arial" w:hAnsi="Arial"/>
                <w:sz w:val="17"/>
                <w:szCs w:val="17"/>
                <w:color w:val="auto"/>
              </w:rPr>
              <w:t xml:space="preserve"> </w:t>
            </w:r>
            <w:r>
              <w:rPr>
                <w:rFonts w:ascii="Arial" w:cs="Arial" w:eastAsia="Arial" w:hAnsi="Arial"/>
                <w:sz w:val="23"/>
                <w:szCs w:val="23"/>
                <w:b w:val="1"/>
                <w:bCs w:val="1"/>
                <w:color w:val="auto"/>
                <w:vertAlign w:val="superscript"/>
              </w:rPr>
              <w:t>A</w:t>
            </w:r>
          </w:p>
        </w:tc>
      </w:tr>
      <w:tr>
        <w:trPr>
          <w:trHeight w:val="243"/>
        </w:trPr>
        <w:tc>
          <w:tcPr>
            <w:tcW w:w="4040" w:type="dxa"/>
            <w:vAlign w:val="bottom"/>
            <w:tcBorders>
              <w:left w:val="single" w:sz="8" w:color="C0C0C0"/>
              <w:bottom w:val="single" w:sz="8" w:color="C0C0C0"/>
            </w:tcBorders>
          </w:tcPr>
          <w:p>
            <w:pPr>
              <w:spacing w:after="0"/>
              <w:rPr>
                <w:sz w:val="21"/>
                <w:szCs w:val="21"/>
                <w:color w:val="auto"/>
              </w:rPr>
            </w:pPr>
          </w:p>
        </w:tc>
        <w:tc>
          <w:tcPr>
            <w:tcW w:w="380" w:type="dxa"/>
            <w:vAlign w:val="bottom"/>
            <w:tcBorders>
              <w:bottom w:val="single" w:sz="8" w:color="C0C0C0"/>
            </w:tcBorders>
          </w:tcPr>
          <w:p>
            <w:pPr>
              <w:spacing w:after="0"/>
              <w:rPr>
                <w:sz w:val="21"/>
                <w:szCs w:val="21"/>
                <w:color w:val="auto"/>
              </w:rPr>
            </w:pPr>
          </w:p>
        </w:tc>
        <w:tc>
          <w:tcPr>
            <w:tcW w:w="420" w:type="dxa"/>
            <w:vAlign w:val="bottom"/>
            <w:tcBorders>
              <w:bottom w:val="single" w:sz="8" w:color="C0C0C0"/>
              <w:right w:val="single" w:sz="8" w:color="C0C0C0"/>
            </w:tcBorders>
          </w:tcPr>
          <w:p>
            <w:pPr>
              <w:spacing w:after="0"/>
              <w:rPr>
                <w:sz w:val="21"/>
                <w:szCs w:val="21"/>
                <w:color w:val="auto"/>
              </w:rPr>
            </w:pPr>
          </w:p>
        </w:tc>
        <w:tc>
          <w:tcPr>
            <w:tcW w:w="1220" w:type="dxa"/>
            <w:vAlign w:val="bottom"/>
            <w:tcBorders>
              <w:bottom w:val="single" w:sz="8" w:color="C0C0C0"/>
            </w:tcBorders>
          </w:tcPr>
          <w:p>
            <w:pPr>
              <w:spacing w:after="0"/>
              <w:rPr>
                <w:sz w:val="21"/>
                <w:szCs w:val="21"/>
                <w:color w:val="auto"/>
              </w:rPr>
            </w:pPr>
          </w:p>
        </w:tc>
        <w:tc>
          <w:tcPr>
            <w:tcW w:w="4440" w:type="dxa"/>
            <w:vAlign w:val="bottom"/>
            <w:tcBorders>
              <w:bottom w:val="single" w:sz="8" w:color="C0C0C0"/>
              <w:right w:val="single" w:sz="8" w:color="C0C0C0"/>
            </w:tcBorders>
          </w:tcPr>
          <w:p>
            <w:pPr>
              <w:spacing w:after="0"/>
              <w:rPr>
                <w:sz w:val="21"/>
                <w:szCs w:val="21"/>
                <w:color w:val="auto"/>
              </w:rPr>
            </w:pPr>
          </w:p>
        </w:tc>
      </w:tr>
      <w:tr>
        <w:trPr>
          <w:trHeight w:val="243"/>
        </w:trPr>
        <w:tc>
          <w:tcPr>
            <w:tcW w:w="4040" w:type="dxa"/>
            <w:vAlign w:val="bottom"/>
            <w:tcBorders>
              <w:left w:val="single" w:sz="8" w:color="C0C0C0"/>
              <w:bottom w:val="single" w:sz="8" w:color="C0C0C0"/>
            </w:tcBorders>
          </w:tcPr>
          <w:p>
            <w:pPr>
              <w:ind w:left="40"/>
              <w:spacing w:after="0" w:line="243" w:lineRule="exact"/>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Contingent Life Amount:</w:t>
            </w:r>
            <w:r>
              <w:rPr>
                <w:rFonts w:ascii="Arial" w:cs="Arial" w:eastAsia="Arial" w:hAnsi="Arial"/>
                <w:sz w:val="17"/>
                <w:szCs w:val="17"/>
                <w:color w:val="auto"/>
              </w:rPr>
              <w:t xml:space="preserve"> ]</w:t>
            </w:r>
            <w:r>
              <w:rPr>
                <w:rFonts w:ascii="Arial" w:cs="Arial" w:eastAsia="Arial" w:hAnsi="Arial"/>
                <w:sz w:val="23"/>
                <w:szCs w:val="23"/>
                <w:color w:val="auto"/>
                <w:vertAlign w:val="superscript"/>
              </w:rPr>
              <w:t>A</w:t>
            </w:r>
          </w:p>
        </w:tc>
        <w:tc>
          <w:tcPr>
            <w:tcW w:w="380" w:type="dxa"/>
            <w:vAlign w:val="bottom"/>
            <w:tcBorders>
              <w:bottom w:val="single" w:sz="8" w:color="C0C0C0"/>
            </w:tcBorders>
          </w:tcPr>
          <w:p>
            <w:pPr>
              <w:spacing w:after="0"/>
              <w:rPr>
                <w:sz w:val="21"/>
                <w:szCs w:val="21"/>
                <w:color w:val="auto"/>
              </w:rPr>
            </w:pPr>
          </w:p>
        </w:tc>
        <w:tc>
          <w:tcPr>
            <w:tcW w:w="420" w:type="dxa"/>
            <w:vAlign w:val="bottom"/>
            <w:tcBorders>
              <w:bottom w:val="single" w:sz="8" w:color="C0C0C0"/>
              <w:right w:val="single" w:sz="8" w:color="C0C0C0"/>
            </w:tcBorders>
          </w:tcPr>
          <w:p>
            <w:pPr>
              <w:spacing w:after="0"/>
              <w:rPr>
                <w:sz w:val="21"/>
                <w:szCs w:val="21"/>
                <w:color w:val="auto"/>
              </w:rPr>
            </w:pPr>
          </w:p>
        </w:tc>
        <w:tc>
          <w:tcPr>
            <w:tcW w:w="5660" w:type="dxa"/>
            <w:vAlign w:val="bottom"/>
            <w:tcBorders>
              <w:bottom w:val="single" w:sz="8" w:color="C0C0C0"/>
              <w:right w:val="single" w:sz="8" w:color="C0C0C0"/>
            </w:tcBorders>
            <w:gridSpan w:val="2"/>
          </w:tcPr>
          <w:p>
            <w:pPr>
              <w:ind w:left="20"/>
              <w:spacing w:after="0" w:line="243" w:lineRule="exact"/>
              <w:rPr>
                <w:sz w:val="20"/>
                <w:szCs w:val="20"/>
                <w:color w:val="auto"/>
              </w:rPr>
            </w:pPr>
            <w:r>
              <w:rPr>
                <w:rFonts w:ascii="Arial" w:cs="Arial" w:eastAsia="Arial" w:hAnsi="Arial"/>
                <w:sz w:val="17"/>
                <w:szCs w:val="17"/>
                <w:color w:val="auto"/>
              </w:rPr>
              <w:t xml:space="preserve">[$XXX.XX] </w:t>
            </w:r>
            <w:r>
              <w:rPr>
                <w:rFonts w:ascii="Arial" w:cs="Arial" w:eastAsia="Arial" w:hAnsi="Arial"/>
                <w:sz w:val="23"/>
                <w:szCs w:val="23"/>
                <w:color w:val="auto"/>
                <w:vertAlign w:val="superscript"/>
              </w:rPr>
              <w:t>A</w:t>
            </w:r>
          </w:p>
        </w:tc>
      </w:tr>
      <w:tr>
        <w:trPr>
          <w:trHeight w:val="243"/>
        </w:trPr>
        <w:tc>
          <w:tcPr>
            <w:tcW w:w="4040" w:type="dxa"/>
            <w:vAlign w:val="bottom"/>
            <w:tcBorders>
              <w:left w:val="single" w:sz="8" w:color="C0C0C0"/>
              <w:bottom w:val="single" w:sz="8" w:color="C0C0C0"/>
            </w:tcBorders>
          </w:tcPr>
          <w:p>
            <w:pPr>
              <w:spacing w:after="0"/>
              <w:rPr>
                <w:sz w:val="21"/>
                <w:szCs w:val="21"/>
                <w:color w:val="auto"/>
              </w:rPr>
            </w:pPr>
          </w:p>
        </w:tc>
        <w:tc>
          <w:tcPr>
            <w:tcW w:w="380" w:type="dxa"/>
            <w:vAlign w:val="bottom"/>
            <w:tcBorders>
              <w:bottom w:val="single" w:sz="8" w:color="C0C0C0"/>
            </w:tcBorders>
          </w:tcPr>
          <w:p>
            <w:pPr>
              <w:spacing w:after="0"/>
              <w:rPr>
                <w:sz w:val="21"/>
                <w:szCs w:val="21"/>
                <w:color w:val="auto"/>
              </w:rPr>
            </w:pPr>
          </w:p>
        </w:tc>
        <w:tc>
          <w:tcPr>
            <w:tcW w:w="420" w:type="dxa"/>
            <w:vAlign w:val="bottom"/>
            <w:tcBorders>
              <w:bottom w:val="single" w:sz="8" w:color="C0C0C0"/>
              <w:right w:val="single" w:sz="8" w:color="C0C0C0"/>
            </w:tcBorders>
          </w:tcPr>
          <w:p>
            <w:pPr>
              <w:spacing w:after="0"/>
              <w:rPr>
                <w:sz w:val="21"/>
                <w:szCs w:val="21"/>
                <w:color w:val="auto"/>
              </w:rPr>
            </w:pPr>
          </w:p>
        </w:tc>
        <w:tc>
          <w:tcPr>
            <w:tcW w:w="1220" w:type="dxa"/>
            <w:vAlign w:val="bottom"/>
            <w:tcBorders>
              <w:bottom w:val="single" w:sz="8" w:color="C0C0C0"/>
            </w:tcBorders>
          </w:tcPr>
          <w:p>
            <w:pPr>
              <w:spacing w:after="0"/>
              <w:rPr>
                <w:sz w:val="21"/>
                <w:szCs w:val="21"/>
                <w:color w:val="auto"/>
              </w:rPr>
            </w:pPr>
          </w:p>
        </w:tc>
        <w:tc>
          <w:tcPr>
            <w:tcW w:w="4440" w:type="dxa"/>
            <w:vAlign w:val="bottom"/>
            <w:tcBorders>
              <w:bottom w:val="single" w:sz="8" w:color="C0C0C0"/>
              <w:right w:val="single" w:sz="8" w:color="C0C0C0"/>
            </w:tcBorders>
          </w:tcPr>
          <w:p>
            <w:pPr>
              <w:spacing w:after="0"/>
              <w:rPr>
                <w:sz w:val="21"/>
                <w:szCs w:val="21"/>
                <w:color w:val="auto"/>
              </w:rPr>
            </w:pPr>
          </w:p>
        </w:tc>
      </w:tr>
      <w:tr>
        <w:trPr>
          <w:trHeight w:val="243"/>
        </w:trPr>
        <w:tc>
          <w:tcPr>
            <w:tcW w:w="4040" w:type="dxa"/>
            <w:vAlign w:val="bottom"/>
            <w:tcBorders>
              <w:left w:val="single" w:sz="8" w:color="C0C0C0"/>
              <w:bottom w:val="single" w:sz="8" w:color="C0C0C0"/>
            </w:tcBorders>
          </w:tcPr>
          <w:p>
            <w:pPr>
              <w:ind w:left="40"/>
              <w:spacing w:after="0" w:line="243" w:lineRule="exact"/>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Maximum Refund Death Benefit:</w:t>
            </w:r>
            <w:r>
              <w:rPr>
                <w:rFonts w:ascii="Arial" w:cs="Arial" w:eastAsia="Arial" w:hAnsi="Arial"/>
                <w:sz w:val="17"/>
                <w:szCs w:val="17"/>
                <w:color w:val="auto"/>
              </w:rPr>
              <w:t xml:space="preserve"> ]</w:t>
            </w:r>
            <w:r>
              <w:rPr>
                <w:rFonts w:ascii="Arial" w:cs="Arial" w:eastAsia="Arial" w:hAnsi="Arial"/>
                <w:sz w:val="23"/>
                <w:szCs w:val="23"/>
                <w:color w:val="auto"/>
                <w:vertAlign w:val="superscript"/>
              </w:rPr>
              <w:t>A</w:t>
            </w:r>
          </w:p>
        </w:tc>
        <w:tc>
          <w:tcPr>
            <w:tcW w:w="380" w:type="dxa"/>
            <w:vAlign w:val="bottom"/>
            <w:tcBorders>
              <w:bottom w:val="single" w:sz="8" w:color="C0C0C0"/>
            </w:tcBorders>
          </w:tcPr>
          <w:p>
            <w:pPr>
              <w:spacing w:after="0"/>
              <w:rPr>
                <w:sz w:val="21"/>
                <w:szCs w:val="21"/>
                <w:color w:val="auto"/>
              </w:rPr>
            </w:pPr>
          </w:p>
        </w:tc>
        <w:tc>
          <w:tcPr>
            <w:tcW w:w="420" w:type="dxa"/>
            <w:vAlign w:val="bottom"/>
            <w:tcBorders>
              <w:bottom w:val="single" w:sz="8" w:color="C0C0C0"/>
              <w:right w:val="single" w:sz="8" w:color="C0C0C0"/>
            </w:tcBorders>
          </w:tcPr>
          <w:p>
            <w:pPr>
              <w:spacing w:after="0"/>
              <w:rPr>
                <w:sz w:val="21"/>
                <w:szCs w:val="21"/>
                <w:color w:val="auto"/>
              </w:rPr>
            </w:pPr>
          </w:p>
        </w:tc>
        <w:tc>
          <w:tcPr>
            <w:tcW w:w="5660" w:type="dxa"/>
            <w:vAlign w:val="bottom"/>
            <w:tcBorders>
              <w:bottom w:val="single" w:sz="8" w:color="C0C0C0"/>
              <w:right w:val="single" w:sz="8" w:color="C0C0C0"/>
            </w:tcBorders>
            <w:gridSpan w:val="2"/>
          </w:tcPr>
          <w:p>
            <w:pPr>
              <w:ind w:left="20"/>
              <w:spacing w:after="0" w:line="243" w:lineRule="exact"/>
              <w:rPr>
                <w:sz w:val="20"/>
                <w:szCs w:val="20"/>
                <w:color w:val="auto"/>
              </w:rPr>
            </w:pPr>
            <w:r>
              <w:rPr>
                <w:rFonts w:ascii="Arial" w:cs="Arial" w:eastAsia="Arial" w:hAnsi="Arial"/>
                <w:sz w:val="17"/>
                <w:szCs w:val="17"/>
                <w:color w:val="auto"/>
              </w:rPr>
              <w:t xml:space="preserve">[$XXX.XX] </w:t>
            </w:r>
            <w:r>
              <w:rPr>
                <w:rFonts w:ascii="Arial" w:cs="Arial" w:eastAsia="Arial" w:hAnsi="Arial"/>
                <w:sz w:val="23"/>
                <w:szCs w:val="23"/>
                <w:color w:val="auto"/>
                <w:vertAlign w:val="superscript"/>
              </w:rPr>
              <w:t>A</w:t>
            </w:r>
          </w:p>
        </w:tc>
      </w:tr>
      <w:tr>
        <w:trPr>
          <w:trHeight w:val="243"/>
        </w:trPr>
        <w:tc>
          <w:tcPr>
            <w:tcW w:w="4040" w:type="dxa"/>
            <w:vAlign w:val="bottom"/>
            <w:tcBorders>
              <w:left w:val="single" w:sz="8" w:color="C0C0C0"/>
              <w:bottom w:val="single" w:sz="8" w:color="C0C0C0"/>
            </w:tcBorders>
          </w:tcPr>
          <w:p>
            <w:pPr>
              <w:spacing w:after="0"/>
              <w:rPr>
                <w:sz w:val="21"/>
                <w:szCs w:val="21"/>
                <w:color w:val="auto"/>
              </w:rPr>
            </w:pPr>
          </w:p>
        </w:tc>
        <w:tc>
          <w:tcPr>
            <w:tcW w:w="380" w:type="dxa"/>
            <w:vAlign w:val="bottom"/>
            <w:tcBorders>
              <w:bottom w:val="single" w:sz="8" w:color="C0C0C0"/>
            </w:tcBorders>
          </w:tcPr>
          <w:p>
            <w:pPr>
              <w:spacing w:after="0"/>
              <w:rPr>
                <w:sz w:val="21"/>
                <w:szCs w:val="21"/>
                <w:color w:val="auto"/>
              </w:rPr>
            </w:pPr>
          </w:p>
        </w:tc>
        <w:tc>
          <w:tcPr>
            <w:tcW w:w="420" w:type="dxa"/>
            <w:vAlign w:val="bottom"/>
            <w:tcBorders>
              <w:bottom w:val="single" w:sz="8" w:color="C0C0C0"/>
              <w:right w:val="single" w:sz="8" w:color="C0C0C0"/>
            </w:tcBorders>
          </w:tcPr>
          <w:p>
            <w:pPr>
              <w:spacing w:after="0"/>
              <w:rPr>
                <w:sz w:val="21"/>
                <w:szCs w:val="21"/>
                <w:color w:val="auto"/>
              </w:rPr>
            </w:pPr>
          </w:p>
        </w:tc>
        <w:tc>
          <w:tcPr>
            <w:tcW w:w="1220" w:type="dxa"/>
            <w:vAlign w:val="bottom"/>
            <w:tcBorders>
              <w:bottom w:val="single" w:sz="8" w:color="C0C0C0"/>
            </w:tcBorders>
          </w:tcPr>
          <w:p>
            <w:pPr>
              <w:spacing w:after="0"/>
              <w:rPr>
                <w:sz w:val="21"/>
                <w:szCs w:val="21"/>
                <w:color w:val="auto"/>
              </w:rPr>
            </w:pPr>
          </w:p>
        </w:tc>
        <w:tc>
          <w:tcPr>
            <w:tcW w:w="4440" w:type="dxa"/>
            <w:vAlign w:val="bottom"/>
            <w:tcBorders>
              <w:bottom w:val="single" w:sz="8" w:color="C0C0C0"/>
              <w:right w:val="single" w:sz="8" w:color="C0C0C0"/>
            </w:tcBorders>
          </w:tcPr>
          <w:p>
            <w:pPr>
              <w:spacing w:after="0"/>
              <w:rPr>
                <w:sz w:val="21"/>
                <w:szCs w:val="21"/>
                <w:color w:val="auto"/>
              </w:rPr>
            </w:pPr>
          </w:p>
        </w:tc>
      </w:tr>
      <w:tr>
        <w:trPr>
          <w:trHeight w:val="243"/>
        </w:trPr>
        <w:tc>
          <w:tcPr>
            <w:tcW w:w="4040" w:type="dxa"/>
            <w:vAlign w:val="bottom"/>
            <w:tcBorders>
              <w:left w:val="single" w:sz="8" w:color="C0C0C0"/>
              <w:bottom w:val="single" w:sz="8" w:color="C0C0C0"/>
            </w:tcBorders>
          </w:tcPr>
          <w:p>
            <w:pPr>
              <w:ind w:left="40"/>
              <w:spacing w:after="0" w:line="243" w:lineRule="exact"/>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Beneficiary(ies):</w:t>
            </w:r>
            <w:r>
              <w:rPr>
                <w:rFonts w:ascii="Arial" w:cs="Arial" w:eastAsia="Arial" w:hAnsi="Arial"/>
                <w:sz w:val="17"/>
                <w:szCs w:val="17"/>
                <w:color w:val="auto"/>
              </w:rPr>
              <w:t xml:space="preserve"> ] </w:t>
            </w:r>
            <w:r>
              <w:rPr>
                <w:rFonts w:ascii="Arial" w:cs="Arial" w:eastAsia="Arial" w:hAnsi="Arial"/>
                <w:sz w:val="23"/>
                <w:szCs w:val="23"/>
                <w:color w:val="auto"/>
                <w:vertAlign w:val="superscript"/>
              </w:rPr>
              <w:t>A</w:t>
            </w:r>
          </w:p>
        </w:tc>
        <w:tc>
          <w:tcPr>
            <w:tcW w:w="380" w:type="dxa"/>
            <w:vAlign w:val="bottom"/>
            <w:tcBorders>
              <w:bottom w:val="single" w:sz="8" w:color="C0C0C0"/>
            </w:tcBorders>
          </w:tcPr>
          <w:p>
            <w:pPr>
              <w:spacing w:after="0"/>
              <w:rPr>
                <w:sz w:val="21"/>
                <w:szCs w:val="21"/>
                <w:color w:val="auto"/>
              </w:rPr>
            </w:pPr>
          </w:p>
        </w:tc>
        <w:tc>
          <w:tcPr>
            <w:tcW w:w="420" w:type="dxa"/>
            <w:vAlign w:val="bottom"/>
            <w:tcBorders>
              <w:bottom w:val="single" w:sz="8" w:color="C0C0C0"/>
              <w:right w:val="single" w:sz="8" w:color="C0C0C0"/>
            </w:tcBorders>
          </w:tcPr>
          <w:p>
            <w:pPr>
              <w:spacing w:after="0"/>
              <w:rPr>
                <w:sz w:val="21"/>
                <w:szCs w:val="21"/>
                <w:color w:val="auto"/>
              </w:rPr>
            </w:pPr>
          </w:p>
        </w:tc>
        <w:tc>
          <w:tcPr>
            <w:tcW w:w="5660" w:type="dxa"/>
            <w:vAlign w:val="bottom"/>
            <w:tcBorders>
              <w:bottom w:val="single" w:sz="8" w:color="C0C0C0"/>
              <w:right w:val="single" w:sz="8" w:color="C0C0C0"/>
            </w:tcBorders>
            <w:gridSpan w:val="2"/>
          </w:tcPr>
          <w:p>
            <w:pPr>
              <w:ind w:left="20"/>
              <w:spacing w:after="0" w:line="243" w:lineRule="exact"/>
              <w:rPr>
                <w:sz w:val="20"/>
                <w:szCs w:val="20"/>
                <w:color w:val="auto"/>
              </w:rPr>
            </w:pPr>
            <w:r>
              <w:rPr>
                <w:rFonts w:ascii="Arial" w:cs="Arial" w:eastAsia="Arial" w:hAnsi="Arial"/>
                <w:sz w:val="17"/>
                <w:szCs w:val="17"/>
                <w:color w:val="auto"/>
              </w:rPr>
              <w:t>[Names(s)/As shown on Prudential's records</w:t>
            </w:r>
            <w:r>
              <w:rPr>
                <w:rFonts w:ascii="Arial" w:cs="Arial" w:eastAsia="Arial" w:hAnsi="Arial"/>
                <w:sz w:val="17"/>
                <w:szCs w:val="17"/>
                <w:b w:val="1"/>
                <w:bCs w:val="1"/>
                <w:color w:val="auto"/>
              </w:rPr>
              <w:t>]</w:t>
            </w:r>
            <w:r>
              <w:rPr>
                <w:rFonts w:ascii="Arial" w:cs="Arial" w:eastAsia="Arial" w:hAnsi="Arial"/>
                <w:sz w:val="17"/>
                <w:szCs w:val="17"/>
                <w:color w:val="auto"/>
              </w:rPr>
              <w:t xml:space="preserve"> </w:t>
            </w:r>
            <w:r>
              <w:rPr>
                <w:rFonts w:ascii="Arial" w:cs="Arial" w:eastAsia="Arial" w:hAnsi="Arial"/>
                <w:sz w:val="23"/>
                <w:szCs w:val="23"/>
                <w:b w:val="1"/>
                <w:bCs w:val="1"/>
                <w:color w:val="auto"/>
                <w:vertAlign w:val="superscript"/>
              </w:rPr>
              <w:t>A</w:t>
            </w:r>
            <w:r>
              <w:rPr>
                <w:rFonts w:ascii="Arial" w:cs="Arial" w:eastAsia="Arial" w:hAnsi="Arial"/>
                <w:sz w:val="17"/>
                <w:szCs w:val="17"/>
                <w:color w:val="auto"/>
              </w:rPr>
              <w:t xml:space="preserve"> [Share(s)] </w:t>
            </w:r>
            <w:r>
              <w:rPr>
                <w:rFonts w:ascii="Arial" w:cs="Arial" w:eastAsia="Arial" w:hAnsi="Arial"/>
                <w:sz w:val="23"/>
                <w:szCs w:val="23"/>
                <w:b w:val="1"/>
                <w:bCs w:val="1"/>
                <w:color w:val="auto"/>
                <w:vertAlign w:val="superscript"/>
              </w:rPr>
              <w:t>A</w:t>
            </w:r>
          </w:p>
        </w:tc>
      </w:tr>
      <w:tr>
        <w:trPr>
          <w:trHeight w:val="243"/>
        </w:trPr>
        <w:tc>
          <w:tcPr>
            <w:tcW w:w="4040" w:type="dxa"/>
            <w:vAlign w:val="bottom"/>
            <w:tcBorders>
              <w:left w:val="single" w:sz="8" w:color="C0C0C0"/>
              <w:bottom w:val="single" w:sz="8" w:color="C0C0C0"/>
            </w:tcBorders>
          </w:tcPr>
          <w:p>
            <w:pPr>
              <w:spacing w:after="0"/>
              <w:rPr>
                <w:sz w:val="21"/>
                <w:szCs w:val="21"/>
                <w:color w:val="auto"/>
              </w:rPr>
            </w:pPr>
          </w:p>
        </w:tc>
        <w:tc>
          <w:tcPr>
            <w:tcW w:w="380" w:type="dxa"/>
            <w:vAlign w:val="bottom"/>
            <w:tcBorders>
              <w:bottom w:val="single" w:sz="8" w:color="C0C0C0"/>
            </w:tcBorders>
          </w:tcPr>
          <w:p>
            <w:pPr>
              <w:spacing w:after="0"/>
              <w:rPr>
                <w:sz w:val="21"/>
                <w:szCs w:val="21"/>
                <w:color w:val="auto"/>
              </w:rPr>
            </w:pPr>
          </w:p>
        </w:tc>
        <w:tc>
          <w:tcPr>
            <w:tcW w:w="420" w:type="dxa"/>
            <w:vAlign w:val="bottom"/>
            <w:tcBorders>
              <w:bottom w:val="single" w:sz="8" w:color="C0C0C0"/>
              <w:right w:val="single" w:sz="8" w:color="C0C0C0"/>
            </w:tcBorders>
          </w:tcPr>
          <w:p>
            <w:pPr>
              <w:spacing w:after="0"/>
              <w:rPr>
                <w:sz w:val="21"/>
                <w:szCs w:val="21"/>
                <w:color w:val="auto"/>
              </w:rPr>
            </w:pPr>
          </w:p>
        </w:tc>
        <w:tc>
          <w:tcPr>
            <w:tcW w:w="1220" w:type="dxa"/>
            <w:vAlign w:val="bottom"/>
            <w:tcBorders>
              <w:bottom w:val="single" w:sz="8" w:color="C0C0C0"/>
            </w:tcBorders>
          </w:tcPr>
          <w:p>
            <w:pPr>
              <w:spacing w:after="0"/>
              <w:rPr>
                <w:sz w:val="21"/>
                <w:szCs w:val="21"/>
                <w:color w:val="auto"/>
              </w:rPr>
            </w:pPr>
          </w:p>
        </w:tc>
        <w:tc>
          <w:tcPr>
            <w:tcW w:w="4440" w:type="dxa"/>
            <w:vAlign w:val="bottom"/>
            <w:tcBorders>
              <w:bottom w:val="single" w:sz="8" w:color="C0C0C0"/>
              <w:right w:val="single" w:sz="8" w:color="C0C0C0"/>
            </w:tcBorders>
          </w:tcPr>
          <w:p>
            <w:pPr>
              <w:spacing w:after="0"/>
              <w:rPr>
                <w:sz w:val="21"/>
                <w:szCs w:val="21"/>
                <w:color w:val="auto"/>
              </w:rPr>
            </w:pPr>
          </w:p>
        </w:tc>
      </w:tr>
      <w:tr>
        <w:trPr>
          <w:trHeight w:val="243"/>
        </w:trPr>
        <w:tc>
          <w:tcPr>
            <w:tcW w:w="4040" w:type="dxa"/>
            <w:vAlign w:val="bottom"/>
            <w:tcBorders>
              <w:left w:val="single" w:sz="8" w:color="C0C0C0"/>
              <w:bottom w:val="single" w:sz="8" w:color="C0C0C0"/>
            </w:tcBorders>
          </w:tcPr>
          <w:p>
            <w:pPr>
              <w:ind w:left="40"/>
              <w:spacing w:after="0" w:line="243" w:lineRule="exact"/>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Pre-1985 Covered Life Part B Primary Amount:</w:t>
            </w:r>
            <w:r>
              <w:rPr>
                <w:rFonts w:ascii="Arial" w:cs="Arial" w:eastAsia="Arial" w:hAnsi="Arial"/>
                <w:sz w:val="17"/>
                <w:szCs w:val="17"/>
                <w:color w:val="auto"/>
              </w:rPr>
              <w:t xml:space="preserve"> ] </w:t>
            </w:r>
            <w:r>
              <w:rPr>
                <w:rFonts w:ascii="Arial" w:cs="Arial" w:eastAsia="Arial" w:hAnsi="Arial"/>
                <w:sz w:val="23"/>
                <w:szCs w:val="23"/>
                <w:color w:val="auto"/>
                <w:vertAlign w:val="superscript"/>
              </w:rPr>
              <w:t>A</w:t>
            </w:r>
          </w:p>
        </w:tc>
        <w:tc>
          <w:tcPr>
            <w:tcW w:w="380" w:type="dxa"/>
            <w:vAlign w:val="bottom"/>
            <w:tcBorders>
              <w:bottom w:val="single" w:sz="8" w:color="C0C0C0"/>
            </w:tcBorders>
          </w:tcPr>
          <w:p>
            <w:pPr>
              <w:spacing w:after="0"/>
              <w:rPr>
                <w:sz w:val="21"/>
                <w:szCs w:val="21"/>
                <w:color w:val="auto"/>
              </w:rPr>
            </w:pPr>
          </w:p>
        </w:tc>
        <w:tc>
          <w:tcPr>
            <w:tcW w:w="420" w:type="dxa"/>
            <w:vAlign w:val="bottom"/>
            <w:tcBorders>
              <w:bottom w:val="single" w:sz="8" w:color="C0C0C0"/>
              <w:right w:val="single" w:sz="8" w:color="C0C0C0"/>
            </w:tcBorders>
          </w:tcPr>
          <w:p>
            <w:pPr>
              <w:spacing w:after="0"/>
              <w:rPr>
                <w:sz w:val="21"/>
                <w:szCs w:val="21"/>
                <w:color w:val="auto"/>
              </w:rPr>
            </w:pPr>
          </w:p>
        </w:tc>
        <w:tc>
          <w:tcPr>
            <w:tcW w:w="5660" w:type="dxa"/>
            <w:vAlign w:val="bottom"/>
            <w:tcBorders>
              <w:bottom w:val="single" w:sz="8" w:color="C0C0C0"/>
              <w:right w:val="single" w:sz="8" w:color="C0C0C0"/>
            </w:tcBorders>
            <w:gridSpan w:val="2"/>
          </w:tcPr>
          <w:p>
            <w:pPr>
              <w:ind w:left="20"/>
              <w:spacing w:after="0" w:line="243" w:lineRule="exact"/>
              <w:rPr>
                <w:sz w:val="20"/>
                <w:szCs w:val="20"/>
                <w:color w:val="auto"/>
              </w:rPr>
            </w:pPr>
            <w:r>
              <w:rPr>
                <w:rFonts w:ascii="Arial" w:cs="Arial" w:eastAsia="Arial" w:hAnsi="Arial"/>
                <w:sz w:val="17"/>
                <w:szCs w:val="17"/>
                <w:color w:val="auto"/>
              </w:rPr>
              <w:t xml:space="preserve">[$XXX.XX] </w:t>
            </w:r>
            <w:r>
              <w:rPr>
                <w:rFonts w:ascii="Arial" w:cs="Arial" w:eastAsia="Arial" w:hAnsi="Arial"/>
                <w:sz w:val="23"/>
                <w:szCs w:val="23"/>
                <w:color w:val="auto"/>
                <w:vertAlign w:val="superscript"/>
              </w:rPr>
              <w:t>A</w:t>
            </w:r>
          </w:p>
        </w:tc>
      </w:tr>
      <w:tr>
        <w:trPr>
          <w:trHeight w:val="243"/>
        </w:trPr>
        <w:tc>
          <w:tcPr>
            <w:tcW w:w="4040" w:type="dxa"/>
            <w:vAlign w:val="bottom"/>
            <w:tcBorders>
              <w:left w:val="single" w:sz="8" w:color="C0C0C0"/>
              <w:bottom w:val="single" w:sz="8" w:color="C0C0C0"/>
            </w:tcBorders>
          </w:tcPr>
          <w:p>
            <w:pPr>
              <w:spacing w:after="0"/>
              <w:rPr>
                <w:sz w:val="21"/>
                <w:szCs w:val="21"/>
                <w:color w:val="auto"/>
              </w:rPr>
            </w:pPr>
          </w:p>
        </w:tc>
        <w:tc>
          <w:tcPr>
            <w:tcW w:w="380" w:type="dxa"/>
            <w:vAlign w:val="bottom"/>
            <w:tcBorders>
              <w:bottom w:val="single" w:sz="8" w:color="C0C0C0"/>
            </w:tcBorders>
          </w:tcPr>
          <w:p>
            <w:pPr>
              <w:spacing w:after="0"/>
              <w:rPr>
                <w:sz w:val="21"/>
                <w:szCs w:val="21"/>
                <w:color w:val="auto"/>
              </w:rPr>
            </w:pPr>
          </w:p>
        </w:tc>
        <w:tc>
          <w:tcPr>
            <w:tcW w:w="420" w:type="dxa"/>
            <w:vAlign w:val="bottom"/>
            <w:tcBorders>
              <w:bottom w:val="single" w:sz="8" w:color="C0C0C0"/>
              <w:right w:val="single" w:sz="8" w:color="C0C0C0"/>
            </w:tcBorders>
          </w:tcPr>
          <w:p>
            <w:pPr>
              <w:spacing w:after="0"/>
              <w:rPr>
                <w:sz w:val="21"/>
                <w:szCs w:val="21"/>
                <w:color w:val="auto"/>
              </w:rPr>
            </w:pPr>
          </w:p>
        </w:tc>
        <w:tc>
          <w:tcPr>
            <w:tcW w:w="1220" w:type="dxa"/>
            <w:vAlign w:val="bottom"/>
            <w:tcBorders>
              <w:bottom w:val="single" w:sz="8" w:color="C0C0C0"/>
            </w:tcBorders>
          </w:tcPr>
          <w:p>
            <w:pPr>
              <w:spacing w:after="0"/>
              <w:rPr>
                <w:sz w:val="21"/>
                <w:szCs w:val="21"/>
                <w:color w:val="auto"/>
              </w:rPr>
            </w:pPr>
          </w:p>
        </w:tc>
        <w:tc>
          <w:tcPr>
            <w:tcW w:w="4440" w:type="dxa"/>
            <w:vAlign w:val="bottom"/>
            <w:tcBorders>
              <w:bottom w:val="single" w:sz="8" w:color="C0C0C0"/>
              <w:right w:val="single" w:sz="8" w:color="C0C0C0"/>
            </w:tcBorders>
          </w:tcPr>
          <w:p>
            <w:pPr>
              <w:spacing w:after="0"/>
              <w:rPr>
                <w:sz w:val="21"/>
                <w:szCs w:val="21"/>
                <w:color w:val="auto"/>
              </w:rPr>
            </w:pPr>
          </w:p>
        </w:tc>
      </w:tr>
      <w:tr>
        <w:trPr>
          <w:trHeight w:val="243"/>
        </w:trPr>
        <w:tc>
          <w:tcPr>
            <w:tcW w:w="4040" w:type="dxa"/>
            <w:vAlign w:val="bottom"/>
            <w:tcBorders>
              <w:left w:val="single" w:sz="8" w:color="C0C0C0"/>
              <w:bottom w:val="single" w:sz="8" w:color="C0C0C0"/>
            </w:tcBorders>
          </w:tcPr>
          <w:p>
            <w:pPr>
              <w:ind w:left="40"/>
              <w:spacing w:after="0" w:line="243" w:lineRule="exact"/>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Post-1985 Covered Life Part B Primary Amount</w:t>
            </w:r>
            <w:r>
              <w:rPr>
                <w:rFonts w:ascii="Arial" w:cs="Arial" w:eastAsia="Arial" w:hAnsi="Arial"/>
                <w:sz w:val="17"/>
                <w:szCs w:val="17"/>
                <w:color w:val="auto"/>
              </w:rPr>
              <w:t xml:space="preserve">] </w:t>
            </w:r>
            <w:r>
              <w:rPr>
                <w:rFonts w:ascii="Arial" w:cs="Arial" w:eastAsia="Arial" w:hAnsi="Arial"/>
                <w:sz w:val="23"/>
                <w:szCs w:val="23"/>
                <w:color w:val="auto"/>
                <w:vertAlign w:val="superscript"/>
              </w:rPr>
              <w:t>A</w:t>
            </w:r>
          </w:p>
        </w:tc>
        <w:tc>
          <w:tcPr>
            <w:tcW w:w="380" w:type="dxa"/>
            <w:vAlign w:val="bottom"/>
            <w:tcBorders>
              <w:bottom w:val="single" w:sz="8" w:color="C0C0C0"/>
            </w:tcBorders>
          </w:tcPr>
          <w:p>
            <w:pPr>
              <w:spacing w:after="0"/>
              <w:rPr>
                <w:sz w:val="21"/>
                <w:szCs w:val="21"/>
                <w:color w:val="auto"/>
              </w:rPr>
            </w:pPr>
          </w:p>
        </w:tc>
        <w:tc>
          <w:tcPr>
            <w:tcW w:w="420" w:type="dxa"/>
            <w:vAlign w:val="bottom"/>
            <w:tcBorders>
              <w:bottom w:val="single" w:sz="8" w:color="C0C0C0"/>
              <w:right w:val="single" w:sz="8" w:color="C0C0C0"/>
            </w:tcBorders>
          </w:tcPr>
          <w:p>
            <w:pPr>
              <w:spacing w:after="0"/>
              <w:rPr>
                <w:sz w:val="21"/>
                <w:szCs w:val="21"/>
                <w:color w:val="auto"/>
              </w:rPr>
            </w:pPr>
          </w:p>
        </w:tc>
        <w:tc>
          <w:tcPr>
            <w:tcW w:w="5660" w:type="dxa"/>
            <w:vAlign w:val="bottom"/>
            <w:tcBorders>
              <w:bottom w:val="single" w:sz="8" w:color="C0C0C0"/>
              <w:right w:val="single" w:sz="8" w:color="C0C0C0"/>
            </w:tcBorders>
            <w:gridSpan w:val="2"/>
          </w:tcPr>
          <w:p>
            <w:pPr>
              <w:ind w:left="20"/>
              <w:spacing w:after="0" w:line="243" w:lineRule="exact"/>
              <w:rPr>
                <w:sz w:val="20"/>
                <w:szCs w:val="20"/>
                <w:color w:val="auto"/>
              </w:rPr>
            </w:pPr>
            <w:r>
              <w:rPr>
                <w:rFonts w:ascii="Arial" w:cs="Arial" w:eastAsia="Arial" w:hAnsi="Arial"/>
                <w:sz w:val="17"/>
                <w:szCs w:val="17"/>
                <w:color w:val="auto"/>
              </w:rPr>
              <w:t xml:space="preserve">[$XXX.XX] </w:t>
            </w:r>
            <w:r>
              <w:rPr>
                <w:rFonts w:ascii="Arial" w:cs="Arial" w:eastAsia="Arial" w:hAnsi="Arial"/>
                <w:sz w:val="23"/>
                <w:szCs w:val="23"/>
                <w:color w:val="auto"/>
                <w:vertAlign w:val="superscript"/>
              </w:rPr>
              <w:t>A</w:t>
            </w:r>
          </w:p>
        </w:tc>
      </w:tr>
      <w:tr>
        <w:trPr>
          <w:trHeight w:val="343"/>
        </w:trPr>
        <w:tc>
          <w:tcPr>
            <w:tcW w:w="4040" w:type="dxa"/>
            <w:vAlign w:val="bottom"/>
            <w:tcBorders>
              <w:left w:val="single" w:sz="8" w:color="C0C0C0"/>
              <w:bottom w:val="single" w:sz="8" w:color="C0C0C0"/>
            </w:tcBorders>
          </w:tcPr>
          <w:p>
            <w:pPr>
              <w:spacing w:after="0"/>
              <w:rPr>
                <w:sz w:val="24"/>
                <w:szCs w:val="24"/>
                <w:color w:val="auto"/>
              </w:rPr>
            </w:pPr>
          </w:p>
        </w:tc>
        <w:tc>
          <w:tcPr>
            <w:tcW w:w="380" w:type="dxa"/>
            <w:vAlign w:val="bottom"/>
            <w:tcBorders>
              <w:bottom w:val="single" w:sz="8" w:color="C0C0C0"/>
            </w:tcBorders>
          </w:tcPr>
          <w:p>
            <w:pPr>
              <w:spacing w:after="0"/>
              <w:rPr>
                <w:sz w:val="24"/>
                <w:szCs w:val="24"/>
                <w:color w:val="auto"/>
              </w:rPr>
            </w:pPr>
          </w:p>
        </w:tc>
        <w:tc>
          <w:tcPr>
            <w:tcW w:w="420" w:type="dxa"/>
            <w:vAlign w:val="bottom"/>
            <w:tcBorders>
              <w:bottom w:val="single" w:sz="8" w:color="C0C0C0"/>
              <w:right w:val="single" w:sz="8" w:color="C0C0C0"/>
            </w:tcBorders>
          </w:tcPr>
          <w:p>
            <w:pPr>
              <w:spacing w:after="0"/>
              <w:rPr>
                <w:sz w:val="24"/>
                <w:szCs w:val="24"/>
                <w:color w:val="auto"/>
              </w:rPr>
            </w:pPr>
          </w:p>
        </w:tc>
        <w:tc>
          <w:tcPr>
            <w:tcW w:w="1220" w:type="dxa"/>
            <w:vAlign w:val="bottom"/>
            <w:tcBorders>
              <w:bottom w:val="single" w:sz="8" w:color="C0C0C0"/>
            </w:tcBorders>
          </w:tcPr>
          <w:p>
            <w:pPr>
              <w:spacing w:after="0"/>
              <w:rPr>
                <w:sz w:val="24"/>
                <w:szCs w:val="24"/>
                <w:color w:val="auto"/>
              </w:rPr>
            </w:pPr>
          </w:p>
        </w:tc>
        <w:tc>
          <w:tcPr>
            <w:tcW w:w="4440" w:type="dxa"/>
            <w:vAlign w:val="bottom"/>
            <w:tcBorders>
              <w:bottom w:val="single" w:sz="8" w:color="C0C0C0"/>
              <w:right w:val="single" w:sz="8" w:color="C0C0C0"/>
            </w:tcBorders>
          </w:tcPr>
          <w:p>
            <w:pPr>
              <w:spacing w:after="0"/>
              <w:rPr>
                <w:sz w:val="24"/>
                <w:szCs w:val="24"/>
                <w:color w:val="auto"/>
              </w:rPr>
            </w:pPr>
          </w:p>
        </w:tc>
      </w:tr>
      <w:tr>
        <w:trPr>
          <w:trHeight w:val="243"/>
        </w:trPr>
        <w:tc>
          <w:tcPr>
            <w:tcW w:w="4040" w:type="dxa"/>
            <w:vAlign w:val="bottom"/>
            <w:tcBorders>
              <w:left w:val="single" w:sz="8" w:color="C0C0C0"/>
              <w:bottom w:val="single" w:sz="8" w:color="C0C0C0"/>
            </w:tcBorders>
          </w:tcPr>
          <w:p>
            <w:pPr>
              <w:ind w:left="40"/>
              <w:spacing w:after="0" w:line="243" w:lineRule="exact"/>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Pre-1985 Contingent Life Part B Primary Amount</w:t>
            </w:r>
            <w:r>
              <w:rPr>
                <w:rFonts w:ascii="Arial" w:cs="Arial" w:eastAsia="Arial" w:hAnsi="Arial"/>
                <w:sz w:val="17"/>
                <w:szCs w:val="17"/>
                <w:color w:val="auto"/>
              </w:rPr>
              <w:t xml:space="preserve">] </w:t>
            </w:r>
            <w:r>
              <w:rPr>
                <w:rFonts w:ascii="Arial" w:cs="Arial" w:eastAsia="Arial" w:hAnsi="Arial"/>
                <w:sz w:val="23"/>
                <w:szCs w:val="23"/>
                <w:color w:val="auto"/>
                <w:vertAlign w:val="superscript"/>
              </w:rPr>
              <w:t>A</w:t>
            </w:r>
          </w:p>
        </w:tc>
        <w:tc>
          <w:tcPr>
            <w:tcW w:w="380" w:type="dxa"/>
            <w:vAlign w:val="bottom"/>
            <w:tcBorders>
              <w:bottom w:val="single" w:sz="8" w:color="C0C0C0"/>
            </w:tcBorders>
          </w:tcPr>
          <w:p>
            <w:pPr>
              <w:spacing w:after="0"/>
              <w:rPr>
                <w:sz w:val="21"/>
                <w:szCs w:val="21"/>
                <w:color w:val="auto"/>
              </w:rPr>
            </w:pPr>
          </w:p>
        </w:tc>
        <w:tc>
          <w:tcPr>
            <w:tcW w:w="420" w:type="dxa"/>
            <w:vAlign w:val="bottom"/>
            <w:tcBorders>
              <w:bottom w:val="single" w:sz="8" w:color="C0C0C0"/>
              <w:right w:val="single" w:sz="8" w:color="C0C0C0"/>
            </w:tcBorders>
          </w:tcPr>
          <w:p>
            <w:pPr>
              <w:spacing w:after="0"/>
              <w:rPr>
                <w:sz w:val="21"/>
                <w:szCs w:val="21"/>
                <w:color w:val="auto"/>
              </w:rPr>
            </w:pPr>
          </w:p>
        </w:tc>
        <w:tc>
          <w:tcPr>
            <w:tcW w:w="5660" w:type="dxa"/>
            <w:vAlign w:val="bottom"/>
            <w:tcBorders>
              <w:bottom w:val="single" w:sz="8" w:color="C0C0C0"/>
              <w:right w:val="single" w:sz="8" w:color="C0C0C0"/>
            </w:tcBorders>
            <w:gridSpan w:val="2"/>
          </w:tcPr>
          <w:p>
            <w:pPr>
              <w:ind w:left="20"/>
              <w:spacing w:after="0" w:line="243" w:lineRule="exact"/>
              <w:rPr>
                <w:sz w:val="20"/>
                <w:szCs w:val="20"/>
                <w:color w:val="auto"/>
              </w:rPr>
            </w:pPr>
            <w:r>
              <w:rPr>
                <w:rFonts w:ascii="Arial" w:cs="Arial" w:eastAsia="Arial" w:hAnsi="Arial"/>
                <w:sz w:val="17"/>
                <w:szCs w:val="17"/>
                <w:color w:val="auto"/>
              </w:rPr>
              <w:t xml:space="preserve">[$XXX.XX] </w:t>
            </w:r>
            <w:r>
              <w:rPr>
                <w:rFonts w:ascii="Arial" w:cs="Arial" w:eastAsia="Arial" w:hAnsi="Arial"/>
                <w:sz w:val="23"/>
                <w:szCs w:val="23"/>
                <w:color w:val="auto"/>
                <w:vertAlign w:val="superscript"/>
              </w:rPr>
              <w:t>A</w:t>
            </w:r>
          </w:p>
        </w:tc>
      </w:tr>
      <w:tr>
        <w:trPr>
          <w:trHeight w:val="268"/>
        </w:trPr>
        <w:tc>
          <w:tcPr>
            <w:tcW w:w="4040" w:type="dxa"/>
            <w:vAlign w:val="bottom"/>
            <w:tcBorders>
              <w:left w:val="single" w:sz="8" w:color="C0C0C0"/>
              <w:bottom w:val="single" w:sz="8" w:color="C0C0C0"/>
            </w:tcBorders>
          </w:tcPr>
          <w:p>
            <w:pPr>
              <w:spacing w:after="0"/>
              <w:rPr>
                <w:sz w:val="23"/>
                <w:szCs w:val="23"/>
                <w:color w:val="auto"/>
              </w:rPr>
            </w:pPr>
          </w:p>
        </w:tc>
        <w:tc>
          <w:tcPr>
            <w:tcW w:w="380" w:type="dxa"/>
            <w:vAlign w:val="bottom"/>
            <w:tcBorders>
              <w:bottom w:val="single" w:sz="8" w:color="C0C0C0"/>
            </w:tcBorders>
          </w:tcPr>
          <w:p>
            <w:pPr>
              <w:spacing w:after="0"/>
              <w:rPr>
                <w:sz w:val="23"/>
                <w:szCs w:val="23"/>
                <w:color w:val="auto"/>
              </w:rPr>
            </w:pPr>
          </w:p>
        </w:tc>
        <w:tc>
          <w:tcPr>
            <w:tcW w:w="420" w:type="dxa"/>
            <w:vAlign w:val="bottom"/>
            <w:tcBorders>
              <w:bottom w:val="single" w:sz="8" w:color="C0C0C0"/>
              <w:right w:val="single" w:sz="8" w:color="C0C0C0"/>
            </w:tcBorders>
          </w:tcPr>
          <w:p>
            <w:pPr>
              <w:spacing w:after="0"/>
              <w:rPr>
                <w:sz w:val="23"/>
                <w:szCs w:val="23"/>
                <w:color w:val="auto"/>
              </w:rPr>
            </w:pPr>
          </w:p>
        </w:tc>
        <w:tc>
          <w:tcPr>
            <w:tcW w:w="1220" w:type="dxa"/>
            <w:vAlign w:val="bottom"/>
            <w:tcBorders>
              <w:bottom w:val="single" w:sz="8" w:color="C0C0C0"/>
            </w:tcBorders>
          </w:tcPr>
          <w:p>
            <w:pPr>
              <w:spacing w:after="0"/>
              <w:rPr>
                <w:sz w:val="23"/>
                <w:szCs w:val="23"/>
                <w:color w:val="auto"/>
              </w:rPr>
            </w:pPr>
          </w:p>
        </w:tc>
        <w:tc>
          <w:tcPr>
            <w:tcW w:w="4440" w:type="dxa"/>
            <w:vAlign w:val="bottom"/>
            <w:tcBorders>
              <w:bottom w:val="single" w:sz="8" w:color="C0C0C0"/>
              <w:right w:val="single" w:sz="8" w:color="C0C0C0"/>
            </w:tcBorders>
          </w:tcPr>
          <w:p>
            <w:pPr>
              <w:spacing w:after="0"/>
              <w:rPr>
                <w:sz w:val="23"/>
                <w:szCs w:val="23"/>
                <w:color w:val="auto"/>
              </w:rPr>
            </w:pPr>
          </w:p>
        </w:tc>
      </w:tr>
      <w:tr>
        <w:trPr>
          <w:trHeight w:val="243"/>
        </w:trPr>
        <w:tc>
          <w:tcPr>
            <w:tcW w:w="4040" w:type="dxa"/>
            <w:vAlign w:val="bottom"/>
            <w:tcBorders>
              <w:left w:val="single" w:sz="8" w:color="C0C0C0"/>
              <w:bottom w:val="single" w:sz="8" w:color="C0C0C0"/>
            </w:tcBorders>
          </w:tcPr>
          <w:p>
            <w:pPr>
              <w:ind w:left="40"/>
              <w:spacing w:after="0" w:line="243" w:lineRule="exact"/>
              <w:rPr>
                <w:sz w:val="20"/>
                <w:szCs w:val="20"/>
                <w:color w:val="auto"/>
              </w:rPr>
            </w:pPr>
            <w:r>
              <w:rPr>
                <w:rFonts w:ascii="Arial" w:cs="Arial" w:eastAsia="Arial" w:hAnsi="Arial"/>
                <w:sz w:val="17"/>
                <w:szCs w:val="17"/>
                <w:color w:val="auto"/>
                <w:w w:val="99"/>
              </w:rPr>
              <w:t>[</w:t>
            </w:r>
            <w:r>
              <w:rPr>
                <w:rFonts w:ascii="Arial" w:cs="Arial" w:eastAsia="Arial" w:hAnsi="Arial"/>
                <w:sz w:val="17"/>
                <w:szCs w:val="17"/>
                <w:i w:val="1"/>
                <w:iCs w:val="1"/>
                <w:color w:val="auto"/>
                <w:w w:val="99"/>
              </w:rPr>
              <w:t>Post-1985 Contingent Life Part B Primary Amount</w:t>
            </w:r>
            <w:r>
              <w:rPr>
                <w:rFonts w:ascii="Arial" w:cs="Arial" w:eastAsia="Arial" w:hAnsi="Arial"/>
                <w:sz w:val="17"/>
                <w:szCs w:val="17"/>
                <w:color w:val="auto"/>
                <w:w w:val="99"/>
              </w:rPr>
              <w:t xml:space="preserve">] </w:t>
            </w:r>
            <w:r>
              <w:rPr>
                <w:rFonts w:ascii="Arial" w:cs="Arial" w:eastAsia="Arial" w:hAnsi="Arial"/>
                <w:sz w:val="23"/>
                <w:szCs w:val="23"/>
                <w:color w:val="auto"/>
                <w:w w:val="99"/>
                <w:vertAlign w:val="superscript"/>
              </w:rPr>
              <w:t>A</w:t>
            </w:r>
          </w:p>
        </w:tc>
        <w:tc>
          <w:tcPr>
            <w:tcW w:w="380" w:type="dxa"/>
            <w:vAlign w:val="bottom"/>
            <w:tcBorders>
              <w:bottom w:val="single" w:sz="8" w:color="C0C0C0"/>
            </w:tcBorders>
          </w:tcPr>
          <w:p>
            <w:pPr>
              <w:spacing w:after="0"/>
              <w:rPr>
                <w:sz w:val="21"/>
                <w:szCs w:val="21"/>
                <w:color w:val="auto"/>
              </w:rPr>
            </w:pPr>
          </w:p>
        </w:tc>
        <w:tc>
          <w:tcPr>
            <w:tcW w:w="420" w:type="dxa"/>
            <w:vAlign w:val="bottom"/>
            <w:tcBorders>
              <w:bottom w:val="single" w:sz="8" w:color="C0C0C0"/>
              <w:right w:val="single" w:sz="8" w:color="C0C0C0"/>
            </w:tcBorders>
          </w:tcPr>
          <w:p>
            <w:pPr>
              <w:spacing w:after="0"/>
              <w:rPr>
                <w:sz w:val="21"/>
                <w:szCs w:val="21"/>
                <w:color w:val="auto"/>
              </w:rPr>
            </w:pPr>
          </w:p>
        </w:tc>
        <w:tc>
          <w:tcPr>
            <w:tcW w:w="5660" w:type="dxa"/>
            <w:vAlign w:val="bottom"/>
            <w:tcBorders>
              <w:bottom w:val="single" w:sz="8" w:color="C0C0C0"/>
              <w:right w:val="single" w:sz="8" w:color="C0C0C0"/>
            </w:tcBorders>
            <w:gridSpan w:val="2"/>
          </w:tcPr>
          <w:p>
            <w:pPr>
              <w:ind w:left="20"/>
              <w:spacing w:after="0" w:line="243" w:lineRule="exact"/>
              <w:rPr>
                <w:sz w:val="20"/>
                <w:szCs w:val="20"/>
                <w:color w:val="auto"/>
              </w:rPr>
            </w:pPr>
            <w:r>
              <w:rPr>
                <w:rFonts w:ascii="Arial" w:cs="Arial" w:eastAsia="Arial" w:hAnsi="Arial"/>
                <w:sz w:val="17"/>
                <w:szCs w:val="17"/>
                <w:color w:val="auto"/>
              </w:rPr>
              <w:t xml:space="preserve">[$XXX.XX] </w:t>
            </w:r>
            <w:r>
              <w:rPr>
                <w:rFonts w:ascii="Arial" w:cs="Arial" w:eastAsia="Arial" w:hAnsi="Arial"/>
                <w:sz w:val="23"/>
                <w:szCs w:val="23"/>
                <w:color w:val="auto"/>
                <w:vertAlign w:val="superscript"/>
              </w:rPr>
              <w:t>A</w:t>
            </w:r>
          </w:p>
        </w:tc>
      </w:tr>
    </w:tbl>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benefits of the policy providing your coverage are governed primarily by the law of a state other than Florida.]</w:t>
      </w:r>
      <w:r>
        <w:rPr>
          <w:rFonts w:ascii="Arial" w:cs="Arial" w:eastAsia="Arial" w:hAnsi="Arial"/>
          <w:sz w:val="26"/>
          <w:szCs w:val="26"/>
          <w:b w:val="1"/>
          <w:bCs w:val="1"/>
          <w:color w:val="auto"/>
          <w:vertAlign w:val="superscript"/>
        </w:rPr>
        <w:t>B</w:t>
      </w:r>
    </w:p>
    <w:p>
      <w:pPr>
        <w:spacing w:after="0" w:line="347"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Prudential's Guarantee:</w:t>
      </w:r>
    </w:p>
    <w:p>
      <w:pPr>
        <w:spacing w:after="0" w:line="234"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Appendix 1.3 - 35</w:t>
      </w:r>
    </w:p>
    <w:p>
      <w:pPr>
        <w:sectPr>
          <w:pgSz w:w="11900" w:h="16838" w:orient="portrait"/>
          <w:cols w:equalWidth="0" w:num="1">
            <w:col w:w="10960"/>
          </w:cols>
          <w:pgMar w:left="240" w:top="533" w:right="699" w:bottom="1440" w:gutter="0" w:footer="0" w:header="0"/>
        </w:sectPr>
      </w:pPr>
    </w:p>
    <w:bookmarkStart w:id="149" w:name="page150"/>
    <w:bookmarkEnd w:id="149"/>
    <w:p>
      <w:pPr>
        <w:ind w:right="100"/>
        <w:spacing w:after="0" w:line="258" w:lineRule="auto"/>
        <w:rPr>
          <w:sz w:val="20"/>
          <w:szCs w:val="20"/>
          <w:color w:val="auto"/>
        </w:rPr>
      </w:pPr>
      <w:r>
        <w:rPr>
          <w:rFonts w:ascii="Arial" w:cs="Arial" w:eastAsia="Arial" w:hAnsi="Arial"/>
          <w:sz w:val="17"/>
          <w:szCs w:val="17"/>
          <w:color w:val="auto"/>
        </w:rPr>
        <w:t>This Certificate describes the monthly payments irrevocably guaranteed to you by The Prudential Insurance Company of America ("</w:t>
      </w:r>
      <w:r>
        <w:rPr>
          <w:rFonts w:ascii="Arial" w:cs="Arial" w:eastAsia="Arial" w:hAnsi="Arial"/>
          <w:sz w:val="17"/>
          <w:szCs w:val="17"/>
          <w:b w:val="1"/>
          <w:bCs w:val="1"/>
          <w:color w:val="auto"/>
        </w:rPr>
        <w:t>Prudential</w:t>
      </w:r>
      <w:r>
        <w:rPr>
          <w:rFonts w:ascii="Arial" w:cs="Arial" w:eastAsia="Arial" w:hAnsi="Arial"/>
          <w:sz w:val="17"/>
          <w:szCs w:val="17"/>
          <w:color w:val="auto"/>
        </w:rPr>
        <w:t>") under the Group Annuity Contract referred to above (the "</w:t>
      </w:r>
      <w:r>
        <w:rPr>
          <w:rFonts w:ascii="Arial" w:cs="Arial" w:eastAsia="Arial" w:hAnsi="Arial"/>
          <w:sz w:val="17"/>
          <w:szCs w:val="17"/>
          <w:b w:val="1"/>
          <w:bCs w:val="1"/>
          <w:color w:val="auto"/>
        </w:rPr>
        <w:t>Contract</w:t>
      </w:r>
      <w:r>
        <w:rPr>
          <w:rFonts w:ascii="Arial" w:cs="Arial" w:eastAsia="Arial" w:hAnsi="Arial"/>
          <w:sz w:val="17"/>
          <w:szCs w:val="17"/>
          <w:color w:val="auto"/>
        </w:rPr>
        <w:t xml:space="preserve">"). Prudential will make the payments owed by it under the Contract when those payments are due. We do not owe any payments to anyone under this Annuity Form if you have died before the </w:t>
      </w:r>
      <w:r>
        <w:rPr>
          <w:rFonts w:ascii="Arial" w:cs="Arial" w:eastAsia="Arial" w:hAnsi="Arial"/>
          <w:sz w:val="17"/>
          <w:szCs w:val="17"/>
          <w:i w:val="1"/>
          <w:iCs w:val="1"/>
          <w:color w:val="auto"/>
        </w:rPr>
        <w:t>Annuity Commencement Date</w:t>
      </w:r>
      <w:r>
        <w:rPr>
          <w:rFonts w:ascii="Arial" w:cs="Arial" w:eastAsia="Arial" w:hAnsi="Arial"/>
          <w:sz w:val="17"/>
          <w:szCs w:val="17"/>
          <w:color w:val="auto"/>
        </w:rPr>
        <w: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Definitions &amp; References:</w:t>
      </w:r>
    </w:p>
    <w:p>
      <w:pPr>
        <w:spacing w:after="0" w:line="205"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Capitalized terms in this Certificate, which are in italics, are defined on the front of this Certificate. Those in bold are defined in other parts of this Certificate. “</w:t>
      </w:r>
      <w:r>
        <w:rPr>
          <w:rFonts w:ascii="Arial" w:cs="Arial" w:eastAsia="Arial" w:hAnsi="Arial"/>
          <w:sz w:val="17"/>
          <w:szCs w:val="17"/>
          <w:b w:val="1"/>
          <w:bCs w:val="1"/>
          <w:color w:val="auto"/>
        </w:rPr>
        <w:t>You</w:t>
      </w:r>
      <w:r>
        <w:rPr>
          <w:rFonts w:ascii="Arial" w:cs="Arial" w:eastAsia="Arial" w:hAnsi="Arial"/>
          <w:sz w:val="17"/>
          <w:szCs w:val="17"/>
          <w:color w:val="auto"/>
        </w:rPr>
        <w:t>” and “</w:t>
      </w:r>
      <w:r>
        <w:rPr>
          <w:rFonts w:ascii="Arial" w:cs="Arial" w:eastAsia="Arial" w:hAnsi="Arial"/>
          <w:sz w:val="17"/>
          <w:szCs w:val="17"/>
          <w:b w:val="1"/>
          <w:bCs w:val="1"/>
          <w:color w:val="auto"/>
        </w:rPr>
        <w:t>your</w:t>
      </w:r>
      <w:r>
        <w:rPr>
          <w:rFonts w:ascii="Arial" w:cs="Arial" w:eastAsia="Arial" w:hAnsi="Arial"/>
          <w:sz w:val="17"/>
          <w:szCs w:val="17"/>
          <w:color w:val="auto"/>
        </w:rPr>
        <w:t xml:space="preserve">” means the </w:t>
      </w:r>
      <w:r>
        <w:rPr>
          <w:rFonts w:ascii="Arial" w:cs="Arial" w:eastAsia="Arial" w:hAnsi="Arial"/>
          <w:sz w:val="17"/>
          <w:szCs w:val="17"/>
          <w:i w:val="1"/>
          <w:iCs w:val="1"/>
          <w:color w:val="auto"/>
        </w:rPr>
        <w:t>"Covered Life."</w:t>
      </w:r>
      <w:r>
        <w:rPr>
          <w:rFonts w:ascii="Arial" w:cs="Arial" w:eastAsia="Arial" w:hAnsi="Arial"/>
          <w:sz w:val="17"/>
          <w:szCs w:val="17"/>
          <w:color w:val="auto"/>
        </w:rPr>
        <w:t xml:space="preserve"> "</w:t>
      </w:r>
      <w:r>
        <w:rPr>
          <w:rFonts w:ascii="Arial" w:cs="Arial" w:eastAsia="Arial" w:hAnsi="Arial"/>
          <w:sz w:val="17"/>
          <w:szCs w:val="17"/>
          <w:b w:val="1"/>
          <w:bCs w:val="1"/>
          <w:color w:val="auto"/>
        </w:rPr>
        <w:t>We</w:t>
      </w:r>
      <w:r>
        <w:rPr>
          <w:rFonts w:ascii="Arial" w:cs="Arial" w:eastAsia="Arial" w:hAnsi="Arial"/>
          <w:sz w:val="17"/>
          <w:szCs w:val="17"/>
          <w:color w:val="auto"/>
        </w:rPr>
        <w:t>," "</w:t>
      </w:r>
      <w:r>
        <w:rPr>
          <w:rFonts w:ascii="Arial" w:cs="Arial" w:eastAsia="Arial" w:hAnsi="Arial"/>
          <w:sz w:val="17"/>
          <w:szCs w:val="17"/>
          <w:b w:val="1"/>
          <w:bCs w:val="1"/>
          <w:color w:val="auto"/>
        </w:rPr>
        <w:t>us</w:t>
      </w:r>
      <w:r>
        <w:rPr>
          <w:rFonts w:ascii="Arial" w:cs="Arial" w:eastAsia="Arial" w:hAnsi="Arial"/>
          <w:sz w:val="17"/>
          <w:szCs w:val="17"/>
          <w:color w:val="auto"/>
        </w:rPr>
        <w:t>" and "</w:t>
      </w:r>
      <w:r>
        <w:rPr>
          <w:rFonts w:ascii="Arial" w:cs="Arial" w:eastAsia="Arial" w:hAnsi="Arial"/>
          <w:sz w:val="17"/>
          <w:szCs w:val="17"/>
          <w:b w:val="1"/>
          <w:bCs w:val="1"/>
          <w:color w:val="auto"/>
        </w:rPr>
        <w:t>our</w:t>
      </w:r>
      <w:r>
        <w:rPr>
          <w:rFonts w:ascii="Arial" w:cs="Arial" w:eastAsia="Arial" w:hAnsi="Arial"/>
          <w:sz w:val="17"/>
          <w:szCs w:val="17"/>
          <w:color w:val="auto"/>
        </w:rPr>
        <w:t>" means Prudential. "</w:t>
      </w:r>
      <w:r>
        <w:rPr>
          <w:rFonts w:ascii="Arial" w:cs="Arial" w:eastAsia="Arial" w:hAnsi="Arial"/>
          <w:sz w:val="17"/>
          <w:szCs w:val="17"/>
          <w:b w:val="1"/>
          <w:bCs w:val="1"/>
          <w:color w:val="auto"/>
        </w:rPr>
        <w:t>Payee</w:t>
      </w:r>
      <w:r>
        <w:rPr>
          <w:rFonts w:ascii="Arial" w:cs="Arial" w:eastAsia="Arial" w:hAnsi="Arial"/>
          <w:sz w:val="17"/>
          <w:szCs w:val="17"/>
          <w:color w:val="auto"/>
        </w:rPr>
        <w:t>" means the Covered Life and anyone else with an existing or future right to receive payments under this Annuity, but no Payee (other than the Covered Life) may make any changes or exercise any rights until the Payee has begun receiving payments. “</w:t>
      </w:r>
      <w:r>
        <w:rPr>
          <w:rFonts w:ascii="Arial" w:cs="Arial" w:eastAsia="Arial" w:hAnsi="Arial"/>
          <w:sz w:val="17"/>
          <w:szCs w:val="17"/>
          <w:b w:val="1"/>
          <w:bCs w:val="1"/>
          <w:color w:val="auto"/>
        </w:rPr>
        <w:t>Representative</w:t>
      </w:r>
      <w:r>
        <w:rPr>
          <w:rFonts w:ascii="Arial" w:cs="Arial" w:eastAsia="Arial" w:hAnsi="Arial"/>
          <w:sz w:val="17"/>
          <w:szCs w:val="17"/>
          <w:color w:val="auto"/>
        </w:rPr>
        <w:t>” means, with respect to a Payee, an individual or entity that has been duly appointed in accordance with the Contract to represent the Payee, such as a guardian.</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Payment Terms:</w:t>
      </w:r>
    </w:p>
    <w:p>
      <w:pPr>
        <w:spacing w:after="0" w:line="209" w:lineRule="exact"/>
        <w:rPr>
          <w:sz w:val="20"/>
          <w:szCs w:val="20"/>
          <w:color w:val="auto"/>
        </w:rPr>
      </w:pPr>
    </w:p>
    <w:p>
      <w:pPr>
        <w:ind w:right="100"/>
        <w:spacing w:after="0" w:line="256" w:lineRule="auto"/>
        <w:rPr>
          <w:sz w:val="20"/>
          <w:szCs w:val="20"/>
          <w:color w:val="auto"/>
        </w:rPr>
      </w:pPr>
      <w:r>
        <w:rPr>
          <w:rFonts w:ascii="Arial" w:cs="Arial" w:eastAsia="Arial" w:hAnsi="Arial"/>
          <w:sz w:val="17"/>
          <w:szCs w:val="17"/>
          <w:color w:val="auto"/>
        </w:rPr>
        <w:t>“Window Spousal Contingent Joint and Survivor Life Annuity,” is the Annuity Form having the payment terms specified in this Payment Terms section. Payments may also be made in accordance with any of the following Riders if specified in the Table of Information on the front of this Certificate. Those riders are also described below in this Payment Terms section.</w:t>
      </w:r>
    </w:p>
    <w:p>
      <w:pPr>
        <w:spacing w:after="0" w:line="176" w:lineRule="exact"/>
        <w:rPr>
          <w:sz w:val="20"/>
          <w:szCs w:val="20"/>
          <w:color w:val="auto"/>
        </w:rPr>
      </w:pPr>
    </w:p>
    <w:p>
      <w:pPr>
        <w:ind w:left="900"/>
        <w:spacing w:after="0"/>
        <w:rPr>
          <w:sz w:val="20"/>
          <w:szCs w:val="20"/>
          <w:color w:val="auto"/>
        </w:rPr>
      </w:pPr>
      <w:r>
        <w:rPr>
          <w:rFonts w:ascii="Arial" w:cs="Arial" w:eastAsia="Arial" w:hAnsi="Arial"/>
          <w:sz w:val="17"/>
          <w:szCs w:val="17"/>
          <w:color w:val="auto"/>
        </w:rPr>
        <w:t>Refund Death Benefit Rider</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General Payment Terms</w:t>
      </w:r>
    </w:p>
    <w:p>
      <w:pPr>
        <w:spacing w:after="0" w:line="205" w:lineRule="exact"/>
        <w:rPr>
          <w:sz w:val="20"/>
          <w:szCs w:val="20"/>
          <w:color w:val="auto"/>
        </w:rPr>
      </w:pPr>
    </w:p>
    <w:p>
      <w:pPr>
        <w:ind w:right="180"/>
        <w:spacing w:after="0" w:line="334" w:lineRule="auto"/>
        <w:rPr>
          <w:sz w:val="20"/>
          <w:szCs w:val="20"/>
          <w:color w:val="auto"/>
        </w:rPr>
      </w:pPr>
      <w:r>
        <w:rPr>
          <w:rFonts w:ascii="Arial" w:cs="Arial" w:eastAsia="Arial" w:hAnsi="Arial"/>
          <w:sz w:val="15"/>
          <w:szCs w:val="15"/>
          <w:color w:val="auto"/>
        </w:rPr>
        <w:t xml:space="preserve">During your lifetime, we will make monthly payments to you equal to your Covered Life Amount. We owe the first monthly payment on the </w:t>
      </w:r>
      <w:r>
        <w:rPr>
          <w:rFonts w:ascii="Arial" w:cs="Arial" w:eastAsia="Arial" w:hAnsi="Arial"/>
          <w:sz w:val="15"/>
          <w:szCs w:val="15"/>
          <w:i w:val="1"/>
          <w:iCs w:val="1"/>
          <w:color w:val="auto"/>
        </w:rPr>
        <w:t>Annuity Commencement</w:t>
      </w:r>
      <w:r>
        <w:rPr>
          <w:rFonts w:ascii="Arial" w:cs="Arial" w:eastAsia="Arial" w:hAnsi="Arial"/>
          <w:sz w:val="15"/>
          <w:szCs w:val="15"/>
          <w:color w:val="auto"/>
        </w:rPr>
        <w:t xml:space="preserve"> </w:t>
      </w:r>
      <w:r>
        <w:rPr>
          <w:rFonts w:ascii="Arial" w:cs="Arial" w:eastAsia="Arial" w:hAnsi="Arial"/>
          <w:sz w:val="15"/>
          <w:szCs w:val="15"/>
          <w:i w:val="1"/>
          <w:iCs w:val="1"/>
          <w:color w:val="auto"/>
        </w:rPr>
        <w:t>Date</w:t>
      </w:r>
      <w:r>
        <w:rPr>
          <w:rFonts w:ascii="Arial" w:cs="Arial" w:eastAsia="Arial" w:hAnsi="Arial"/>
          <w:sz w:val="15"/>
          <w:szCs w:val="15"/>
          <w:color w:val="auto"/>
        </w:rPr>
        <w:t>. We will pay subsequent monthly payments on the first day of each month. Our last monthly payment to you will be on the first day of the month in which you die.</w:t>
      </w:r>
    </w:p>
    <w:p>
      <w:pPr>
        <w:spacing w:after="0" w:line="121" w:lineRule="exact"/>
        <w:rPr>
          <w:sz w:val="20"/>
          <w:szCs w:val="20"/>
          <w:color w:val="auto"/>
        </w:rPr>
      </w:pPr>
    </w:p>
    <w:p>
      <w:pPr>
        <w:ind w:right="40"/>
        <w:spacing w:after="0" w:line="252" w:lineRule="auto"/>
        <w:rPr>
          <w:sz w:val="20"/>
          <w:szCs w:val="20"/>
          <w:color w:val="auto"/>
        </w:rPr>
      </w:pPr>
      <w:r>
        <w:rPr>
          <w:rFonts w:ascii="Arial" w:cs="Arial" w:eastAsia="Arial" w:hAnsi="Arial"/>
          <w:sz w:val="17"/>
          <w:szCs w:val="17"/>
          <w:color w:val="auto"/>
        </w:rPr>
        <w:t xml:space="preserve">After you die, we may owe additional monthly payments. We will owe additional monthly payments if your </w:t>
      </w:r>
      <w:r>
        <w:rPr>
          <w:rFonts w:ascii="Arial" w:cs="Arial" w:eastAsia="Arial" w:hAnsi="Arial"/>
          <w:sz w:val="17"/>
          <w:szCs w:val="17"/>
          <w:i w:val="1"/>
          <w:iCs w:val="1"/>
          <w:color w:val="auto"/>
        </w:rPr>
        <w:t>Contingent Life</w:t>
      </w:r>
      <w:r>
        <w:rPr>
          <w:rFonts w:ascii="Arial" w:cs="Arial" w:eastAsia="Arial" w:hAnsi="Arial"/>
          <w:sz w:val="17"/>
          <w:szCs w:val="17"/>
          <w:color w:val="auto"/>
        </w:rPr>
        <w:t xml:space="preserve"> (as specified in the Table of Information) is your spouse and is alive when you die. We will pay the first payment on the first day of the month following your death. We will pay subsequent monthly payments on the first day of each month. We will pay the last payment on the first day of the month in which such </w:t>
      </w:r>
      <w:r>
        <w:rPr>
          <w:rFonts w:ascii="Arial" w:cs="Arial" w:eastAsia="Arial" w:hAnsi="Arial"/>
          <w:sz w:val="17"/>
          <w:szCs w:val="17"/>
          <w:i w:val="1"/>
          <w:iCs w:val="1"/>
          <w:color w:val="auto"/>
        </w:rPr>
        <w:t>Contingent Life</w:t>
      </w:r>
      <w:r>
        <w:rPr>
          <w:rFonts w:ascii="Arial" w:cs="Arial" w:eastAsia="Arial" w:hAnsi="Arial"/>
          <w:sz w:val="17"/>
          <w:szCs w:val="17"/>
          <w:color w:val="auto"/>
        </w:rPr>
        <w:t xml:space="preserve"> dies. The amount of the payments will equal the </w:t>
      </w:r>
      <w:r>
        <w:rPr>
          <w:rFonts w:ascii="Arial" w:cs="Arial" w:eastAsia="Arial" w:hAnsi="Arial"/>
          <w:sz w:val="17"/>
          <w:szCs w:val="17"/>
          <w:i w:val="1"/>
          <w:iCs w:val="1"/>
          <w:color w:val="auto"/>
        </w:rPr>
        <w:t>Contingent Life Amount</w:t>
      </w:r>
      <w:r>
        <w:rPr>
          <w:rFonts w:ascii="Arial" w:cs="Arial" w:eastAsia="Arial" w:hAnsi="Arial"/>
          <w:sz w:val="17"/>
          <w:szCs w:val="17"/>
          <w:color w:val="auto"/>
        </w:rPr>
        <w:t>.</w:t>
      </w:r>
    </w:p>
    <w:p>
      <w:pPr>
        <w:spacing w:after="0" w:line="180"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 xml:space="preserve">If you have a Refund Death Benefit Rider, we may owe a Refund Death Benefit to the designated </w:t>
      </w:r>
      <w:r>
        <w:rPr>
          <w:rFonts w:ascii="Arial" w:cs="Arial" w:eastAsia="Arial" w:hAnsi="Arial"/>
          <w:sz w:val="16"/>
          <w:szCs w:val="16"/>
          <w:i w:val="1"/>
          <w:iCs w:val="1"/>
          <w:color w:val="auto"/>
        </w:rPr>
        <w:t>Beneficiary</w:t>
      </w:r>
      <w:r>
        <w:rPr>
          <w:rFonts w:ascii="Arial" w:cs="Arial" w:eastAsia="Arial" w:hAnsi="Arial"/>
          <w:sz w:val="16"/>
          <w:szCs w:val="16"/>
          <w:color w:val="auto"/>
        </w:rPr>
        <w:t xml:space="preserve"> for your Annuity Form. After both you and your </w:t>
      </w:r>
      <w:r>
        <w:rPr>
          <w:rFonts w:ascii="Arial" w:cs="Arial" w:eastAsia="Arial" w:hAnsi="Arial"/>
          <w:sz w:val="16"/>
          <w:szCs w:val="16"/>
          <w:i w:val="1"/>
          <w:iCs w:val="1"/>
          <w:color w:val="auto"/>
        </w:rPr>
        <w:t>Contingent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Life </w:t>
      </w:r>
      <w:r>
        <w:rPr>
          <w:rFonts w:ascii="Arial" w:cs="Arial" w:eastAsia="Arial" w:hAnsi="Arial"/>
          <w:sz w:val="16"/>
          <w:szCs w:val="16"/>
          <w:color w:val="auto"/>
        </w:rPr>
        <w:t>die, we will determine if we owe such payment. The following explains how we will determine if a payment is owed by us under this rider.</w:t>
      </w:r>
    </w:p>
    <w:p>
      <w:pPr>
        <w:spacing w:after="0" w:line="144" w:lineRule="exact"/>
        <w:rPr>
          <w:sz w:val="20"/>
          <w:szCs w:val="20"/>
          <w:color w:val="auto"/>
        </w:rPr>
      </w:pPr>
    </w:p>
    <w:p>
      <w:pPr>
        <w:spacing w:after="0" w:line="256" w:lineRule="auto"/>
        <w:rPr>
          <w:sz w:val="20"/>
          <w:szCs w:val="20"/>
          <w:color w:val="auto"/>
        </w:rPr>
      </w:pPr>
      <w:r>
        <w:rPr>
          <w:rFonts w:ascii="Arial" w:cs="Arial" w:eastAsia="Arial" w:hAnsi="Arial"/>
          <w:sz w:val="17"/>
          <w:szCs w:val="17"/>
          <w:color w:val="auto"/>
        </w:rPr>
        <w:t>The amount of the Refund Death Benefit, if any, will equal the Maximum Refund Death Benefit (as specified in the Table of Information) less the Pre 1985 Part B Primary Amounts and the Post 1985 Part B Primary Amounts (as specified in the Table of Information) paid by us after the Annuity Commencement Date to you, to your Contingent Life (or to any related alternate payee, arising, for example, from a domestic relations order).</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Covered Life Amount</w:t>
      </w:r>
      <w:r>
        <w:rPr>
          <w:rFonts w:ascii="Arial" w:cs="Arial" w:eastAsia="Arial" w:hAnsi="Arial"/>
          <w:sz w:val="17"/>
          <w:szCs w:val="17"/>
          <w:color w:val="auto"/>
        </w:rPr>
        <w:t>” means an amount that is specified in the Table of Information.</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Contingent Life Amount</w:t>
      </w:r>
      <w:r>
        <w:rPr>
          <w:rFonts w:ascii="Arial" w:cs="Arial" w:eastAsia="Arial" w:hAnsi="Arial"/>
          <w:sz w:val="17"/>
          <w:szCs w:val="17"/>
          <w:color w:val="auto"/>
        </w:rPr>
        <w:t>” means an amount that is specified in the Table of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Method of Payment:</w:t>
      </w:r>
    </w:p>
    <w:p>
      <w:pPr>
        <w:spacing w:after="0" w:line="209" w:lineRule="exact"/>
        <w:rPr>
          <w:sz w:val="20"/>
          <w:szCs w:val="20"/>
          <w:color w:val="auto"/>
        </w:rPr>
      </w:pPr>
    </w:p>
    <w:p>
      <w:pPr>
        <w:jc w:val="both"/>
        <w:spacing w:after="0" w:line="375" w:lineRule="auto"/>
        <w:rPr>
          <w:sz w:val="20"/>
          <w:szCs w:val="20"/>
          <w:color w:val="auto"/>
        </w:rPr>
      </w:pPr>
      <w:r>
        <w:rPr>
          <w:rFonts w:ascii="Arial" w:cs="Arial" w:eastAsia="Arial" w:hAnsi="Arial"/>
          <w:sz w:val="14"/>
          <w:szCs w:val="14"/>
          <w:color w:val="auto"/>
        </w:rPr>
        <w:t>We will make all payments in U.S. dollars. Payees may elect to receive payments either by check or by direct deposit to a bank or other financial institution chosen by the Payee. Checks are mailed to the last known address for the Payee as shown on our records. Direct deposit may be selected only by using a form supplied for such purpose.</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Appendix 1.3 - 36</w:t>
      </w:r>
    </w:p>
    <w:p>
      <w:pPr>
        <w:sectPr>
          <w:pgSz w:w="11900" w:h="16838" w:orient="portrait"/>
          <w:cols w:equalWidth="0" w:num="1">
            <w:col w:w="11420"/>
          </w:cols>
          <w:pgMar w:left="240" w:top="749" w:right="239" w:bottom="1440" w:gutter="0" w:footer="0" w:header="0"/>
        </w:sectPr>
      </w:pPr>
    </w:p>
    <w:bookmarkStart w:id="150" w:name="page151"/>
    <w:bookmarkEnd w:id="150"/>
    <w:p>
      <w:pPr>
        <w:jc w:val="both"/>
        <w:spacing w:after="0" w:line="298" w:lineRule="auto"/>
        <w:rPr>
          <w:sz w:val="20"/>
          <w:szCs w:val="20"/>
          <w:color w:val="auto"/>
        </w:rPr>
      </w:pPr>
      <w:r>
        <w:rPr>
          <w:rFonts w:ascii="Arial" w:cs="Arial" w:eastAsia="Arial" w:hAnsi="Arial"/>
          <w:sz w:val="16"/>
          <w:szCs w:val="16"/>
          <w:color w:val="auto"/>
        </w:rPr>
        <w:t xml:space="preserve">By written notice, a Payee may request a change of the mailing address we use for payments by check. By using a form we supply, a Payee may change the bank or other financial institution receiving direct payments. Payees must deliver these items to Prudential as described below under </w:t>
      </w:r>
      <w:r>
        <w:rPr>
          <w:rFonts w:ascii="Arial" w:cs="Arial" w:eastAsia="Arial" w:hAnsi="Arial"/>
          <w:sz w:val="16"/>
          <w:szCs w:val="16"/>
          <w:b w:val="1"/>
          <w:bCs w:val="1"/>
          <w:color w:val="auto"/>
        </w:rPr>
        <w:t>"Correspondence."</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We may change these procedures by sending a letter to the Payee. We will use the address last shown on our records.</w:t>
      </w:r>
    </w:p>
    <w:p>
      <w:pPr>
        <w:spacing w:after="0" w:line="201" w:lineRule="exact"/>
        <w:rPr>
          <w:sz w:val="20"/>
          <w:szCs w:val="20"/>
          <w:color w:val="auto"/>
        </w:rPr>
      </w:pPr>
    </w:p>
    <w:p>
      <w:pPr>
        <w:ind w:left="3000"/>
        <w:spacing w:after="0"/>
        <w:rPr>
          <w:sz w:val="20"/>
          <w:szCs w:val="20"/>
          <w:color w:val="auto"/>
        </w:rPr>
      </w:pPr>
      <w:r>
        <w:rPr>
          <w:rFonts w:ascii="Arial" w:cs="Arial" w:eastAsia="Arial" w:hAnsi="Arial"/>
          <w:sz w:val="17"/>
          <w:szCs w:val="17"/>
          <w:b w:val="1"/>
          <w:bCs w:val="1"/>
          <w:color w:val="auto"/>
        </w:rPr>
        <w:t>Correspondence:</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Mail any notices and forms to the current notice address. The current notice address is:</w:t>
      </w:r>
    </w:p>
    <w:p>
      <w:pPr>
        <w:spacing w:after="0" w:line="205"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The Prudential Insurance Company of America</w:t>
      </w:r>
    </w:p>
    <w:p>
      <w:pPr>
        <w:spacing w:after="0" w:line="17"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[P.O. Box 5370</w:t>
      </w:r>
    </w:p>
    <w:p>
      <w:pPr>
        <w:spacing w:after="0" w:line="1"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Scranton, PA 18505-5370</w:t>
      </w:r>
      <w:r>
        <w:rPr>
          <w:rFonts w:ascii="Arial" w:cs="Arial" w:eastAsia="Arial" w:hAnsi="Arial"/>
          <w:sz w:val="18"/>
          <w:szCs w:val="18"/>
          <w:color w:val="auto"/>
        </w:rPr>
        <w:t>]</w:t>
      </w:r>
      <w:r>
        <w:rPr>
          <w:rFonts w:ascii="Arial" w:cs="Arial" w:eastAsia="Arial" w:hAnsi="Arial"/>
          <w:sz w:val="17"/>
          <w:szCs w:val="17"/>
          <w:color w:val="auto"/>
        </w:rPr>
        <w:t xml:space="preserve"> </w:t>
      </w:r>
      <w:r>
        <w:rPr>
          <w:rFonts w:ascii="Arial" w:cs="Arial" w:eastAsia="Arial" w:hAnsi="Arial"/>
          <w:sz w:val="23"/>
          <w:szCs w:val="23"/>
          <w:color w:val="auto"/>
          <w:vertAlign w:val="superscript"/>
        </w:rPr>
        <w:t>C</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color w:val="auto"/>
        </w:rPr>
        <w:t>Prudential may change the notice address by sending a letter to the Payee. We will use the address last shown on our records.</w:t>
      </w:r>
    </w:p>
    <w:p>
      <w:pPr>
        <w:spacing w:after="0" w:line="20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All notices must be in writing. Payee must sign all notices and forms. Please refer to the Annuity Certificate Number and the Group Annuity Contract Number (shown on the first page of this Certificate) on all notices and forms sent to us.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[Beneficiaries:</w:t>
      </w:r>
    </w:p>
    <w:p>
      <w:pPr>
        <w:spacing w:after="0" w:line="20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You may change Beneficiaries as described below. After you die, the Contingent Life may change Beneficiaries as described below. You may tell us on the Beneficiary Form to disregard Beneficiary changes made by the Contingent life after your death. If you do not, we will honor those changes.</w:t>
      </w:r>
    </w:p>
    <w:p>
      <w:pPr>
        <w:spacing w:after="0" w:line="164"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Selections and changes of Beneficiaries must use a form ("</w:t>
      </w:r>
      <w:r>
        <w:rPr>
          <w:rFonts w:ascii="Arial" w:cs="Arial" w:eastAsia="Arial" w:hAnsi="Arial"/>
          <w:sz w:val="17"/>
          <w:szCs w:val="17"/>
          <w:b w:val="1"/>
          <w:bCs w:val="1"/>
          <w:color w:val="auto"/>
        </w:rPr>
        <w:t>Beneficiary Form</w:t>
      </w:r>
      <w:r>
        <w:rPr>
          <w:rFonts w:ascii="Arial" w:cs="Arial" w:eastAsia="Arial" w:hAnsi="Arial"/>
          <w:sz w:val="17"/>
          <w:szCs w:val="17"/>
          <w:color w:val="auto"/>
        </w:rPr>
        <w:t>") we supply. Beneficiary Forms must be delivered to Prudential as described above under "</w:t>
      </w:r>
      <w:r>
        <w:rPr>
          <w:rFonts w:ascii="Arial" w:cs="Arial" w:eastAsia="Arial" w:hAnsi="Arial"/>
          <w:sz w:val="17"/>
          <w:szCs w:val="17"/>
          <w:b w:val="1"/>
          <w:bCs w:val="1"/>
          <w:color w:val="auto"/>
        </w:rPr>
        <w:t>Correspondence</w:t>
      </w:r>
      <w:r>
        <w:rPr>
          <w:rFonts w:ascii="Arial" w:cs="Arial" w:eastAsia="Arial" w:hAnsi="Arial"/>
          <w:sz w:val="17"/>
          <w:szCs w:val="17"/>
          <w:color w:val="auto"/>
        </w:rPr>
        <w:t>." Selections and changes must comply with all applicable laws, including those relating to spousal waivers. Unless required by law or the Plan, we will not require any existing Beneficiary to consent to a change of Beneficiaries.</w:t>
      </w:r>
    </w:p>
    <w:p>
      <w:pPr>
        <w:spacing w:after="0" w:line="175" w:lineRule="exact"/>
        <w:rPr>
          <w:sz w:val="20"/>
          <w:szCs w:val="20"/>
          <w:color w:val="auto"/>
        </w:rPr>
      </w:pPr>
    </w:p>
    <w:p>
      <w:pPr>
        <w:jc w:val="both"/>
        <w:ind w:right="180"/>
        <w:spacing w:after="0" w:line="285" w:lineRule="auto"/>
        <w:rPr>
          <w:sz w:val="20"/>
          <w:szCs w:val="20"/>
          <w:color w:val="auto"/>
        </w:rPr>
      </w:pPr>
      <w:r>
        <w:rPr>
          <w:rFonts w:ascii="Arial" w:cs="Arial" w:eastAsia="Arial" w:hAnsi="Arial"/>
          <w:sz w:val="16"/>
          <w:szCs w:val="16"/>
          <w:color w:val="auto"/>
        </w:rPr>
        <w:t>Beneficiary selection and changes shall take effect on the date you (or your Contingent Life) sign the change in Beneficiary form. However, no change shall be effective with respect to any action taken by us before we receive the change in Beneficiary form. Unless otherwise indicated on the Beneficiary designation or change form, the interest of any Beneficiary who dies before you (or where applicable, your Contingent Life) ceases altogether.</w:t>
      </w:r>
      <w:r>
        <w:rPr>
          <w:rFonts w:ascii="Arial" w:cs="Arial" w:eastAsia="Arial" w:hAnsi="Arial"/>
          <w:sz w:val="16"/>
          <w:szCs w:val="16"/>
          <w:b w:val="1"/>
          <w:bCs w:val="1"/>
          <w:color w:val="auto"/>
        </w:rPr>
        <w:t>]</w:t>
      </w:r>
      <w:r>
        <w:rPr>
          <w:rFonts w:ascii="Arial" w:cs="Arial" w:eastAsia="Arial" w:hAnsi="Arial"/>
          <w:sz w:val="16"/>
          <w:szCs w:val="16"/>
          <w:color w:val="auto"/>
        </w:rPr>
        <w:t xml:space="preserve"> </w:t>
      </w:r>
      <w:r>
        <w:rPr>
          <w:rFonts w:ascii="Arial" w:cs="Arial" w:eastAsia="Arial" w:hAnsi="Arial"/>
          <w:sz w:val="22"/>
          <w:szCs w:val="22"/>
          <w:color w:val="auto"/>
          <w:vertAlign w:val="superscript"/>
        </w:rPr>
        <w:t>D</w:t>
      </w:r>
    </w:p>
    <w:p>
      <w:pPr>
        <w:spacing w:after="0" w:line="6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Assignment:</w:t>
      </w:r>
    </w:p>
    <w:p>
      <w:pPr>
        <w:spacing w:after="0" w:line="209"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Payees may not assign, pledge, anticipate, accelerate or transfer this Annuity, except as expressly provided in the Contract. Also, Payees may not use a Representative to do the same. To the full extent permitted by law, Annuity payments are not subject to the claims of creditors. Compliance with a domestic relations order meeting the requirements of the Contract will not be considered an impermissible transaction or claim.</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Qualified Domestic Relations Orders:</w:t>
      </w:r>
    </w:p>
    <w:p>
      <w:pPr>
        <w:spacing w:after="0" w:line="209"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Should your Annuity become subject to a Qualified Domestic Relations Order, we may be required to alter monthly payments under the Annuity. We may make payments according to such order, regardless of the Annuity Form selected. This includes any adjustments needed to retroactively implement the order. We may rely upon any Qualified Domestic Relations Order we believe to be valid.</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Reliance Upon Affidavit or Other Evidence:</w:t>
      </w:r>
    </w:p>
    <w:p>
      <w:pPr>
        <w:spacing w:after="0" w:line="20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We may rely upon an affidavit or other evidence to verify relevant facts. Payments we make in reliance upon this information relieve us from any liability under the Contract and this Certificate.</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Misstatements: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Appendix 1.3 - 37</w:t>
      </w:r>
    </w:p>
    <w:p>
      <w:pPr>
        <w:sectPr>
          <w:pgSz w:w="11900" w:h="16838" w:orient="portrait"/>
          <w:cols w:equalWidth="0" w:num="1">
            <w:col w:w="11420"/>
          </w:cols>
          <w:pgMar w:left="240" w:top="553" w:right="239" w:bottom="1440" w:gutter="0" w:footer="0" w:header="0"/>
        </w:sectPr>
      </w:pPr>
    </w:p>
    <w:bookmarkStart w:id="151" w:name="page152"/>
    <w:bookmarkEnd w:id="151"/>
    <w:p>
      <w:pPr>
        <w:spacing w:after="0"/>
        <w:rPr>
          <w:sz w:val="20"/>
          <w:szCs w:val="20"/>
          <w:color w:val="auto"/>
        </w:rPr>
      </w:pPr>
      <w:r>
        <w:rPr>
          <w:rFonts w:ascii="Arial" w:cs="Arial" w:eastAsia="Arial" w:hAnsi="Arial"/>
          <w:sz w:val="17"/>
          <w:szCs w:val="17"/>
          <w:color w:val="auto"/>
        </w:rPr>
        <w:t>If certain information was misstated to us, your annuity payments may or may not be changed as described below.</w:t>
      </w:r>
    </w:p>
    <w:p>
      <w:pPr>
        <w:spacing w:after="0" w:line="17" w:lineRule="exact"/>
        <w:rPr>
          <w:sz w:val="20"/>
          <w:szCs w:val="20"/>
          <w:color w:val="auto"/>
        </w:rPr>
      </w:pPr>
    </w:p>
    <w:p>
      <w:pPr>
        <w:jc w:val="both"/>
        <w:spacing w:after="0" w:line="248" w:lineRule="auto"/>
        <w:rPr>
          <w:sz w:val="20"/>
          <w:szCs w:val="20"/>
          <w:color w:val="auto"/>
        </w:rPr>
      </w:pPr>
      <w:r>
        <w:rPr>
          <w:rFonts w:ascii="Arial" w:cs="Arial" w:eastAsia="Arial" w:hAnsi="Arial"/>
          <w:sz w:val="17"/>
          <w:szCs w:val="17"/>
          <w:color w:val="auto"/>
        </w:rPr>
        <w:t>If a Payee's date of birth, date of death, or sex was misstated to us, then we will not have the right to reduce any annuity payment below the amount determined using the information contained in the Contract. Also, we will not have the obligation to increase any Annuity Payment above the amount determined using the information contained in the Contract.</w:t>
      </w:r>
    </w:p>
    <w:p>
      <w:pPr>
        <w:spacing w:after="0" w:line="183"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If information other than the Payee's date of birth, date of death, or sex was misstated to us, then Prudential will adjust the annuity payment. First we will determine the portion of the premium paid to us to purchase your annuity. The annuity payment amount owed by us will be increased or decreased to equal the amount that could have been purchased using the premium paid for the annuity assuming the misstatement had not happened. Also, Prudential will not change the date of the first monthly payment.</w:t>
      </w:r>
    </w:p>
    <w:p>
      <w:pPr>
        <w:spacing w:after="0" w:line="180" w:lineRule="exact"/>
        <w:rPr>
          <w:sz w:val="20"/>
          <w:szCs w:val="20"/>
          <w:color w:val="auto"/>
        </w:rPr>
      </w:pPr>
    </w:p>
    <w:p>
      <w:pPr>
        <w:jc w:val="both"/>
        <w:spacing w:after="0" w:line="297" w:lineRule="auto"/>
        <w:rPr>
          <w:sz w:val="20"/>
          <w:szCs w:val="20"/>
          <w:color w:val="auto"/>
        </w:rPr>
      </w:pPr>
      <w:r>
        <w:rPr>
          <w:rFonts w:ascii="Arial" w:cs="Arial" w:eastAsia="Arial" w:hAnsi="Arial"/>
          <w:sz w:val="15"/>
          <w:szCs w:val="15"/>
          <w:color w:val="auto"/>
        </w:rPr>
        <w:t>If the corrected annuity payment is less than the annuity payment determined using the misstated information, then the annuity payment will be decreased to the amount calculated as described in the last paragraph above. We may reduce future annuity payments further by amounts previously overpaid by us to the Payee. If the corrected annuity payment is more than the annuity payment calculated using the misstated information, then the annuity payment will be increased to the amount determined as described in the last paragraph above. We will further pay the amount of the underpayments by us in one of the next two annuity payments due with respect to the Payee.</w:t>
      </w:r>
    </w:p>
    <w:p>
      <w:pPr>
        <w:spacing w:after="0" w:line="148"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In addition to changing the amount of annuity payments, the adjustments made pursuant to this section may change other important terms of payment. For example, the form of annuity for a Payee may change. The percentage of your annuity payment that is payable to the Contingent Life may change. Whether there is any Contingent Life entitled to receive an annuity payment may change. All adjustments made pursuant to this section will be binding upon the Payee.</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Supplemental Information:</w:t>
      </w:r>
    </w:p>
    <w:p>
      <w:pPr>
        <w:spacing w:after="0" w:line="209"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As a condition to making any payment, we may require a Payee to provide certain information not previously supplied. This information may include copies of signed election forms and signed spousal consent forms (where required). If legally required, we may withhold all or a portion of any payment until receiving a Social Security or taxpayer identification number for the Payee and any other items required by law.</w:t>
      </w:r>
    </w:p>
    <w:p>
      <w:pPr>
        <w:spacing w:after="0" w:line="176" w:lineRule="exact"/>
        <w:rPr>
          <w:sz w:val="20"/>
          <w:szCs w:val="20"/>
          <w:color w:val="auto"/>
        </w:rPr>
      </w:pPr>
    </w:p>
    <w:p>
      <w:pPr>
        <w:spacing w:after="0"/>
        <w:rPr>
          <w:sz w:val="20"/>
          <w:szCs w:val="20"/>
          <w:color w:val="auto"/>
        </w:rPr>
      </w:pPr>
      <w:r>
        <w:rPr>
          <w:rFonts w:ascii="Arial" w:cs="Arial" w:eastAsia="Arial" w:hAnsi="Arial"/>
          <w:sz w:val="15"/>
          <w:szCs w:val="15"/>
          <w:color w:val="auto"/>
        </w:rPr>
        <w:t>As a condition to making any payment, we may require satisfactory evidence that any Payee is alive. We may withhold future payments until we receive this evidence.</w:t>
      </w:r>
    </w:p>
    <w:p>
      <w:pPr>
        <w:spacing w:after="0" w:line="228"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Payments under this Certificate will be made to a Payee unless a Representative has been duly appointed in accordance with the Contract with respect to a Payee. If a Representative has been appointed, we may fulfill our obligation to a Payee under this Certificate by making payments to the Payee's Representative.</w:t>
      </w:r>
    </w:p>
    <w:p>
      <w:pPr>
        <w:spacing w:after="0" w:line="44" w:lineRule="exact"/>
        <w:rPr>
          <w:sz w:val="20"/>
          <w:szCs w:val="20"/>
          <w:color w:val="auto"/>
        </w:rPr>
      </w:pPr>
    </w:p>
    <w:p>
      <w:pPr>
        <w:ind w:right="280"/>
        <w:spacing w:after="0" w:line="287" w:lineRule="auto"/>
        <w:rPr>
          <w:sz w:val="20"/>
          <w:szCs w:val="20"/>
          <w:color w:val="auto"/>
        </w:rPr>
      </w:pPr>
      <w:r>
        <w:rPr>
          <w:rFonts w:ascii="Arial" w:cs="Arial" w:eastAsia="Arial" w:hAnsi="Arial"/>
          <w:sz w:val="15"/>
          <w:szCs w:val="15"/>
          <w:color w:val="auto"/>
        </w:rPr>
        <w:t>[For any Payee who is shown in the Contract as having been paid, prior to the Annuity Commencement Date, Plan benefits over the amount owed under the Plan, such overpayments shall be deducted from the annuity payments otherwise owed to such persons pursuant to the Payment Terms of this Certificate. Nothing in the prior sentence shall relate to information that may have been misstated to us. Such misstatements are governed by the above Misstatements section.]</w:t>
      </w:r>
      <w:r>
        <w:rPr>
          <w:rFonts w:ascii="Arial" w:cs="Arial" w:eastAsia="Arial" w:hAnsi="Arial"/>
          <w:sz w:val="21"/>
          <w:szCs w:val="21"/>
          <w:color w:val="auto"/>
          <w:vertAlign w:val="superscript"/>
        </w:rPr>
        <w:t>D</w:t>
      </w:r>
    </w:p>
    <w:p>
      <w:pPr>
        <w:spacing w:after="0" w:line="2" w:lineRule="exact"/>
        <w:rPr>
          <w:sz w:val="20"/>
          <w:szCs w:val="20"/>
          <w:color w:val="auto"/>
        </w:rPr>
      </w:pPr>
    </w:p>
    <w:p>
      <w:pPr>
        <w:jc w:val="both"/>
        <w:ind w:right="60"/>
        <w:spacing w:after="0" w:line="306" w:lineRule="auto"/>
        <w:rPr>
          <w:sz w:val="20"/>
          <w:szCs w:val="20"/>
          <w:color w:val="auto"/>
        </w:rPr>
      </w:pPr>
      <w:r>
        <w:rPr>
          <w:rFonts w:ascii="Arial" w:cs="Arial" w:eastAsia="Arial" w:hAnsi="Arial"/>
          <w:sz w:val="15"/>
          <w:szCs w:val="15"/>
          <w:color w:val="auto"/>
        </w:rPr>
        <w:t>[For any Payee who is shown in the Contract as having been paid, prior to the Annuity Commencement Date, Plan benefits that were less than the amount owed under the Plan, such underpayments shall be added to the annuity payments otherwise owed to such persons pursuant to the Payment Terms of this Certificate. Nothing in the prior sentence shall relate to information that may have been misstated to us. Such misstatements are governed by the above Misstatements section.]</w:t>
      </w:r>
      <w:r>
        <w:rPr>
          <w:rFonts w:ascii="Arial" w:cs="Arial" w:eastAsia="Arial" w:hAnsi="Arial"/>
          <w:sz w:val="21"/>
          <w:szCs w:val="21"/>
          <w:color w:val="auto"/>
          <w:vertAlign w:val="superscript"/>
        </w:rPr>
        <w:t>D</w:t>
      </w:r>
    </w:p>
    <w:p>
      <w:pPr>
        <w:spacing w:after="0" w:line="4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Certificate Errors and Replacement Certificate:</w:t>
      </w:r>
    </w:p>
    <w:p>
      <w:pPr>
        <w:spacing w:after="0" w:line="209"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This Certificate replaces any certificate that you may have previously received with respect to Prudential's guarantee under the Contract. Please review this Certificate carefully and notify us promptly if you feel any information is incorrect. We are not bound by any incorrect information in this Certificate, nor are we bound by any other errors in this Certificate if clearly inconsistent with the terms of the Contract. We may instead continue to comply with the terms of the Contract as if the Certificate initially had been correctly issued. We may issue a corrected Certificate in the same manner the original Certificate was issued, but we will clearly indicate on the face of the new Certificate that it is a "CORRECTED AND REISSUED" Certificate (or other words to that effect).</w:t>
      </w:r>
    </w:p>
    <w:p>
      <w:pPr>
        <w:spacing w:after="0" w:line="167"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 xml:space="preserve">If you exercise an option that changes your </w:t>
      </w:r>
      <w:r>
        <w:rPr>
          <w:rFonts w:ascii="Arial" w:cs="Arial" w:eastAsia="Arial" w:hAnsi="Arial"/>
          <w:sz w:val="17"/>
          <w:szCs w:val="17"/>
          <w:i w:val="1"/>
          <w:iCs w:val="1"/>
          <w:color w:val="auto"/>
        </w:rPr>
        <w:t>Form of Annuity</w:t>
      </w:r>
      <w:r>
        <w:rPr>
          <w:rFonts w:ascii="Arial" w:cs="Arial" w:eastAsia="Arial" w:hAnsi="Arial"/>
          <w:sz w:val="17"/>
          <w:szCs w:val="17"/>
          <w:color w:val="auto"/>
        </w:rPr>
        <w:t xml:space="preserve">, then a replacement certificate will be issued to you. The replacement certificate will describe the payments that you will receive under your changed </w:t>
      </w:r>
      <w:r>
        <w:rPr>
          <w:rFonts w:ascii="Arial" w:cs="Arial" w:eastAsia="Arial" w:hAnsi="Arial"/>
          <w:sz w:val="17"/>
          <w:szCs w:val="17"/>
          <w:i w:val="1"/>
          <w:iCs w:val="1"/>
          <w:color w:val="auto"/>
        </w:rPr>
        <w:t>Form of Annuity.</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Entire Contract:</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Appendix 1.3 - 38</w:t>
      </w:r>
    </w:p>
    <w:p>
      <w:pPr>
        <w:sectPr>
          <w:pgSz w:w="11900" w:h="16838" w:orient="portrait"/>
          <w:cols w:equalWidth="0" w:num="1">
            <w:col w:w="11420"/>
          </w:cols>
          <w:pgMar w:left="240" w:top="553" w:right="239" w:bottom="1440" w:gutter="0" w:footer="0" w:header="0"/>
        </w:sectPr>
      </w:pPr>
    </w:p>
    <w:bookmarkStart w:id="152" w:name="page153"/>
    <w:bookmarkEnd w:id="152"/>
    <w:p>
      <w:pPr>
        <w:jc w:val="center"/>
        <w:ind w:right="280"/>
        <w:spacing w:after="0"/>
        <w:rPr>
          <w:sz w:val="20"/>
          <w:szCs w:val="20"/>
          <w:color w:val="auto"/>
        </w:rPr>
      </w:pPr>
      <w:r>
        <w:rPr>
          <w:rFonts w:ascii="Arial" w:cs="Arial" w:eastAsia="Arial" w:hAnsi="Arial"/>
          <w:sz w:val="14"/>
          <w:szCs w:val="14"/>
          <w:color w:val="auto"/>
        </w:rPr>
        <w:t>The Contract constitutes the entire agreement between the Contract-Holder and us solely with respect to the annuity payments owed to each payee under the Contract.</w:t>
      </w:r>
    </w:p>
    <w:p>
      <w:pPr>
        <w:spacing w:after="0" w:line="236"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Rights of Payees:</w:t>
      </w:r>
    </w:p>
    <w:p>
      <w:pPr>
        <w:spacing w:after="0" w:line="209" w:lineRule="exact"/>
        <w:rPr>
          <w:sz w:val="20"/>
          <w:szCs w:val="20"/>
          <w:color w:val="auto"/>
        </w:rPr>
      </w:pPr>
    </w:p>
    <w:p>
      <w:pPr>
        <w:ind w:right="400"/>
        <w:spacing w:after="0" w:line="266" w:lineRule="auto"/>
        <w:rPr>
          <w:sz w:val="20"/>
          <w:szCs w:val="20"/>
          <w:color w:val="auto"/>
        </w:rPr>
      </w:pPr>
      <w:r>
        <w:rPr>
          <w:rFonts w:ascii="Arial" w:cs="Arial" w:eastAsia="Arial" w:hAnsi="Arial"/>
          <w:sz w:val="17"/>
          <w:szCs w:val="17"/>
          <w:color w:val="auto"/>
        </w:rPr>
        <w:t>The Payees have the right to receive the annuity payments set forth under this Certificate. Such right to annuity payments is enforceable by the Payees solely against Prudential and no other person including the Plan, Plan sponsor, Contract-Holder or any affiliate thereof.</w:t>
      </w:r>
    </w:p>
    <w:p>
      <w:pPr>
        <w:spacing w:after="0" w:line="164" w:lineRule="exact"/>
        <w:rPr>
          <w:sz w:val="20"/>
          <w:szCs w:val="20"/>
          <w:color w:val="auto"/>
        </w:rPr>
      </w:pPr>
    </w:p>
    <w:p>
      <w:pPr>
        <w:ind w:left="4600"/>
        <w:spacing w:after="0"/>
        <w:rPr>
          <w:sz w:val="20"/>
          <w:szCs w:val="20"/>
          <w:color w:val="auto"/>
        </w:rPr>
      </w:pPr>
      <w:r>
        <w:rPr>
          <w:rFonts w:ascii="Arial" w:cs="Arial" w:eastAsia="Arial" w:hAnsi="Arial"/>
          <w:sz w:val="17"/>
          <w:szCs w:val="17"/>
          <w:b w:val="1"/>
          <w:bCs w:val="1"/>
          <w:color w:val="auto"/>
        </w:rPr>
        <w:t>Prudential Telephone Number:</w:t>
      </w:r>
    </w:p>
    <w:p>
      <w:pPr>
        <w:spacing w:after="0" w:line="209" w:lineRule="exact"/>
        <w:rPr>
          <w:sz w:val="20"/>
          <w:szCs w:val="20"/>
          <w:color w:val="auto"/>
        </w:rPr>
      </w:pPr>
    </w:p>
    <w:p>
      <w:pPr>
        <w:ind w:left="1800"/>
        <w:spacing w:after="0"/>
        <w:rPr>
          <w:sz w:val="20"/>
          <w:szCs w:val="20"/>
          <w:color w:val="auto"/>
        </w:rPr>
      </w:pPr>
      <w:r>
        <w:rPr>
          <w:rFonts w:ascii="Arial" w:cs="Arial" w:eastAsia="Arial" w:hAnsi="Arial"/>
          <w:sz w:val="17"/>
          <w:szCs w:val="17"/>
          <w:color w:val="auto"/>
        </w:rPr>
        <w:t>The Prudential Insurance Company of America</w:t>
      </w:r>
    </w:p>
    <w:p>
      <w:pPr>
        <w:spacing w:after="0" w:line="17" w:lineRule="exact"/>
        <w:rPr>
          <w:sz w:val="20"/>
          <w:szCs w:val="20"/>
          <w:color w:val="auto"/>
        </w:rPr>
      </w:pPr>
    </w:p>
    <w:p>
      <w:pPr>
        <w:ind w:left="1800"/>
        <w:spacing w:after="0"/>
        <w:rPr>
          <w:sz w:val="20"/>
          <w:szCs w:val="20"/>
          <w:color w:val="auto"/>
        </w:rPr>
      </w:pPr>
      <w:r>
        <w:rPr>
          <w:rFonts w:ascii="Arial" w:cs="Arial" w:eastAsia="Arial" w:hAnsi="Arial"/>
          <w:sz w:val="23"/>
          <w:szCs w:val="23"/>
          <w:b w:val="1"/>
          <w:bCs w:val="1"/>
          <w:color w:val="auto"/>
        </w:rPr>
        <w:t>[</w:t>
      </w:r>
      <w:r>
        <w:rPr>
          <w:rFonts w:ascii="Arial" w:cs="Arial" w:eastAsia="Arial" w:hAnsi="Arial"/>
          <w:sz w:val="16"/>
          <w:szCs w:val="16"/>
          <w:color w:val="auto"/>
        </w:rPr>
        <w:t>1-800-621-1089</w:t>
      </w:r>
      <w:r>
        <w:rPr>
          <w:rFonts w:ascii="Arial" w:cs="Arial" w:eastAsia="Arial" w:hAnsi="Arial"/>
          <w:sz w:val="23"/>
          <w:szCs w:val="23"/>
          <w:b w:val="1"/>
          <w:bCs w:val="1"/>
          <w:color w:val="auto"/>
        </w:rPr>
        <w:t>]</w:t>
      </w:r>
      <w:r>
        <w:rPr>
          <w:rFonts w:ascii="Arial" w:cs="Arial" w:eastAsia="Arial" w:hAnsi="Arial"/>
          <w:sz w:val="26"/>
          <w:szCs w:val="26"/>
          <w:b w:val="1"/>
          <w:bCs w:val="1"/>
          <w:color w:val="auto"/>
          <w:vertAlign w:val="superscript"/>
        </w:rPr>
        <w:t>C</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To contact us, please use the above-listed telephone number.</w:t>
      </w: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[Deductions from Annuity Payments:</w:t>
      </w:r>
    </w:p>
    <w:p>
      <w:pPr>
        <w:spacing w:after="0" w:line="222" w:lineRule="exact"/>
        <w:rPr>
          <w:sz w:val="20"/>
          <w:szCs w:val="20"/>
          <w:color w:val="auto"/>
        </w:rPr>
      </w:pPr>
    </w:p>
    <w:p>
      <w:pPr>
        <w:spacing w:after="0" w:line="303" w:lineRule="auto"/>
        <w:rPr>
          <w:sz w:val="20"/>
          <w:szCs w:val="20"/>
          <w:color w:val="auto"/>
        </w:rPr>
      </w:pPr>
      <w:r>
        <w:rPr>
          <w:rFonts w:ascii="Arial" w:cs="Arial" w:eastAsia="Arial" w:hAnsi="Arial"/>
          <w:sz w:val="15"/>
          <w:szCs w:val="15"/>
          <w:color w:val="auto"/>
        </w:rPr>
        <w:t xml:space="preserve">You (or your Contingent Life) may request in writing in a manner specified by us that we deduct a specified amount each month from the amounts we pay to you (or your Contingent Life). The amounts will be applied for payment of your health care premiums and for payment of other benefits that were permitted to be deducted from Plan benefits governed by the Plan. Upon receipt by us of the request, the amount specified in the request shall, subject to our consent, be deducted each month. Deductions will end if we receive a request (in a manner specified by us) from you (or your Contingent Life) to do so. The amount deducted each month shall be transferred on your behalf (or your Contingent Life's behalf) as specified in the request. The amount transferred will be in full settlement of all of our obligations under the Contract with respect to the amount transferred. Deductions by us on your behalf (or on behalf of your Contingent Life) will begin or end, as the case may be, no earlier than the annuity payment that is due at least 30 days following our receipt of the request to begin or end deductions for you or your Contingent Life).] </w:t>
      </w:r>
      <w:r>
        <w:rPr>
          <w:rFonts w:ascii="Arial" w:cs="Arial" w:eastAsia="Arial" w:hAnsi="Arial"/>
          <w:sz w:val="21"/>
          <w:szCs w:val="21"/>
          <w:color w:val="auto"/>
          <w:vertAlign w:val="superscript"/>
        </w:rPr>
        <w:t>D</w:t>
      </w:r>
    </w:p>
    <w:p>
      <w:pPr>
        <w:spacing w:after="0" w:line="262"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Additional Details:</w:t>
      </w:r>
    </w:p>
    <w:p>
      <w:pPr>
        <w:spacing w:after="0" w:line="209" w:lineRule="exact"/>
        <w:rPr>
          <w:sz w:val="20"/>
          <w:szCs w:val="20"/>
          <w:color w:val="auto"/>
        </w:rPr>
      </w:pPr>
    </w:p>
    <w:p>
      <w:pPr>
        <w:ind w:right="600"/>
        <w:spacing w:after="0" w:line="298" w:lineRule="auto"/>
        <w:rPr>
          <w:sz w:val="20"/>
          <w:szCs w:val="20"/>
          <w:color w:val="auto"/>
        </w:rPr>
      </w:pPr>
      <w:r>
        <w:rPr>
          <w:rFonts w:ascii="Arial" w:cs="Arial" w:eastAsia="Arial" w:hAnsi="Arial"/>
          <w:sz w:val="16"/>
          <w:szCs w:val="16"/>
          <w:color w:val="auto"/>
        </w:rPr>
        <w:t>This Certificate contains a summary of certain important terms of the Contract. The Contract contains a more complete description of your rights and Prudential's obligations. The Contract will control in the event of a conflict between the terms of this Certificate and the terms of the Contract.</w:t>
      </w:r>
    </w:p>
    <w:p>
      <w:pPr>
        <w:spacing w:after="0" w:line="344" w:lineRule="exact"/>
        <w:rPr>
          <w:sz w:val="20"/>
          <w:szCs w:val="20"/>
          <w:color w:val="auto"/>
        </w:rPr>
      </w:pPr>
    </w:p>
    <w:p>
      <w:pPr>
        <w:jc w:val="both"/>
        <w:ind w:right="360"/>
        <w:spacing w:after="0" w:line="334" w:lineRule="auto"/>
        <w:rPr>
          <w:sz w:val="20"/>
          <w:szCs w:val="20"/>
          <w:color w:val="auto"/>
        </w:rPr>
      </w:pPr>
      <w:r>
        <w:rPr>
          <w:rFonts w:ascii="Arial" w:cs="Arial" w:eastAsia="Arial" w:hAnsi="Arial"/>
          <w:sz w:val="15"/>
          <w:szCs w:val="15"/>
          <w:color w:val="auto"/>
        </w:rPr>
        <w:t>Upon a change in the requirements of applicable law or a regulation administered by a governmental agency, we may change the Contract and/or this Certificate. If a change is made, it may be done without the consent of the Payee. Any change will be made only as strictly necessary to satisfy the requirements of law or regulation.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INDEX:</w:t>
      </w:r>
    </w:p>
    <w:p>
      <w:pPr>
        <w:spacing w:after="0" w:line="200" w:lineRule="exact"/>
        <w:rPr>
          <w:sz w:val="20"/>
          <w:szCs w:val="20"/>
          <w:color w:val="auto"/>
        </w:rPr>
      </w:pPr>
    </w:p>
    <w:p>
      <w:pPr>
        <w:spacing w:after="0" w:line="24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Appendix 1.3 - 39</w:t>
      </w:r>
    </w:p>
    <w:p>
      <w:pPr>
        <w:sectPr>
          <w:pgSz w:w="11900" w:h="16838" w:orient="portrait"/>
          <w:cols w:equalWidth="0" w:num="1">
            <w:col w:w="11380"/>
          </w:cols>
          <w:pgMar w:left="240" w:top="753" w:right="279" w:bottom="1440" w:gutter="0" w:footer="0" w:header="0"/>
        </w:sectPr>
      </w:pPr>
    </w:p>
    <w:bookmarkStart w:id="153" w:name="page154"/>
    <w:bookmarkEnd w:id="153"/>
    <w:tbl>
      <w:tblPr>
        <w:tblLayout w:type="fixed"/>
        <w:tblInd w:w="510" w:type="dxa"/>
        <w:tblCellMar>
          <w:top w:w="0" w:type="dxa"/>
          <w:left w:w="0" w:type="dxa"/>
          <w:bottom w:w="0" w:type="dxa"/>
          <w:right w:w="0" w:type="dxa"/>
        </w:tblCellMar>
      </w:tblPr>
      <w:tr>
        <w:trPr>
          <w:trHeight w:val="254"/>
        </w:trPr>
        <w:tc>
          <w:tcPr>
            <w:tcW w:w="48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Annuity Certificate Section:</w:t>
            </w:r>
          </w:p>
        </w:tc>
        <w:tc>
          <w:tcPr>
            <w:tcW w:w="32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Page Number</w:t>
            </w:r>
          </w:p>
        </w:tc>
      </w:tr>
      <w:tr>
        <w:trPr>
          <w:trHeight w:val="21"/>
        </w:trPr>
        <w:tc>
          <w:tcPr>
            <w:tcW w:w="48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200" w:type="dxa"/>
            <w:vAlign w:val="bottom"/>
            <w:tcBorders>
              <w:bottom w:val="single" w:sz="8" w:color="auto"/>
              <w:right w:val="single" w:sz="8" w:color="auto"/>
            </w:tcBorders>
          </w:tcPr>
          <w:p>
            <w:pPr>
              <w:spacing w:after="0" w:line="20" w:lineRule="exact"/>
              <w:rPr>
                <w:sz w:val="1"/>
                <w:szCs w:val="1"/>
                <w:color w:val="auto"/>
              </w:rPr>
            </w:pPr>
          </w:p>
        </w:tc>
      </w:tr>
      <w:tr>
        <w:trPr>
          <w:trHeight w:val="706"/>
        </w:trPr>
        <w:tc>
          <w:tcPr>
            <w:tcW w:w="4840" w:type="dxa"/>
            <w:vAlign w:val="bottom"/>
            <w:tcBorders>
              <w:left w:val="single" w:sz="8" w:color="auto"/>
              <w:bottom w:val="single" w:sz="8" w:color="auto"/>
              <w:right w:val="single" w:sz="8" w:color="auto"/>
            </w:tcBorders>
          </w:tcPr>
          <w:p>
            <w:pPr>
              <w:spacing w:after="0"/>
              <w:rPr>
                <w:sz w:val="24"/>
                <w:szCs w:val="24"/>
                <w:color w:val="auto"/>
              </w:rPr>
            </w:pPr>
          </w:p>
        </w:tc>
        <w:tc>
          <w:tcPr>
            <w:tcW w:w="3200" w:type="dxa"/>
            <w:vAlign w:val="bottom"/>
            <w:tcBorders>
              <w:bottom w:val="single" w:sz="8" w:color="auto"/>
              <w:right w:val="single" w:sz="8" w:color="auto"/>
            </w:tcBorders>
          </w:tcPr>
          <w:p>
            <w:pPr>
              <w:spacing w:after="0"/>
              <w:rPr>
                <w:sz w:val="24"/>
                <w:szCs w:val="24"/>
                <w:color w:val="auto"/>
              </w:rPr>
            </w:pPr>
          </w:p>
        </w:tc>
      </w:tr>
      <w:tr>
        <w:trPr>
          <w:trHeight w:val="234"/>
        </w:trPr>
        <w:tc>
          <w:tcPr>
            <w:tcW w:w="4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Table of Information</w:t>
            </w: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w:t>
            </w:r>
          </w:p>
        </w:tc>
      </w:tr>
      <w:tr>
        <w:trPr>
          <w:trHeight w:val="21"/>
        </w:trPr>
        <w:tc>
          <w:tcPr>
            <w:tcW w:w="48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200" w:type="dxa"/>
            <w:vAlign w:val="bottom"/>
            <w:tcBorders>
              <w:bottom w:val="single" w:sz="8" w:color="auto"/>
              <w:right w:val="single" w:sz="8" w:color="auto"/>
            </w:tcBorders>
          </w:tcPr>
          <w:p>
            <w:pPr>
              <w:spacing w:after="0" w:line="20" w:lineRule="exact"/>
              <w:rPr>
                <w:sz w:val="1"/>
                <w:szCs w:val="1"/>
                <w:color w:val="auto"/>
              </w:rPr>
            </w:pPr>
          </w:p>
        </w:tc>
      </w:tr>
      <w:tr>
        <w:trPr>
          <w:trHeight w:val="234"/>
        </w:trPr>
        <w:tc>
          <w:tcPr>
            <w:tcW w:w="4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Prudential's Guarantee</w:t>
            </w: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2</w:t>
            </w:r>
          </w:p>
        </w:tc>
      </w:tr>
      <w:tr>
        <w:trPr>
          <w:trHeight w:val="21"/>
        </w:trPr>
        <w:tc>
          <w:tcPr>
            <w:tcW w:w="48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200" w:type="dxa"/>
            <w:vAlign w:val="bottom"/>
            <w:tcBorders>
              <w:bottom w:val="single" w:sz="8" w:color="auto"/>
              <w:right w:val="single" w:sz="8" w:color="auto"/>
            </w:tcBorders>
          </w:tcPr>
          <w:p>
            <w:pPr>
              <w:spacing w:after="0" w:line="20" w:lineRule="exact"/>
              <w:rPr>
                <w:sz w:val="1"/>
                <w:szCs w:val="1"/>
                <w:color w:val="auto"/>
              </w:rPr>
            </w:pPr>
          </w:p>
        </w:tc>
      </w:tr>
      <w:tr>
        <w:trPr>
          <w:trHeight w:val="234"/>
        </w:trPr>
        <w:tc>
          <w:tcPr>
            <w:tcW w:w="4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Definitions &amp; References</w:t>
            </w: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2</w:t>
            </w:r>
          </w:p>
        </w:tc>
      </w:tr>
      <w:tr>
        <w:trPr>
          <w:trHeight w:val="21"/>
        </w:trPr>
        <w:tc>
          <w:tcPr>
            <w:tcW w:w="48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200" w:type="dxa"/>
            <w:vAlign w:val="bottom"/>
            <w:tcBorders>
              <w:bottom w:val="single" w:sz="8" w:color="auto"/>
              <w:right w:val="single" w:sz="8" w:color="auto"/>
            </w:tcBorders>
          </w:tcPr>
          <w:p>
            <w:pPr>
              <w:spacing w:after="0" w:line="20" w:lineRule="exact"/>
              <w:rPr>
                <w:sz w:val="1"/>
                <w:szCs w:val="1"/>
                <w:color w:val="auto"/>
              </w:rPr>
            </w:pPr>
          </w:p>
        </w:tc>
      </w:tr>
      <w:tr>
        <w:trPr>
          <w:trHeight w:val="234"/>
        </w:trPr>
        <w:tc>
          <w:tcPr>
            <w:tcW w:w="4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Payment Terms</w:t>
            </w: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2</w:t>
            </w:r>
          </w:p>
        </w:tc>
      </w:tr>
      <w:tr>
        <w:trPr>
          <w:trHeight w:val="21"/>
        </w:trPr>
        <w:tc>
          <w:tcPr>
            <w:tcW w:w="48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200" w:type="dxa"/>
            <w:vAlign w:val="bottom"/>
            <w:tcBorders>
              <w:bottom w:val="single" w:sz="8" w:color="auto"/>
              <w:right w:val="single" w:sz="8" w:color="auto"/>
            </w:tcBorders>
          </w:tcPr>
          <w:p>
            <w:pPr>
              <w:spacing w:after="0" w:line="20" w:lineRule="exact"/>
              <w:rPr>
                <w:sz w:val="1"/>
                <w:szCs w:val="1"/>
                <w:color w:val="auto"/>
              </w:rPr>
            </w:pPr>
          </w:p>
        </w:tc>
      </w:tr>
      <w:tr>
        <w:trPr>
          <w:trHeight w:val="234"/>
        </w:trPr>
        <w:tc>
          <w:tcPr>
            <w:tcW w:w="4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Method of Payment</w:t>
            </w: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3</w:t>
            </w:r>
          </w:p>
        </w:tc>
      </w:tr>
      <w:tr>
        <w:trPr>
          <w:trHeight w:val="21"/>
        </w:trPr>
        <w:tc>
          <w:tcPr>
            <w:tcW w:w="48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200" w:type="dxa"/>
            <w:vAlign w:val="bottom"/>
            <w:tcBorders>
              <w:bottom w:val="single" w:sz="8" w:color="auto"/>
              <w:right w:val="single" w:sz="8" w:color="auto"/>
            </w:tcBorders>
          </w:tcPr>
          <w:p>
            <w:pPr>
              <w:spacing w:after="0" w:line="20" w:lineRule="exact"/>
              <w:rPr>
                <w:sz w:val="1"/>
                <w:szCs w:val="1"/>
                <w:color w:val="auto"/>
              </w:rPr>
            </w:pPr>
          </w:p>
        </w:tc>
      </w:tr>
      <w:tr>
        <w:trPr>
          <w:trHeight w:val="234"/>
        </w:trPr>
        <w:tc>
          <w:tcPr>
            <w:tcW w:w="4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Correspondence</w:t>
            </w: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3</w:t>
            </w:r>
          </w:p>
        </w:tc>
      </w:tr>
      <w:tr>
        <w:trPr>
          <w:trHeight w:val="21"/>
        </w:trPr>
        <w:tc>
          <w:tcPr>
            <w:tcW w:w="48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200" w:type="dxa"/>
            <w:vAlign w:val="bottom"/>
            <w:tcBorders>
              <w:bottom w:val="single" w:sz="8" w:color="auto"/>
              <w:right w:val="single" w:sz="8" w:color="auto"/>
            </w:tcBorders>
          </w:tcPr>
          <w:p>
            <w:pPr>
              <w:spacing w:after="0" w:line="20" w:lineRule="exact"/>
              <w:rPr>
                <w:sz w:val="1"/>
                <w:szCs w:val="1"/>
                <w:color w:val="auto"/>
              </w:rPr>
            </w:pPr>
          </w:p>
        </w:tc>
      </w:tr>
      <w:tr>
        <w:trPr>
          <w:trHeight w:val="234"/>
        </w:trPr>
        <w:tc>
          <w:tcPr>
            <w:tcW w:w="4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Beneficiaries</w:t>
            </w: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3</w:t>
            </w:r>
          </w:p>
        </w:tc>
      </w:tr>
      <w:tr>
        <w:trPr>
          <w:trHeight w:val="21"/>
        </w:trPr>
        <w:tc>
          <w:tcPr>
            <w:tcW w:w="48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200" w:type="dxa"/>
            <w:vAlign w:val="bottom"/>
            <w:tcBorders>
              <w:bottom w:val="single" w:sz="8" w:color="auto"/>
              <w:right w:val="single" w:sz="8" w:color="auto"/>
            </w:tcBorders>
          </w:tcPr>
          <w:p>
            <w:pPr>
              <w:spacing w:after="0" w:line="20" w:lineRule="exact"/>
              <w:rPr>
                <w:sz w:val="1"/>
                <w:szCs w:val="1"/>
                <w:color w:val="auto"/>
              </w:rPr>
            </w:pPr>
          </w:p>
        </w:tc>
      </w:tr>
      <w:tr>
        <w:trPr>
          <w:trHeight w:val="234"/>
        </w:trPr>
        <w:tc>
          <w:tcPr>
            <w:tcW w:w="4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Assignment</w:t>
            </w: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3</w:t>
            </w:r>
          </w:p>
        </w:tc>
      </w:tr>
      <w:tr>
        <w:trPr>
          <w:trHeight w:val="21"/>
        </w:trPr>
        <w:tc>
          <w:tcPr>
            <w:tcW w:w="48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200" w:type="dxa"/>
            <w:vAlign w:val="bottom"/>
            <w:tcBorders>
              <w:bottom w:val="single" w:sz="8" w:color="auto"/>
              <w:right w:val="single" w:sz="8" w:color="auto"/>
            </w:tcBorders>
          </w:tcPr>
          <w:p>
            <w:pPr>
              <w:spacing w:after="0" w:line="20" w:lineRule="exact"/>
              <w:rPr>
                <w:sz w:val="1"/>
                <w:szCs w:val="1"/>
                <w:color w:val="auto"/>
              </w:rPr>
            </w:pPr>
          </w:p>
        </w:tc>
      </w:tr>
      <w:tr>
        <w:trPr>
          <w:trHeight w:val="234"/>
        </w:trPr>
        <w:tc>
          <w:tcPr>
            <w:tcW w:w="4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Qualified Domestic Relations Orders</w:t>
            </w: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3</w:t>
            </w:r>
          </w:p>
        </w:tc>
      </w:tr>
      <w:tr>
        <w:trPr>
          <w:trHeight w:val="21"/>
        </w:trPr>
        <w:tc>
          <w:tcPr>
            <w:tcW w:w="48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200" w:type="dxa"/>
            <w:vAlign w:val="bottom"/>
            <w:tcBorders>
              <w:bottom w:val="single" w:sz="8" w:color="auto"/>
              <w:right w:val="single" w:sz="8" w:color="auto"/>
            </w:tcBorders>
          </w:tcPr>
          <w:p>
            <w:pPr>
              <w:spacing w:after="0" w:line="20" w:lineRule="exact"/>
              <w:rPr>
                <w:sz w:val="1"/>
                <w:szCs w:val="1"/>
                <w:color w:val="auto"/>
              </w:rPr>
            </w:pPr>
          </w:p>
        </w:tc>
      </w:tr>
      <w:tr>
        <w:trPr>
          <w:trHeight w:val="234"/>
        </w:trPr>
        <w:tc>
          <w:tcPr>
            <w:tcW w:w="4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Reliance Upon Affidavit or Other Evidence</w:t>
            </w: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4</w:t>
            </w:r>
          </w:p>
        </w:tc>
      </w:tr>
      <w:tr>
        <w:trPr>
          <w:trHeight w:val="21"/>
        </w:trPr>
        <w:tc>
          <w:tcPr>
            <w:tcW w:w="48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200" w:type="dxa"/>
            <w:vAlign w:val="bottom"/>
            <w:tcBorders>
              <w:bottom w:val="single" w:sz="8" w:color="auto"/>
              <w:right w:val="single" w:sz="8" w:color="auto"/>
            </w:tcBorders>
          </w:tcPr>
          <w:p>
            <w:pPr>
              <w:spacing w:after="0" w:line="20" w:lineRule="exact"/>
              <w:rPr>
                <w:sz w:val="1"/>
                <w:szCs w:val="1"/>
                <w:color w:val="auto"/>
              </w:rPr>
            </w:pPr>
          </w:p>
        </w:tc>
      </w:tr>
      <w:tr>
        <w:trPr>
          <w:trHeight w:val="234"/>
        </w:trPr>
        <w:tc>
          <w:tcPr>
            <w:tcW w:w="4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Misstatements</w:t>
            </w: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4</w:t>
            </w:r>
          </w:p>
        </w:tc>
      </w:tr>
      <w:tr>
        <w:trPr>
          <w:trHeight w:val="21"/>
        </w:trPr>
        <w:tc>
          <w:tcPr>
            <w:tcW w:w="48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200" w:type="dxa"/>
            <w:vAlign w:val="bottom"/>
            <w:tcBorders>
              <w:bottom w:val="single" w:sz="8" w:color="auto"/>
              <w:right w:val="single" w:sz="8" w:color="auto"/>
            </w:tcBorders>
          </w:tcPr>
          <w:p>
            <w:pPr>
              <w:spacing w:after="0" w:line="20" w:lineRule="exact"/>
              <w:rPr>
                <w:sz w:val="1"/>
                <w:szCs w:val="1"/>
                <w:color w:val="auto"/>
              </w:rPr>
            </w:pPr>
          </w:p>
        </w:tc>
      </w:tr>
      <w:tr>
        <w:trPr>
          <w:trHeight w:val="234"/>
        </w:trPr>
        <w:tc>
          <w:tcPr>
            <w:tcW w:w="4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Supplemental Information</w:t>
            </w: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4</w:t>
            </w:r>
          </w:p>
        </w:tc>
      </w:tr>
      <w:tr>
        <w:trPr>
          <w:trHeight w:val="21"/>
        </w:trPr>
        <w:tc>
          <w:tcPr>
            <w:tcW w:w="48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200" w:type="dxa"/>
            <w:vAlign w:val="bottom"/>
            <w:tcBorders>
              <w:bottom w:val="single" w:sz="8" w:color="auto"/>
              <w:right w:val="single" w:sz="8" w:color="auto"/>
            </w:tcBorders>
          </w:tcPr>
          <w:p>
            <w:pPr>
              <w:spacing w:after="0" w:line="20" w:lineRule="exact"/>
              <w:rPr>
                <w:sz w:val="1"/>
                <w:szCs w:val="1"/>
                <w:color w:val="auto"/>
              </w:rPr>
            </w:pPr>
          </w:p>
        </w:tc>
      </w:tr>
      <w:tr>
        <w:trPr>
          <w:trHeight w:val="234"/>
        </w:trPr>
        <w:tc>
          <w:tcPr>
            <w:tcW w:w="4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Certificate Errors and Replacement Certificate</w:t>
            </w: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5</w:t>
            </w:r>
          </w:p>
        </w:tc>
      </w:tr>
      <w:tr>
        <w:trPr>
          <w:trHeight w:val="21"/>
        </w:trPr>
        <w:tc>
          <w:tcPr>
            <w:tcW w:w="48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200" w:type="dxa"/>
            <w:vAlign w:val="bottom"/>
            <w:tcBorders>
              <w:bottom w:val="single" w:sz="8" w:color="auto"/>
              <w:right w:val="single" w:sz="8" w:color="auto"/>
            </w:tcBorders>
          </w:tcPr>
          <w:p>
            <w:pPr>
              <w:spacing w:after="0" w:line="20" w:lineRule="exact"/>
              <w:rPr>
                <w:sz w:val="1"/>
                <w:szCs w:val="1"/>
                <w:color w:val="auto"/>
              </w:rPr>
            </w:pPr>
          </w:p>
        </w:tc>
      </w:tr>
      <w:tr>
        <w:trPr>
          <w:trHeight w:val="234"/>
        </w:trPr>
        <w:tc>
          <w:tcPr>
            <w:tcW w:w="4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Entire Contract</w:t>
            </w: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5</w:t>
            </w:r>
          </w:p>
        </w:tc>
      </w:tr>
      <w:tr>
        <w:trPr>
          <w:trHeight w:val="21"/>
        </w:trPr>
        <w:tc>
          <w:tcPr>
            <w:tcW w:w="48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200" w:type="dxa"/>
            <w:vAlign w:val="bottom"/>
            <w:tcBorders>
              <w:bottom w:val="single" w:sz="8" w:color="auto"/>
              <w:right w:val="single" w:sz="8" w:color="auto"/>
            </w:tcBorders>
          </w:tcPr>
          <w:p>
            <w:pPr>
              <w:spacing w:after="0" w:line="20" w:lineRule="exact"/>
              <w:rPr>
                <w:sz w:val="1"/>
                <w:szCs w:val="1"/>
                <w:color w:val="auto"/>
              </w:rPr>
            </w:pPr>
          </w:p>
        </w:tc>
      </w:tr>
      <w:tr>
        <w:trPr>
          <w:trHeight w:val="234"/>
        </w:trPr>
        <w:tc>
          <w:tcPr>
            <w:tcW w:w="4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Rights of Payees</w:t>
            </w: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5</w:t>
            </w:r>
          </w:p>
        </w:tc>
      </w:tr>
      <w:tr>
        <w:trPr>
          <w:trHeight w:val="21"/>
        </w:trPr>
        <w:tc>
          <w:tcPr>
            <w:tcW w:w="48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200" w:type="dxa"/>
            <w:vAlign w:val="bottom"/>
            <w:tcBorders>
              <w:bottom w:val="single" w:sz="8" w:color="auto"/>
              <w:right w:val="single" w:sz="8" w:color="auto"/>
            </w:tcBorders>
          </w:tcPr>
          <w:p>
            <w:pPr>
              <w:spacing w:after="0" w:line="20" w:lineRule="exact"/>
              <w:rPr>
                <w:sz w:val="1"/>
                <w:szCs w:val="1"/>
                <w:color w:val="auto"/>
              </w:rPr>
            </w:pPr>
          </w:p>
        </w:tc>
      </w:tr>
      <w:tr>
        <w:trPr>
          <w:trHeight w:val="234"/>
        </w:trPr>
        <w:tc>
          <w:tcPr>
            <w:tcW w:w="4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Prudential Telephone Number</w:t>
            </w: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5</w:t>
            </w:r>
          </w:p>
        </w:tc>
      </w:tr>
      <w:tr>
        <w:trPr>
          <w:trHeight w:val="21"/>
        </w:trPr>
        <w:tc>
          <w:tcPr>
            <w:tcW w:w="48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200" w:type="dxa"/>
            <w:vAlign w:val="bottom"/>
            <w:tcBorders>
              <w:bottom w:val="single" w:sz="8" w:color="auto"/>
              <w:right w:val="single" w:sz="8" w:color="auto"/>
            </w:tcBorders>
          </w:tcPr>
          <w:p>
            <w:pPr>
              <w:spacing w:after="0" w:line="20" w:lineRule="exact"/>
              <w:rPr>
                <w:sz w:val="1"/>
                <w:szCs w:val="1"/>
                <w:color w:val="auto"/>
              </w:rPr>
            </w:pPr>
          </w:p>
        </w:tc>
      </w:tr>
      <w:tr>
        <w:trPr>
          <w:trHeight w:val="234"/>
        </w:trPr>
        <w:tc>
          <w:tcPr>
            <w:tcW w:w="4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Deductions from Annuity Payments</w:t>
            </w: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5</w:t>
            </w:r>
          </w:p>
        </w:tc>
      </w:tr>
      <w:tr>
        <w:trPr>
          <w:trHeight w:val="21"/>
        </w:trPr>
        <w:tc>
          <w:tcPr>
            <w:tcW w:w="48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200" w:type="dxa"/>
            <w:vAlign w:val="bottom"/>
            <w:tcBorders>
              <w:bottom w:val="single" w:sz="8" w:color="auto"/>
              <w:right w:val="single" w:sz="8" w:color="auto"/>
            </w:tcBorders>
          </w:tcPr>
          <w:p>
            <w:pPr>
              <w:spacing w:after="0" w:line="20" w:lineRule="exact"/>
              <w:rPr>
                <w:sz w:val="1"/>
                <w:szCs w:val="1"/>
                <w:color w:val="auto"/>
              </w:rPr>
            </w:pPr>
          </w:p>
        </w:tc>
      </w:tr>
      <w:tr>
        <w:trPr>
          <w:trHeight w:val="234"/>
        </w:trPr>
        <w:tc>
          <w:tcPr>
            <w:tcW w:w="4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Additional Details</w:t>
            </w: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5</w:t>
            </w:r>
          </w:p>
        </w:tc>
      </w:tr>
      <w:tr>
        <w:trPr>
          <w:trHeight w:val="21"/>
        </w:trPr>
        <w:tc>
          <w:tcPr>
            <w:tcW w:w="48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200" w:type="dxa"/>
            <w:vAlign w:val="bottom"/>
            <w:tcBorders>
              <w:bottom w:val="single" w:sz="8" w:color="auto"/>
              <w:right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Appendix 1.3 - 40</w:t>
      </w:r>
    </w:p>
    <w:p>
      <w:pPr>
        <w:sectPr>
          <w:pgSz w:w="11900" w:h="16838" w:orient="portrait"/>
          <w:cols w:equalWidth="0" w:num="1">
            <w:col w:w="9019"/>
          </w:cols>
          <w:pgMar w:left="1440" w:top="671" w:right="1440" w:bottom="1440" w:gutter="0" w:footer="0" w:header="0"/>
        </w:sectPr>
      </w:pPr>
    </w:p>
    <w:bookmarkStart w:id="154" w:name="page155"/>
    <w:bookmarkEnd w:id="154"/>
    <w:p>
      <w:pPr>
        <w:jc w:val="center"/>
        <w:ind w:right="-19"/>
        <w:spacing w:after="0"/>
        <w:rPr>
          <w:sz w:val="20"/>
          <w:szCs w:val="20"/>
          <w:color w:val="auto"/>
        </w:rPr>
      </w:pPr>
      <w:r>
        <w:rPr>
          <w:rFonts w:ascii="Arial" w:cs="Arial" w:eastAsia="Arial" w:hAnsi="Arial"/>
          <w:sz w:val="20"/>
          <w:szCs w:val="20"/>
          <w:b w:val="1"/>
          <w:bCs w:val="1"/>
          <w:u w:val="single" w:color="auto"/>
          <w:color w:val="auto"/>
        </w:rPr>
        <w:t>Appendix 2.1-A</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MECHANICS FOR TRANSFER OF FINAL PLAN PORTFOLIO</w:t>
      </w:r>
    </w:p>
    <w:p>
      <w:pPr>
        <w:spacing w:after="0" w:line="191" w:lineRule="exact"/>
        <w:rPr>
          <w:sz w:val="20"/>
          <w:szCs w:val="20"/>
          <w:color w:val="auto"/>
        </w:rPr>
      </w:pPr>
    </w:p>
    <w:p>
      <w:pPr>
        <w:ind w:left="520" w:hanging="520"/>
        <w:spacing w:after="0"/>
        <w:tabs>
          <w:tab w:leader="none" w:pos="520" w:val="left"/>
        </w:tabs>
        <w:numPr>
          <w:ilvl w:val="0"/>
          <w:numId w:val="153"/>
        </w:numPr>
        <w:rPr>
          <w:rFonts w:ascii="Arial" w:cs="Arial" w:eastAsia="Arial" w:hAnsi="Arial"/>
          <w:sz w:val="20"/>
          <w:szCs w:val="20"/>
          <w:color w:val="auto"/>
        </w:rPr>
      </w:pPr>
      <w:r>
        <w:rPr>
          <w:rFonts w:ascii="Arial" w:cs="Arial" w:eastAsia="Arial" w:hAnsi="Arial"/>
          <w:sz w:val="20"/>
          <w:szCs w:val="20"/>
          <w:b w:val="1"/>
          <w:bCs w:val="1"/>
          <w:u w:val="single" w:color="auto"/>
          <w:color w:val="auto"/>
        </w:rPr>
        <w:t xml:space="preserve">Additional Requirements Regarding [ *** </w:t>
      </w:r>
      <w:r>
        <w:rPr>
          <w:rFonts w:ascii="Arial" w:cs="Arial" w:eastAsia="Arial" w:hAnsi="Arial"/>
          <w:sz w:val="21"/>
          <w:szCs w:val="21"/>
          <w:b w:val="1"/>
          <w:bCs w:val="1"/>
          <w:u w:val="single" w:color="auto"/>
          <w:color w:val="auto"/>
        </w:rPr>
        <w: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9"/>
          <w:szCs w:val="19"/>
          <w:color w:val="auto"/>
        </w:rPr>
        <w:t>]</w:t>
      </w:r>
      <w:r>
        <w:rPr>
          <w:rFonts w:ascii="Arial" w:cs="Arial" w:eastAsia="Arial" w:hAnsi="Arial"/>
          <w:sz w:val="18"/>
          <w:szCs w:val="18"/>
          <w:color w:val="auto"/>
        </w:rPr>
        <w:t xml:space="preserve"> will be transferred pursuant to the [ *** </w:t>
      </w:r>
      <w:r>
        <w:rPr>
          <w:rFonts w:ascii="Arial" w:cs="Arial" w:eastAsia="Arial" w:hAnsi="Arial"/>
          <w:sz w:val="19"/>
          <w:szCs w:val="19"/>
          <w:color w:val="auto"/>
        </w:rPr>
        <w:t>]</w:t>
      </w:r>
      <w:r>
        <w:rPr>
          <w:rFonts w:ascii="Arial" w:cs="Arial" w:eastAsia="Arial" w:hAnsi="Arial"/>
          <w:sz w:val="18"/>
          <w:szCs w:val="18"/>
          <w:color w:val="auto"/>
        </w:rPr>
        <w:t xml:space="preserve"> in form reasonably satisfactory to the Parties, including satisfaction of clauses (A)-(F) below.</w:t>
      </w:r>
    </w:p>
    <w:p>
      <w:pPr>
        <w:spacing w:after="0" w:line="200" w:lineRule="exact"/>
        <w:rPr>
          <w:sz w:val="20"/>
          <w:szCs w:val="20"/>
          <w:color w:val="auto"/>
        </w:rPr>
      </w:pPr>
    </w:p>
    <w:p>
      <w:pPr>
        <w:spacing w:after="0" w:line="247" w:lineRule="exact"/>
        <w:rPr>
          <w:sz w:val="20"/>
          <w:szCs w:val="20"/>
          <w:color w:val="auto"/>
        </w:rPr>
      </w:pPr>
    </w:p>
    <w:p>
      <w:pPr>
        <w:ind w:right="60"/>
        <w:spacing w:after="0" w:line="299" w:lineRule="auto"/>
        <w:rPr>
          <w:sz w:val="20"/>
          <w:szCs w:val="20"/>
          <w:color w:val="auto"/>
        </w:rPr>
      </w:pPr>
      <w:r>
        <w:rPr>
          <w:rFonts w:ascii="Arial" w:cs="Arial" w:eastAsia="Arial" w:hAnsi="Arial"/>
          <w:sz w:val="18"/>
          <w:szCs w:val="18"/>
          <w:color w:val="auto"/>
        </w:rPr>
        <w:t xml:space="preserve">Promptly following the Closing, the Insurer, and the Plan Trustee, as directed by the Independent Fiduciary, shall deliver joint notice to the applicable [ *** </w:t>
      </w:r>
      <w:r>
        <w:rPr>
          <w:rFonts w:ascii="Arial" w:cs="Arial" w:eastAsia="Arial" w:hAnsi="Arial"/>
          <w:sz w:val="19"/>
          <w:szCs w:val="19"/>
          <w:color w:val="auto"/>
        </w:rPr>
        <w:t>]</w:t>
      </w:r>
      <w:r>
        <w:rPr>
          <w:rFonts w:ascii="Arial" w:cs="Arial" w:eastAsia="Arial" w:hAnsi="Arial"/>
          <w:sz w:val="18"/>
          <w:szCs w:val="18"/>
          <w:color w:val="auto"/>
        </w:rPr>
        <w:t xml:space="preserve"> as applicable, of the actual transfer of each such [ *** </w:t>
      </w:r>
      <w:r>
        <w:rPr>
          <w:rFonts w:ascii="Arial" w:cs="Arial" w:eastAsia="Arial" w:hAnsi="Arial"/>
          <w:sz w:val="19"/>
          <w:szCs w:val="19"/>
          <w:color w:val="auto"/>
        </w:rPr>
        <w:t>]</w:t>
      </w:r>
      <w:r>
        <w:rPr>
          <w:rFonts w:ascii="Arial" w:cs="Arial" w:eastAsia="Arial" w:hAnsi="Arial"/>
          <w:sz w:val="18"/>
          <w:szCs w:val="18"/>
          <w:color w:val="auto"/>
        </w:rPr>
        <w:t xml:space="preserve"> including any such transfer by means of the transfer of one or more Newcos formed in accordance with </w:t>
      </w:r>
      <w:r>
        <w:rPr>
          <w:rFonts w:ascii="Arial" w:cs="Arial" w:eastAsia="Arial" w:hAnsi="Arial"/>
          <w:sz w:val="18"/>
          <w:szCs w:val="18"/>
          <w:u w:val="single" w:color="auto"/>
          <w:color w:val="auto"/>
        </w:rPr>
        <w:t>Section 6.13</w:t>
      </w:r>
      <w:r>
        <w:rPr>
          <w:rFonts w:ascii="Arial" w:cs="Arial" w:eastAsia="Arial" w:hAnsi="Arial"/>
          <w:sz w:val="18"/>
          <w:szCs w:val="18"/>
          <w:color w:val="auto"/>
        </w:rPr>
        <w:t xml:space="preserve"> of the Agreement to the Insurer, and that the Insurer is responsible for the Transferred Liabilities. The Insurer shall take all actions it deems reasonably necessary to prepare to [ *** </w:t>
      </w:r>
      <w:r>
        <w:rPr>
          <w:rFonts w:ascii="Arial" w:cs="Arial" w:eastAsia="Arial" w:hAnsi="Arial"/>
          <w:sz w:val="19"/>
          <w:szCs w:val="19"/>
          <w:color w:val="auto"/>
        </w:rPr>
        <w:t>]</w:t>
      </w:r>
      <w:r>
        <w:rPr>
          <w:rFonts w:ascii="Arial" w:cs="Arial" w:eastAsia="Arial" w:hAnsi="Arial"/>
          <w:sz w:val="18"/>
          <w:szCs w:val="18"/>
          <w:color w:val="auto"/>
        </w:rPr>
        <w:t xml:space="preserve"> if any, due following the Closing.</w:t>
      </w:r>
    </w:p>
    <w:p>
      <w:pPr>
        <w:spacing w:after="0" w:line="342" w:lineRule="exact"/>
        <w:rPr>
          <w:sz w:val="20"/>
          <w:szCs w:val="20"/>
          <w:color w:val="auto"/>
        </w:rPr>
      </w:pPr>
    </w:p>
    <w:p>
      <w:pPr>
        <w:ind w:right="220"/>
        <w:spacing w:after="0" w:line="275" w:lineRule="auto"/>
        <w:rPr>
          <w:sz w:val="20"/>
          <w:szCs w:val="20"/>
          <w:color w:val="auto"/>
        </w:rPr>
      </w:pPr>
      <w:r>
        <w:rPr>
          <w:rFonts w:ascii="Arial" w:cs="Arial" w:eastAsia="Arial" w:hAnsi="Arial"/>
          <w:sz w:val="20"/>
          <w:szCs w:val="20"/>
          <w:color w:val="auto"/>
        </w:rPr>
        <w:t>For the avoidance of doubt, instruments of conveyance shall not expand or diminish any of the rights, obligations or remedies of the Parties under the DTFA.</w:t>
      </w:r>
    </w:p>
    <w:p>
      <w:pPr>
        <w:spacing w:after="0" w:line="334" w:lineRule="exact"/>
        <w:rPr>
          <w:sz w:val="20"/>
          <w:szCs w:val="20"/>
          <w:color w:val="auto"/>
        </w:rPr>
      </w:pPr>
    </w:p>
    <w:p>
      <w:pPr>
        <w:ind w:left="120" w:hanging="120"/>
        <w:spacing w:after="0"/>
        <w:tabs>
          <w:tab w:leader="none" w:pos="120" w:val="left"/>
        </w:tabs>
        <w:numPr>
          <w:ilvl w:val="0"/>
          <w:numId w:val="154"/>
        </w:numPr>
        <w:rPr>
          <w:rFonts w:ascii="Arial" w:cs="Arial" w:eastAsia="Arial" w:hAnsi="Arial"/>
          <w:sz w:val="20"/>
          <w:szCs w:val="20"/>
          <w:color w:val="auto"/>
        </w:rPr>
      </w:pPr>
      <w:r>
        <w:rPr>
          <w:rFonts w:ascii="Arial" w:cs="Arial" w:eastAsia="Arial" w:hAnsi="Arial"/>
          <w:sz w:val="20"/>
          <w:szCs w:val="20"/>
          <w:color w:val="auto"/>
        </w:rPr>
        <w:t xml:space="preserve">*** </w:t>
      </w:r>
      <w:r>
        <w:rPr>
          <w:rFonts w:ascii="Arial" w:cs="Arial" w:eastAsia="Arial" w:hAnsi="Arial"/>
          <w:sz w:val="21"/>
          <w:szCs w:val="21"/>
          <w:color w:val="auto"/>
        </w:rPr>
        <w:t>]</w:t>
      </w:r>
      <w:r>
        <w:rPr>
          <w:rFonts w:ascii="Arial" w:cs="Arial" w:eastAsia="Arial" w:hAnsi="Arial"/>
          <w:sz w:val="20"/>
          <w:szCs w:val="20"/>
          <w:color w:val="auto"/>
        </w:rPr>
        <w:t xml:space="preserve"> shall be an [ *** </w:t>
      </w:r>
      <w:r>
        <w:rPr>
          <w:rFonts w:ascii="Arial" w:cs="Arial" w:eastAsia="Arial" w:hAnsi="Arial"/>
          <w:sz w:val="21"/>
          <w:szCs w:val="21"/>
          <w:color w:val="auto"/>
        </w:rPr>
        <w:t>]</w:t>
      </w:r>
      <w:r>
        <w:rPr>
          <w:rFonts w:ascii="Arial" w:cs="Arial" w:eastAsia="Arial" w:hAnsi="Arial"/>
          <w:sz w:val="20"/>
          <w:szCs w:val="20"/>
          <w:color w:val="auto"/>
        </w:rPr>
        <w:t xml:space="preserve"> unless all of the following are met:</w:t>
      </w:r>
    </w:p>
    <w:p>
      <w:pPr>
        <w:spacing w:after="0" w:line="209" w:lineRule="exact"/>
        <w:rPr>
          <w:rFonts w:ascii="Arial" w:cs="Arial" w:eastAsia="Arial" w:hAnsi="Arial"/>
          <w:sz w:val="20"/>
          <w:szCs w:val="20"/>
          <w:color w:val="auto"/>
        </w:rPr>
      </w:pPr>
    </w:p>
    <w:p>
      <w:pPr>
        <w:ind w:left="1800" w:hanging="598"/>
        <w:spacing w:after="0"/>
        <w:tabs>
          <w:tab w:leader="none" w:pos="1800" w:val="left"/>
        </w:tabs>
        <w:numPr>
          <w:ilvl w:val="1"/>
          <w:numId w:val="154"/>
        </w:numPr>
        <w:rPr>
          <w:rFonts w:ascii="Arial" w:cs="Arial" w:eastAsia="Arial" w:hAnsi="Arial"/>
          <w:sz w:val="20"/>
          <w:szCs w:val="20"/>
          <w:color w:val="auto"/>
        </w:rPr>
      </w:pPr>
      <w:r>
        <w:rPr>
          <w:rFonts w:ascii="Arial" w:cs="Arial" w:eastAsia="Arial" w:hAnsi="Arial"/>
          <w:sz w:val="20"/>
          <w:szCs w:val="20"/>
          <w:color w:val="auto"/>
        </w:rPr>
        <w:t xml:space="preserve">such [ *** </w:t>
      </w:r>
      <w:r>
        <w:rPr>
          <w:rFonts w:ascii="Arial" w:cs="Arial" w:eastAsia="Arial" w:hAnsi="Arial"/>
          <w:sz w:val="21"/>
          <w:szCs w:val="21"/>
          <w:color w:val="auto"/>
        </w:rPr>
        <w:t>]</w:t>
      </w:r>
      <w:r>
        <w:rPr>
          <w:rFonts w:ascii="Arial" w:cs="Arial" w:eastAsia="Arial" w:hAnsi="Arial"/>
          <w:sz w:val="20"/>
          <w:szCs w:val="20"/>
          <w:color w:val="auto"/>
        </w:rPr>
        <w:t xml:space="preserve"> is set forth on Exhibit C;</w:t>
      </w:r>
    </w:p>
    <w:p>
      <w:pPr>
        <w:spacing w:after="0" w:line="33" w:lineRule="exact"/>
        <w:rPr>
          <w:rFonts w:ascii="Arial" w:cs="Arial" w:eastAsia="Arial" w:hAnsi="Arial"/>
          <w:sz w:val="20"/>
          <w:szCs w:val="20"/>
          <w:color w:val="auto"/>
        </w:rPr>
      </w:pPr>
    </w:p>
    <w:p>
      <w:pPr>
        <w:ind w:left="1800" w:hanging="598"/>
        <w:spacing w:after="0" w:line="287" w:lineRule="auto"/>
        <w:tabs>
          <w:tab w:leader="none" w:pos="1800" w:val="left"/>
        </w:tabs>
        <w:numPr>
          <w:ilvl w:val="1"/>
          <w:numId w:val="154"/>
        </w:numPr>
        <w:rPr>
          <w:rFonts w:ascii="Arial" w:cs="Arial" w:eastAsia="Arial" w:hAnsi="Arial"/>
          <w:sz w:val="18"/>
          <w:szCs w:val="18"/>
          <w:color w:val="auto"/>
        </w:rPr>
      </w:pPr>
      <w:r>
        <w:rPr>
          <w:rFonts w:ascii="Arial" w:cs="Arial" w:eastAsia="Arial" w:hAnsi="Arial"/>
          <w:sz w:val="18"/>
          <w:szCs w:val="18"/>
          <w:color w:val="auto"/>
        </w:rPr>
        <w:t>as of the Closing, the Plan Trustee shall have assigned, transferred and delivered (“</w:t>
      </w:r>
      <w:r>
        <w:rPr>
          <w:rFonts w:ascii="Arial" w:cs="Arial" w:eastAsia="Arial" w:hAnsi="Arial"/>
          <w:sz w:val="18"/>
          <w:szCs w:val="18"/>
          <w:u w:val="single" w:color="auto"/>
          <w:color w:val="auto"/>
        </w:rPr>
        <w:t>Transferred</w:t>
      </w:r>
      <w:r>
        <w:rPr>
          <w:rFonts w:ascii="Arial" w:cs="Arial" w:eastAsia="Arial" w:hAnsi="Arial"/>
          <w:sz w:val="18"/>
          <w:szCs w:val="18"/>
          <w:color w:val="auto"/>
        </w:rPr>
        <w:t>”) to the Insurer all rights, title and interests of the Plan Trust (with respect to the Plan) in, and all of the Transferred Liabilities relating to, [</w:t>
      </w:r>
    </w:p>
    <w:p>
      <w:pPr>
        <w:spacing w:after="0" w:line="1" w:lineRule="exact"/>
        <w:rPr>
          <w:rFonts w:ascii="Arial" w:cs="Arial" w:eastAsia="Arial" w:hAnsi="Arial"/>
          <w:sz w:val="18"/>
          <w:szCs w:val="18"/>
          <w:color w:val="auto"/>
        </w:rPr>
      </w:pPr>
    </w:p>
    <w:p>
      <w:pPr>
        <w:ind w:left="2160" w:hanging="357"/>
        <w:spacing w:after="0"/>
        <w:tabs>
          <w:tab w:leader="none" w:pos="2160" w:val="left"/>
        </w:tabs>
        <w:numPr>
          <w:ilvl w:val="2"/>
          <w:numId w:val="154"/>
        </w:numPr>
        <w:rPr>
          <w:rFonts w:ascii="Arial" w:cs="Arial" w:eastAsia="Arial" w:hAnsi="Arial"/>
          <w:sz w:val="20"/>
          <w:szCs w:val="20"/>
          <w:color w:val="auto"/>
        </w:rPr>
      </w:pPr>
      <w:r>
        <w:rPr>
          <w:rFonts w:ascii="Arial" w:cs="Arial" w:eastAsia="Arial" w:hAnsi="Arial"/>
          <w:sz w:val="22"/>
          <w:szCs w:val="22"/>
          <w:color w:val="auto"/>
        </w:rPr>
        <w:t xml:space="preserve">] </w:t>
      </w:r>
      <w:r>
        <w:rPr>
          <w:rFonts w:ascii="Arial" w:cs="Arial" w:eastAsia="Arial" w:hAnsi="Arial"/>
          <w:sz w:val="20"/>
          <w:szCs w:val="20"/>
          <w:color w:val="auto"/>
        </w:rPr>
        <w:t>as applicable;</w:t>
      </w:r>
    </w:p>
    <w:p>
      <w:pPr>
        <w:spacing w:after="0" w:line="1" w:lineRule="exact"/>
        <w:rPr>
          <w:rFonts w:ascii="Arial" w:cs="Arial" w:eastAsia="Arial" w:hAnsi="Arial"/>
          <w:sz w:val="20"/>
          <w:szCs w:val="20"/>
          <w:color w:val="auto"/>
        </w:rPr>
      </w:pPr>
    </w:p>
    <w:p>
      <w:pPr>
        <w:ind w:left="1800" w:right="440" w:hanging="598"/>
        <w:spacing w:after="0" w:line="252" w:lineRule="auto"/>
        <w:tabs>
          <w:tab w:leader="none" w:pos="1800" w:val="left"/>
        </w:tabs>
        <w:numPr>
          <w:ilvl w:val="1"/>
          <w:numId w:val="154"/>
        </w:numPr>
        <w:rPr>
          <w:rFonts w:ascii="Arial" w:cs="Arial" w:eastAsia="Arial" w:hAnsi="Arial"/>
          <w:sz w:val="20"/>
          <w:szCs w:val="20"/>
          <w:color w:val="auto"/>
        </w:rPr>
      </w:pPr>
      <w:r>
        <w:rPr>
          <w:rFonts w:ascii="Arial" w:cs="Arial" w:eastAsia="Arial" w:hAnsi="Arial"/>
          <w:sz w:val="20"/>
          <w:szCs w:val="20"/>
          <w:color w:val="auto"/>
        </w:rPr>
        <w:t xml:space="preserve">the Transfer described in clause (B) above shall have been effected by the execution and delivery of the [ *** </w:t>
      </w:r>
      <w:r>
        <w:rPr>
          <w:rFonts w:ascii="Arial" w:cs="Arial" w:eastAsia="Arial" w:hAnsi="Arial"/>
          <w:sz w:val="21"/>
          <w:szCs w:val="21"/>
          <w:color w:val="auto"/>
        </w:rPr>
        <w:t>]</w:t>
      </w:r>
      <w:r>
        <w:rPr>
          <w:rFonts w:ascii="Arial" w:cs="Arial" w:eastAsia="Arial" w:hAnsi="Arial"/>
          <w:sz w:val="20"/>
          <w:szCs w:val="20"/>
          <w:color w:val="auto"/>
        </w:rPr>
        <w:t>, as applicable, in a form reasonably acceptable to all parties;</w:t>
      </w:r>
    </w:p>
    <w:p>
      <w:pPr>
        <w:spacing w:after="0" w:line="1" w:lineRule="exact"/>
        <w:rPr>
          <w:rFonts w:ascii="Arial" w:cs="Arial" w:eastAsia="Arial" w:hAnsi="Arial"/>
          <w:sz w:val="20"/>
          <w:szCs w:val="20"/>
          <w:color w:val="auto"/>
        </w:rPr>
      </w:pPr>
    </w:p>
    <w:p>
      <w:pPr>
        <w:ind w:left="1800" w:right="20" w:hanging="598"/>
        <w:spacing w:after="0" w:line="277" w:lineRule="auto"/>
        <w:tabs>
          <w:tab w:leader="none" w:pos="1800" w:val="left"/>
        </w:tabs>
        <w:numPr>
          <w:ilvl w:val="1"/>
          <w:numId w:val="154"/>
        </w:numPr>
        <w:rPr>
          <w:rFonts w:ascii="Arial" w:cs="Arial" w:eastAsia="Arial" w:hAnsi="Arial"/>
          <w:sz w:val="18"/>
          <w:szCs w:val="18"/>
          <w:color w:val="auto"/>
        </w:rPr>
      </w:pPr>
      <w:r>
        <w:rPr>
          <w:rFonts w:ascii="Arial" w:cs="Arial" w:eastAsia="Arial" w:hAnsi="Arial"/>
          <w:sz w:val="18"/>
          <w:szCs w:val="18"/>
          <w:color w:val="auto"/>
        </w:rPr>
        <w:t xml:space="preserve">all required consents relating to the transfer ([ *** </w:t>
      </w:r>
      <w:r>
        <w:rPr>
          <w:rFonts w:ascii="Arial" w:cs="Arial" w:eastAsia="Arial" w:hAnsi="Arial"/>
          <w:sz w:val="19"/>
          <w:szCs w:val="19"/>
          <w:color w:val="auto"/>
        </w:rPr>
        <w:t>]</w:t>
      </w:r>
      <w:r>
        <w:rPr>
          <w:rFonts w:ascii="Arial" w:cs="Arial" w:eastAsia="Arial" w:hAnsi="Arial"/>
          <w:sz w:val="18"/>
          <w:szCs w:val="18"/>
          <w:color w:val="auto"/>
        </w:rPr>
        <w:t xml:space="preserve">) of such [ *** </w:t>
      </w:r>
      <w:r>
        <w:rPr>
          <w:rFonts w:ascii="Arial" w:cs="Arial" w:eastAsia="Arial" w:hAnsi="Arial"/>
          <w:sz w:val="19"/>
          <w:szCs w:val="19"/>
          <w:color w:val="auto"/>
        </w:rPr>
        <w:t>]</w:t>
      </w:r>
      <w:r>
        <w:rPr>
          <w:rFonts w:ascii="Arial" w:cs="Arial" w:eastAsia="Arial" w:hAnsi="Arial"/>
          <w:sz w:val="18"/>
          <w:szCs w:val="18"/>
          <w:color w:val="auto"/>
        </w:rPr>
        <w:t xml:space="preserve"> have been obtained and are in a form reasonably acceptable to the Insurer and the Plan Trustee, and all required contracts and transfer documents relating to the Transfer of such [ *** </w:t>
      </w:r>
      <w:r>
        <w:rPr>
          <w:rFonts w:ascii="Arial" w:cs="Arial" w:eastAsia="Arial" w:hAnsi="Arial"/>
          <w:sz w:val="19"/>
          <w:szCs w:val="19"/>
          <w:color w:val="auto"/>
        </w:rPr>
        <w:t>]</w:t>
      </w:r>
      <w:r>
        <w:rPr>
          <w:rFonts w:ascii="Arial" w:cs="Arial" w:eastAsia="Arial" w:hAnsi="Arial"/>
          <w:sz w:val="18"/>
          <w:szCs w:val="18"/>
          <w:color w:val="auto"/>
        </w:rPr>
        <w:t xml:space="preserve"> have been executed by the required parties and are in a form reasonably acceptable to the parties thereto and such [ *** </w:t>
      </w:r>
      <w:r>
        <w:rPr>
          <w:rFonts w:ascii="Arial" w:cs="Arial" w:eastAsia="Arial" w:hAnsi="Arial"/>
          <w:sz w:val="19"/>
          <w:szCs w:val="19"/>
          <w:color w:val="auto"/>
        </w:rPr>
        <w:t>]</w:t>
      </w:r>
      <w:r>
        <w:rPr>
          <w:rFonts w:ascii="Arial" w:cs="Arial" w:eastAsia="Arial" w:hAnsi="Arial"/>
          <w:sz w:val="18"/>
          <w:szCs w:val="18"/>
          <w:color w:val="auto"/>
        </w:rPr>
        <w:t xml:space="preserve"> is not subject to any right of first refusal or similar right of any third party to purchase such [ *** </w:t>
      </w:r>
      <w:r>
        <w:rPr>
          <w:rFonts w:ascii="Arial" w:cs="Arial" w:eastAsia="Arial" w:hAnsi="Arial"/>
          <w:sz w:val="19"/>
          <w:szCs w:val="19"/>
          <w:color w:val="auto"/>
        </w:rPr>
        <w:t>]</w:t>
      </w:r>
      <w:r>
        <w:rPr>
          <w:rFonts w:ascii="Arial" w:cs="Arial" w:eastAsia="Arial" w:hAnsi="Arial"/>
          <w:sz w:val="18"/>
          <w:szCs w:val="18"/>
          <w:color w:val="auto"/>
        </w:rPr>
        <w:t xml:space="preserve"> arising out of the proposed transfer thereof (unless any such rights have been complied with);</w:t>
      </w:r>
    </w:p>
    <w:p>
      <w:pPr>
        <w:spacing w:after="0" w:line="4" w:lineRule="exact"/>
        <w:rPr>
          <w:rFonts w:ascii="Arial" w:cs="Arial" w:eastAsia="Arial" w:hAnsi="Arial"/>
          <w:sz w:val="18"/>
          <w:szCs w:val="18"/>
          <w:color w:val="auto"/>
        </w:rPr>
      </w:pPr>
    </w:p>
    <w:p>
      <w:pPr>
        <w:ind w:left="1800" w:hanging="598"/>
        <w:spacing w:after="0"/>
        <w:tabs>
          <w:tab w:leader="none" w:pos="1800" w:val="left"/>
        </w:tabs>
        <w:numPr>
          <w:ilvl w:val="1"/>
          <w:numId w:val="154"/>
        </w:numPr>
        <w:rPr>
          <w:rFonts w:ascii="Arial" w:cs="Arial" w:eastAsia="Arial" w:hAnsi="Arial"/>
          <w:sz w:val="20"/>
          <w:szCs w:val="20"/>
          <w:color w:val="auto"/>
        </w:rPr>
      </w:pPr>
      <w:r>
        <w:rPr>
          <w:rFonts w:ascii="Arial" w:cs="Arial" w:eastAsia="Arial" w:hAnsi="Arial"/>
          <w:sz w:val="20"/>
          <w:szCs w:val="20"/>
          <w:color w:val="auto"/>
        </w:rPr>
        <w:t xml:space="preserve">with respect to [ *** </w:t>
      </w:r>
      <w:r>
        <w:rPr>
          <w:rFonts w:ascii="Arial" w:cs="Arial" w:eastAsia="Arial" w:hAnsi="Arial"/>
          <w:sz w:val="21"/>
          <w:szCs w:val="21"/>
          <w:color w:val="auto"/>
        </w:rPr>
        <w:t>]</w:t>
      </w:r>
      <w:r>
        <w:rPr>
          <w:rFonts w:ascii="Arial" w:cs="Arial" w:eastAsia="Arial" w:hAnsi="Arial"/>
          <w:sz w:val="20"/>
          <w:szCs w:val="20"/>
          <w:color w:val="auto"/>
        </w:rPr>
        <w:t xml:space="preserve"> is transferred pursuant to [ *** </w:t>
      </w:r>
      <w:r>
        <w:rPr>
          <w:rFonts w:ascii="Arial" w:cs="Arial" w:eastAsia="Arial" w:hAnsi="Arial"/>
          <w:sz w:val="21"/>
          <w:szCs w:val="21"/>
          <w:color w:val="auto"/>
        </w:rPr>
        <w:t>]</w:t>
      </w:r>
      <w:r>
        <w:rPr>
          <w:rFonts w:ascii="Arial" w:cs="Arial" w:eastAsia="Arial" w:hAnsi="Arial"/>
          <w:sz w:val="20"/>
          <w:szCs w:val="20"/>
          <w:color w:val="auto"/>
        </w:rPr>
        <w:t xml:space="preserve"> from the Plan to the Insurer and not by means of [ *** </w:t>
      </w:r>
      <w:r>
        <w:rPr>
          <w:rFonts w:ascii="Arial" w:cs="Arial" w:eastAsia="Arial" w:hAnsi="Arial"/>
          <w:sz w:val="21"/>
          <w:szCs w:val="21"/>
          <w:color w:val="auto"/>
        </w:rPr>
        <w:t>]</w:t>
      </w:r>
      <w:r>
        <w:rPr>
          <w:rFonts w:ascii="Arial" w:cs="Arial" w:eastAsia="Arial" w:hAnsi="Arial"/>
          <w:sz w:val="20"/>
          <w:szCs w:val="20"/>
          <w:color w:val="auto"/>
        </w:rPr>
        <w:t>;</w:t>
      </w:r>
    </w:p>
    <w:p>
      <w:pPr>
        <w:spacing w:after="0" w:line="12" w:lineRule="exact"/>
        <w:rPr>
          <w:rFonts w:ascii="Arial" w:cs="Arial" w:eastAsia="Arial" w:hAnsi="Arial"/>
          <w:sz w:val="20"/>
          <w:szCs w:val="20"/>
          <w:color w:val="auto"/>
        </w:rPr>
      </w:pPr>
    </w:p>
    <w:p>
      <w:pPr>
        <w:ind w:left="1800" w:right="40" w:hanging="598"/>
        <w:spacing w:after="0" w:line="265" w:lineRule="auto"/>
        <w:tabs>
          <w:tab w:leader="none" w:pos="1800" w:val="left"/>
        </w:tabs>
        <w:numPr>
          <w:ilvl w:val="1"/>
          <w:numId w:val="154"/>
        </w:numPr>
        <w:rPr>
          <w:rFonts w:ascii="Arial" w:cs="Arial" w:eastAsia="Arial" w:hAnsi="Arial"/>
          <w:sz w:val="20"/>
          <w:szCs w:val="20"/>
          <w:color w:val="auto"/>
        </w:rPr>
      </w:pPr>
      <w:r>
        <w:rPr>
          <w:rFonts w:ascii="Arial" w:cs="Arial" w:eastAsia="Arial" w:hAnsi="Arial"/>
          <w:sz w:val="20"/>
          <w:szCs w:val="20"/>
          <w:color w:val="auto"/>
        </w:rPr>
        <w:t>if an asset is a Newco, it must meet the requirements of Section 6.13, and the assets contained therein must satisfy each of items A through F above.</w:t>
      </w:r>
    </w:p>
    <w:p>
      <w:pPr>
        <w:spacing w:after="0" w:line="191" w:lineRule="exact"/>
        <w:rPr>
          <w:sz w:val="20"/>
          <w:szCs w:val="20"/>
          <w:color w:val="auto"/>
        </w:rPr>
      </w:pPr>
    </w:p>
    <w:p>
      <w:pPr>
        <w:ind w:left="520" w:hanging="520"/>
        <w:spacing w:after="0"/>
        <w:tabs>
          <w:tab w:leader="none" w:pos="520" w:val="left"/>
        </w:tabs>
        <w:numPr>
          <w:ilvl w:val="0"/>
          <w:numId w:val="155"/>
        </w:numPr>
        <w:rPr>
          <w:rFonts w:ascii="Arial" w:cs="Arial" w:eastAsia="Arial" w:hAnsi="Arial"/>
          <w:sz w:val="20"/>
          <w:szCs w:val="20"/>
          <w:color w:val="auto"/>
        </w:rPr>
      </w:pPr>
      <w:r>
        <w:rPr>
          <w:rFonts w:ascii="Arial" w:cs="Arial" w:eastAsia="Arial" w:hAnsi="Arial"/>
          <w:sz w:val="20"/>
          <w:szCs w:val="20"/>
          <w:b w:val="1"/>
          <w:bCs w:val="1"/>
          <w:u w:val="single" w:color="auto"/>
          <w:color w:val="auto"/>
        </w:rPr>
        <w:t>Requirements Regarding Contract 300 Portfolio P</w:t>
      </w:r>
    </w:p>
    <w:p>
      <w:pPr>
        <w:spacing w:after="0" w:line="212" w:lineRule="exact"/>
        <w:rPr>
          <w:sz w:val="20"/>
          <w:szCs w:val="20"/>
          <w:color w:val="auto"/>
        </w:rPr>
      </w:pPr>
    </w:p>
    <w:p>
      <w:pPr>
        <w:spacing w:after="0"/>
        <w:rPr>
          <w:sz w:val="20"/>
          <w:szCs w:val="20"/>
          <w:color w:val="auto"/>
        </w:rPr>
      </w:pPr>
      <w:r>
        <w:rPr>
          <w:rFonts w:ascii="Arial" w:cs="Arial" w:eastAsia="Arial" w:hAnsi="Arial"/>
          <w:sz w:val="19"/>
          <w:szCs w:val="19"/>
          <w:color w:val="auto"/>
        </w:rPr>
        <w:t>At the Closing, the Insurer will deliver an acknowledgement that Contract 300 Portfolio P remains in the Guaranteed Separate Account.</w:t>
      </w:r>
    </w:p>
    <w:p>
      <w:pPr>
        <w:spacing w:after="0" w:line="216" w:lineRule="exact"/>
        <w:rPr>
          <w:sz w:val="20"/>
          <w:szCs w:val="20"/>
          <w:color w:val="auto"/>
        </w:rPr>
      </w:pPr>
    </w:p>
    <w:p>
      <w:pPr>
        <w:ind w:left="520" w:hanging="520"/>
        <w:spacing w:after="0"/>
        <w:tabs>
          <w:tab w:leader="none" w:pos="520" w:val="left"/>
        </w:tabs>
        <w:numPr>
          <w:ilvl w:val="0"/>
          <w:numId w:val="156"/>
        </w:numPr>
        <w:rPr>
          <w:rFonts w:ascii="Arial" w:cs="Arial" w:eastAsia="Arial" w:hAnsi="Arial"/>
          <w:sz w:val="20"/>
          <w:szCs w:val="20"/>
          <w:color w:val="auto"/>
        </w:rPr>
      </w:pPr>
      <w:r>
        <w:rPr>
          <w:rFonts w:ascii="Arial" w:cs="Arial" w:eastAsia="Arial" w:hAnsi="Arial"/>
          <w:sz w:val="20"/>
          <w:szCs w:val="20"/>
          <w:b w:val="1"/>
          <w:bCs w:val="1"/>
          <w:u w:val="single" w:color="auto"/>
          <w:color w:val="auto"/>
        </w:rPr>
        <w:t>All Assets</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Appendix 2.1A - 1</w:t>
      </w:r>
    </w:p>
    <w:p>
      <w:pPr>
        <w:sectPr>
          <w:pgSz w:w="11900" w:h="16838" w:orient="portrait"/>
          <w:cols w:equalWidth="0" w:num="1">
            <w:col w:w="11400"/>
          </w:cols>
          <w:pgMar w:left="240" w:top="753" w:right="259" w:bottom="1440" w:gutter="0" w:footer="0" w:header="0"/>
        </w:sectPr>
      </w:pPr>
    </w:p>
    <w:bookmarkStart w:id="155" w:name="page156"/>
    <w:bookmarkEnd w:id="155"/>
    <w:p>
      <w:pPr>
        <w:spacing w:after="0" w:line="275" w:lineRule="auto"/>
        <w:rPr>
          <w:sz w:val="20"/>
          <w:szCs w:val="20"/>
          <w:color w:val="auto"/>
        </w:rPr>
      </w:pPr>
      <w:r>
        <w:rPr>
          <w:rFonts w:ascii="Arial" w:cs="Arial" w:eastAsia="Arial" w:hAnsi="Arial"/>
          <w:sz w:val="20"/>
          <w:szCs w:val="20"/>
          <w:color w:val="auto"/>
        </w:rPr>
        <w:t>The Independent Fiduciary shall direct each Plan Trustee to transfer to the Insurer the Transferred Assets (other than the assets in Contract 300 Portfolio P) by issuing such direction to each Plan Trustee in the following form:</w:t>
      </w:r>
    </w:p>
    <w:p>
      <w:pPr>
        <w:spacing w:after="0" w:line="370" w:lineRule="exact"/>
        <w:rPr>
          <w:sz w:val="20"/>
          <w:szCs w:val="20"/>
          <w:color w:val="auto"/>
        </w:rPr>
      </w:pPr>
    </w:p>
    <w:p>
      <w:pPr>
        <w:jc w:val="center"/>
        <w:ind w:right="-339"/>
        <w:spacing w:after="0"/>
        <w:rPr>
          <w:sz w:val="20"/>
          <w:szCs w:val="20"/>
          <w:color w:val="auto"/>
        </w:rPr>
      </w:pPr>
      <w:r>
        <w:rPr>
          <w:rFonts w:ascii="Arial" w:cs="Arial" w:eastAsia="Arial" w:hAnsi="Arial"/>
          <w:sz w:val="17"/>
          <w:szCs w:val="17"/>
          <w:color w:val="auto"/>
        </w:rPr>
        <w:t>Appendix 2.1A - 2</w:t>
      </w:r>
    </w:p>
    <w:p>
      <w:pPr>
        <w:sectPr>
          <w:pgSz w:w="11900" w:h="16838" w:orient="portrait"/>
          <w:cols w:equalWidth="0" w:num="1">
            <w:col w:w="11080"/>
          </w:cols>
          <w:pgMar w:left="240" w:top="757" w:right="579" w:bottom="1440" w:gutter="0" w:footer="0" w:header="0"/>
        </w:sectPr>
      </w:pPr>
    </w:p>
    <w:bookmarkStart w:id="156" w:name="page157"/>
    <w:bookmarkEnd w:id="156"/>
    <w:p>
      <w:pPr>
        <w:jc w:val="center"/>
        <w:ind w:right="-19"/>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FORM OF TRUSTEE DIRECTION - STATE STREET</w:t>
      </w:r>
      <w:r>
        <w:rPr>
          <w:rFonts w:ascii="Arial" w:cs="Arial" w:eastAsia="Arial" w:hAnsi="Arial"/>
          <w:sz w:val="20"/>
          <w:szCs w:val="20"/>
          <w:color w:val="auto"/>
        </w:rPr>
        <w:t>]</w:t>
      </w:r>
    </w:p>
    <w:p>
      <w:pPr>
        <w:spacing w:after="0" w:line="200" w:lineRule="exact"/>
        <w:rPr>
          <w:sz w:val="20"/>
          <w:szCs w:val="20"/>
          <w:color w:val="auto"/>
        </w:rPr>
      </w:pPr>
    </w:p>
    <w:p>
      <w:pPr>
        <w:spacing w:after="0" w:line="212"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color w:val="auto"/>
        </w:rPr>
        <w:t>Re:</w:t>
      </w:r>
      <w:r>
        <w:rPr>
          <w:sz w:val="20"/>
          <w:szCs w:val="20"/>
          <w:color w:val="auto"/>
        </w:rPr>
        <w:tab/>
      </w:r>
      <w:r>
        <w:rPr>
          <w:rFonts w:ascii="Arial" w:cs="Arial" w:eastAsia="Arial" w:hAnsi="Arial"/>
          <w:sz w:val="18"/>
          <w:szCs w:val="18"/>
          <w:color w:val="auto"/>
        </w:rPr>
        <w:t>General Motors Retirement Program for Salaried Employees (the “Pension Plan”)</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color w:val="auto"/>
        </w:rPr>
        <w:t>Ladies and Gentlemen:</w:t>
      </w:r>
    </w:p>
    <w:p>
      <w:pPr>
        <w:spacing w:after="0" w:line="321" w:lineRule="exact"/>
        <w:rPr>
          <w:sz w:val="20"/>
          <w:szCs w:val="20"/>
          <w:color w:val="auto"/>
        </w:rPr>
      </w:pPr>
    </w:p>
    <w:p>
      <w:pPr>
        <w:ind w:right="40" w:firstLine="601"/>
        <w:spacing w:after="0" w:line="536" w:lineRule="auto"/>
        <w:rPr>
          <w:sz w:val="20"/>
          <w:szCs w:val="20"/>
          <w:color w:val="auto"/>
        </w:rPr>
      </w:pPr>
      <w:r>
        <w:rPr>
          <w:rFonts w:ascii="Arial" w:cs="Arial" w:eastAsia="Arial" w:hAnsi="Arial"/>
          <w:sz w:val="18"/>
          <w:szCs w:val="18"/>
          <w:color w:val="auto"/>
        </w:rPr>
        <w:t>State Street Bank and Trust Company (the “Trustee”) is a directed trustee of the General Motors Salaried Employes Pension Trust (the “Trust”), established as part of the Pension Plan, dated __________, 2012 (the “Trust Agreement”). Capitalized terms used, but not defined</w:t>
      </w:r>
    </w:p>
    <w:p>
      <w:pPr>
        <w:spacing w:after="0" w:line="2" w:lineRule="exact"/>
        <w:rPr>
          <w:sz w:val="20"/>
          <w:szCs w:val="20"/>
          <w:color w:val="auto"/>
        </w:rPr>
      </w:pPr>
    </w:p>
    <w:p>
      <w:pPr>
        <w:ind w:right="360"/>
        <w:spacing w:after="0" w:line="508" w:lineRule="auto"/>
        <w:rPr>
          <w:sz w:val="20"/>
          <w:szCs w:val="20"/>
          <w:color w:val="auto"/>
        </w:rPr>
      </w:pPr>
      <w:r>
        <w:rPr>
          <w:rFonts w:ascii="Arial" w:cs="Arial" w:eastAsia="Arial" w:hAnsi="Arial"/>
          <w:sz w:val="19"/>
          <w:szCs w:val="19"/>
          <w:color w:val="auto"/>
        </w:rPr>
        <w:t>herein, have the meaning set forth in the Definitive Transaction Framework Agreement, dated as of May 30, 2012, by and among The Prudential Insurance Company of America, a New Jersey life insurance company (the “</w:t>
      </w:r>
      <w:r>
        <w:rPr>
          <w:rFonts w:ascii="Arial" w:cs="Arial" w:eastAsia="Arial" w:hAnsi="Arial"/>
          <w:sz w:val="19"/>
          <w:szCs w:val="19"/>
          <w:u w:val="single" w:color="auto"/>
          <w:color w:val="auto"/>
        </w:rPr>
        <w:t>Insurer</w:t>
      </w:r>
      <w:r>
        <w:rPr>
          <w:rFonts w:ascii="Arial" w:cs="Arial" w:eastAsia="Arial" w:hAnsi="Arial"/>
          <w:sz w:val="19"/>
          <w:szCs w:val="19"/>
          <w:color w:val="auto"/>
        </w:rPr>
        <w:t>”), Prudential Financial, Inc., a New Jersey corporation (“</w:t>
      </w:r>
      <w:r>
        <w:rPr>
          <w:rFonts w:ascii="Arial" w:cs="Arial" w:eastAsia="Arial" w:hAnsi="Arial"/>
          <w:sz w:val="19"/>
          <w:szCs w:val="19"/>
          <w:u w:val="single" w:color="auto"/>
          <w:color w:val="auto"/>
        </w:rPr>
        <w:t>Insurer Parent</w:t>
      </w:r>
      <w:r>
        <w:rPr>
          <w:rFonts w:ascii="Arial" w:cs="Arial" w:eastAsia="Arial" w:hAnsi="Arial"/>
          <w:sz w:val="19"/>
          <w:szCs w:val="19"/>
          <w:color w:val="auto"/>
        </w:rPr>
        <w:t>”), General Motors LLC, a Delaware limited liability company (the “</w:t>
      </w:r>
      <w:r>
        <w:rPr>
          <w:rFonts w:ascii="Arial" w:cs="Arial" w:eastAsia="Arial" w:hAnsi="Arial"/>
          <w:sz w:val="19"/>
          <w:szCs w:val="19"/>
          <w:u w:val="single" w:color="auto"/>
          <w:color w:val="auto"/>
        </w:rPr>
        <w:t>Company</w:t>
      </w:r>
      <w:r>
        <w:rPr>
          <w:rFonts w:ascii="Arial" w:cs="Arial" w:eastAsia="Arial" w:hAnsi="Arial"/>
          <w:sz w:val="19"/>
          <w:szCs w:val="19"/>
          <w:color w:val="auto"/>
        </w:rPr>
        <w:t>”) acting in a non-fiduciary capacity as the sponsor of the General Motors Retirement Program for Salaried Employees (the “</w:t>
      </w:r>
      <w:r>
        <w:rPr>
          <w:rFonts w:ascii="Arial" w:cs="Arial" w:eastAsia="Arial" w:hAnsi="Arial"/>
          <w:sz w:val="19"/>
          <w:szCs w:val="19"/>
          <w:u w:val="single" w:color="auto"/>
          <w:color w:val="auto"/>
        </w:rPr>
        <w:t>Plan</w:t>
      </w:r>
      <w:r>
        <w:rPr>
          <w:rFonts w:ascii="Arial" w:cs="Arial" w:eastAsia="Arial" w:hAnsi="Arial"/>
          <w:sz w:val="19"/>
          <w:szCs w:val="19"/>
          <w:color w:val="auto"/>
        </w:rPr>
        <w:t>”), and State Street Bank and Trust Company the independent fiduciary of the Plan (the “</w:t>
      </w:r>
      <w:r>
        <w:rPr>
          <w:rFonts w:ascii="Arial" w:cs="Arial" w:eastAsia="Arial" w:hAnsi="Arial"/>
          <w:sz w:val="19"/>
          <w:szCs w:val="19"/>
          <w:u w:val="single" w:color="auto"/>
          <w:color w:val="auto"/>
        </w:rPr>
        <w:t>Independent Fiduciary</w:t>
      </w:r>
      <w:r>
        <w:rPr>
          <w:rFonts w:ascii="Arial" w:cs="Arial" w:eastAsia="Arial" w:hAnsi="Arial"/>
          <w:sz w:val="19"/>
          <w:szCs w:val="19"/>
          <w:color w:val="auto"/>
        </w:rPr>
        <w:t>”).</w:t>
      </w:r>
    </w:p>
    <w:p>
      <w:pPr>
        <w:spacing w:after="0" w:line="3" w:lineRule="exact"/>
        <w:rPr>
          <w:sz w:val="20"/>
          <w:szCs w:val="20"/>
          <w:color w:val="auto"/>
        </w:rPr>
      </w:pPr>
    </w:p>
    <w:p>
      <w:pPr>
        <w:ind w:firstLine="601"/>
        <w:spacing w:after="0" w:line="551" w:lineRule="auto"/>
        <w:rPr>
          <w:sz w:val="20"/>
          <w:szCs w:val="20"/>
          <w:color w:val="auto"/>
        </w:rPr>
      </w:pPr>
      <w:r>
        <w:rPr>
          <w:rFonts w:ascii="Arial" w:cs="Arial" w:eastAsia="Arial" w:hAnsi="Arial"/>
          <w:sz w:val="18"/>
          <w:szCs w:val="18"/>
          <w:color w:val="auto"/>
        </w:rPr>
        <w:t>The undersigned has been duly appointed as Investment Manager under Section ___ of the Trust Agreement with respect to the selection of an insurance company to provide terminal annuities in connection with General Motors' termination of the Pension Plan, and directing the trustees of the Trust in connection with the purchase of such terminal annuities including the execution of terminal group annuity contracts and the transfer of assets from the Trust to the insurance company selected by the Investment Manager in consideration of the group annuity contract and related matters. General Motors has terminated the Pension Plan pursuant to a resolution dated _________, 2012.</w:t>
      </w:r>
    </w:p>
    <w:p>
      <w:pPr>
        <w:spacing w:after="0" w:line="152" w:lineRule="exact"/>
        <w:rPr>
          <w:sz w:val="20"/>
          <w:szCs w:val="20"/>
          <w:color w:val="auto"/>
        </w:rPr>
      </w:pPr>
    </w:p>
    <w:p>
      <w:pPr>
        <w:ind w:right="600" w:firstLine="601"/>
        <w:spacing w:after="0" w:line="571" w:lineRule="auto"/>
        <w:rPr>
          <w:sz w:val="20"/>
          <w:szCs w:val="20"/>
          <w:color w:val="auto"/>
        </w:rPr>
      </w:pPr>
      <w:r>
        <w:rPr>
          <w:rFonts w:ascii="Arial" w:cs="Arial" w:eastAsia="Arial" w:hAnsi="Arial"/>
          <w:sz w:val="18"/>
          <w:szCs w:val="18"/>
          <w:color w:val="auto"/>
        </w:rPr>
        <w:t>The undersigned hereby directs you, not individually, but as Trustee on behalf of the Trust to (i) execute and deliver the Group Annuity Contract with the Insurer, (ii) transfer to the Insurer in consideration of the Group Annuity Contract, the assets set forth on the</w:t>
      </w:r>
    </w:p>
    <w:p>
      <w:pPr>
        <w:spacing w:after="0" w:line="2" w:lineRule="exact"/>
        <w:rPr>
          <w:sz w:val="20"/>
          <w:szCs w:val="20"/>
          <w:color w:val="auto"/>
        </w:rPr>
      </w:pPr>
    </w:p>
    <w:p>
      <w:pPr>
        <w:ind w:right="240"/>
        <w:spacing w:after="0" w:line="553" w:lineRule="auto"/>
        <w:rPr>
          <w:sz w:val="20"/>
          <w:szCs w:val="20"/>
          <w:color w:val="auto"/>
        </w:rPr>
      </w:pPr>
      <w:r>
        <w:rPr>
          <w:rFonts w:ascii="Arial" w:cs="Arial" w:eastAsia="Arial" w:hAnsi="Arial"/>
          <w:sz w:val="20"/>
          <w:szCs w:val="20"/>
          <w:color w:val="auto"/>
        </w:rPr>
        <w:t xml:space="preserve">Transferred Asset Schedule (excluding [ *** </w:t>
      </w:r>
      <w:r>
        <w:rPr>
          <w:rFonts w:ascii="Arial" w:cs="Arial" w:eastAsia="Arial" w:hAnsi="Arial"/>
          <w:sz w:val="21"/>
          <w:szCs w:val="21"/>
          <w:color w:val="auto"/>
        </w:rPr>
        <w:t>]</w:t>
      </w:r>
      <w:r>
        <w:rPr>
          <w:rFonts w:ascii="Arial" w:cs="Arial" w:eastAsia="Arial" w:hAnsi="Arial"/>
          <w:sz w:val="20"/>
          <w:szCs w:val="20"/>
          <w:color w:val="auto"/>
        </w:rPr>
        <w:t xml:space="preserve"> or Newcos), including taking all actions reasonable and necessary to effectuate such transfer and (iii) execute the [ *** ], if any, specified by the undersigned.</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Appendix 2.1A - 3</w:t>
      </w:r>
    </w:p>
    <w:p>
      <w:pPr>
        <w:sectPr>
          <w:pgSz w:w="11900" w:h="16838" w:orient="portrait"/>
          <w:cols w:equalWidth="0" w:num="1">
            <w:col w:w="11400"/>
          </w:cols>
          <w:pgMar w:left="240" w:top="753" w:right="259" w:bottom="1440" w:gutter="0" w:footer="0" w:header="0"/>
        </w:sectPr>
      </w:pPr>
    </w:p>
    <w:bookmarkStart w:id="157" w:name="page158"/>
    <w:bookmarkEnd w:id="157"/>
    <w:p>
      <w:pPr>
        <w:ind w:left="600"/>
        <w:spacing w:after="0"/>
        <w:rPr>
          <w:sz w:val="20"/>
          <w:szCs w:val="20"/>
          <w:color w:val="auto"/>
        </w:rPr>
      </w:pPr>
      <w:r>
        <w:rPr>
          <w:rFonts w:ascii="Arial" w:cs="Arial" w:eastAsia="Arial" w:hAnsi="Arial"/>
          <w:sz w:val="20"/>
          <w:szCs w:val="20"/>
          <w:color w:val="auto"/>
        </w:rPr>
        <w:t>In connection herewith, the undersigned represents and warrants to the Trustee for the benefit of the Trust that:</w:t>
      </w:r>
    </w:p>
    <w:p>
      <w:pPr>
        <w:spacing w:after="0" w:line="233" w:lineRule="exact"/>
        <w:rPr>
          <w:sz w:val="20"/>
          <w:szCs w:val="20"/>
          <w:color w:val="auto"/>
        </w:rPr>
      </w:pPr>
    </w:p>
    <w:p>
      <w:pPr>
        <w:ind w:left="1200" w:right="360" w:hanging="599"/>
        <w:spacing w:after="0" w:line="483" w:lineRule="auto"/>
        <w:tabs>
          <w:tab w:leader="none" w:pos="1200" w:val="left"/>
        </w:tabs>
        <w:numPr>
          <w:ilvl w:val="0"/>
          <w:numId w:val="157"/>
        </w:numPr>
        <w:rPr>
          <w:rFonts w:ascii="Arial" w:cs="Arial" w:eastAsia="Arial" w:hAnsi="Arial"/>
          <w:sz w:val="20"/>
          <w:szCs w:val="20"/>
          <w:color w:val="auto"/>
        </w:rPr>
      </w:pPr>
      <w:r>
        <w:rPr>
          <w:rFonts w:ascii="Arial" w:cs="Arial" w:eastAsia="Arial" w:hAnsi="Arial"/>
          <w:sz w:val="20"/>
          <w:szCs w:val="20"/>
          <w:color w:val="auto"/>
        </w:rPr>
        <w:t>the undersigned is an Investment Manger within the meaning of 3(38) of the Employee Retirement Income Security Act of 1974, as amended, and is acting in such capacity in issuing the direction set forth in this letter;</w:t>
      </w:r>
    </w:p>
    <w:p>
      <w:pPr>
        <w:ind w:left="1200" w:hanging="599"/>
        <w:spacing w:after="0" w:line="483" w:lineRule="auto"/>
        <w:tabs>
          <w:tab w:leader="none" w:pos="1200" w:val="left"/>
        </w:tabs>
        <w:numPr>
          <w:ilvl w:val="0"/>
          <w:numId w:val="157"/>
        </w:numPr>
        <w:rPr>
          <w:rFonts w:ascii="Arial" w:cs="Arial" w:eastAsia="Arial" w:hAnsi="Arial"/>
          <w:sz w:val="20"/>
          <w:szCs w:val="20"/>
          <w:color w:val="auto"/>
        </w:rPr>
      </w:pPr>
      <w:r>
        <w:rPr>
          <w:rFonts w:ascii="Arial" w:cs="Arial" w:eastAsia="Arial" w:hAnsi="Arial"/>
          <w:sz w:val="20"/>
          <w:szCs w:val="20"/>
          <w:color w:val="auto"/>
        </w:rPr>
        <w:t>the undersigned has determined that the execution of the Group Annuity Contract and transferring the assets on the Transferred Asset Schedule satisfies ERISA, and applicable guidance, including, Interpretive Bulletin 95-1;</w:t>
      </w:r>
    </w:p>
    <w:p>
      <w:pPr>
        <w:ind w:left="1200" w:right="40" w:hanging="599"/>
        <w:spacing w:after="0" w:line="483" w:lineRule="auto"/>
        <w:tabs>
          <w:tab w:leader="none" w:pos="1200" w:val="left"/>
        </w:tabs>
        <w:numPr>
          <w:ilvl w:val="0"/>
          <w:numId w:val="157"/>
        </w:numPr>
        <w:rPr>
          <w:rFonts w:ascii="Arial" w:cs="Arial" w:eastAsia="Arial" w:hAnsi="Arial"/>
          <w:sz w:val="20"/>
          <w:szCs w:val="20"/>
          <w:color w:val="auto"/>
        </w:rPr>
      </w:pPr>
      <w:r>
        <w:rPr>
          <w:rFonts w:ascii="Arial" w:cs="Arial" w:eastAsia="Arial" w:hAnsi="Arial"/>
          <w:sz w:val="20"/>
          <w:szCs w:val="20"/>
          <w:color w:val="auto"/>
        </w:rPr>
        <w:t>the Group Annuity Contract is in proper legal form for execution by you, not individually, but as Trustee on behalf of the Trust without review or inquiry upon direction of the undersigned Investment Manger; and</w:t>
      </w:r>
    </w:p>
    <w:p>
      <w:pPr>
        <w:ind w:left="1200" w:right="280" w:hanging="599"/>
        <w:spacing w:after="0" w:line="510" w:lineRule="auto"/>
        <w:tabs>
          <w:tab w:leader="none" w:pos="1200" w:val="left"/>
        </w:tabs>
        <w:numPr>
          <w:ilvl w:val="0"/>
          <w:numId w:val="157"/>
        </w:numPr>
        <w:rPr>
          <w:rFonts w:ascii="Arial" w:cs="Arial" w:eastAsia="Arial" w:hAnsi="Arial"/>
          <w:sz w:val="20"/>
          <w:szCs w:val="20"/>
          <w:color w:val="auto"/>
        </w:rPr>
      </w:pPr>
      <w:r>
        <w:rPr>
          <w:rFonts w:ascii="Arial" w:cs="Arial" w:eastAsia="Arial" w:hAnsi="Arial"/>
          <w:sz w:val="20"/>
          <w:szCs w:val="20"/>
          <w:color w:val="auto"/>
        </w:rPr>
        <w:t>the officer signing this letter is duly authorized to execute and deliver this direction on behalf of State Street Bank and Trust Company.</w:t>
      </w:r>
    </w:p>
    <w:p>
      <w:pPr>
        <w:spacing w:after="0" w:line="200" w:lineRule="exact"/>
        <w:rPr>
          <w:sz w:val="20"/>
          <w:szCs w:val="20"/>
          <w:color w:val="auto"/>
        </w:rPr>
      </w:pPr>
    </w:p>
    <w:p>
      <w:pPr>
        <w:spacing w:after="0" w:line="233"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FORM OF TRUSTEE DIRECTION - JP MORGAN</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color w:val="auto"/>
        </w:rPr>
        <w:t>Re:</w:t>
      </w:r>
      <w:r>
        <w:rPr>
          <w:sz w:val="20"/>
          <w:szCs w:val="20"/>
          <w:color w:val="auto"/>
        </w:rPr>
        <w:tab/>
      </w:r>
      <w:r>
        <w:rPr>
          <w:rFonts w:ascii="Arial" w:cs="Arial" w:eastAsia="Arial" w:hAnsi="Arial"/>
          <w:sz w:val="18"/>
          <w:szCs w:val="18"/>
          <w:color w:val="auto"/>
        </w:rPr>
        <w:t>General Motors Retirement Program for Salaried Employees (the “Pension Plan”)</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color w:val="auto"/>
        </w:rPr>
        <w:t>Ladies and Gentlemen:</w:t>
      </w:r>
    </w:p>
    <w:p>
      <w:pPr>
        <w:spacing w:after="0" w:line="321" w:lineRule="exact"/>
        <w:rPr>
          <w:sz w:val="20"/>
          <w:szCs w:val="20"/>
          <w:color w:val="auto"/>
        </w:rPr>
      </w:pPr>
    </w:p>
    <w:p>
      <w:pPr>
        <w:ind w:right="340" w:firstLine="601"/>
        <w:spacing w:after="0" w:line="536" w:lineRule="auto"/>
        <w:rPr>
          <w:sz w:val="20"/>
          <w:szCs w:val="20"/>
          <w:color w:val="auto"/>
        </w:rPr>
      </w:pPr>
      <w:r>
        <w:rPr>
          <w:rFonts w:ascii="Arial" w:cs="Arial" w:eastAsia="Arial" w:hAnsi="Arial"/>
          <w:sz w:val="18"/>
          <w:szCs w:val="18"/>
          <w:color w:val="auto"/>
        </w:rPr>
        <w:t>JP Morgan Chase Bank, National Association (the “Trustee”) is a directed trustee of [First Plaza Group Trust] [White Plaza Group Trust] (the “Trust”), a group trust in which certain assets attributable to the Pension Plan are held, dated __________, 2012 (the “Trust</w:t>
      </w:r>
    </w:p>
    <w:p>
      <w:pPr>
        <w:spacing w:after="0" w:line="2" w:lineRule="exact"/>
        <w:rPr>
          <w:sz w:val="20"/>
          <w:szCs w:val="20"/>
          <w:color w:val="auto"/>
        </w:rPr>
      </w:pPr>
    </w:p>
    <w:p>
      <w:pPr>
        <w:ind w:right="20"/>
        <w:spacing w:after="0" w:line="492" w:lineRule="auto"/>
        <w:rPr>
          <w:sz w:val="20"/>
          <w:szCs w:val="20"/>
          <w:color w:val="auto"/>
        </w:rPr>
      </w:pPr>
      <w:r>
        <w:rPr>
          <w:rFonts w:ascii="Arial" w:cs="Arial" w:eastAsia="Arial" w:hAnsi="Arial"/>
          <w:sz w:val="20"/>
          <w:szCs w:val="20"/>
          <w:color w:val="auto"/>
        </w:rPr>
        <w:t>Agreement”). Capitalized terms used, but not defined herein, have the meaning set forth in the Definitive Transaction Framework Agreement, dated as of May 30, 2012, by and among The Prudential Insurance Company of America, a New Jersey life insurance company (the “</w:t>
      </w:r>
      <w:r>
        <w:rPr>
          <w:rFonts w:ascii="Arial" w:cs="Arial" w:eastAsia="Arial" w:hAnsi="Arial"/>
          <w:sz w:val="20"/>
          <w:szCs w:val="20"/>
          <w:u w:val="single" w:color="auto"/>
          <w:color w:val="auto"/>
        </w:rPr>
        <w:t>Insurer</w:t>
      </w:r>
      <w:r>
        <w:rPr>
          <w:rFonts w:ascii="Arial" w:cs="Arial" w:eastAsia="Arial" w:hAnsi="Arial"/>
          <w:sz w:val="20"/>
          <w:szCs w:val="20"/>
          <w:color w:val="auto"/>
        </w:rPr>
        <w:t>”), Prudential Financial, Inc., a New Jersey corporation (“</w:t>
      </w:r>
      <w:r>
        <w:rPr>
          <w:rFonts w:ascii="Arial" w:cs="Arial" w:eastAsia="Arial" w:hAnsi="Arial"/>
          <w:sz w:val="20"/>
          <w:szCs w:val="20"/>
          <w:u w:val="single" w:color="auto"/>
          <w:color w:val="auto"/>
        </w:rPr>
        <w:t>Insurer Parent</w:t>
      </w:r>
      <w:r>
        <w:rPr>
          <w:rFonts w:ascii="Arial" w:cs="Arial" w:eastAsia="Arial" w:hAnsi="Arial"/>
          <w:sz w:val="20"/>
          <w:szCs w:val="20"/>
          <w:color w:val="auto"/>
        </w:rPr>
        <w:t>”), General Motors LLC, a Delaware limited liability company (the “</w:t>
      </w:r>
      <w:r>
        <w:rPr>
          <w:rFonts w:ascii="Arial" w:cs="Arial" w:eastAsia="Arial" w:hAnsi="Arial"/>
          <w:sz w:val="20"/>
          <w:szCs w:val="20"/>
          <w:u w:val="single" w:color="auto"/>
          <w:color w:val="auto"/>
        </w:rPr>
        <w:t>Company</w:t>
      </w:r>
      <w:r>
        <w:rPr>
          <w:rFonts w:ascii="Arial" w:cs="Arial" w:eastAsia="Arial" w:hAnsi="Arial"/>
          <w:sz w:val="20"/>
          <w:szCs w:val="20"/>
          <w:color w:val="auto"/>
        </w:rPr>
        <w:t>”) acting in a non-</w:t>
      </w:r>
    </w:p>
    <w:p>
      <w:pPr>
        <w:spacing w:after="0" w:line="7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Appendix 2.1A - 4</w:t>
      </w:r>
    </w:p>
    <w:p>
      <w:pPr>
        <w:sectPr>
          <w:pgSz w:w="11900" w:h="16838" w:orient="portrait"/>
          <w:cols w:equalWidth="0" w:num="1">
            <w:col w:w="11400"/>
          </w:cols>
          <w:pgMar w:left="240" w:top="669" w:right="259" w:bottom="1440" w:gutter="0" w:footer="0" w:header="0"/>
        </w:sectPr>
      </w:pPr>
    </w:p>
    <w:bookmarkStart w:id="158" w:name="page159"/>
    <w:bookmarkEnd w:id="158"/>
    <w:p>
      <w:pPr>
        <w:ind w:right="160"/>
        <w:spacing w:after="0" w:line="483" w:lineRule="auto"/>
        <w:rPr>
          <w:sz w:val="20"/>
          <w:szCs w:val="20"/>
          <w:color w:val="auto"/>
        </w:rPr>
      </w:pPr>
      <w:r>
        <w:rPr>
          <w:rFonts w:ascii="Arial" w:cs="Arial" w:eastAsia="Arial" w:hAnsi="Arial"/>
          <w:sz w:val="20"/>
          <w:szCs w:val="20"/>
          <w:color w:val="auto"/>
        </w:rPr>
        <w:t>fiduciary capacity as the sponsor of the General Motors Retirement Program for Salaried Employees (the “</w:t>
      </w:r>
      <w:r>
        <w:rPr>
          <w:rFonts w:ascii="Arial" w:cs="Arial" w:eastAsia="Arial" w:hAnsi="Arial"/>
          <w:sz w:val="20"/>
          <w:szCs w:val="20"/>
          <w:u w:val="single" w:color="auto"/>
          <w:color w:val="auto"/>
        </w:rPr>
        <w:t>Plan</w:t>
      </w:r>
      <w:r>
        <w:rPr>
          <w:rFonts w:ascii="Arial" w:cs="Arial" w:eastAsia="Arial" w:hAnsi="Arial"/>
          <w:sz w:val="20"/>
          <w:szCs w:val="20"/>
          <w:color w:val="auto"/>
        </w:rPr>
        <w:t>”), and State Street Bank and Trust Company the independent fiduciary of the Plan (the “</w:t>
      </w:r>
      <w:r>
        <w:rPr>
          <w:rFonts w:ascii="Arial" w:cs="Arial" w:eastAsia="Arial" w:hAnsi="Arial"/>
          <w:sz w:val="20"/>
          <w:szCs w:val="20"/>
          <w:u w:val="single" w:color="auto"/>
          <w:color w:val="auto"/>
        </w:rPr>
        <w:t>Independent Fiduciary</w:t>
      </w:r>
      <w:r>
        <w:rPr>
          <w:rFonts w:ascii="Arial" w:cs="Arial" w:eastAsia="Arial" w:hAnsi="Arial"/>
          <w:sz w:val="20"/>
          <w:szCs w:val="20"/>
          <w:color w:val="auto"/>
        </w:rPr>
        <w:t>”).</w:t>
      </w:r>
    </w:p>
    <w:p>
      <w:pPr>
        <w:spacing w:after="0" w:line="1" w:lineRule="exact"/>
        <w:rPr>
          <w:sz w:val="20"/>
          <w:szCs w:val="20"/>
          <w:color w:val="auto"/>
        </w:rPr>
      </w:pPr>
    </w:p>
    <w:p>
      <w:pPr>
        <w:ind w:firstLine="601"/>
        <w:spacing w:after="0" w:line="539" w:lineRule="auto"/>
        <w:rPr>
          <w:sz w:val="20"/>
          <w:szCs w:val="20"/>
          <w:color w:val="auto"/>
        </w:rPr>
      </w:pPr>
      <w:r>
        <w:rPr>
          <w:rFonts w:ascii="Arial" w:cs="Arial" w:eastAsia="Arial" w:hAnsi="Arial"/>
          <w:sz w:val="18"/>
          <w:szCs w:val="18"/>
          <w:color w:val="auto"/>
        </w:rPr>
        <w:t>The undersigned has been duly appointed as Investment Manager under Section ___ of the Trust Agreement with respect to the selection of an insurance company to provide terminal annuities in connection with General Motors' termination of the Pension Plan, and directing the trustees of the Trust in connection with the purchase of such terminal annuities including the execution of terminal group annuity contracts and the transfer of assets from the Trust to the insurance company selected by the Investment Manger in consideration of the group annuity contract and related matters. General Motors has terminated the Pension Plan pursuant to a resolution dated _________, 2012.</w:t>
      </w:r>
    </w:p>
    <w:p>
      <w:pPr>
        <w:spacing w:after="0" w:line="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undersigned hereby directs you, not individually, but as Trustee on behalf of the Trust to (i) transfer to the Insurer in consideration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of a Group Annuity Contract, the assets designated [ *** </w:t>
      </w:r>
      <w:r>
        <w:rPr>
          <w:rFonts w:ascii="Arial" w:cs="Arial" w:eastAsia="Arial" w:hAnsi="Arial"/>
          <w:sz w:val="19"/>
          <w:szCs w:val="19"/>
          <w:color w:val="auto"/>
        </w:rPr>
        <w:t>]</w:t>
      </w:r>
      <w:r>
        <w:rPr>
          <w:rFonts w:ascii="Arial" w:cs="Arial" w:eastAsia="Arial" w:hAnsi="Arial"/>
          <w:sz w:val="18"/>
          <w:szCs w:val="18"/>
          <w:color w:val="auto"/>
        </w:rPr>
        <w:t xml:space="preserve"> on the Transferred Asset Schedule (whether or not in a Newco), including taking</w:t>
      </w:r>
    </w:p>
    <w:p>
      <w:pPr>
        <w:spacing w:after="0" w:line="282"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all actions reasonable and necessary to effectuate such transfer and (ii) execute [ *** </w:t>
      </w:r>
      <w:r>
        <w:rPr>
          <w:rFonts w:ascii="Arial" w:cs="Arial" w:eastAsia="Arial" w:hAnsi="Arial"/>
          <w:sz w:val="21"/>
          <w:szCs w:val="21"/>
          <w:color w:val="auto"/>
        </w:rPr>
        <w:t>]</w:t>
      </w:r>
      <w:r>
        <w:rPr>
          <w:rFonts w:ascii="Arial" w:cs="Arial" w:eastAsia="Arial" w:hAnsi="Arial"/>
          <w:sz w:val="20"/>
          <w:szCs w:val="20"/>
          <w:color w:val="auto"/>
        </w:rPr>
        <w:t xml:space="preserve"> specified by the undersigned.</w:t>
      </w:r>
    </w:p>
    <w:p>
      <w:pPr>
        <w:spacing w:after="0" w:line="262" w:lineRule="exact"/>
        <w:rPr>
          <w:sz w:val="20"/>
          <w:szCs w:val="20"/>
          <w:color w:val="auto"/>
        </w:rPr>
      </w:pPr>
    </w:p>
    <w:p>
      <w:pPr>
        <w:ind w:left="600"/>
        <w:spacing w:after="0"/>
        <w:rPr>
          <w:sz w:val="20"/>
          <w:szCs w:val="20"/>
          <w:color w:val="auto"/>
        </w:rPr>
      </w:pPr>
      <w:r>
        <w:rPr>
          <w:rFonts w:ascii="Arial" w:cs="Arial" w:eastAsia="Arial" w:hAnsi="Arial"/>
          <w:sz w:val="20"/>
          <w:szCs w:val="20"/>
          <w:color w:val="auto"/>
        </w:rPr>
        <w:t>In connection herewith, the undersigned represents and warrants to the Trustee for the benefit of the Trust that:</w:t>
      </w:r>
    </w:p>
    <w:p>
      <w:pPr>
        <w:spacing w:after="0" w:line="233" w:lineRule="exact"/>
        <w:rPr>
          <w:sz w:val="20"/>
          <w:szCs w:val="20"/>
          <w:color w:val="auto"/>
        </w:rPr>
      </w:pPr>
    </w:p>
    <w:p>
      <w:pPr>
        <w:ind w:left="1200" w:right="360" w:hanging="599"/>
        <w:spacing w:after="0" w:line="483" w:lineRule="auto"/>
        <w:tabs>
          <w:tab w:leader="none" w:pos="1200" w:val="left"/>
        </w:tabs>
        <w:numPr>
          <w:ilvl w:val="0"/>
          <w:numId w:val="158"/>
        </w:numPr>
        <w:rPr>
          <w:rFonts w:ascii="Arial" w:cs="Arial" w:eastAsia="Arial" w:hAnsi="Arial"/>
          <w:sz w:val="20"/>
          <w:szCs w:val="20"/>
          <w:color w:val="auto"/>
        </w:rPr>
      </w:pPr>
      <w:r>
        <w:rPr>
          <w:rFonts w:ascii="Arial" w:cs="Arial" w:eastAsia="Arial" w:hAnsi="Arial"/>
          <w:sz w:val="20"/>
          <w:szCs w:val="20"/>
          <w:color w:val="auto"/>
        </w:rPr>
        <w:t>the undersigned is an Investment Manger within the meaning of 3(38) of the Employee Retirement Income Security Act of 1974, as amended, and is acting in such capacity in issuing the direction set forth in this letter;</w:t>
      </w:r>
    </w:p>
    <w:p>
      <w:pPr>
        <w:ind w:left="1200" w:hanging="599"/>
        <w:spacing w:after="0" w:line="483" w:lineRule="auto"/>
        <w:tabs>
          <w:tab w:leader="none" w:pos="1200" w:val="left"/>
        </w:tabs>
        <w:numPr>
          <w:ilvl w:val="0"/>
          <w:numId w:val="158"/>
        </w:numPr>
        <w:rPr>
          <w:rFonts w:ascii="Arial" w:cs="Arial" w:eastAsia="Arial" w:hAnsi="Arial"/>
          <w:sz w:val="20"/>
          <w:szCs w:val="20"/>
          <w:color w:val="auto"/>
        </w:rPr>
      </w:pPr>
      <w:r>
        <w:rPr>
          <w:rFonts w:ascii="Arial" w:cs="Arial" w:eastAsia="Arial" w:hAnsi="Arial"/>
          <w:sz w:val="20"/>
          <w:szCs w:val="20"/>
          <w:color w:val="auto"/>
        </w:rPr>
        <w:t>the undersigned has determined that the execution of the Group Annuity Contract and transferring the assets on the Transferred Asset Schedule satisfies ERISA, and applicable guidance, including Interpretive Bulletin 95-1; and</w:t>
      </w:r>
    </w:p>
    <w:p>
      <w:pPr>
        <w:ind w:left="1200" w:right="280" w:hanging="599"/>
        <w:spacing w:after="0" w:line="510" w:lineRule="auto"/>
        <w:tabs>
          <w:tab w:leader="none" w:pos="1200" w:val="left"/>
        </w:tabs>
        <w:numPr>
          <w:ilvl w:val="0"/>
          <w:numId w:val="158"/>
        </w:numPr>
        <w:rPr>
          <w:rFonts w:ascii="Arial" w:cs="Arial" w:eastAsia="Arial" w:hAnsi="Arial"/>
          <w:sz w:val="20"/>
          <w:szCs w:val="20"/>
          <w:color w:val="auto"/>
        </w:rPr>
      </w:pPr>
      <w:r>
        <w:rPr>
          <w:rFonts w:ascii="Arial" w:cs="Arial" w:eastAsia="Arial" w:hAnsi="Arial"/>
          <w:sz w:val="20"/>
          <w:szCs w:val="20"/>
          <w:color w:val="auto"/>
        </w:rPr>
        <w:t>the officer signing this letter is duly authorized to execute and deliver this direction on behalf of State Street Bank and Trust Company.</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Appendix 2.1A - 5</w:t>
      </w:r>
    </w:p>
    <w:p>
      <w:pPr>
        <w:sectPr>
          <w:pgSz w:w="11900" w:h="16838" w:orient="portrait"/>
          <w:cols w:equalWidth="0" w:num="1">
            <w:col w:w="11400"/>
          </w:cols>
          <w:pgMar w:left="240" w:top="669" w:right="259" w:bottom="1440" w:gutter="0" w:footer="0" w:header="0"/>
        </w:sectPr>
      </w:pPr>
    </w:p>
    <w:bookmarkStart w:id="159" w:name="page160"/>
    <w:bookmarkEnd w:id="159"/>
    <w:p>
      <w:pPr>
        <w:jc w:val="center"/>
        <w:ind w:right="-20"/>
        <w:spacing w:after="0"/>
        <w:rPr>
          <w:sz w:val="20"/>
          <w:szCs w:val="20"/>
          <w:color w:val="auto"/>
        </w:rPr>
      </w:pPr>
      <w:r>
        <w:rPr>
          <w:rFonts w:ascii="Arial" w:cs="Arial" w:eastAsia="Arial" w:hAnsi="Arial"/>
          <w:sz w:val="20"/>
          <w:szCs w:val="20"/>
          <w:b w:val="1"/>
          <w:bCs w:val="1"/>
          <w:u w:val="single" w:color="auto"/>
          <w:color w:val="auto"/>
        </w:rPr>
        <w:t>Schedule 1 to Appendix 2.1-A</w:t>
      </w:r>
    </w:p>
    <w:p>
      <w:pPr>
        <w:spacing w:after="0" w:line="398" w:lineRule="exact"/>
        <w:rPr>
          <w:sz w:val="20"/>
          <w:szCs w:val="20"/>
          <w:color w:val="auto"/>
        </w:rPr>
      </w:pPr>
    </w:p>
    <w:p>
      <w:pPr>
        <w:jc w:val="center"/>
        <w:ind w:left="4300" w:right="2299" w:hanging="1989"/>
        <w:spacing w:after="0" w:line="501" w:lineRule="auto"/>
        <w:tabs>
          <w:tab w:leader="none" w:pos="2431" w:val="left"/>
        </w:tabs>
        <w:numPr>
          <w:ilvl w:val="0"/>
          <w:numId w:val="159"/>
        </w:numPr>
        <w:rPr>
          <w:rFonts w:ascii="Arial" w:cs="Arial" w:eastAsia="Arial" w:hAnsi="Arial"/>
          <w:sz w:val="20"/>
          <w:szCs w:val="20"/>
          <w:color w:val="auto"/>
        </w:rPr>
      </w:pPr>
      <w:r>
        <w:rPr>
          <w:rFonts w:ascii="Arial" w:cs="Arial" w:eastAsia="Arial" w:hAnsi="Arial"/>
          <w:sz w:val="20"/>
          <w:szCs w:val="20"/>
          <w:color w:val="auto"/>
        </w:rPr>
        <w:t xml:space="preserve">*** </w:t>
      </w:r>
      <w:r>
        <w:rPr>
          <w:rFonts w:ascii="Arial" w:cs="Arial" w:eastAsia="Arial" w:hAnsi="Arial"/>
          <w:sz w:val="21"/>
          <w:szCs w:val="21"/>
          <w:color w:val="auto"/>
        </w:rPr>
        <w:t>]</w:t>
      </w:r>
      <w:r>
        <w:rPr>
          <w:rFonts w:ascii="Arial" w:cs="Arial" w:eastAsia="Arial" w:hAnsi="Arial"/>
          <w:sz w:val="20"/>
          <w:szCs w:val="20"/>
          <w:color w:val="auto"/>
        </w:rPr>
        <w:t xml:space="preserve"> </w:t>
      </w:r>
      <w:r>
        <w:rPr>
          <w:rFonts w:ascii="Arial" w:cs="Arial" w:eastAsia="Arial" w:hAnsi="Arial"/>
          <w:sz w:val="20"/>
          <w:szCs w:val="20"/>
          <w:b w:val="1"/>
          <w:bCs w:val="1"/>
          <w:color w:val="auto"/>
        </w:rPr>
        <w:t>REFERENCED IN APPENDIX 2.1-A(II)(A)</w:t>
      </w:r>
      <w:r>
        <w:rPr>
          <w:rFonts w:ascii="Arial" w:cs="Arial" w:eastAsia="Arial" w:hAnsi="Arial"/>
          <w:sz w:val="20"/>
          <w:szCs w:val="20"/>
          <w:color w:val="auto"/>
        </w:rPr>
        <w:t xml:space="preserve"> None</w:t>
      </w:r>
    </w:p>
    <w:p>
      <w:pPr>
        <w:spacing w:after="0" w:line="141"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Appendix 2.1A - 6</w:t>
      </w:r>
    </w:p>
    <w:p>
      <w:pPr>
        <w:sectPr>
          <w:pgSz w:w="11900" w:h="16838" w:orient="portrait"/>
          <w:cols w:equalWidth="0" w:num="1">
            <w:col w:w="9019"/>
          </w:cols>
          <w:pgMar w:left="1440" w:top="753" w:right="1440" w:bottom="1440" w:gutter="0" w:footer="0" w:header="0"/>
        </w:sectPr>
      </w:pPr>
    </w:p>
    <w:bookmarkStart w:id="160" w:name="page161"/>
    <w:bookmarkEnd w:id="160"/>
    <w:p>
      <w:pPr>
        <w:jc w:val="center"/>
        <w:ind w:right="-59"/>
        <w:spacing w:after="0"/>
        <w:rPr>
          <w:sz w:val="20"/>
          <w:szCs w:val="20"/>
          <w:color w:val="auto"/>
        </w:rPr>
      </w:pPr>
      <w:r>
        <w:rPr>
          <w:rFonts w:ascii="Arial" w:cs="Arial" w:eastAsia="Arial" w:hAnsi="Arial"/>
          <w:sz w:val="20"/>
          <w:szCs w:val="20"/>
          <w:b w:val="1"/>
          <w:bCs w:val="1"/>
          <w:u w:val="single" w:color="auto"/>
          <w:color w:val="auto"/>
        </w:rPr>
        <w:t>Appendix 2.1-B</w:t>
      </w: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Final Plan Portfolio Transfer Instrument</w:t>
      </w:r>
    </w:p>
    <w:p>
      <w:pPr>
        <w:spacing w:after="0" w:line="200" w:lineRule="exact"/>
        <w:rPr>
          <w:sz w:val="20"/>
          <w:szCs w:val="20"/>
          <w:color w:val="auto"/>
        </w:rPr>
      </w:pPr>
    </w:p>
    <w:p>
      <w:pPr>
        <w:spacing w:after="0" w:line="212" w:lineRule="exact"/>
        <w:rPr>
          <w:sz w:val="20"/>
          <w:szCs w:val="20"/>
          <w:color w:val="auto"/>
        </w:rPr>
      </w:pPr>
    </w:p>
    <w:p>
      <w:pPr>
        <w:ind w:right="100" w:firstLine="601"/>
        <w:spacing w:after="0" w:line="268" w:lineRule="auto"/>
        <w:rPr>
          <w:sz w:val="20"/>
          <w:szCs w:val="20"/>
          <w:color w:val="auto"/>
        </w:rPr>
      </w:pPr>
      <w:r>
        <w:rPr>
          <w:rFonts w:ascii="Arial" w:cs="Arial" w:eastAsia="Arial" w:hAnsi="Arial"/>
          <w:sz w:val="20"/>
          <w:szCs w:val="20"/>
          <w:color w:val="auto"/>
        </w:rPr>
        <w:t xml:space="preserve">This </w:t>
      </w:r>
      <w:r>
        <w:rPr>
          <w:rFonts w:ascii="Arial" w:cs="Arial" w:eastAsia="Arial" w:hAnsi="Arial"/>
          <w:sz w:val="20"/>
          <w:szCs w:val="20"/>
          <w:u w:val="single" w:color="auto"/>
          <w:color w:val="auto"/>
        </w:rPr>
        <w:t>Appendix 2.1-B</w:t>
      </w:r>
      <w:r>
        <w:rPr>
          <w:rFonts w:ascii="Arial" w:cs="Arial" w:eastAsia="Arial" w:hAnsi="Arial"/>
          <w:sz w:val="20"/>
          <w:szCs w:val="20"/>
          <w:color w:val="auto"/>
        </w:rPr>
        <w:t xml:space="preserve"> sets forth (1) a form of Bill of Sale pursuant to which the Plan Trustee will transfer the Public Bonds to the Insurer on the Closing Date and (2) a Term Sheet containing the agreed upon terms and process by which the Plan will transfer the [ *** </w:t>
      </w:r>
      <w:r>
        <w:rPr>
          <w:rFonts w:ascii="Arial" w:cs="Arial" w:eastAsia="Arial" w:hAnsi="Arial"/>
          <w:sz w:val="21"/>
          <w:szCs w:val="21"/>
          <w:color w:val="auto"/>
        </w:rPr>
        <w:t>]</w:t>
      </w:r>
      <w:r>
        <w:rPr>
          <w:rFonts w:ascii="Arial" w:cs="Arial" w:eastAsia="Arial" w:hAnsi="Arial"/>
          <w:sz w:val="20"/>
          <w:szCs w:val="20"/>
          <w:color w:val="auto"/>
        </w:rPr>
        <w:t xml:space="preserve"> to the Insurer.</w:t>
      </w:r>
    </w:p>
    <w:p>
      <w:pPr>
        <w:spacing w:after="0" w:line="368" w:lineRule="exact"/>
        <w:rPr>
          <w:sz w:val="20"/>
          <w:szCs w:val="20"/>
          <w:color w:val="auto"/>
        </w:rPr>
      </w:pPr>
    </w:p>
    <w:p>
      <w:pPr>
        <w:ind w:left="600" w:hanging="600"/>
        <w:spacing w:after="0"/>
        <w:tabs>
          <w:tab w:leader="none" w:pos="600" w:val="left"/>
        </w:tabs>
        <w:numPr>
          <w:ilvl w:val="0"/>
          <w:numId w:val="160"/>
        </w:numPr>
        <w:rPr>
          <w:rFonts w:ascii="Arial" w:cs="Arial" w:eastAsia="Arial" w:hAnsi="Arial"/>
          <w:sz w:val="20"/>
          <w:szCs w:val="20"/>
          <w:color w:val="auto"/>
        </w:rPr>
      </w:pPr>
      <w:r>
        <w:rPr>
          <w:rFonts w:ascii="Arial" w:cs="Arial" w:eastAsia="Arial" w:hAnsi="Arial"/>
          <w:sz w:val="20"/>
          <w:szCs w:val="20"/>
          <w:i w:val="1"/>
          <w:iCs w:val="1"/>
          <w:u w:val="single" w:color="auto"/>
          <w:color w:val="auto"/>
        </w:rPr>
        <w:t>Form of Bill of Sale to effect the transfer of all Public Bonds contained in the Final Plan Portfolio.</w:t>
      </w:r>
    </w:p>
    <w:p>
      <w:pPr>
        <w:spacing w:after="0" w:line="200" w:lineRule="exact"/>
        <w:rPr>
          <w:rFonts w:ascii="Arial" w:cs="Arial" w:eastAsia="Arial" w:hAnsi="Arial"/>
          <w:sz w:val="20"/>
          <w:szCs w:val="20"/>
          <w:color w:val="auto"/>
        </w:rPr>
      </w:pPr>
    </w:p>
    <w:p>
      <w:pPr>
        <w:spacing w:after="0" w:line="204" w:lineRule="exact"/>
        <w:rPr>
          <w:rFonts w:ascii="Arial" w:cs="Arial" w:eastAsia="Arial" w:hAnsi="Arial"/>
          <w:sz w:val="20"/>
          <w:szCs w:val="20"/>
          <w:color w:val="auto"/>
        </w:rPr>
      </w:pPr>
    </w:p>
    <w:p>
      <w:pPr>
        <w:ind w:left="4880"/>
        <w:spacing w:after="0"/>
        <w:rPr>
          <w:rFonts w:ascii="Arial" w:cs="Arial" w:eastAsia="Arial" w:hAnsi="Arial"/>
          <w:sz w:val="20"/>
          <w:szCs w:val="20"/>
          <w:color w:val="auto"/>
        </w:rPr>
      </w:pPr>
      <w:r>
        <w:rPr>
          <w:rFonts w:ascii="Arial" w:cs="Arial" w:eastAsia="Arial" w:hAnsi="Arial"/>
          <w:sz w:val="20"/>
          <w:szCs w:val="20"/>
          <w:b w:val="1"/>
          <w:bCs w:val="1"/>
          <w:color w:val="auto"/>
        </w:rPr>
        <w:t>Form of Bill of Sale</w:t>
      </w:r>
    </w:p>
    <w:p>
      <w:pPr>
        <w:spacing w:after="0" w:line="200" w:lineRule="exact"/>
        <w:rPr>
          <w:sz w:val="20"/>
          <w:szCs w:val="20"/>
          <w:color w:val="auto"/>
        </w:rPr>
      </w:pPr>
    </w:p>
    <w:p>
      <w:pPr>
        <w:spacing w:after="0" w:line="212" w:lineRule="exact"/>
        <w:rPr>
          <w:sz w:val="20"/>
          <w:szCs w:val="20"/>
          <w:color w:val="auto"/>
        </w:rPr>
      </w:pPr>
    </w:p>
    <w:p>
      <w:pPr>
        <w:ind w:right="20" w:firstLine="601"/>
        <w:spacing w:after="0" w:line="257" w:lineRule="auto"/>
        <w:rPr>
          <w:sz w:val="20"/>
          <w:szCs w:val="20"/>
          <w:color w:val="auto"/>
        </w:rPr>
      </w:pPr>
      <w:r>
        <w:rPr>
          <w:rFonts w:ascii="Arial" w:cs="Arial" w:eastAsia="Arial" w:hAnsi="Arial"/>
          <w:sz w:val="20"/>
          <w:szCs w:val="20"/>
          <w:color w:val="auto"/>
        </w:rPr>
        <w:t>This BILL OF SALE (this “</w:t>
      </w:r>
      <w:r>
        <w:rPr>
          <w:rFonts w:ascii="Arial" w:cs="Arial" w:eastAsia="Arial" w:hAnsi="Arial"/>
          <w:sz w:val="20"/>
          <w:szCs w:val="20"/>
          <w:u w:val="single" w:color="auto"/>
          <w:color w:val="auto"/>
        </w:rPr>
        <w:t>Bill of Sale</w:t>
      </w:r>
      <w:r>
        <w:rPr>
          <w:rFonts w:ascii="Arial" w:cs="Arial" w:eastAsia="Arial" w:hAnsi="Arial"/>
          <w:sz w:val="20"/>
          <w:szCs w:val="20"/>
          <w:color w:val="auto"/>
        </w:rPr>
        <w:t>”), dated as of [], 2012, with effect from 12:01 a.m. on [], 2012 Eastern time, is entered into by and among The Prudential Insurance Company of America, a life insurance company (the “</w:t>
      </w:r>
      <w:r>
        <w:rPr>
          <w:rFonts w:ascii="Arial" w:cs="Arial" w:eastAsia="Arial" w:hAnsi="Arial"/>
          <w:sz w:val="20"/>
          <w:szCs w:val="20"/>
          <w:u w:val="single" w:color="auto"/>
          <w:color w:val="auto"/>
        </w:rPr>
        <w:t>Insurer</w:t>
      </w:r>
      <w:r>
        <w:rPr>
          <w:rFonts w:ascii="Arial" w:cs="Arial" w:eastAsia="Arial" w:hAnsi="Arial"/>
          <w:sz w:val="20"/>
          <w:szCs w:val="20"/>
          <w:color w:val="auto"/>
        </w:rPr>
        <w:t>”), and State Street Bank and Trust Company, the Plan Trustee for the Trust (the “</w:t>
      </w:r>
      <w:r>
        <w:rPr>
          <w:rFonts w:ascii="Arial" w:cs="Arial" w:eastAsia="Arial" w:hAnsi="Arial"/>
          <w:sz w:val="20"/>
          <w:szCs w:val="20"/>
          <w:u w:val="single" w:color="auto"/>
          <w:color w:val="auto"/>
        </w:rPr>
        <w:t>Plan Trustee</w:t>
      </w:r>
      <w:r>
        <w:rPr>
          <w:rFonts w:ascii="Arial" w:cs="Arial" w:eastAsia="Arial" w:hAnsi="Arial"/>
          <w:sz w:val="20"/>
          <w:szCs w:val="20"/>
          <w:color w:val="auto"/>
        </w:rPr>
        <w:t>”). Capitalized terms used herein and not herein defined shall derive their meaning from Section 1.1 of the DTFA (as defined below).</w:t>
      </w:r>
    </w:p>
    <w:p>
      <w:pPr>
        <w:spacing w:after="0" w:line="367" w:lineRule="exact"/>
        <w:rPr>
          <w:sz w:val="20"/>
          <w:szCs w:val="20"/>
          <w:color w:val="auto"/>
        </w:rPr>
      </w:pPr>
    </w:p>
    <w:p>
      <w:pPr>
        <w:ind w:firstLine="601"/>
        <w:spacing w:after="0" w:line="255" w:lineRule="auto"/>
        <w:rPr>
          <w:sz w:val="20"/>
          <w:szCs w:val="20"/>
          <w:color w:val="auto"/>
        </w:rPr>
      </w:pPr>
      <w:r>
        <w:rPr>
          <w:rFonts w:ascii="Arial" w:cs="Arial" w:eastAsia="Arial" w:hAnsi="Arial"/>
          <w:sz w:val="20"/>
          <w:szCs w:val="20"/>
          <w:color w:val="auto"/>
        </w:rPr>
        <w:t>WHEREAS, the Insurer, Insurer Parent, the sponsor of the General Motors Retirement Program for Salaried Employees (the “</w:t>
      </w:r>
      <w:r>
        <w:rPr>
          <w:rFonts w:ascii="Arial" w:cs="Arial" w:eastAsia="Arial" w:hAnsi="Arial"/>
          <w:sz w:val="20"/>
          <w:szCs w:val="20"/>
          <w:u w:val="single" w:color="auto"/>
          <w:color w:val="auto"/>
        </w:rPr>
        <w:t>Plan</w:t>
      </w:r>
      <w:r>
        <w:rPr>
          <w:rFonts w:ascii="Arial" w:cs="Arial" w:eastAsia="Arial" w:hAnsi="Arial"/>
          <w:sz w:val="20"/>
          <w:szCs w:val="20"/>
          <w:color w:val="auto"/>
        </w:rPr>
        <w:t>”) and State Street Bank and Trust Company, the independent fiduciary of the Plan (the “</w:t>
      </w:r>
      <w:r>
        <w:rPr>
          <w:rFonts w:ascii="Arial" w:cs="Arial" w:eastAsia="Arial" w:hAnsi="Arial"/>
          <w:sz w:val="20"/>
          <w:szCs w:val="20"/>
          <w:u w:val="single" w:color="auto"/>
          <w:color w:val="auto"/>
        </w:rPr>
        <w:t>Independent Fiduciary</w:t>
      </w:r>
      <w:r>
        <w:rPr>
          <w:rFonts w:ascii="Arial" w:cs="Arial" w:eastAsia="Arial" w:hAnsi="Arial"/>
          <w:sz w:val="20"/>
          <w:szCs w:val="20"/>
          <w:color w:val="auto"/>
        </w:rPr>
        <w:t>”), have entered into a Definitive Transaction Framework Agreement, dated as of May 30, 2012 (the “</w:t>
      </w:r>
      <w:r>
        <w:rPr>
          <w:rFonts w:ascii="Arial" w:cs="Arial" w:eastAsia="Arial" w:hAnsi="Arial"/>
          <w:sz w:val="20"/>
          <w:szCs w:val="20"/>
          <w:u w:val="single" w:color="auto"/>
          <w:color w:val="auto"/>
        </w:rPr>
        <w:t>DTFA</w:t>
      </w:r>
      <w:r>
        <w:rPr>
          <w:rFonts w:ascii="Arial" w:cs="Arial" w:eastAsia="Arial" w:hAnsi="Arial"/>
          <w:sz w:val="20"/>
          <w:szCs w:val="20"/>
          <w:color w:val="auto"/>
        </w:rPr>
        <w:t>”), pursuant to which the Insurer has agreed to issue to the Plan Trustee the Group Annuity Contract in exchange for payment of the Final Premium Amount, which payment will be satisfied by the Plan Trustee's transfer of the Final Plan Portfolio to the Insurer; and</w:t>
      </w:r>
    </w:p>
    <w:p>
      <w:pPr>
        <w:spacing w:after="0" w:line="368" w:lineRule="exact"/>
        <w:rPr>
          <w:sz w:val="20"/>
          <w:szCs w:val="20"/>
          <w:color w:val="auto"/>
        </w:rPr>
      </w:pPr>
    </w:p>
    <w:p>
      <w:pPr>
        <w:ind w:right="160" w:firstLine="601"/>
        <w:spacing w:after="0" w:line="275" w:lineRule="auto"/>
        <w:rPr>
          <w:sz w:val="20"/>
          <w:szCs w:val="20"/>
          <w:color w:val="auto"/>
        </w:rPr>
      </w:pPr>
      <w:r>
        <w:rPr>
          <w:rFonts w:ascii="Arial" w:cs="Arial" w:eastAsia="Arial" w:hAnsi="Arial"/>
          <w:sz w:val="20"/>
          <w:szCs w:val="20"/>
          <w:color w:val="auto"/>
        </w:rPr>
        <w:t>WHEREAS, the Plan Trustee and the Insurer desire to execute this Bill of Sale to evidence the assignment and transfer of the Public Bonds that comprise a portion of the Final Plan Portfolio, from the Plan Trustee to the Insurer.</w:t>
      </w:r>
    </w:p>
    <w:p>
      <w:pPr>
        <w:spacing w:after="0" w:line="349" w:lineRule="exact"/>
        <w:rPr>
          <w:sz w:val="20"/>
          <w:szCs w:val="20"/>
          <w:color w:val="auto"/>
        </w:rPr>
      </w:pPr>
    </w:p>
    <w:p>
      <w:pPr>
        <w:ind w:right="60" w:firstLine="601"/>
        <w:spacing w:after="0" w:line="261" w:lineRule="auto"/>
        <w:rPr>
          <w:sz w:val="20"/>
          <w:szCs w:val="20"/>
          <w:color w:val="auto"/>
        </w:rPr>
      </w:pPr>
      <w:r>
        <w:rPr>
          <w:rFonts w:ascii="Arial" w:cs="Arial" w:eastAsia="Arial" w:hAnsi="Arial"/>
          <w:sz w:val="20"/>
          <w:szCs w:val="20"/>
          <w:color w:val="auto"/>
        </w:rPr>
        <w:t>NOW, THEREFORE, in consideration of the premises and the mutual covenants and promises contained herein and in the DTFA and Group Annuity Contract, and for other good and valuable consideration, the receipt and sufficiency of which are hereby acknowledged, the parties to this Bill of Sale agree as follows:</w:t>
      </w:r>
    </w:p>
    <w:p>
      <w:pPr>
        <w:spacing w:after="0" w:line="364" w:lineRule="exact"/>
        <w:rPr>
          <w:sz w:val="20"/>
          <w:szCs w:val="20"/>
          <w:color w:val="auto"/>
        </w:rPr>
      </w:pPr>
    </w:p>
    <w:p>
      <w:pPr>
        <w:ind w:right="340" w:firstLine="601"/>
        <w:spacing w:after="0" w:line="316" w:lineRule="auto"/>
        <w:tabs>
          <w:tab w:leader="none" w:pos="918" w:val="left"/>
        </w:tabs>
        <w:numPr>
          <w:ilvl w:val="0"/>
          <w:numId w:val="161"/>
        </w:numPr>
        <w:rPr>
          <w:rFonts w:ascii="Arial" w:cs="Arial" w:eastAsia="Arial" w:hAnsi="Arial"/>
          <w:sz w:val="17"/>
          <w:szCs w:val="17"/>
          <w:color w:val="auto"/>
        </w:rPr>
      </w:pPr>
      <w:r>
        <w:rPr>
          <w:rFonts w:ascii="Arial" w:cs="Arial" w:eastAsia="Arial" w:hAnsi="Arial"/>
          <w:sz w:val="17"/>
          <w:szCs w:val="17"/>
          <w:u w:val="single" w:color="auto"/>
          <w:color w:val="auto"/>
        </w:rPr>
        <w:t>Sale of Specified Assets</w:t>
      </w:r>
      <w:r>
        <w:rPr>
          <w:rFonts w:ascii="Arial" w:cs="Arial" w:eastAsia="Arial" w:hAnsi="Arial"/>
          <w:sz w:val="17"/>
          <w:szCs w:val="17"/>
          <w:color w:val="auto"/>
        </w:rPr>
        <w:t>. Effective as of 12:01 a.m. on [], 2012 Eastern time, the Plan Trustee hereby does assign, transfer and deliver (“</w:t>
      </w:r>
      <w:r>
        <w:rPr>
          <w:rFonts w:ascii="Arial" w:cs="Arial" w:eastAsia="Arial" w:hAnsi="Arial"/>
          <w:sz w:val="17"/>
          <w:szCs w:val="17"/>
          <w:u w:val="single" w:color="auto"/>
          <w:color w:val="auto"/>
        </w:rPr>
        <w:t>Transfer</w:t>
      </w:r>
      <w:r>
        <w:rPr>
          <w:rFonts w:ascii="Arial" w:cs="Arial" w:eastAsia="Arial" w:hAnsi="Arial"/>
          <w:sz w:val="17"/>
          <w:szCs w:val="17"/>
          <w:color w:val="auto"/>
        </w:rPr>
        <w:t>”), on behalf of the Plan, to the Insurer and its successors and permitted assigns all rights, title and interests of the Plan</w:t>
      </w:r>
    </w:p>
    <w:p>
      <w:pPr>
        <w:spacing w:after="0" w:line="2" w:lineRule="exact"/>
        <w:rPr>
          <w:sz w:val="20"/>
          <w:szCs w:val="20"/>
          <w:color w:val="auto"/>
        </w:rPr>
      </w:pPr>
    </w:p>
    <w:p>
      <w:pPr>
        <w:ind w:right="100"/>
        <w:spacing w:after="0" w:line="286" w:lineRule="auto"/>
        <w:rPr>
          <w:sz w:val="20"/>
          <w:szCs w:val="20"/>
          <w:color w:val="auto"/>
        </w:rPr>
      </w:pPr>
      <w:r>
        <w:rPr>
          <w:rFonts w:ascii="Arial" w:cs="Arial" w:eastAsia="Arial" w:hAnsi="Arial"/>
          <w:sz w:val="20"/>
          <w:szCs w:val="20"/>
          <w:color w:val="auto"/>
        </w:rPr>
        <w:t xml:space="preserve">Trust, in and to each of the securities set forth on Schedule 1 hereto Schedule 1 is the Transferred Asset Schedule, [ *** </w:t>
      </w:r>
      <w:r>
        <w:rPr>
          <w:rFonts w:ascii="Arial" w:cs="Arial" w:eastAsia="Arial" w:hAnsi="Arial"/>
          <w:sz w:val="21"/>
          <w:szCs w:val="21"/>
          <w:color w:val="auto"/>
        </w:rPr>
        <w:t>]</w:t>
      </w:r>
      <w:r>
        <w:rPr>
          <w:rFonts w:ascii="Arial" w:cs="Arial" w:eastAsia="Arial" w:hAnsi="Arial"/>
          <w:sz w:val="20"/>
          <w:szCs w:val="20"/>
          <w:color w:val="auto"/>
        </w:rPr>
        <w:t xml:space="preserve"> (collectively, the “</w:t>
      </w:r>
      <w:r>
        <w:rPr>
          <w:rFonts w:ascii="Arial" w:cs="Arial" w:eastAsia="Arial" w:hAnsi="Arial"/>
          <w:sz w:val="20"/>
          <w:szCs w:val="20"/>
          <w:u w:val="single" w:color="auto"/>
          <w:color w:val="auto"/>
        </w:rPr>
        <w:t>Specified Assets</w:t>
      </w:r>
      <w:r>
        <w:rPr>
          <w:rFonts w:ascii="Arial" w:cs="Arial" w:eastAsia="Arial" w:hAnsi="Arial"/>
          <w:sz w:val="20"/>
          <w:szCs w:val="20"/>
          <w:color w:val="auto"/>
        </w:rPr>
        <w:t>”) in accordance with Section 2.</w:t>
      </w:r>
    </w:p>
    <w:p>
      <w:pPr>
        <w:spacing w:after="0" w:line="349" w:lineRule="exact"/>
        <w:rPr>
          <w:sz w:val="20"/>
          <w:szCs w:val="20"/>
          <w:color w:val="auto"/>
        </w:rPr>
      </w:pPr>
    </w:p>
    <w:p>
      <w:pPr>
        <w:ind w:right="20" w:firstLine="601"/>
        <w:spacing w:after="0" w:line="288" w:lineRule="auto"/>
        <w:tabs>
          <w:tab w:leader="none" w:pos="918" w:val="left"/>
        </w:tabs>
        <w:numPr>
          <w:ilvl w:val="0"/>
          <w:numId w:val="162"/>
        </w:numPr>
        <w:rPr>
          <w:rFonts w:ascii="Arial" w:cs="Arial" w:eastAsia="Arial" w:hAnsi="Arial"/>
          <w:sz w:val="20"/>
          <w:szCs w:val="20"/>
          <w:color w:val="auto"/>
        </w:rPr>
      </w:pPr>
      <w:r>
        <w:rPr>
          <w:rFonts w:ascii="Arial" w:cs="Arial" w:eastAsia="Arial" w:hAnsi="Arial"/>
          <w:sz w:val="20"/>
          <w:szCs w:val="20"/>
          <w:u w:val="single" w:color="auto"/>
          <w:color w:val="auto"/>
        </w:rPr>
        <w:t>Separate Account</w:t>
      </w:r>
      <w:r>
        <w:rPr>
          <w:rFonts w:ascii="Arial" w:cs="Arial" w:eastAsia="Arial" w:hAnsi="Arial"/>
          <w:sz w:val="20"/>
          <w:szCs w:val="20"/>
          <w:color w:val="auto"/>
        </w:rPr>
        <w:t>. The Transfer of the Specified Assets as described in Section 1 shall be effected by the Transfer of the Specified Assets from the Plan to the Guaranteed Separate Account.</w:t>
      </w:r>
    </w:p>
    <w:p>
      <w:pPr>
        <w:spacing w:after="0" w:line="336" w:lineRule="exact"/>
        <w:rPr>
          <w:rFonts w:ascii="Arial" w:cs="Arial" w:eastAsia="Arial" w:hAnsi="Arial"/>
          <w:sz w:val="20"/>
          <w:szCs w:val="20"/>
          <w:color w:val="auto"/>
        </w:rPr>
      </w:pPr>
    </w:p>
    <w:p>
      <w:pPr>
        <w:ind w:right="300" w:firstLine="601"/>
        <w:spacing w:after="0" w:line="288" w:lineRule="auto"/>
        <w:tabs>
          <w:tab w:leader="none" w:pos="918" w:val="left"/>
        </w:tabs>
        <w:numPr>
          <w:ilvl w:val="0"/>
          <w:numId w:val="162"/>
        </w:numPr>
        <w:rPr>
          <w:rFonts w:ascii="Arial" w:cs="Arial" w:eastAsia="Arial" w:hAnsi="Arial"/>
          <w:sz w:val="20"/>
          <w:szCs w:val="20"/>
          <w:color w:val="auto"/>
        </w:rPr>
      </w:pPr>
      <w:r>
        <w:rPr>
          <w:rFonts w:ascii="Arial" w:cs="Arial" w:eastAsia="Arial" w:hAnsi="Arial"/>
          <w:sz w:val="20"/>
          <w:szCs w:val="20"/>
          <w:u w:val="single" w:color="auto"/>
          <w:color w:val="auto"/>
        </w:rPr>
        <w:t>Assumption of Liabilities</w:t>
      </w:r>
      <w:r>
        <w:rPr>
          <w:rFonts w:ascii="Arial" w:cs="Arial" w:eastAsia="Arial" w:hAnsi="Arial"/>
          <w:sz w:val="20"/>
          <w:szCs w:val="20"/>
          <w:color w:val="auto"/>
        </w:rPr>
        <w:t>. Effective as of 12:01 a.m. on [], 2012 Eastern time, the Insurer shall assume any and all Transferred Liabilities relating to the ownership of any Transferred Asset.</w:t>
      </w:r>
    </w:p>
    <w:p>
      <w:pPr>
        <w:spacing w:after="0" w:line="336" w:lineRule="exact"/>
        <w:rPr>
          <w:rFonts w:ascii="Arial" w:cs="Arial" w:eastAsia="Arial" w:hAnsi="Arial"/>
          <w:sz w:val="20"/>
          <w:szCs w:val="20"/>
          <w:color w:val="auto"/>
        </w:rPr>
      </w:pPr>
    </w:p>
    <w:p>
      <w:pPr>
        <w:jc w:val="both"/>
        <w:ind w:right="20" w:firstLine="601"/>
        <w:spacing w:after="0" w:line="268" w:lineRule="auto"/>
        <w:tabs>
          <w:tab w:leader="none" w:pos="918" w:val="left"/>
        </w:tabs>
        <w:numPr>
          <w:ilvl w:val="0"/>
          <w:numId w:val="162"/>
        </w:numPr>
        <w:rPr>
          <w:rFonts w:ascii="Arial" w:cs="Arial" w:eastAsia="Arial" w:hAnsi="Arial"/>
          <w:sz w:val="20"/>
          <w:szCs w:val="20"/>
          <w:color w:val="auto"/>
        </w:rPr>
      </w:pPr>
      <w:r>
        <w:rPr>
          <w:rFonts w:ascii="Arial" w:cs="Arial" w:eastAsia="Arial" w:hAnsi="Arial"/>
          <w:sz w:val="20"/>
          <w:szCs w:val="20"/>
          <w:u w:val="single" w:color="auto"/>
          <w:color w:val="auto"/>
        </w:rPr>
        <w:t>Additional Actions</w:t>
      </w:r>
      <w:r>
        <w:rPr>
          <w:rFonts w:ascii="Arial" w:cs="Arial" w:eastAsia="Arial" w:hAnsi="Arial"/>
          <w:sz w:val="20"/>
          <w:szCs w:val="20"/>
          <w:color w:val="auto"/>
        </w:rPr>
        <w:t>. The Plan Trustee shall promptly give all notices that are required, under applicable Law and the terms of each Specified Asset, in connection with the sale, assignment and transfer of the Specified Assets. The Plan Trustee and the Insurer shall promptly execute, deliver, record</w:t>
      </w:r>
    </w:p>
    <w:p>
      <w:pPr>
        <w:sectPr>
          <w:pgSz w:w="11900" w:h="16838" w:orient="portrait"/>
          <w:cols w:equalWidth="0" w:num="1">
            <w:col w:w="11360"/>
          </w:cols>
          <w:pgMar w:left="240" w:top="753" w:right="299" w:bottom="1440" w:gutter="0" w:footer="0" w:header="0"/>
        </w:sectPr>
      </w:pPr>
    </w:p>
    <w:p>
      <w:pPr>
        <w:spacing w:after="0" w:line="377"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Appendix 2.1-B - 1</w:t>
      </w:r>
    </w:p>
    <w:p>
      <w:pPr>
        <w:sectPr>
          <w:pgSz w:w="11900" w:h="16838" w:orient="portrait"/>
          <w:cols w:equalWidth="0" w:num="1">
            <w:col w:w="11360"/>
          </w:cols>
          <w:pgMar w:left="240" w:top="753" w:right="299" w:bottom="1440" w:gutter="0" w:footer="0" w:header="0"/>
          <w:type w:val="continuous"/>
        </w:sectPr>
      </w:pPr>
    </w:p>
    <w:bookmarkStart w:id="161" w:name="page162"/>
    <w:bookmarkEnd w:id="161"/>
    <w:p>
      <w:pPr>
        <w:ind w:right="160"/>
        <w:spacing w:after="0" w:line="275" w:lineRule="auto"/>
        <w:rPr>
          <w:sz w:val="20"/>
          <w:szCs w:val="20"/>
          <w:color w:val="auto"/>
        </w:rPr>
      </w:pPr>
      <w:r>
        <w:rPr>
          <w:rFonts w:ascii="Arial" w:cs="Arial" w:eastAsia="Arial" w:hAnsi="Arial"/>
          <w:sz w:val="20"/>
          <w:szCs w:val="20"/>
          <w:color w:val="auto"/>
        </w:rPr>
        <w:t>or file any and all releases, affidavits, waivers, notices or other documents that any other party hereto may reasonably request in order to implement the Transfer of the Specified Assets to the Insurer.</w:t>
      </w:r>
    </w:p>
    <w:p>
      <w:pPr>
        <w:spacing w:after="0" w:line="349" w:lineRule="exact"/>
        <w:rPr>
          <w:sz w:val="20"/>
          <w:szCs w:val="20"/>
          <w:color w:val="auto"/>
        </w:rPr>
      </w:pPr>
    </w:p>
    <w:p>
      <w:pPr>
        <w:ind w:firstLine="601"/>
        <w:spacing w:after="0" w:line="288" w:lineRule="auto"/>
        <w:tabs>
          <w:tab w:leader="none" w:pos="918" w:val="left"/>
        </w:tabs>
        <w:numPr>
          <w:ilvl w:val="0"/>
          <w:numId w:val="163"/>
        </w:numPr>
        <w:rPr>
          <w:rFonts w:ascii="Arial" w:cs="Arial" w:eastAsia="Arial" w:hAnsi="Arial"/>
          <w:sz w:val="20"/>
          <w:szCs w:val="20"/>
          <w:color w:val="auto"/>
        </w:rPr>
      </w:pPr>
      <w:r>
        <w:rPr>
          <w:rFonts w:ascii="Arial" w:cs="Arial" w:eastAsia="Arial" w:hAnsi="Arial"/>
          <w:sz w:val="20"/>
          <w:szCs w:val="20"/>
          <w:u w:val="single" w:color="auto"/>
          <w:color w:val="auto"/>
        </w:rPr>
        <w:t>Miscellaneous</w:t>
      </w:r>
      <w:r>
        <w:rPr>
          <w:rFonts w:ascii="Arial" w:cs="Arial" w:eastAsia="Arial" w:hAnsi="Arial"/>
          <w:sz w:val="20"/>
          <w:szCs w:val="20"/>
          <w:color w:val="auto"/>
        </w:rPr>
        <w:t xml:space="preserve">. Sections 11.2, 11.3, 11.4, 11.6, 11.7, 11.8, 11.9, 11.10, 11.11 and 11.12 of the DTFA are incorporated hereby by reference, </w:t>
      </w:r>
      <w:r>
        <w:rPr>
          <w:rFonts w:ascii="Arial" w:cs="Arial" w:eastAsia="Arial" w:hAnsi="Arial"/>
          <w:sz w:val="20"/>
          <w:szCs w:val="20"/>
          <w:i w:val="1"/>
          <w:iCs w:val="1"/>
          <w:color w:val="auto"/>
        </w:rPr>
        <w:t>mutatis mutandis</w:t>
      </w:r>
      <w:r>
        <w:rPr>
          <w:rFonts w:ascii="Arial" w:cs="Arial" w:eastAsia="Arial" w:hAnsi="Arial"/>
          <w:sz w:val="20"/>
          <w:szCs w:val="20"/>
          <w:color w:val="auto"/>
        </w:rPr>
        <w:t>.</w:t>
      </w:r>
    </w:p>
    <w:p>
      <w:pPr>
        <w:spacing w:after="0" w:line="336" w:lineRule="exact"/>
        <w:rPr>
          <w:rFonts w:ascii="Arial" w:cs="Arial" w:eastAsia="Arial" w:hAnsi="Arial"/>
          <w:sz w:val="20"/>
          <w:szCs w:val="20"/>
          <w:color w:val="auto"/>
        </w:rPr>
      </w:pPr>
    </w:p>
    <w:p>
      <w:pPr>
        <w:ind w:firstLine="601"/>
        <w:spacing w:after="0" w:line="288" w:lineRule="auto"/>
        <w:tabs>
          <w:tab w:leader="none" w:pos="918" w:val="left"/>
        </w:tabs>
        <w:numPr>
          <w:ilvl w:val="0"/>
          <w:numId w:val="163"/>
        </w:numPr>
        <w:rPr>
          <w:rFonts w:ascii="Arial" w:cs="Arial" w:eastAsia="Arial" w:hAnsi="Arial"/>
          <w:sz w:val="20"/>
          <w:szCs w:val="20"/>
          <w:color w:val="auto"/>
        </w:rPr>
      </w:pPr>
      <w:r>
        <w:rPr>
          <w:rFonts w:ascii="Arial" w:cs="Arial" w:eastAsia="Arial" w:hAnsi="Arial"/>
          <w:sz w:val="20"/>
          <w:szCs w:val="20"/>
          <w:u w:val="single" w:color="auto"/>
          <w:color w:val="auto"/>
        </w:rPr>
        <w:t>Headings</w:t>
      </w:r>
      <w:r>
        <w:rPr>
          <w:rFonts w:ascii="Arial" w:cs="Arial" w:eastAsia="Arial" w:hAnsi="Arial"/>
          <w:sz w:val="20"/>
          <w:szCs w:val="20"/>
          <w:color w:val="auto"/>
        </w:rPr>
        <w:t>. Article and Section headings used herein are for convenience and reference only, are not part of this Bill of Sale and shall not affect the construction of, or be taken into consideration in interpreting, this Bill of Sale.</w:t>
      </w:r>
    </w:p>
    <w:p>
      <w:pPr>
        <w:spacing w:after="0" w:line="337" w:lineRule="exact"/>
        <w:rPr>
          <w:sz w:val="20"/>
          <w:szCs w:val="20"/>
          <w:color w:val="auto"/>
        </w:rPr>
      </w:pPr>
    </w:p>
    <w:p>
      <w:pPr>
        <w:jc w:val="center"/>
        <w:ind w:right="-339"/>
        <w:spacing w:after="0"/>
        <w:rPr>
          <w:sz w:val="20"/>
          <w:szCs w:val="20"/>
          <w:color w:val="auto"/>
        </w:rPr>
      </w:pPr>
      <w:r>
        <w:rPr>
          <w:rFonts w:ascii="Arial" w:cs="Arial" w:eastAsia="Arial" w:hAnsi="Arial"/>
          <w:sz w:val="20"/>
          <w:szCs w:val="20"/>
          <w:color w:val="auto"/>
        </w:rPr>
        <w:t>[Remainder of Page Intentionally Left Blank]</w:t>
      </w:r>
    </w:p>
    <w:p>
      <w:pPr>
        <w:spacing w:after="0" w:line="200" w:lineRule="exact"/>
        <w:rPr>
          <w:sz w:val="20"/>
          <w:szCs w:val="20"/>
          <w:color w:val="auto"/>
        </w:rPr>
      </w:pPr>
    </w:p>
    <w:p>
      <w:pPr>
        <w:spacing w:after="0" w:line="230" w:lineRule="exact"/>
        <w:rPr>
          <w:sz w:val="20"/>
          <w:szCs w:val="20"/>
          <w:color w:val="auto"/>
        </w:rPr>
      </w:pPr>
    </w:p>
    <w:p>
      <w:pPr>
        <w:jc w:val="center"/>
        <w:ind w:right="-339"/>
        <w:spacing w:after="0"/>
        <w:rPr>
          <w:sz w:val="20"/>
          <w:szCs w:val="20"/>
          <w:color w:val="auto"/>
        </w:rPr>
      </w:pPr>
      <w:r>
        <w:rPr>
          <w:rFonts w:ascii="Arial" w:cs="Arial" w:eastAsia="Arial" w:hAnsi="Arial"/>
          <w:sz w:val="17"/>
          <w:szCs w:val="17"/>
          <w:color w:val="auto"/>
        </w:rPr>
        <w:t>Appendix 2.1-B - 2</w:t>
      </w:r>
    </w:p>
    <w:p>
      <w:pPr>
        <w:sectPr>
          <w:pgSz w:w="11900" w:h="16838" w:orient="portrait"/>
          <w:cols w:equalWidth="0" w:num="1">
            <w:col w:w="11080"/>
          </w:cols>
          <w:pgMar w:left="240" w:top="757" w:right="579" w:bottom="1440" w:gutter="0" w:footer="0" w:header="0"/>
        </w:sectPr>
      </w:pPr>
    </w:p>
    <w:bookmarkStart w:id="162" w:name="page163"/>
    <w:bookmarkEnd w:id="162"/>
    <w:p>
      <w:pPr>
        <w:spacing w:after="0"/>
        <w:rPr>
          <w:sz w:val="20"/>
          <w:szCs w:val="20"/>
          <w:color w:val="auto"/>
        </w:rPr>
      </w:pPr>
      <w:r>
        <w:rPr>
          <w:rFonts w:ascii="Arial" w:cs="Arial" w:eastAsia="Arial" w:hAnsi="Arial"/>
          <w:sz w:val="18"/>
          <w:szCs w:val="18"/>
          <w:color w:val="auto"/>
        </w:rPr>
        <w:t>IN WITNESS WHEREOF, the parties have executed this Bill of Sale as of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3000"/>
        <w:spacing w:after="0"/>
        <w:rPr>
          <w:sz w:val="20"/>
          <w:szCs w:val="20"/>
          <w:color w:val="auto"/>
        </w:rPr>
      </w:pPr>
      <w:r>
        <w:rPr>
          <w:rFonts w:ascii="Arial" w:cs="Arial" w:eastAsia="Arial" w:hAnsi="Arial"/>
          <w:sz w:val="20"/>
          <w:szCs w:val="20"/>
          <w:color w:val="auto"/>
        </w:rPr>
        <w:t>State Street Bank and Trust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000"/>
        <w:spacing w:after="0"/>
        <w:rPr>
          <w:sz w:val="20"/>
          <w:szCs w:val="20"/>
          <w:color w:val="auto"/>
        </w:rPr>
      </w:pPr>
      <w:r>
        <w:rPr>
          <w:rFonts w:ascii="Arial" w:cs="Arial" w:eastAsia="Arial" w:hAnsi="Arial"/>
          <w:sz w:val="20"/>
          <w:szCs w:val="20"/>
          <w:color w:val="auto"/>
        </w:rPr>
        <w:t>By:_________________________________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000"/>
        <w:spacing w:after="0"/>
        <w:rPr>
          <w:sz w:val="20"/>
          <w:szCs w:val="20"/>
          <w:color w:val="auto"/>
        </w:rPr>
      </w:pPr>
      <w:r>
        <w:rPr>
          <w:rFonts w:ascii="Arial" w:cs="Arial" w:eastAsia="Arial" w:hAnsi="Arial"/>
          <w:sz w:val="20"/>
          <w:szCs w:val="20"/>
          <w:color w:val="auto"/>
        </w:rPr>
        <w:t>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00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200"/>
        <w:spacing w:after="0"/>
        <w:rPr>
          <w:sz w:val="20"/>
          <w:szCs w:val="20"/>
          <w:color w:val="auto"/>
        </w:rPr>
      </w:pPr>
      <w:r>
        <w:rPr>
          <w:rFonts w:ascii="Arial" w:cs="Arial" w:eastAsia="Arial" w:hAnsi="Arial"/>
          <w:sz w:val="20"/>
          <w:szCs w:val="20"/>
          <w:color w:val="auto"/>
        </w:rPr>
        <w:t>The Prudential Insurance Company of America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000"/>
        <w:spacing w:after="0"/>
        <w:rPr>
          <w:sz w:val="20"/>
          <w:szCs w:val="20"/>
          <w:color w:val="auto"/>
        </w:rPr>
      </w:pPr>
      <w:r>
        <w:rPr>
          <w:rFonts w:ascii="Arial" w:cs="Arial" w:eastAsia="Arial" w:hAnsi="Arial"/>
          <w:sz w:val="20"/>
          <w:szCs w:val="20"/>
          <w:color w:val="auto"/>
        </w:rPr>
        <w:t>By:_________________________________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000"/>
        <w:spacing w:after="0"/>
        <w:rPr>
          <w:sz w:val="20"/>
          <w:szCs w:val="20"/>
          <w:color w:val="auto"/>
        </w:rPr>
      </w:pPr>
      <w:r>
        <w:rPr>
          <w:rFonts w:ascii="Arial" w:cs="Arial" w:eastAsia="Arial" w:hAnsi="Arial"/>
          <w:sz w:val="20"/>
          <w:szCs w:val="20"/>
          <w:color w:val="auto"/>
        </w:rPr>
        <w:t>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000"/>
        <w:spacing w:after="0"/>
        <w:rPr>
          <w:sz w:val="20"/>
          <w:szCs w:val="20"/>
          <w:color w:val="auto"/>
        </w:rPr>
      </w:pPr>
      <w:r>
        <w:rPr>
          <w:rFonts w:ascii="Arial" w:cs="Arial" w:eastAsia="Arial" w:hAnsi="Arial"/>
          <w:sz w:val="20"/>
          <w:szCs w:val="20"/>
          <w:color w:val="auto"/>
        </w:rPr>
        <w:t>Title:</w:t>
      </w:r>
    </w:p>
    <w:p>
      <w:pPr>
        <w:sectPr>
          <w:pgSz w:w="11900" w:h="16838" w:orient="portrait"/>
          <w:cols w:equalWidth="0" w:num="1">
            <w:col w:w="9619"/>
          </w:cols>
          <w:pgMar w:left="840" w:top="757" w:right="1440" w:bottom="16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460"/>
        <w:spacing w:after="0"/>
        <w:rPr>
          <w:sz w:val="20"/>
          <w:szCs w:val="20"/>
          <w:color w:val="auto"/>
        </w:rPr>
      </w:pPr>
      <w:r>
        <w:rPr>
          <w:rFonts w:ascii="Arial" w:cs="Arial" w:eastAsia="Arial" w:hAnsi="Arial"/>
          <w:sz w:val="15"/>
          <w:szCs w:val="15"/>
          <w:color w:val="auto"/>
        </w:rPr>
        <w:t>Appendix 2.1-B - 3</w:t>
      </w:r>
    </w:p>
    <w:p>
      <w:pPr>
        <w:sectPr>
          <w:pgSz w:w="11900" w:h="16838" w:orient="portrait"/>
          <w:cols w:equalWidth="0" w:num="1">
            <w:col w:w="9619"/>
          </w:cols>
          <w:pgMar w:left="840" w:top="757" w:right="1440" w:bottom="165" w:gutter="0" w:footer="0" w:header="0"/>
          <w:type w:val="continuous"/>
        </w:sectPr>
      </w:pPr>
    </w:p>
    <w:bookmarkStart w:id="163" w:name="page164"/>
    <w:bookmarkEnd w:id="16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______________________________________</w:t>
      </w:r>
    </w:p>
    <w:p>
      <w:pPr>
        <w:spacing w:after="0" w:line="12" w:lineRule="exact"/>
        <w:rPr>
          <w:sz w:val="20"/>
          <w:szCs w:val="20"/>
          <w:color w:val="auto"/>
        </w:rPr>
      </w:pPr>
    </w:p>
    <w:p>
      <w:pPr>
        <w:ind w:left="160"/>
        <w:spacing w:after="0"/>
        <w:rPr>
          <w:sz w:val="20"/>
          <w:szCs w:val="20"/>
          <w:color w:val="auto"/>
        </w:rPr>
      </w:pPr>
      <w:r>
        <w:rPr>
          <w:rFonts w:ascii="Arial" w:cs="Arial" w:eastAsia="Arial" w:hAnsi="Arial"/>
          <w:sz w:val="17"/>
          <w:szCs w:val="17"/>
          <w:color w:val="auto"/>
        </w:rPr>
        <w:t xml:space="preserve">1 </w:t>
      </w:r>
      <w:r>
        <w:rPr>
          <w:rFonts w:ascii="Arial" w:cs="Arial" w:eastAsia="Arial" w:hAnsi="Arial"/>
          <w:sz w:val="20"/>
          <w:szCs w:val="20"/>
          <w:color w:val="auto"/>
        </w:rPr>
        <w:t>Schedule 1 is the Transferred Asset Schedule, [ ***</w:t>
      </w:r>
      <w:r>
        <w:rPr>
          <w:rFonts w:ascii="Arial" w:cs="Arial" w:eastAsia="Arial" w:hAnsi="Arial"/>
          <w:sz w:val="17"/>
          <w:szCs w:val="17"/>
          <w:color w:val="auto"/>
        </w:rPr>
        <w:t xml:space="preserve"> </w:t>
      </w:r>
      <w:r>
        <w:rPr>
          <w:rFonts w:ascii="Arial" w:cs="Arial" w:eastAsia="Arial" w:hAnsi="Arial"/>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right"/>
        <w:ind w:right="3859"/>
        <w:spacing w:after="0"/>
        <w:rPr>
          <w:sz w:val="20"/>
          <w:szCs w:val="20"/>
          <w:color w:val="auto"/>
        </w:rPr>
      </w:pPr>
      <w:r>
        <w:rPr>
          <w:rFonts w:ascii="Arial" w:cs="Arial" w:eastAsia="Arial" w:hAnsi="Arial"/>
          <w:sz w:val="17"/>
          <w:szCs w:val="17"/>
          <w:color w:val="auto"/>
        </w:rPr>
        <w:t>Appendix 2.1-B - 4</w:t>
      </w:r>
    </w:p>
    <w:p>
      <w:pPr>
        <w:sectPr>
          <w:pgSz w:w="11900" w:h="16838" w:orient="portrait"/>
          <w:cols w:equalWidth="0" w:num="1">
            <w:col w:w="10219"/>
          </w:cols>
          <w:pgMar w:left="240" w:top="1440" w:right="1440" w:bottom="1440" w:gutter="0" w:footer="0" w:header="0"/>
        </w:sectPr>
      </w:pPr>
    </w:p>
    <w:bookmarkStart w:id="164" w:name="page165"/>
    <w:bookmarkEnd w:id="164"/>
    <w:p>
      <w:pPr>
        <w:jc w:val="center"/>
        <w:ind w:right="-59"/>
        <w:spacing w:after="0"/>
        <w:rPr>
          <w:sz w:val="20"/>
          <w:szCs w:val="20"/>
          <w:color w:val="auto"/>
        </w:rPr>
      </w:pPr>
      <w:r>
        <w:rPr>
          <w:rFonts w:ascii="Arial" w:cs="Arial" w:eastAsia="Arial" w:hAnsi="Arial"/>
          <w:sz w:val="20"/>
          <w:szCs w:val="20"/>
          <w:b w:val="1"/>
          <w:bCs w:val="1"/>
          <w:u w:val="single" w:color="auto"/>
          <w:color w:val="auto"/>
        </w:rPr>
        <w:t>Appendix 2.6</w:t>
      </w: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ASSET VALUATION FORMULAS AND METHODS</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Public Bonds</w:t>
      </w:r>
    </w:p>
    <w:p>
      <w:pPr>
        <w:spacing w:after="0" w:line="200" w:lineRule="exact"/>
        <w:rPr>
          <w:sz w:val="20"/>
          <w:szCs w:val="20"/>
          <w:color w:val="auto"/>
        </w:rPr>
      </w:pPr>
    </w:p>
    <w:p>
      <w:pPr>
        <w:spacing w:after="0" w:line="208" w:lineRule="exact"/>
        <w:rPr>
          <w:sz w:val="20"/>
          <w:szCs w:val="20"/>
          <w:color w:val="auto"/>
        </w:rPr>
      </w:pPr>
    </w:p>
    <w:p>
      <w:pPr>
        <w:spacing w:after="0" w:line="279" w:lineRule="auto"/>
        <w:rPr>
          <w:sz w:val="20"/>
          <w:szCs w:val="20"/>
          <w:color w:val="auto"/>
        </w:rPr>
      </w:pPr>
      <w:r>
        <w:rPr>
          <w:rFonts w:ascii="Arial" w:cs="Arial" w:eastAsia="Arial" w:hAnsi="Arial"/>
          <w:sz w:val="19"/>
          <w:szCs w:val="19"/>
          <w:color w:val="auto"/>
        </w:rPr>
        <w:t xml:space="preserve">The Plan Investment Fiduciary will provide the value for each Public Bond, as of any date, in an amount equal to the fair market value as of such date of such Public Bond as indicated (i) by the primary pricing source set forth in Table 1 below that corresponds to the applicable asset class of such Public Bond, (ii) if such primary pricing source is not available or no fair market value is indicated by such primary pricing source for such Public Bond, by the secondary pricing source set forth in Table 1 below that corresponds to the applicable asset class of such Public Bond or (iii) if neither such primary nor secondary pricing source is available or no fair market value is indicated by either such source for such Public Bond, by the tertiary pricing source, if any, set forth in Table 1 below that corresponds to the applicable asset class of such Public Bond. For any pricing source, the mean price of the bid and offer quotations, or if such quotations are not provided by the pricing source, the mean price (as applicable, the “Mean Price”), as [ *** </w:t>
      </w:r>
      <w:r>
        <w:rPr>
          <w:rFonts w:ascii="Arial" w:cs="Arial" w:eastAsia="Arial" w:hAnsi="Arial"/>
          <w:sz w:val="20"/>
          <w:szCs w:val="20"/>
          <w:color w:val="auto"/>
        </w:rPr>
        <w:t>]</w:t>
      </w:r>
      <w:r>
        <w:rPr>
          <w:rFonts w:ascii="Arial" w:cs="Arial" w:eastAsia="Arial" w:hAnsi="Arial"/>
          <w:sz w:val="19"/>
          <w:szCs w:val="19"/>
          <w:color w:val="auto"/>
        </w:rPr>
        <w:t xml:space="preserve"> shall be used.</w:t>
      </w:r>
    </w:p>
    <w:p>
      <w:pPr>
        <w:spacing w:after="0" w:line="358"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Table 1</w:t>
      </w:r>
    </w:p>
    <w:p>
      <w:pPr>
        <w:spacing w:after="0" w:line="322" w:lineRule="exact"/>
        <w:rPr>
          <w:sz w:val="20"/>
          <w:szCs w:val="20"/>
          <w:color w:val="auto"/>
        </w:rPr>
      </w:pPr>
    </w:p>
    <w:tbl>
      <w:tblPr>
        <w:tblLayout w:type="fixed"/>
        <w:tblInd w:w="450" w:type="dxa"/>
        <w:tblCellMar>
          <w:top w:w="0" w:type="dxa"/>
          <w:left w:w="0" w:type="dxa"/>
          <w:bottom w:w="0" w:type="dxa"/>
          <w:right w:w="0" w:type="dxa"/>
        </w:tblCellMar>
      </w:tblPr>
      <w:tr>
        <w:trPr>
          <w:trHeight w:val="238"/>
        </w:trPr>
        <w:tc>
          <w:tcPr>
            <w:tcW w:w="26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7"/>
                <w:szCs w:val="17"/>
                <w:b w:val="1"/>
                <w:bCs w:val="1"/>
                <w:color w:val="auto"/>
              </w:rPr>
              <w:t>Asset Class</w:t>
            </w:r>
          </w:p>
        </w:tc>
        <w:tc>
          <w:tcPr>
            <w:tcW w:w="26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7"/>
                <w:szCs w:val="17"/>
                <w:b w:val="1"/>
                <w:bCs w:val="1"/>
                <w:color w:val="auto"/>
              </w:rPr>
              <w:t>Primary Pricing Source</w:t>
            </w:r>
          </w:p>
        </w:tc>
        <w:tc>
          <w:tcPr>
            <w:tcW w:w="26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7"/>
                <w:szCs w:val="17"/>
                <w:b w:val="1"/>
                <w:bCs w:val="1"/>
                <w:color w:val="auto"/>
              </w:rPr>
              <w:t>Secondary Pricing Source</w:t>
            </w:r>
          </w:p>
        </w:tc>
        <w:tc>
          <w:tcPr>
            <w:tcW w:w="26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7"/>
                <w:szCs w:val="17"/>
                <w:b w:val="1"/>
                <w:bCs w:val="1"/>
                <w:color w:val="auto"/>
              </w:rPr>
              <w:t>Tertiary Pricing Source</w:t>
            </w:r>
          </w:p>
        </w:tc>
      </w:tr>
      <w:tr>
        <w:trPr>
          <w:trHeight w:val="25"/>
        </w:trPr>
        <w:tc>
          <w:tcPr>
            <w:tcW w:w="2660" w:type="dxa"/>
            <w:vAlign w:val="bottom"/>
            <w:tcBorders>
              <w:left w:val="single" w:sz="8" w:color="auto"/>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69"/>
        </w:trPr>
        <w:tc>
          <w:tcPr>
            <w:tcW w:w="26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Treasuries</w:t>
            </w:r>
          </w:p>
        </w:tc>
        <w:tc>
          <w:tcPr>
            <w:tcW w:w="26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 xml:space="preserve">[ *** </w:t>
            </w:r>
            <w:r>
              <w:rPr>
                <w:rFonts w:ascii="Arial" w:cs="Arial" w:eastAsia="Arial" w:hAnsi="Arial"/>
                <w:sz w:val="21"/>
                <w:szCs w:val="21"/>
                <w:color w:val="auto"/>
              </w:rPr>
              <w:t>]</w:t>
            </w:r>
          </w:p>
        </w:tc>
        <w:tc>
          <w:tcPr>
            <w:tcW w:w="26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 xml:space="preserve">[ *** </w:t>
            </w:r>
            <w:r>
              <w:rPr>
                <w:rFonts w:ascii="Arial" w:cs="Arial" w:eastAsia="Arial" w:hAnsi="Arial"/>
                <w:sz w:val="21"/>
                <w:szCs w:val="21"/>
                <w:color w:val="auto"/>
              </w:rPr>
              <w:t>]</w:t>
            </w:r>
          </w:p>
        </w:tc>
        <w:tc>
          <w:tcPr>
            <w:tcW w:w="26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 xml:space="preserve">[ *** </w:t>
            </w:r>
            <w:r>
              <w:rPr>
                <w:rFonts w:ascii="Arial" w:cs="Arial" w:eastAsia="Arial" w:hAnsi="Arial"/>
                <w:sz w:val="21"/>
                <w:szCs w:val="21"/>
                <w:color w:val="auto"/>
              </w:rPr>
              <w:t>]</w:t>
            </w:r>
          </w:p>
        </w:tc>
      </w:tr>
      <w:tr>
        <w:trPr>
          <w:trHeight w:val="24"/>
        </w:trPr>
        <w:tc>
          <w:tcPr>
            <w:tcW w:w="2660" w:type="dxa"/>
            <w:vAlign w:val="bottom"/>
            <w:tcBorders>
              <w:left w:val="single" w:sz="8" w:color="auto"/>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69"/>
        </w:trPr>
        <w:tc>
          <w:tcPr>
            <w:tcW w:w="26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Agencies</w:t>
            </w:r>
          </w:p>
        </w:tc>
        <w:tc>
          <w:tcPr>
            <w:tcW w:w="26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 xml:space="preserve">[ *** </w:t>
            </w:r>
            <w:r>
              <w:rPr>
                <w:rFonts w:ascii="Arial" w:cs="Arial" w:eastAsia="Arial" w:hAnsi="Arial"/>
                <w:sz w:val="21"/>
                <w:szCs w:val="21"/>
                <w:color w:val="auto"/>
              </w:rPr>
              <w:t>]</w:t>
            </w:r>
          </w:p>
        </w:tc>
        <w:tc>
          <w:tcPr>
            <w:tcW w:w="26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 xml:space="preserve">[ *** </w:t>
            </w:r>
            <w:r>
              <w:rPr>
                <w:rFonts w:ascii="Arial" w:cs="Arial" w:eastAsia="Arial" w:hAnsi="Arial"/>
                <w:sz w:val="21"/>
                <w:szCs w:val="21"/>
                <w:color w:val="auto"/>
              </w:rPr>
              <w:t>]</w:t>
            </w:r>
          </w:p>
        </w:tc>
        <w:tc>
          <w:tcPr>
            <w:tcW w:w="26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 xml:space="preserve">[ *** </w:t>
            </w:r>
            <w:r>
              <w:rPr>
                <w:rFonts w:ascii="Arial" w:cs="Arial" w:eastAsia="Arial" w:hAnsi="Arial"/>
                <w:sz w:val="21"/>
                <w:szCs w:val="21"/>
                <w:color w:val="auto"/>
              </w:rPr>
              <w:t>]</w:t>
            </w:r>
          </w:p>
        </w:tc>
      </w:tr>
      <w:tr>
        <w:trPr>
          <w:trHeight w:val="24"/>
        </w:trPr>
        <w:tc>
          <w:tcPr>
            <w:tcW w:w="2660" w:type="dxa"/>
            <w:vAlign w:val="bottom"/>
            <w:tcBorders>
              <w:left w:val="single" w:sz="8" w:color="auto"/>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69"/>
        </w:trPr>
        <w:tc>
          <w:tcPr>
            <w:tcW w:w="26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Agency MBS</w:t>
            </w:r>
          </w:p>
        </w:tc>
        <w:tc>
          <w:tcPr>
            <w:tcW w:w="26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 xml:space="preserve">[ *** </w:t>
            </w:r>
            <w:r>
              <w:rPr>
                <w:rFonts w:ascii="Arial" w:cs="Arial" w:eastAsia="Arial" w:hAnsi="Arial"/>
                <w:sz w:val="21"/>
                <w:szCs w:val="21"/>
                <w:color w:val="auto"/>
              </w:rPr>
              <w:t>]</w:t>
            </w:r>
          </w:p>
        </w:tc>
        <w:tc>
          <w:tcPr>
            <w:tcW w:w="26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 xml:space="preserve">[ *** </w:t>
            </w:r>
            <w:r>
              <w:rPr>
                <w:rFonts w:ascii="Arial" w:cs="Arial" w:eastAsia="Arial" w:hAnsi="Arial"/>
                <w:sz w:val="21"/>
                <w:szCs w:val="21"/>
                <w:color w:val="auto"/>
              </w:rPr>
              <w:t>]</w:t>
            </w:r>
          </w:p>
        </w:tc>
        <w:tc>
          <w:tcPr>
            <w:tcW w:w="26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 xml:space="preserve">[ *** </w:t>
            </w:r>
            <w:r>
              <w:rPr>
                <w:rFonts w:ascii="Arial" w:cs="Arial" w:eastAsia="Arial" w:hAnsi="Arial"/>
                <w:sz w:val="21"/>
                <w:szCs w:val="21"/>
                <w:color w:val="auto"/>
              </w:rPr>
              <w:t>]</w:t>
            </w:r>
          </w:p>
        </w:tc>
      </w:tr>
      <w:tr>
        <w:trPr>
          <w:trHeight w:val="24"/>
        </w:trPr>
        <w:tc>
          <w:tcPr>
            <w:tcW w:w="2660" w:type="dxa"/>
            <w:vAlign w:val="bottom"/>
            <w:tcBorders>
              <w:left w:val="single" w:sz="8" w:color="auto"/>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69"/>
        </w:trPr>
        <w:tc>
          <w:tcPr>
            <w:tcW w:w="26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ABS</w:t>
            </w:r>
          </w:p>
        </w:tc>
        <w:tc>
          <w:tcPr>
            <w:tcW w:w="26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 xml:space="preserve">[ *** </w:t>
            </w:r>
            <w:r>
              <w:rPr>
                <w:rFonts w:ascii="Arial" w:cs="Arial" w:eastAsia="Arial" w:hAnsi="Arial"/>
                <w:sz w:val="21"/>
                <w:szCs w:val="21"/>
                <w:color w:val="auto"/>
              </w:rPr>
              <w:t>]</w:t>
            </w:r>
          </w:p>
        </w:tc>
        <w:tc>
          <w:tcPr>
            <w:tcW w:w="26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 xml:space="preserve">[ *** </w:t>
            </w:r>
            <w:r>
              <w:rPr>
                <w:rFonts w:ascii="Arial" w:cs="Arial" w:eastAsia="Arial" w:hAnsi="Arial"/>
                <w:sz w:val="21"/>
                <w:szCs w:val="21"/>
                <w:color w:val="auto"/>
              </w:rPr>
              <w:t>]</w:t>
            </w:r>
          </w:p>
        </w:tc>
        <w:tc>
          <w:tcPr>
            <w:tcW w:w="26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 xml:space="preserve">[ *** </w:t>
            </w:r>
            <w:r>
              <w:rPr>
                <w:rFonts w:ascii="Arial" w:cs="Arial" w:eastAsia="Arial" w:hAnsi="Arial"/>
                <w:sz w:val="21"/>
                <w:szCs w:val="21"/>
                <w:color w:val="auto"/>
              </w:rPr>
              <w:t>]</w:t>
            </w:r>
          </w:p>
        </w:tc>
      </w:tr>
      <w:tr>
        <w:trPr>
          <w:trHeight w:val="24"/>
        </w:trPr>
        <w:tc>
          <w:tcPr>
            <w:tcW w:w="2660" w:type="dxa"/>
            <w:vAlign w:val="bottom"/>
            <w:tcBorders>
              <w:left w:val="single" w:sz="8" w:color="auto"/>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69"/>
        </w:trPr>
        <w:tc>
          <w:tcPr>
            <w:tcW w:w="26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IG Corp</w:t>
            </w:r>
          </w:p>
        </w:tc>
        <w:tc>
          <w:tcPr>
            <w:tcW w:w="26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 xml:space="preserve">[ *** </w:t>
            </w:r>
            <w:r>
              <w:rPr>
                <w:rFonts w:ascii="Arial" w:cs="Arial" w:eastAsia="Arial" w:hAnsi="Arial"/>
                <w:sz w:val="21"/>
                <w:szCs w:val="21"/>
                <w:color w:val="auto"/>
              </w:rPr>
              <w:t>]</w:t>
            </w:r>
          </w:p>
        </w:tc>
        <w:tc>
          <w:tcPr>
            <w:tcW w:w="26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 xml:space="preserve">[ *** </w:t>
            </w:r>
            <w:r>
              <w:rPr>
                <w:rFonts w:ascii="Arial" w:cs="Arial" w:eastAsia="Arial" w:hAnsi="Arial"/>
                <w:sz w:val="21"/>
                <w:szCs w:val="21"/>
                <w:color w:val="auto"/>
              </w:rPr>
              <w:t>]</w:t>
            </w:r>
          </w:p>
        </w:tc>
        <w:tc>
          <w:tcPr>
            <w:tcW w:w="26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 xml:space="preserve">[ *** </w:t>
            </w:r>
            <w:r>
              <w:rPr>
                <w:rFonts w:ascii="Arial" w:cs="Arial" w:eastAsia="Arial" w:hAnsi="Arial"/>
                <w:sz w:val="21"/>
                <w:szCs w:val="21"/>
                <w:color w:val="auto"/>
              </w:rPr>
              <w:t>]</w:t>
            </w:r>
          </w:p>
        </w:tc>
      </w:tr>
      <w:tr>
        <w:trPr>
          <w:trHeight w:val="24"/>
        </w:trPr>
        <w:tc>
          <w:tcPr>
            <w:tcW w:w="2660" w:type="dxa"/>
            <w:vAlign w:val="bottom"/>
            <w:tcBorders>
              <w:left w:val="single" w:sz="8" w:color="auto"/>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69"/>
        </w:trPr>
        <w:tc>
          <w:tcPr>
            <w:tcW w:w="26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EM</w:t>
            </w:r>
          </w:p>
        </w:tc>
        <w:tc>
          <w:tcPr>
            <w:tcW w:w="26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 xml:space="preserve">[ *** </w:t>
            </w:r>
            <w:r>
              <w:rPr>
                <w:rFonts w:ascii="Arial" w:cs="Arial" w:eastAsia="Arial" w:hAnsi="Arial"/>
                <w:sz w:val="21"/>
                <w:szCs w:val="21"/>
                <w:color w:val="auto"/>
              </w:rPr>
              <w:t>]</w:t>
            </w:r>
          </w:p>
        </w:tc>
        <w:tc>
          <w:tcPr>
            <w:tcW w:w="26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 xml:space="preserve">[ *** </w:t>
            </w:r>
            <w:r>
              <w:rPr>
                <w:rFonts w:ascii="Arial" w:cs="Arial" w:eastAsia="Arial" w:hAnsi="Arial"/>
                <w:sz w:val="21"/>
                <w:szCs w:val="21"/>
                <w:color w:val="auto"/>
              </w:rPr>
              <w:t>]</w:t>
            </w:r>
          </w:p>
        </w:tc>
        <w:tc>
          <w:tcPr>
            <w:tcW w:w="26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 xml:space="preserve">[ *** </w:t>
            </w:r>
            <w:r>
              <w:rPr>
                <w:rFonts w:ascii="Arial" w:cs="Arial" w:eastAsia="Arial" w:hAnsi="Arial"/>
                <w:sz w:val="21"/>
                <w:szCs w:val="21"/>
                <w:color w:val="auto"/>
              </w:rPr>
              <w:t>]</w:t>
            </w:r>
          </w:p>
        </w:tc>
      </w:tr>
      <w:tr>
        <w:trPr>
          <w:trHeight w:val="24"/>
        </w:trPr>
        <w:tc>
          <w:tcPr>
            <w:tcW w:w="2660" w:type="dxa"/>
            <w:vAlign w:val="bottom"/>
            <w:tcBorders>
              <w:left w:val="single" w:sz="8" w:color="auto"/>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69"/>
        </w:trPr>
        <w:tc>
          <w:tcPr>
            <w:tcW w:w="26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HY</w:t>
            </w:r>
          </w:p>
        </w:tc>
        <w:tc>
          <w:tcPr>
            <w:tcW w:w="26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 xml:space="preserve">[ *** </w:t>
            </w:r>
            <w:r>
              <w:rPr>
                <w:rFonts w:ascii="Arial" w:cs="Arial" w:eastAsia="Arial" w:hAnsi="Arial"/>
                <w:sz w:val="21"/>
                <w:szCs w:val="21"/>
                <w:color w:val="auto"/>
              </w:rPr>
              <w:t>]</w:t>
            </w:r>
          </w:p>
        </w:tc>
        <w:tc>
          <w:tcPr>
            <w:tcW w:w="26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 xml:space="preserve">[ *** </w:t>
            </w:r>
            <w:r>
              <w:rPr>
                <w:rFonts w:ascii="Arial" w:cs="Arial" w:eastAsia="Arial" w:hAnsi="Arial"/>
                <w:sz w:val="21"/>
                <w:szCs w:val="21"/>
                <w:color w:val="auto"/>
              </w:rPr>
              <w:t>]</w:t>
            </w:r>
          </w:p>
        </w:tc>
        <w:tc>
          <w:tcPr>
            <w:tcW w:w="26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 xml:space="preserve">[ *** </w:t>
            </w:r>
            <w:r>
              <w:rPr>
                <w:rFonts w:ascii="Arial" w:cs="Arial" w:eastAsia="Arial" w:hAnsi="Arial"/>
                <w:sz w:val="21"/>
                <w:szCs w:val="21"/>
                <w:color w:val="auto"/>
              </w:rPr>
              <w:t>]</w:t>
            </w:r>
          </w:p>
        </w:tc>
      </w:tr>
      <w:tr>
        <w:trPr>
          <w:trHeight w:val="24"/>
        </w:trPr>
        <w:tc>
          <w:tcPr>
            <w:tcW w:w="2660" w:type="dxa"/>
            <w:vAlign w:val="bottom"/>
            <w:tcBorders>
              <w:left w:val="single" w:sz="8" w:color="auto"/>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bl>
    <w:p>
      <w:pPr>
        <w:spacing w:after="0" w:line="192" w:lineRule="exact"/>
        <w:rPr>
          <w:sz w:val="20"/>
          <w:szCs w:val="20"/>
          <w:color w:val="auto"/>
        </w:rPr>
      </w:pPr>
    </w:p>
    <w:p>
      <w:pPr>
        <w:ind w:right="60"/>
        <w:spacing w:after="0" w:line="300" w:lineRule="auto"/>
        <w:rPr>
          <w:sz w:val="20"/>
          <w:szCs w:val="20"/>
          <w:color w:val="auto"/>
        </w:rPr>
      </w:pPr>
      <w:r>
        <w:rPr>
          <w:rFonts w:ascii="Arial" w:cs="Arial" w:eastAsia="Arial" w:hAnsi="Arial"/>
          <w:sz w:val="18"/>
          <w:szCs w:val="18"/>
          <w:color w:val="auto"/>
        </w:rPr>
        <w:t xml:space="preserve">If with respect to any Public Bond, as of any date, none of the primary pricing source, the secondary pricing source or the tertiary pricing source (if any) set forth in Table 1 above that corresponds to the applicable asset class of such Public Bond are available as of such date or no fair market value is indicated by any such source as of such date[ *** </w:t>
      </w:r>
      <w:r>
        <w:rPr>
          <w:rFonts w:ascii="Arial" w:cs="Arial" w:eastAsia="Arial" w:hAnsi="Arial"/>
          <w:sz w:val="19"/>
          <w:szCs w:val="19"/>
          <w:color w:val="auto"/>
        </w:rPr>
        <w:t>]</w:t>
      </w:r>
      <w:r>
        <w:rPr>
          <w:rFonts w:ascii="Arial" w:cs="Arial" w:eastAsia="Arial" w:hAnsi="Arial"/>
          <w:sz w:val="18"/>
          <w:szCs w:val="18"/>
          <w:color w:val="auto"/>
        </w:rPr>
        <w:t xml:space="preserve"> by each of three brokers set forth in Table 2 below that correspond to the applicable asset class of such Public Bond;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 *** </w:t>
      </w:r>
      <w:r>
        <w:rPr>
          <w:rFonts w:ascii="Arial" w:cs="Arial" w:eastAsia="Arial" w:hAnsi="Arial"/>
          <w:sz w:val="19"/>
          <w:szCs w:val="19"/>
          <w:color w:val="auto"/>
        </w:rPr>
        <w:t>]</w:t>
      </w:r>
      <w:r>
        <w:rPr>
          <w:rFonts w:ascii="Arial" w:cs="Arial" w:eastAsia="Arial" w:hAnsi="Arial"/>
          <w:sz w:val="18"/>
          <w:szCs w:val="18"/>
          <w:color w:val="auto"/>
        </w:rPr>
        <w:t xml:space="preserve"> will provide the value for each [ *** </w:t>
      </w:r>
      <w:r>
        <w:rPr>
          <w:rFonts w:ascii="Arial" w:cs="Arial" w:eastAsia="Arial" w:hAnsi="Arial"/>
          <w:sz w:val="19"/>
          <w:szCs w:val="19"/>
          <w:color w:val="auto"/>
        </w:rPr>
        <w:t>]</w:t>
      </w:r>
      <w:r>
        <w:rPr>
          <w:rFonts w:ascii="Arial" w:cs="Arial" w:eastAsia="Arial" w:hAnsi="Arial"/>
          <w:sz w:val="18"/>
          <w:szCs w:val="18"/>
          <w:color w:val="auto"/>
        </w:rPr>
        <w:t xml:space="preserve"> by such brokers.</w:t>
      </w:r>
    </w:p>
    <w:p>
      <w:pPr>
        <w:spacing w:after="0" w:line="338"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Table 2</w:t>
      </w:r>
    </w:p>
    <w:p>
      <w:pPr>
        <w:spacing w:after="0" w:line="322" w:lineRule="exact"/>
        <w:rPr>
          <w:sz w:val="20"/>
          <w:szCs w:val="20"/>
          <w:color w:val="auto"/>
        </w:rPr>
      </w:pPr>
    </w:p>
    <w:tbl>
      <w:tblPr>
        <w:tblLayout w:type="fixed"/>
        <w:tblInd w:w="450" w:type="dxa"/>
        <w:tblCellMar>
          <w:top w:w="0" w:type="dxa"/>
          <w:left w:w="0" w:type="dxa"/>
          <w:bottom w:w="0" w:type="dxa"/>
          <w:right w:w="0" w:type="dxa"/>
        </w:tblCellMar>
      </w:tblPr>
      <w:tr>
        <w:trPr>
          <w:trHeight w:val="238"/>
        </w:trPr>
        <w:tc>
          <w:tcPr>
            <w:tcW w:w="26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7"/>
                <w:szCs w:val="17"/>
                <w:b w:val="1"/>
                <w:bCs w:val="1"/>
                <w:color w:val="auto"/>
              </w:rPr>
              <w:t>Asset Class</w:t>
            </w:r>
          </w:p>
        </w:tc>
        <w:tc>
          <w:tcPr>
            <w:tcW w:w="79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7"/>
                <w:szCs w:val="17"/>
                <w:b w:val="1"/>
                <w:bCs w:val="1"/>
                <w:color w:val="auto"/>
              </w:rPr>
              <w:t>Brokers</w:t>
            </w:r>
          </w:p>
        </w:tc>
      </w:tr>
      <w:tr>
        <w:trPr>
          <w:trHeight w:val="25"/>
        </w:trPr>
        <w:tc>
          <w:tcPr>
            <w:tcW w:w="2660" w:type="dxa"/>
            <w:vAlign w:val="bottom"/>
            <w:tcBorders>
              <w:left w:val="single" w:sz="8" w:color="auto"/>
              <w:bottom w:val="single" w:sz="8" w:color="auto"/>
              <w:right w:val="single" w:sz="8" w:color="auto"/>
            </w:tcBorders>
          </w:tcPr>
          <w:p>
            <w:pPr>
              <w:spacing w:after="0"/>
              <w:rPr>
                <w:sz w:val="2"/>
                <w:szCs w:val="2"/>
                <w:color w:val="auto"/>
              </w:rPr>
            </w:pPr>
          </w:p>
        </w:tc>
        <w:tc>
          <w:tcPr>
            <w:tcW w:w="7900" w:type="dxa"/>
            <w:vAlign w:val="bottom"/>
            <w:tcBorders>
              <w:bottom w:val="single" w:sz="8" w:color="auto"/>
              <w:right w:val="single" w:sz="8" w:color="auto"/>
            </w:tcBorders>
          </w:tcPr>
          <w:p>
            <w:pPr>
              <w:spacing w:after="0"/>
              <w:rPr>
                <w:sz w:val="2"/>
                <w:szCs w:val="2"/>
                <w:color w:val="auto"/>
              </w:rPr>
            </w:pPr>
          </w:p>
        </w:tc>
      </w:tr>
      <w:tr>
        <w:trPr>
          <w:trHeight w:val="269"/>
        </w:trPr>
        <w:tc>
          <w:tcPr>
            <w:tcW w:w="26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Treasuries</w:t>
            </w:r>
          </w:p>
        </w:tc>
        <w:tc>
          <w:tcPr>
            <w:tcW w:w="79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 xml:space="preserve">[ *** </w:t>
            </w:r>
            <w:r>
              <w:rPr>
                <w:rFonts w:ascii="Arial" w:cs="Arial" w:eastAsia="Arial" w:hAnsi="Arial"/>
                <w:sz w:val="21"/>
                <w:szCs w:val="21"/>
                <w:color w:val="auto"/>
              </w:rPr>
              <w:t>]</w:t>
            </w:r>
          </w:p>
        </w:tc>
      </w:tr>
      <w:tr>
        <w:trPr>
          <w:trHeight w:val="24"/>
        </w:trPr>
        <w:tc>
          <w:tcPr>
            <w:tcW w:w="2660" w:type="dxa"/>
            <w:vAlign w:val="bottom"/>
            <w:tcBorders>
              <w:left w:val="single" w:sz="8" w:color="auto"/>
              <w:bottom w:val="single" w:sz="8" w:color="auto"/>
              <w:right w:val="single" w:sz="8" w:color="auto"/>
            </w:tcBorders>
          </w:tcPr>
          <w:p>
            <w:pPr>
              <w:spacing w:after="0"/>
              <w:rPr>
                <w:sz w:val="2"/>
                <w:szCs w:val="2"/>
                <w:color w:val="auto"/>
              </w:rPr>
            </w:pPr>
          </w:p>
        </w:tc>
        <w:tc>
          <w:tcPr>
            <w:tcW w:w="7900" w:type="dxa"/>
            <w:vAlign w:val="bottom"/>
            <w:tcBorders>
              <w:bottom w:val="single" w:sz="8" w:color="auto"/>
              <w:right w:val="single" w:sz="8" w:color="auto"/>
            </w:tcBorders>
          </w:tcPr>
          <w:p>
            <w:pPr>
              <w:spacing w:after="0"/>
              <w:rPr>
                <w:sz w:val="2"/>
                <w:szCs w:val="2"/>
                <w:color w:val="auto"/>
              </w:rPr>
            </w:pPr>
          </w:p>
        </w:tc>
      </w:tr>
      <w:tr>
        <w:trPr>
          <w:trHeight w:val="269"/>
        </w:trPr>
        <w:tc>
          <w:tcPr>
            <w:tcW w:w="26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Agencies</w:t>
            </w:r>
          </w:p>
        </w:tc>
        <w:tc>
          <w:tcPr>
            <w:tcW w:w="79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 xml:space="preserve">[ *** </w:t>
            </w:r>
            <w:r>
              <w:rPr>
                <w:rFonts w:ascii="Arial" w:cs="Arial" w:eastAsia="Arial" w:hAnsi="Arial"/>
                <w:sz w:val="21"/>
                <w:szCs w:val="21"/>
                <w:color w:val="auto"/>
              </w:rPr>
              <w:t>]</w:t>
            </w:r>
          </w:p>
        </w:tc>
      </w:tr>
      <w:tr>
        <w:trPr>
          <w:trHeight w:val="24"/>
        </w:trPr>
        <w:tc>
          <w:tcPr>
            <w:tcW w:w="2660" w:type="dxa"/>
            <w:vAlign w:val="bottom"/>
            <w:tcBorders>
              <w:left w:val="single" w:sz="8" w:color="auto"/>
              <w:bottom w:val="single" w:sz="8" w:color="auto"/>
              <w:right w:val="single" w:sz="8" w:color="auto"/>
            </w:tcBorders>
          </w:tcPr>
          <w:p>
            <w:pPr>
              <w:spacing w:after="0"/>
              <w:rPr>
                <w:sz w:val="2"/>
                <w:szCs w:val="2"/>
                <w:color w:val="auto"/>
              </w:rPr>
            </w:pPr>
          </w:p>
        </w:tc>
        <w:tc>
          <w:tcPr>
            <w:tcW w:w="7900" w:type="dxa"/>
            <w:vAlign w:val="bottom"/>
            <w:tcBorders>
              <w:bottom w:val="single" w:sz="8" w:color="auto"/>
              <w:right w:val="single" w:sz="8" w:color="auto"/>
            </w:tcBorders>
          </w:tcPr>
          <w:p>
            <w:pPr>
              <w:spacing w:after="0"/>
              <w:rPr>
                <w:sz w:val="2"/>
                <w:szCs w:val="2"/>
                <w:color w:val="auto"/>
              </w:rPr>
            </w:pPr>
          </w:p>
        </w:tc>
      </w:tr>
      <w:tr>
        <w:trPr>
          <w:trHeight w:val="269"/>
        </w:trPr>
        <w:tc>
          <w:tcPr>
            <w:tcW w:w="26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Agency MBS</w:t>
            </w:r>
          </w:p>
        </w:tc>
        <w:tc>
          <w:tcPr>
            <w:tcW w:w="79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 xml:space="preserve">[ *** </w:t>
            </w:r>
            <w:r>
              <w:rPr>
                <w:rFonts w:ascii="Arial" w:cs="Arial" w:eastAsia="Arial" w:hAnsi="Arial"/>
                <w:sz w:val="21"/>
                <w:szCs w:val="21"/>
                <w:color w:val="auto"/>
              </w:rPr>
              <w:t>]</w:t>
            </w:r>
          </w:p>
        </w:tc>
      </w:tr>
      <w:tr>
        <w:trPr>
          <w:trHeight w:val="24"/>
        </w:trPr>
        <w:tc>
          <w:tcPr>
            <w:tcW w:w="2660" w:type="dxa"/>
            <w:vAlign w:val="bottom"/>
            <w:tcBorders>
              <w:left w:val="single" w:sz="8" w:color="auto"/>
              <w:bottom w:val="single" w:sz="8" w:color="auto"/>
              <w:right w:val="single" w:sz="8" w:color="auto"/>
            </w:tcBorders>
          </w:tcPr>
          <w:p>
            <w:pPr>
              <w:spacing w:after="0"/>
              <w:rPr>
                <w:sz w:val="2"/>
                <w:szCs w:val="2"/>
                <w:color w:val="auto"/>
              </w:rPr>
            </w:pPr>
          </w:p>
        </w:tc>
        <w:tc>
          <w:tcPr>
            <w:tcW w:w="7900" w:type="dxa"/>
            <w:vAlign w:val="bottom"/>
            <w:tcBorders>
              <w:bottom w:val="single" w:sz="8" w:color="auto"/>
              <w:right w:val="single" w:sz="8" w:color="auto"/>
            </w:tcBorders>
          </w:tcPr>
          <w:p>
            <w:pPr>
              <w:spacing w:after="0"/>
              <w:rPr>
                <w:sz w:val="2"/>
                <w:szCs w:val="2"/>
                <w:color w:val="auto"/>
              </w:rPr>
            </w:pPr>
          </w:p>
        </w:tc>
      </w:tr>
      <w:tr>
        <w:trPr>
          <w:trHeight w:val="269"/>
        </w:trPr>
        <w:tc>
          <w:tcPr>
            <w:tcW w:w="26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ABS</w:t>
            </w:r>
          </w:p>
        </w:tc>
        <w:tc>
          <w:tcPr>
            <w:tcW w:w="79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 xml:space="preserve">[ *** </w:t>
            </w:r>
            <w:r>
              <w:rPr>
                <w:rFonts w:ascii="Arial" w:cs="Arial" w:eastAsia="Arial" w:hAnsi="Arial"/>
                <w:sz w:val="21"/>
                <w:szCs w:val="21"/>
                <w:color w:val="auto"/>
              </w:rPr>
              <w:t>]</w:t>
            </w:r>
          </w:p>
        </w:tc>
      </w:tr>
      <w:tr>
        <w:trPr>
          <w:trHeight w:val="24"/>
        </w:trPr>
        <w:tc>
          <w:tcPr>
            <w:tcW w:w="2660" w:type="dxa"/>
            <w:vAlign w:val="bottom"/>
            <w:tcBorders>
              <w:left w:val="single" w:sz="8" w:color="auto"/>
              <w:bottom w:val="single" w:sz="8" w:color="auto"/>
              <w:right w:val="single" w:sz="8" w:color="auto"/>
            </w:tcBorders>
          </w:tcPr>
          <w:p>
            <w:pPr>
              <w:spacing w:after="0"/>
              <w:rPr>
                <w:sz w:val="2"/>
                <w:szCs w:val="2"/>
                <w:color w:val="auto"/>
              </w:rPr>
            </w:pPr>
          </w:p>
        </w:tc>
        <w:tc>
          <w:tcPr>
            <w:tcW w:w="7900" w:type="dxa"/>
            <w:vAlign w:val="bottom"/>
            <w:tcBorders>
              <w:bottom w:val="single" w:sz="8" w:color="auto"/>
              <w:right w:val="single" w:sz="8" w:color="auto"/>
            </w:tcBorders>
          </w:tcPr>
          <w:p>
            <w:pPr>
              <w:spacing w:after="0"/>
              <w:rPr>
                <w:sz w:val="2"/>
                <w:szCs w:val="2"/>
                <w:color w:val="auto"/>
              </w:rPr>
            </w:pPr>
          </w:p>
        </w:tc>
      </w:tr>
      <w:tr>
        <w:trPr>
          <w:trHeight w:val="269"/>
        </w:trPr>
        <w:tc>
          <w:tcPr>
            <w:tcW w:w="26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IG Corp</w:t>
            </w:r>
          </w:p>
        </w:tc>
        <w:tc>
          <w:tcPr>
            <w:tcW w:w="79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 xml:space="preserve">[ *** </w:t>
            </w:r>
            <w:r>
              <w:rPr>
                <w:rFonts w:ascii="Arial" w:cs="Arial" w:eastAsia="Arial" w:hAnsi="Arial"/>
                <w:sz w:val="21"/>
                <w:szCs w:val="21"/>
                <w:color w:val="auto"/>
              </w:rPr>
              <w:t>]</w:t>
            </w:r>
          </w:p>
        </w:tc>
      </w:tr>
      <w:tr>
        <w:trPr>
          <w:trHeight w:val="24"/>
        </w:trPr>
        <w:tc>
          <w:tcPr>
            <w:tcW w:w="2660" w:type="dxa"/>
            <w:vAlign w:val="bottom"/>
            <w:tcBorders>
              <w:left w:val="single" w:sz="8" w:color="auto"/>
              <w:bottom w:val="single" w:sz="8" w:color="auto"/>
              <w:right w:val="single" w:sz="8" w:color="auto"/>
            </w:tcBorders>
          </w:tcPr>
          <w:p>
            <w:pPr>
              <w:spacing w:after="0"/>
              <w:rPr>
                <w:sz w:val="2"/>
                <w:szCs w:val="2"/>
                <w:color w:val="auto"/>
              </w:rPr>
            </w:pPr>
          </w:p>
        </w:tc>
        <w:tc>
          <w:tcPr>
            <w:tcW w:w="7900" w:type="dxa"/>
            <w:vAlign w:val="bottom"/>
            <w:tcBorders>
              <w:bottom w:val="single" w:sz="8" w:color="auto"/>
              <w:right w:val="single" w:sz="8" w:color="auto"/>
            </w:tcBorders>
          </w:tcPr>
          <w:p>
            <w:pPr>
              <w:spacing w:after="0"/>
              <w:rPr>
                <w:sz w:val="2"/>
                <w:szCs w:val="2"/>
                <w:color w:val="auto"/>
              </w:rPr>
            </w:pPr>
          </w:p>
        </w:tc>
      </w:tr>
      <w:tr>
        <w:trPr>
          <w:trHeight w:val="269"/>
        </w:trPr>
        <w:tc>
          <w:tcPr>
            <w:tcW w:w="26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EM</w:t>
            </w:r>
          </w:p>
        </w:tc>
        <w:tc>
          <w:tcPr>
            <w:tcW w:w="79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 xml:space="preserve">[ *** </w:t>
            </w:r>
            <w:r>
              <w:rPr>
                <w:rFonts w:ascii="Arial" w:cs="Arial" w:eastAsia="Arial" w:hAnsi="Arial"/>
                <w:sz w:val="21"/>
                <w:szCs w:val="21"/>
                <w:color w:val="auto"/>
              </w:rPr>
              <w:t>]</w:t>
            </w:r>
          </w:p>
        </w:tc>
      </w:tr>
      <w:tr>
        <w:trPr>
          <w:trHeight w:val="24"/>
        </w:trPr>
        <w:tc>
          <w:tcPr>
            <w:tcW w:w="2660" w:type="dxa"/>
            <w:vAlign w:val="bottom"/>
            <w:tcBorders>
              <w:left w:val="single" w:sz="8" w:color="auto"/>
              <w:bottom w:val="single" w:sz="8" w:color="auto"/>
              <w:right w:val="single" w:sz="8" w:color="auto"/>
            </w:tcBorders>
          </w:tcPr>
          <w:p>
            <w:pPr>
              <w:spacing w:after="0"/>
              <w:rPr>
                <w:sz w:val="2"/>
                <w:szCs w:val="2"/>
                <w:color w:val="auto"/>
              </w:rPr>
            </w:pPr>
          </w:p>
        </w:tc>
        <w:tc>
          <w:tcPr>
            <w:tcW w:w="7900" w:type="dxa"/>
            <w:vAlign w:val="bottom"/>
            <w:tcBorders>
              <w:bottom w:val="single" w:sz="8" w:color="auto"/>
              <w:right w:val="single" w:sz="8" w:color="auto"/>
            </w:tcBorders>
          </w:tcPr>
          <w:p>
            <w:pPr>
              <w:spacing w:after="0"/>
              <w:rPr>
                <w:sz w:val="2"/>
                <w:szCs w:val="2"/>
                <w:color w:val="auto"/>
              </w:rPr>
            </w:pPr>
          </w:p>
        </w:tc>
      </w:tr>
      <w:tr>
        <w:trPr>
          <w:trHeight w:val="269"/>
        </w:trPr>
        <w:tc>
          <w:tcPr>
            <w:tcW w:w="26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HY</w:t>
            </w:r>
          </w:p>
        </w:tc>
        <w:tc>
          <w:tcPr>
            <w:tcW w:w="79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 xml:space="preserve">[ *** </w:t>
            </w:r>
            <w:r>
              <w:rPr>
                <w:rFonts w:ascii="Arial" w:cs="Arial" w:eastAsia="Arial" w:hAnsi="Arial"/>
                <w:sz w:val="21"/>
                <w:szCs w:val="21"/>
                <w:color w:val="auto"/>
              </w:rPr>
              <w:t>]</w:t>
            </w:r>
          </w:p>
        </w:tc>
      </w:tr>
      <w:tr>
        <w:trPr>
          <w:trHeight w:val="24"/>
        </w:trPr>
        <w:tc>
          <w:tcPr>
            <w:tcW w:w="2660" w:type="dxa"/>
            <w:vAlign w:val="bottom"/>
            <w:tcBorders>
              <w:left w:val="single" w:sz="8" w:color="auto"/>
              <w:bottom w:val="single" w:sz="8" w:color="auto"/>
              <w:right w:val="single" w:sz="8" w:color="auto"/>
            </w:tcBorders>
          </w:tcPr>
          <w:p>
            <w:pPr>
              <w:spacing w:after="0"/>
              <w:rPr>
                <w:sz w:val="2"/>
                <w:szCs w:val="2"/>
                <w:color w:val="auto"/>
              </w:rPr>
            </w:pPr>
          </w:p>
        </w:tc>
        <w:tc>
          <w:tcPr>
            <w:tcW w:w="7900" w:type="dxa"/>
            <w:vAlign w:val="bottom"/>
            <w:tcBorders>
              <w:bottom w:val="single" w:sz="8" w:color="auto"/>
              <w:right w:val="single" w:sz="8" w:color="auto"/>
            </w:tcBorders>
          </w:tcPr>
          <w:p>
            <w:pPr>
              <w:spacing w:after="0"/>
              <w:rPr>
                <w:sz w:val="2"/>
                <w:szCs w:val="2"/>
                <w:color w:val="auto"/>
              </w:rPr>
            </w:pPr>
          </w:p>
        </w:tc>
      </w:tr>
    </w:tbl>
    <w:p>
      <w:pPr>
        <w:spacing w:after="0" w:line="21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Appendix 2.6 - 1</w:t>
      </w:r>
    </w:p>
    <w:p>
      <w:pPr>
        <w:sectPr>
          <w:pgSz w:w="11900" w:h="16838" w:orient="portrait"/>
          <w:cols w:equalWidth="0" w:num="1">
            <w:col w:w="11380"/>
          </w:cols>
          <w:pgMar w:left="240" w:top="753" w:right="279" w:bottom="1440" w:gutter="0" w:footer="0" w:header="0"/>
        </w:sectPr>
      </w:pPr>
    </w:p>
    <w:bookmarkStart w:id="165" w:name="page166"/>
    <w:bookmarkEnd w:id="165"/>
    <w:p>
      <w:pPr>
        <w:ind w:right="360"/>
        <w:spacing w:after="0" w:line="282" w:lineRule="auto"/>
        <w:rPr>
          <w:sz w:val="20"/>
          <w:szCs w:val="20"/>
          <w:color w:val="auto"/>
        </w:rPr>
      </w:pPr>
      <w:r>
        <w:rPr>
          <w:rFonts w:ascii="Arial" w:cs="Arial" w:eastAsia="Arial" w:hAnsi="Arial"/>
          <w:sz w:val="20"/>
          <w:szCs w:val="20"/>
          <w:color w:val="auto"/>
        </w:rPr>
        <w:t xml:space="preserve">If, with respect to any Public Bond as of the date of the Preliminary Pre-Closing Asset Valuation or the Closing Date (i) [ *** </w:t>
      </w:r>
      <w:r>
        <w:rPr>
          <w:rFonts w:ascii="Arial" w:cs="Arial" w:eastAsia="Arial" w:hAnsi="Arial"/>
          <w:sz w:val="21"/>
          <w:szCs w:val="21"/>
          <w:color w:val="auto"/>
        </w:rPr>
        <w:t>]</w:t>
      </w:r>
      <w:r>
        <w:rPr>
          <w:rFonts w:ascii="Arial" w:cs="Arial" w:eastAsia="Arial" w:hAnsi="Arial"/>
          <w:sz w:val="20"/>
          <w:szCs w:val="20"/>
          <w:color w:val="auto"/>
        </w:rPr>
        <w:t xml:space="preserve"> (ii) [ *** </w:t>
      </w:r>
      <w:r>
        <w:rPr>
          <w:rFonts w:ascii="Arial" w:cs="Arial" w:eastAsia="Arial" w:hAnsi="Arial"/>
          <w:sz w:val="21"/>
          <w:szCs w:val="21"/>
          <w:color w:val="auto"/>
        </w:rPr>
        <w:t>]</w:t>
      </w:r>
      <w:r>
        <w:rPr>
          <w:rFonts w:ascii="Arial" w:cs="Arial" w:eastAsia="Arial" w:hAnsi="Arial"/>
          <w:sz w:val="20"/>
          <w:szCs w:val="20"/>
          <w:color w:val="auto"/>
        </w:rPr>
        <w:t xml:space="preserve"> then such Public Bond shall be [ *** </w:t>
      </w:r>
      <w:r>
        <w:rPr>
          <w:rFonts w:ascii="Arial" w:cs="Arial" w:eastAsia="Arial" w:hAnsi="Arial"/>
          <w:sz w:val="21"/>
          <w:szCs w:val="21"/>
          <w:color w:val="auto"/>
        </w:rPr>
        <w:t>]</w:t>
      </w:r>
      <w:r>
        <w:rPr>
          <w:rFonts w:ascii="Arial" w:cs="Arial" w:eastAsia="Arial" w:hAnsi="Arial"/>
          <w:sz w:val="20"/>
          <w:szCs w:val="20"/>
          <w:color w:val="auto"/>
        </w:rPr>
        <w:t>.</w:t>
      </w:r>
    </w:p>
    <w:p>
      <w:pPr>
        <w:spacing w:after="0" w:line="334"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 *** </w:t>
      </w:r>
      <w:r>
        <w:rPr>
          <w:rFonts w:ascii="Arial" w:cs="Arial" w:eastAsia="Arial" w:hAnsi="Arial"/>
          <w:sz w:val="21"/>
          <w:szCs w:val="21"/>
          <w:color w:val="auto"/>
        </w:rPr>
        <w:t>]</w:t>
      </w:r>
    </w:p>
    <w:p>
      <w:pPr>
        <w:spacing w:after="0" w:line="200" w:lineRule="exact"/>
        <w:rPr>
          <w:sz w:val="20"/>
          <w:szCs w:val="20"/>
          <w:color w:val="auto"/>
        </w:rPr>
      </w:pPr>
    </w:p>
    <w:p>
      <w:pPr>
        <w:spacing w:after="0" w:line="209" w:lineRule="exact"/>
        <w:rPr>
          <w:sz w:val="20"/>
          <w:szCs w:val="20"/>
          <w:color w:val="auto"/>
        </w:rPr>
      </w:pPr>
    </w:p>
    <w:p>
      <w:pPr>
        <w:ind w:right="40"/>
        <w:spacing w:after="0" w:line="282" w:lineRule="auto"/>
        <w:rPr>
          <w:sz w:val="20"/>
          <w:szCs w:val="20"/>
          <w:color w:val="auto"/>
        </w:rPr>
      </w:pPr>
      <w:r>
        <w:rPr>
          <w:rFonts w:ascii="Arial" w:cs="Arial" w:eastAsia="Arial" w:hAnsi="Arial"/>
          <w:sz w:val="20"/>
          <w:szCs w:val="20"/>
          <w:color w:val="auto"/>
        </w:rPr>
        <w:t xml:space="preserve">The Plan Investment Fiduciary will provide the value for each [ *** </w:t>
      </w:r>
      <w:r>
        <w:rPr>
          <w:rFonts w:ascii="Arial" w:cs="Arial" w:eastAsia="Arial" w:hAnsi="Arial"/>
          <w:sz w:val="21"/>
          <w:szCs w:val="21"/>
          <w:color w:val="auto"/>
        </w:rPr>
        <w:t>]</w:t>
      </w:r>
      <w:r>
        <w:rPr>
          <w:rFonts w:ascii="Arial" w:cs="Arial" w:eastAsia="Arial" w:hAnsi="Arial"/>
          <w:sz w:val="20"/>
          <w:szCs w:val="20"/>
          <w:color w:val="auto"/>
        </w:rPr>
        <w:t xml:space="preserve"> as of any date, in an amount equal to the fair market value of such [ *** </w:t>
      </w:r>
      <w:r>
        <w:rPr>
          <w:rFonts w:ascii="Arial" w:cs="Arial" w:eastAsia="Arial" w:hAnsi="Arial"/>
          <w:sz w:val="21"/>
          <w:szCs w:val="21"/>
          <w:color w:val="auto"/>
        </w:rPr>
        <w:t xml:space="preserve">] </w:t>
      </w:r>
      <w:r>
        <w:rPr>
          <w:rFonts w:ascii="Arial" w:cs="Arial" w:eastAsia="Arial" w:hAnsi="Arial"/>
          <w:sz w:val="20"/>
          <w:szCs w:val="20"/>
          <w:color w:val="auto"/>
        </w:rPr>
        <w:t>as of the close of Business on the date [ ***</w:t>
      </w:r>
      <w:r>
        <w:rPr>
          <w:rFonts w:ascii="Arial" w:cs="Arial" w:eastAsia="Arial" w:hAnsi="Arial"/>
          <w:sz w:val="21"/>
          <w:szCs w:val="21"/>
          <w:color w:val="auto"/>
        </w:rPr>
        <w:t xml:space="preserve"> ] </w:t>
      </w:r>
      <w:r>
        <w:rPr>
          <w:rFonts w:ascii="Arial" w:cs="Arial" w:eastAsia="Arial" w:hAnsi="Arial"/>
          <w:sz w:val="20"/>
          <w:szCs w:val="20"/>
          <w:color w:val="auto"/>
        </w:rPr>
        <w:t>as indicated [ ***</w:t>
      </w:r>
      <w:r>
        <w:rPr>
          <w:rFonts w:ascii="Arial" w:cs="Arial" w:eastAsia="Arial" w:hAnsi="Arial"/>
          <w:sz w:val="21"/>
          <w:szCs w:val="21"/>
          <w:color w:val="auto"/>
        </w:rPr>
        <w:t xml:space="preserve"> ] </w:t>
      </w:r>
      <w:r>
        <w:rPr>
          <w:rFonts w:ascii="Arial" w:cs="Arial" w:eastAsia="Arial" w:hAnsi="Arial"/>
          <w:sz w:val="20"/>
          <w:szCs w:val="20"/>
          <w:color w:val="auto"/>
        </w:rPr>
        <w:t>(ii) [ ***</w:t>
      </w:r>
      <w:r>
        <w:rPr>
          <w:rFonts w:ascii="Arial" w:cs="Arial" w:eastAsia="Arial" w:hAnsi="Arial"/>
          <w:sz w:val="21"/>
          <w:szCs w:val="21"/>
          <w:color w:val="auto"/>
        </w:rPr>
        <w:t xml:space="preserve"> ]</w:t>
      </w:r>
    </w:p>
    <w:p>
      <w:pPr>
        <w:spacing w:after="0" w:line="334" w:lineRule="exact"/>
        <w:rPr>
          <w:sz w:val="20"/>
          <w:szCs w:val="20"/>
          <w:color w:val="auto"/>
        </w:rPr>
      </w:pPr>
    </w:p>
    <w:p>
      <w:pPr>
        <w:spacing w:after="0" w:line="264" w:lineRule="auto"/>
        <w:rPr>
          <w:sz w:val="20"/>
          <w:szCs w:val="20"/>
          <w:color w:val="auto"/>
        </w:rPr>
      </w:pPr>
      <w:r>
        <w:rPr>
          <w:rFonts w:ascii="Arial" w:cs="Arial" w:eastAsia="Arial" w:hAnsi="Arial"/>
          <w:sz w:val="20"/>
          <w:szCs w:val="20"/>
          <w:color w:val="auto"/>
        </w:rPr>
        <w:t xml:space="preserve">If with respect to any [ *** </w:t>
      </w:r>
      <w:r>
        <w:rPr>
          <w:rFonts w:ascii="Arial" w:cs="Arial" w:eastAsia="Arial" w:hAnsi="Arial"/>
          <w:sz w:val="21"/>
          <w:szCs w:val="21"/>
          <w:color w:val="auto"/>
        </w:rPr>
        <w:t>]</w:t>
      </w:r>
      <w:r>
        <w:rPr>
          <w:rFonts w:ascii="Arial" w:cs="Arial" w:eastAsia="Arial" w:hAnsi="Arial"/>
          <w:sz w:val="20"/>
          <w:szCs w:val="20"/>
          <w:color w:val="auto"/>
        </w:rPr>
        <w:t xml:space="preserve"> as of any date, neither [ *** </w:t>
      </w:r>
      <w:r>
        <w:rPr>
          <w:rFonts w:ascii="Arial" w:cs="Arial" w:eastAsia="Arial" w:hAnsi="Arial"/>
          <w:sz w:val="21"/>
          <w:szCs w:val="21"/>
          <w:color w:val="auto"/>
        </w:rPr>
        <w:t>]</w:t>
      </w:r>
      <w:r>
        <w:rPr>
          <w:rFonts w:ascii="Arial" w:cs="Arial" w:eastAsia="Arial" w:hAnsi="Arial"/>
          <w:sz w:val="20"/>
          <w:szCs w:val="20"/>
          <w:color w:val="auto"/>
        </w:rPr>
        <w:t xml:space="preserve"> are available as of the close of Business on the date prior to the date of determination or no fair market value is indicated by any such source as of that date, then the Plan Investment Fiduciary will provide the value for such [ *** </w:t>
      </w:r>
      <w:r>
        <w:rPr>
          <w:rFonts w:ascii="Arial" w:cs="Arial" w:eastAsia="Arial" w:hAnsi="Arial"/>
          <w:sz w:val="21"/>
          <w:szCs w:val="21"/>
          <w:color w:val="auto"/>
        </w:rPr>
        <w:t>]</w:t>
      </w:r>
      <w:r>
        <w:rPr>
          <w:rFonts w:ascii="Arial" w:cs="Arial" w:eastAsia="Arial" w:hAnsi="Arial"/>
          <w:sz w:val="20"/>
          <w:szCs w:val="20"/>
          <w:color w:val="auto"/>
        </w:rPr>
        <w:t xml:space="preserve"> in an amount equal to the mean of the bid and offer quotations as of the close of Business [ *** </w:t>
      </w:r>
      <w:r>
        <w:rPr>
          <w:rFonts w:ascii="Arial" w:cs="Arial" w:eastAsia="Arial" w:hAnsi="Arial"/>
          <w:sz w:val="21"/>
          <w:szCs w:val="21"/>
          <w:color w:val="auto"/>
        </w:rPr>
        <w:t>]</w:t>
      </w:r>
      <w:r>
        <w:rPr>
          <w:rFonts w:ascii="Arial" w:cs="Arial" w:eastAsia="Arial" w:hAnsi="Arial"/>
          <w:sz w:val="20"/>
          <w:szCs w:val="20"/>
          <w:color w:val="auto"/>
        </w:rPr>
        <w:t xml:space="preserve">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 *** </w:t>
      </w:r>
      <w:r>
        <w:rPr>
          <w:rFonts w:ascii="Arial" w:cs="Arial" w:eastAsia="Arial" w:hAnsi="Arial"/>
          <w:sz w:val="21"/>
          <w:szCs w:val="21"/>
          <w:color w:val="auto"/>
        </w:rPr>
        <w:t>]</w:t>
      </w:r>
      <w:r>
        <w:rPr>
          <w:rFonts w:ascii="Arial" w:cs="Arial" w:eastAsia="Arial" w:hAnsi="Arial"/>
          <w:sz w:val="20"/>
          <w:szCs w:val="20"/>
          <w:color w:val="auto"/>
        </w:rPr>
        <w:t xml:space="preserve"> will provide the value for such [ *** </w:t>
      </w:r>
      <w:r>
        <w:rPr>
          <w:rFonts w:ascii="Arial" w:cs="Arial" w:eastAsia="Arial" w:hAnsi="Arial"/>
          <w:sz w:val="21"/>
          <w:szCs w:val="21"/>
          <w:color w:val="auto"/>
        </w:rPr>
        <w:t>]</w:t>
      </w:r>
      <w:r>
        <w:rPr>
          <w:rFonts w:ascii="Arial" w:cs="Arial" w:eastAsia="Arial" w:hAnsi="Arial"/>
          <w:sz w:val="20"/>
          <w:szCs w:val="20"/>
          <w:color w:val="auto"/>
        </w:rPr>
        <w:t xml:space="preserve"> in an amount equal to the mean of the bid and offer quotations [ *** </w:t>
      </w:r>
      <w:r>
        <w:rPr>
          <w:rFonts w:ascii="Arial" w:cs="Arial" w:eastAsia="Arial" w:hAnsi="Arial"/>
          <w:sz w:val="21"/>
          <w:szCs w:val="21"/>
          <w:color w:val="auto"/>
        </w:rPr>
        <w:t>]</w:t>
      </w:r>
    </w:p>
    <w:p>
      <w:pPr>
        <w:spacing w:after="0" w:line="352" w:lineRule="exact"/>
        <w:rPr>
          <w:sz w:val="20"/>
          <w:szCs w:val="20"/>
          <w:color w:val="auto"/>
        </w:rPr>
      </w:pPr>
    </w:p>
    <w:p>
      <w:pPr>
        <w:jc w:val="both"/>
        <w:ind w:right="280"/>
        <w:spacing w:after="0" w:line="265" w:lineRule="auto"/>
        <w:rPr>
          <w:sz w:val="20"/>
          <w:szCs w:val="20"/>
          <w:color w:val="auto"/>
        </w:rPr>
      </w:pPr>
      <w:r>
        <w:rPr>
          <w:rFonts w:ascii="Arial" w:cs="Arial" w:eastAsia="Arial" w:hAnsi="Arial"/>
          <w:sz w:val="20"/>
          <w:szCs w:val="20"/>
          <w:color w:val="auto"/>
        </w:rPr>
        <w:t xml:space="preserve">If, with respect to any [ *** </w:t>
      </w:r>
      <w:r>
        <w:rPr>
          <w:rFonts w:ascii="Arial" w:cs="Arial" w:eastAsia="Arial" w:hAnsi="Arial"/>
          <w:sz w:val="21"/>
          <w:szCs w:val="21"/>
          <w:color w:val="auto"/>
        </w:rPr>
        <w:t>]</w:t>
      </w:r>
      <w:r>
        <w:rPr>
          <w:rFonts w:ascii="Arial" w:cs="Arial" w:eastAsia="Arial" w:hAnsi="Arial"/>
          <w:sz w:val="20"/>
          <w:szCs w:val="20"/>
          <w:color w:val="auto"/>
        </w:rPr>
        <w:t xml:space="preserve"> as of the date of the Preliminary Pre-Closing Asset Valuation or the Closing Date (i) [ *** </w:t>
      </w:r>
      <w:r>
        <w:rPr>
          <w:rFonts w:ascii="Arial" w:cs="Arial" w:eastAsia="Arial" w:hAnsi="Arial"/>
          <w:sz w:val="21"/>
          <w:szCs w:val="21"/>
          <w:color w:val="auto"/>
        </w:rPr>
        <w:t>]</w:t>
      </w:r>
      <w:r>
        <w:rPr>
          <w:rFonts w:ascii="Arial" w:cs="Arial" w:eastAsia="Arial" w:hAnsi="Arial"/>
          <w:sz w:val="20"/>
          <w:szCs w:val="20"/>
          <w:color w:val="auto"/>
        </w:rPr>
        <w:t xml:space="preserve"> or no fair market value is indicated by any such source as of that date and (ii) quotations are provided for a [ *** </w:t>
      </w:r>
      <w:r>
        <w:rPr>
          <w:rFonts w:ascii="Arial" w:cs="Arial" w:eastAsia="Arial" w:hAnsi="Arial"/>
          <w:sz w:val="21"/>
          <w:szCs w:val="21"/>
          <w:color w:val="auto"/>
        </w:rPr>
        <w:t>]</w:t>
      </w:r>
      <w:r>
        <w:rPr>
          <w:rFonts w:ascii="Arial" w:cs="Arial" w:eastAsia="Arial" w:hAnsi="Arial"/>
          <w:sz w:val="20"/>
          <w:szCs w:val="20"/>
          <w:color w:val="auto"/>
        </w:rPr>
        <w:t xml:space="preserve"> as of that date by [ *** </w:t>
      </w:r>
      <w:r>
        <w:rPr>
          <w:rFonts w:ascii="Arial" w:cs="Arial" w:eastAsia="Arial" w:hAnsi="Arial"/>
          <w:sz w:val="21"/>
          <w:szCs w:val="21"/>
          <w:color w:val="auto"/>
        </w:rPr>
        <w:t>]</w:t>
      </w:r>
      <w:r>
        <w:rPr>
          <w:rFonts w:ascii="Arial" w:cs="Arial" w:eastAsia="Arial" w:hAnsi="Arial"/>
          <w:sz w:val="20"/>
          <w:szCs w:val="20"/>
          <w:color w:val="auto"/>
        </w:rPr>
        <w:t xml:space="preserve"> then such [ *** </w:t>
      </w:r>
      <w:r>
        <w:rPr>
          <w:rFonts w:ascii="Arial" w:cs="Arial" w:eastAsia="Arial" w:hAnsi="Arial"/>
          <w:sz w:val="21"/>
          <w:szCs w:val="21"/>
          <w:color w:val="auto"/>
        </w:rPr>
        <w:t>]</w:t>
      </w:r>
      <w:r>
        <w:rPr>
          <w:rFonts w:ascii="Arial" w:cs="Arial" w:eastAsia="Arial" w:hAnsi="Arial"/>
          <w:sz w:val="20"/>
          <w:szCs w:val="20"/>
          <w:color w:val="auto"/>
        </w:rPr>
        <w:t xml:space="preserve"> shall be [ *** </w:t>
      </w:r>
      <w:r>
        <w:rPr>
          <w:rFonts w:ascii="Arial" w:cs="Arial" w:eastAsia="Arial" w:hAnsi="Arial"/>
          <w:sz w:val="21"/>
          <w:szCs w:val="21"/>
          <w:color w:val="auto"/>
        </w:rPr>
        <w:t>]</w:t>
      </w:r>
      <w:r>
        <w:rPr>
          <w:rFonts w:ascii="Arial" w:cs="Arial" w:eastAsia="Arial" w:hAnsi="Arial"/>
          <w:sz w:val="20"/>
          <w:szCs w:val="20"/>
          <w:color w:val="auto"/>
        </w:rPr>
        <w:t>.</w:t>
      </w:r>
    </w:p>
    <w:p>
      <w:pPr>
        <w:spacing w:after="0" w:line="352"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 *** </w:t>
      </w:r>
      <w:r>
        <w:rPr>
          <w:rFonts w:ascii="Arial" w:cs="Arial" w:eastAsia="Arial" w:hAnsi="Arial"/>
          <w:sz w:val="21"/>
          <w:szCs w:val="21"/>
          <w:color w:val="auto"/>
        </w:rPr>
        <w:t>]</w:t>
      </w:r>
    </w:p>
    <w:p>
      <w:pPr>
        <w:spacing w:after="0" w:line="200" w:lineRule="exact"/>
        <w:rPr>
          <w:sz w:val="20"/>
          <w:szCs w:val="20"/>
          <w:color w:val="auto"/>
        </w:rPr>
      </w:pPr>
    </w:p>
    <w:p>
      <w:pPr>
        <w:spacing w:after="0" w:line="20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9"/>
          <w:szCs w:val="19"/>
          <w:color w:val="auto"/>
        </w:rPr>
        <w:t>]</w:t>
      </w:r>
      <w:r>
        <w:rPr>
          <w:rFonts w:ascii="Arial" w:cs="Arial" w:eastAsia="Arial" w:hAnsi="Arial"/>
          <w:sz w:val="18"/>
          <w:szCs w:val="18"/>
          <w:color w:val="auto"/>
        </w:rPr>
        <w:t xml:space="preserve"> as of each applicable date of determination (each a [ *** </w:t>
      </w:r>
      <w:r>
        <w:rPr>
          <w:rFonts w:ascii="Arial" w:cs="Arial" w:eastAsia="Arial" w:hAnsi="Arial"/>
          <w:sz w:val="19"/>
          <w:szCs w:val="19"/>
          <w:color w:val="auto"/>
        </w:rPr>
        <w:t>]</w:t>
      </w:r>
      <w:r>
        <w:rPr>
          <w:rFonts w:ascii="Arial" w:cs="Arial" w:eastAsia="Arial" w:hAnsi="Arial"/>
          <w:sz w:val="18"/>
          <w:szCs w:val="18"/>
          <w:color w:val="auto"/>
        </w:rPr>
        <w:t>), will be determined in accordance with the following methodology:</w:t>
      </w:r>
    </w:p>
    <w:p>
      <w:pPr>
        <w:spacing w:after="0" w:line="200" w:lineRule="exact"/>
        <w:rPr>
          <w:sz w:val="20"/>
          <w:szCs w:val="20"/>
          <w:color w:val="auto"/>
        </w:rPr>
      </w:pPr>
    </w:p>
    <w:p>
      <w:pPr>
        <w:spacing w:after="0" w:line="232" w:lineRule="exact"/>
        <w:rPr>
          <w:sz w:val="20"/>
          <w:szCs w:val="20"/>
          <w:color w:val="auto"/>
        </w:rPr>
      </w:pPr>
    </w:p>
    <w:p>
      <w:pPr>
        <w:ind w:left="920" w:hanging="319"/>
        <w:spacing w:after="0"/>
        <w:tabs>
          <w:tab w:leader="none" w:pos="920" w:val="left"/>
        </w:tabs>
        <w:numPr>
          <w:ilvl w:val="0"/>
          <w:numId w:val="164"/>
        </w:numPr>
        <w:rPr>
          <w:rFonts w:ascii="Arial" w:cs="Arial" w:eastAsia="Arial" w:hAnsi="Arial"/>
          <w:sz w:val="20"/>
          <w:szCs w:val="20"/>
          <w:color w:val="auto"/>
        </w:rPr>
      </w:pPr>
      <w:r>
        <w:rPr>
          <w:rFonts w:ascii="Arial" w:cs="Arial" w:eastAsia="Arial" w:hAnsi="Arial"/>
          <w:sz w:val="20"/>
          <w:szCs w:val="20"/>
          <w:color w:val="auto"/>
        </w:rPr>
        <w:t xml:space="preserve">[ *** </w:t>
      </w:r>
      <w:r>
        <w:rPr>
          <w:rFonts w:ascii="Arial" w:cs="Arial" w:eastAsia="Arial" w:hAnsi="Arial"/>
          <w:sz w:val="21"/>
          <w:szCs w:val="21"/>
          <w:color w:val="auto"/>
        </w:rPr>
        <w:t>]</w:t>
      </w:r>
      <w:r>
        <w:rPr>
          <w:rFonts w:ascii="Arial" w:cs="Arial" w:eastAsia="Arial" w:hAnsi="Arial"/>
          <w:sz w:val="20"/>
          <w:szCs w:val="20"/>
          <w:color w:val="auto"/>
        </w:rPr>
        <w:t xml:space="preserve"> shall [ *** </w:t>
      </w:r>
      <w:r>
        <w:rPr>
          <w:rFonts w:ascii="Arial" w:cs="Arial" w:eastAsia="Arial" w:hAnsi="Arial"/>
          <w:sz w:val="21"/>
          <w:szCs w:val="21"/>
          <w:color w:val="auto"/>
        </w:rPr>
        <w:t>]</w:t>
      </w:r>
      <w:r>
        <w:rPr>
          <w:rFonts w:ascii="Arial" w:cs="Arial" w:eastAsia="Arial" w:hAnsi="Arial"/>
          <w:sz w:val="20"/>
          <w:szCs w:val="20"/>
          <w:color w:val="auto"/>
        </w:rPr>
        <w:t xml:space="preserve"> based on:</w:t>
      </w:r>
    </w:p>
    <w:p>
      <w:pPr>
        <w:spacing w:after="0" w:line="200" w:lineRule="exact"/>
        <w:rPr>
          <w:rFonts w:ascii="Arial" w:cs="Arial" w:eastAsia="Arial" w:hAnsi="Arial"/>
          <w:sz w:val="20"/>
          <w:szCs w:val="20"/>
          <w:color w:val="auto"/>
        </w:rPr>
      </w:pPr>
    </w:p>
    <w:p>
      <w:pPr>
        <w:spacing w:after="0" w:line="221" w:lineRule="exact"/>
        <w:rPr>
          <w:rFonts w:ascii="Arial" w:cs="Arial" w:eastAsia="Arial" w:hAnsi="Arial"/>
          <w:sz w:val="20"/>
          <w:szCs w:val="20"/>
          <w:color w:val="auto"/>
        </w:rPr>
      </w:pPr>
    </w:p>
    <w:p>
      <w:pPr>
        <w:ind w:left="600"/>
        <w:spacing w:after="0"/>
        <w:rPr>
          <w:rFonts w:ascii="Arial" w:cs="Arial" w:eastAsia="Arial" w:hAnsi="Arial"/>
          <w:sz w:val="20"/>
          <w:szCs w:val="20"/>
          <w:color w:val="auto"/>
        </w:rPr>
      </w:pPr>
      <w:r>
        <w:rPr>
          <w:rFonts w:ascii="Arial" w:cs="Arial" w:eastAsia="Arial" w:hAnsi="Arial"/>
          <w:sz w:val="20"/>
          <w:szCs w:val="20"/>
          <w:color w:val="auto"/>
        </w:rPr>
        <w:t xml:space="preserve">(i) [ *** </w:t>
      </w:r>
      <w:r>
        <w:rPr>
          <w:rFonts w:ascii="Arial" w:cs="Arial" w:eastAsia="Arial" w:hAnsi="Arial"/>
          <w:sz w:val="21"/>
          <w:szCs w:val="21"/>
          <w:color w:val="auto"/>
        </w:rPr>
        <w:t>]</w:t>
      </w:r>
      <w:r>
        <w:rPr>
          <w:rFonts w:ascii="Arial" w:cs="Arial" w:eastAsia="Arial" w:hAnsi="Arial"/>
          <w:sz w:val="20"/>
          <w:szCs w:val="20"/>
          <w:color w:val="auto"/>
        </w:rPr>
        <w:t xml:space="preserve"> </w:t>
      </w:r>
      <w:r>
        <w:rPr>
          <w:rFonts w:ascii="Arial" w:cs="Arial" w:eastAsia="Arial" w:hAnsi="Arial"/>
          <w:sz w:val="20"/>
          <w:szCs w:val="20"/>
          <w:i w:val="1"/>
          <w:iCs w:val="1"/>
          <w:color w:val="auto"/>
        </w:rPr>
        <w:t>plus</w:t>
      </w:r>
    </w:p>
    <w:p>
      <w:pPr>
        <w:spacing w:after="0" w:line="200" w:lineRule="exact"/>
        <w:rPr>
          <w:sz w:val="20"/>
          <w:szCs w:val="20"/>
          <w:color w:val="auto"/>
        </w:rPr>
      </w:pPr>
    </w:p>
    <w:p>
      <w:pPr>
        <w:spacing w:after="0" w:line="209" w:lineRule="exact"/>
        <w:rPr>
          <w:sz w:val="20"/>
          <w:szCs w:val="20"/>
          <w:color w:val="auto"/>
        </w:rPr>
      </w:pPr>
    </w:p>
    <w:p>
      <w:pPr>
        <w:ind w:left="900" w:hanging="299"/>
        <w:spacing w:after="0"/>
        <w:tabs>
          <w:tab w:leader="none" w:pos="900" w:val="left"/>
        </w:tabs>
        <w:numPr>
          <w:ilvl w:val="0"/>
          <w:numId w:val="165"/>
        </w:numPr>
        <w:rPr>
          <w:rFonts w:ascii="Arial" w:cs="Arial" w:eastAsia="Arial" w:hAnsi="Arial"/>
          <w:sz w:val="20"/>
          <w:szCs w:val="20"/>
          <w:color w:val="auto"/>
        </w:rPr>
      </w:pPr>
      <w:r>
        <w:rPr>
          <w:rFonts w:ascii="Arial" w:cs="Arial" w:eastAsia="Arial" w:hAnsi="Arial"/>
          <w:sz w:val="20"/>
          <w:szCs w:val="20"/>
          <w:color w:val="auto"/>
        </w:rPr>
        <w:t xml:space="preserve">[ *** </w:t>
      </w:r>
      <w:r>
        <w:rPr>
          <w:rFonts w:ascii="Arial" w:cs="Arial" w:eastAsia="Arial" w:hAnsi="Arial"/>
          <w:sz w:val="21"/>
          <w:szCs w:val="21"/>
          <w:color w:val="auto"/>
        </w:rPr>
        <w:t>]</w:t>
      </w:r>
      <w:r>
        <w:rPr>
          <w:rFonts w:ascii="Arial" w:cs="Arial" w:eastAsia="Arial" w:hAnsi="Arial"/>
          <w:sz w:val="20"/>
          <w:szCs w:val="20"/>
          <w:color w:val="auto"/>
        </w:rPr>
        <w:t xml:space="preserve"> </w:t>
      </w:r>
      <w:r>
        <w:rPr>
          <w:rFonts w:ascii="Arial" w:cs="Arial" w:eastAsia="Arial" w:hAnsi="Arial"/>
          <w:sz w:val="20"/>
          <w:szCs w:val="20"/>
          <w:i w:val="1"/>
          <w:iCs w:val="1"/>
          <w:color w:val="auto"/>
        </w:rPr>
        <w:t>minus</w:t>
      </w:r>
    </w:p>
    <w:p>
      <w:pPr>
        <w:spacing w:after="0" w:line="200" w:lineRule="exact"/>
        <w:rPr>
          <w:rFonts w:ascii="Arial" w:cs="Arial" w:eastAsia="Arial" w:hAnsi="Arial"/>
          <w:sz w:val="20"/>
          <w:szCs w:val="20"/>
          <w:color w:val="auto"/>
        </w:rPr>
      </w:pPr>
    </w:p>
    <w:p>
      <w:pPr>
        <w:spacing w:after="0" w:line="209" w:lineRule="exact"/>
        <w:rPr>
          <w:rFonts w:ascii="Arial" w:cs="Arial" w:eastAsia="Arial" w:hAnsi="Arial"/>
          <w:sz w:val="20"/>
          <w:szCs w:val="20"/>
          <w:color w:val="auto"/>
        </w:rPr>
      </w:pPr>
    </w:p>
    <w:p>
      <w:pPr>
        <w:ind w:left="960" w:hanging="359"/>
        <w:spacing w:after="0"/>
        <w:tabs>
          <w:tab w:leader="none" w:pos="960" w:val="left"/>
        </w:tabs>
        <w:numPr>
          <w:ilvl w:val="0"/>
          <w:numId w:val="165"/>
        </w:numPr>
        <w:rPr>
          <w:rFonts w:ascii="Arial" w:cs="Arial" w:eastAsia="Arial" w:hAnsi="Arial"/>
          <w:sz w:val="20"/>
          <w:szCs w:val="20"/>
          <w:color w:val="auto"/>
        </w:rPr>
      </w:pPr>
      <w:r>
        <w:rPr>
          <w:rFonts w:ascii="Arial" w:cs="Arial" w:eastAsia="Arial" w:hAnsi="Arial"/>
          <w:sz w:val="20"/>
          <w:szCs w:val="20"/>
          <w:color w:val="auto"/>
        </w:rPr>
        <w:t xml:space="preserve">[ *** </w:t>
      </w:r>
      <w:r>
        <w:rPr>
          <w:rFonts w:ascii="Arial" w:cs="Arial" w:eastAsia="Arial" w:hAnsi="Arial"/>
          <w:sz w:val="21"/>
          <w:szCs w:val="21"/>
          <w:color w:val="auto"/>
        </w:rPr>
        <w:t>]</w:t>
      </w:r>
    </w:p>
    <w:p>
      <w:pPr>
        <w:spacing w:after="0" w:line="200" w:lineRule="exact"/>
        <w:rPr>
          <w:sz w:val="20"/>
          <w:szCs w:val="20"/>
          <w:color w:val="auto"/>
        </w:rPr>
      </w:pPr>
    </w:p>
    <w:p>
      <w:pPr>
        <w:spacing w:after="0" w:line="224" w:lineRule="exact"/>
        <w:rPr>
          <w:sz w:val="20"/>
          <w:szCs w:val="20"/>
          <w:color w:val="auto"/>
        </w:rPr>
      </w:pPr>
    </w:p>
    <w:p>
      <w:pPr>
        <w:ind w:left="600"/>
        <w:spacing w:after="0"/>
        <w:rPr>
          <w:sz w:val="20"/>
          <w:szCs w:val="20"/>
          <w:color w:val="auto"/>
        </w:rPr>
      </w:pPr>
      <w:r>
        <w:rPr>
          <w:rFonts w:ascii="Arial" w:cs="Arial" w:eastAsia="Arial" w:hAnsi="Arial"/>
          <w:sz w:val="20"/>
          <w:szCs w:val="20"/>
          <w:color w:val="auto"/>
        </w:rPr>
        <w:t>For purposes of calculating the foregoing, the applicable quarter ends and dates of determination will be as follows: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Appendix 2.6 - 2</w:t>
      </w:r>
    </w:p>
    <w:p>
      <w:pPr>
        <w:sectPr>
          <w:pgSz w:w="11900" w:h="16838" w:orient="portrait"/>
          <w:cols w:equalWidth="0" w:num="1">
            <w:col w:w="11420"/>
          </w:cols>
          <w:pgMar w:left="240" w:top="742" w:right="239" w:bottom="1440" w:gutter="0" w:footer="0" w:header="0"/>
        </w:sectPr>
      </w:pPr>
    </w:p>
    <w:bookmarkStart w:id="166" w:name="page167"/>
    <w:bookmarkEnd w:id="166"/>
    <w:tbl>
      <w:tblPr>
        <w:tblLayout w:type="fixed"/>
        <w:tblInd w:w="810" w:type="dxa"/>
        <w:tblCellMar>
          <w:top w:w="0" w:type="dxa"/>
          <w:left w:w="0" w:type="dxa"/>
          <w:bottom w:w="0" w:type="dxa"/>
          <w:right w:w="0" w:type="dxa"/>
        </w:tblCellMar>
      </w:tblPr>
      <w:tr>
        <w:trPr>
          <w:trHeight w:val="490"/>
        </w:trPr>
        <w:tc>
          <w:tcPr>
            <w:tcW w:w="3380" w:type="dxa"/>
            <w:vAlign w:val="bottom"/>
            <w:tcBorders>
              <w:top w:val="single" w:sz="8" w:color="auto"/>
              <w:left w:val="single" w:sz="8" w:color="auto"/>
              <w:right w:val="single" w:sz="8" w:color="auto"/>
            </w:tcBorders>
          </w:tcPr>
          <w:p>
            <w:pPr>
              <w:spacing w:after="0"/>
              <w:rPr>
                <w:sz w:val="24"/>
                <w:szCs w:val="24"/>
                <w:color w:val="auto"/>
              </w:rPr>
            </w:pPr>
          </w:p>
        </w:tc>
        <w:tc>
          <w:tcPr>
            <w:tcW w:w="3240" w:type="dxa"/>
            <w:vAlign w:val="bottom"/>
            <w:tcBorders>
              <w:top w:val="single" w:sz="8" w:color="auto"/>
              <w:right w:val="single" w:sz="8" w:color="auto"/>
            </w:tcBorders>
            <w:vMerge w:val="restart"/>
          </w:tcPr>
          <w:p>
            <w:pPr>
              <w:spacing w:after="0"/>
              <w:rPr>
                <w:sz w:val="20"/>
                <w:szCs w:val="20"/>
                <w:color w:val="auto"/>
              </w:rPr>
            </w:pPr>
            <w:r>
              <w:rPr>
                <w:rFonts w:ascii="Arial" w:cs="Arial" w:eastAsia="Arial" w:hAnsi="Arial"/>
                <w:sz w:val="18"/>
                <w:szCs w:val="18"/>
                <w:color w:val="auto"/>
              </w:rPr>
              <w:t>Applicable Quarter End</w:t>
            </w:r>
          </w:p>
        </w:tc>
        <w:tc>
          <w:tcPr>
            <w:tcW w:w="3240" w:type="dxa"/>
            <w:vAlign w:val="bottom"/>
            <w:tcBorders>
              <w:top w:val="single" w:sz="8" w:color="auto"/>
              <w:right w:val="single" w:sz="8" w:color="auto"/>
            </w:tcBorders>
          </w:tcPr>
          <w:p>
            <w:pPr>
              <w:spacing w:after="0"/>
              <w:rPr>
                <w:sz w:val="20"/>
                <w:szCs w:val="20"/>
                <w:color w:val="auto"/>
              </w:rPr>
            </w:pPr>
            <w:r>
              <w:rPr>
                <w:rFonts w:ascii="Arial" w:cs="Arial" w:eastAsia="Arial" w:hAnsi="Arial"/>
                <w:sz w:val="20"/>
                <w:szCs w:val="20"/>
                <w:color w:val="auto"/>
              </w:rPr>
              <w:t xml:space="preserve">[ *** </w:t>
            </w:r>
            <w:r>
              <w:rPr>
                <w:rFonts w:ascii="Arial" w:cs="Arial" w:eastAsia="Arial" w:hAnsi="Arial"/>
                <w:sz w:val="21"/>
                <w:szCs w:val="21"/>
                <w:color w:val="auto"/>
              </w:rPr>
              <w:t>]</w:t>
            </w:r>
          </w:p>
        </w:tc>
        <w:tc>
          <w:tcPr>
            <w:tcW w:w="0" w:type="dxa"/>
            <w:vAlign w:val="bottom"/>
          </w:tcPr>
          <w:p>
            <w:pPr>
              <w:spacing w:after="0"/>
              <w:rPr>
                <w:sz w:val="1"/>
                <w:szCs w:val="1"/>
                <w:color w:val="auto"/>
              </w:rPr>
            </w:pPr>
          </w:p>
        </w:tc>
      </w:tr>
      <w:tr>
        <w:trPr>
          <w:trHeight w:val="203"/>
        </w:trPr>
        <w:tc>
          <w:tcPr>
            <w:tcW w:w="3380" w:type="dxa"/>
            <w:vAlign w:val="bottom"/>
            <w:tcBorders>
              <w:left w:val="single" w:sz="8" w:color="auto"/>
              <w:right w:val="single" w:sz="8" w:color="auto"/>
            </w:tcBorders>
          </w:tcPr>
          <w:p>
            <w:pPr>
              <w:spacing w:after="0"/>
              <w:rPr>
                <w:sz w:val="17"/>
                <w:szCs w:val="17"/>
                <w:color w:val="auto"/>
              </w:rPr>
            </w:pPr>
          </w:p>
        </w:tc>
        <w:tc>
          <w:tcPr>
            <w:tcW w:w="3240" w:type="dxa"/>
            <w:vAlign w:val="bottom"/>
            <w:tcBorders>
              <w:right w:val="single" w:sz="8" w:color="auto"/>
            </w:tcBorders>
            <w:vMerge w:val="continue"/>
          </w:tcPr>
          <w:p>
            <w:pPr>
              <w:spacing w:after="0"/>
              <w:rPr>
                <w:sz w:val="17"/>
                <w:szCs w:val="17"/>
                <w:color w:val="auto"/>
              </w:rPr>
            </w:pPr>
          </w:p>
        </w:tc>
        <w:tc>
          <w:tcPr>
            <w:tcW w:w="32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3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240" w:type="dxa"/>
            <w:vAlign w:val="bottom"/>
            <w:tcBorders>
              <w:bottom w:val="single" w:sz="8" w:color="auto"/>
              <w:right w:val="single" w:sz="8" w:color="auto"/>
            </w:tcBorders>
          </w:tcPr>
          <w:p>
            <w:pPr>
              <w:spacing w:after="0" w:line="20" w:lineRule="exact"/>
              <w:rPr>
                <w:sz w:val="1"/>
                <w:szCs w:val="1"/>
                <w:color w:val="auto"/>
              </w:rPr>
            </w:pPr>
          </w:p>
        </w:tc>
        <w:tc>
          <w:tcPr>
            <w:tcW w:w="32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3380" w:type="dxa"/>
            <w:vAlign w:val="bottom"/>
            <w:tcBorders>
              <w:left w:val="single" w:sz="8" w:color="auto"/>
              <w:right w:val="single" w:sz="8" w:color="auto"/>
            </w:tcBorders>
          </w:tcPr>
          <w:p>
            <w:pPr>
              <w:spacing w:after="0"/>
              <w:rPr>
                <w:sz w:val="24"/>
                <w:szCs w:val="24"/>
                <w:color w:val="auto"/>
              </w:rPr>
            </w:pPr>
          </w:p>
        </w:tc>
        <w:tc>
          <w:tcPr>
            <w:tcW w:w="32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N/A</w:t>
            </w:r>
          </w:p>
        </w:tc>
        <w:tc>
          <w:tcPr>
            <w:tcW w:w="32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N/A</w:t>
            </w:r>
          </w:p>
        </w:tc>
        <w:tc>
          <w:tcPr>
            <w:tcW w:w="0" w:type="dxa"/>
            <w:vAlign w:val="bottom"/>
          </w:tcPr>
          <w:p>
            <w:pPr>
              <w:spacing w:after="0"/>
              <w:rPr>
                <w:sz w:val="1"/>
                <w:szCs w:val="1"/>
                <w:color w:val="auto"/>
              </w:rPr>
            </w:pPr>
          </w:p>
        </w:tc>
      </w:tr>
      <w:tr>
        <w:trPr>
          <w:trHeight w:val="592"/>
        </w:trPr>
        <w:tc>
          <w:tcPr>
            <w:tcW w:w="3380" w:type="dxa"/>
            <w:vAlign w:val="bottom"/>
            <w:tcBorders>
              <w:left w:val="single" w:sz="8" w:color="auto"/>
              <w:right w:val="single" w:sz="8" w:color="auto"/>
            </w:tcBorders>
          </w:tcPr>
          <w:p>
            <w:pPr>
              <w:spacing w:after="0"/>
              <w:rPr>
                <w:sz w:val="24"/>
                <w:szCs w:val="24"/>
                <w:color w:val="auto"/>
              </w:rPr>
            </w:pPr>
          </w:p>
        </w:tc>
        <w:tc>
          <w:tcPr>
            <w:tcW w:w="3240" w:type="dxa"/>
            <w:vAlign w:val="bottom"/>
            <w:tcBorders>
              <w:right w:val="single" w:sz="8" w:color="auto"/>
            </w:tcBorders>
          </w:tcPr>
          <w:p>
            <w:pPr>
              <w:spacing w:after="0"/>
              <w:rPr>
                <w:sz w:val="20"/>
                <w:szCs w:val="20"/>
                <w:color w:val="auto"/>
              </w:rPr>
            </w:pPr>
            <w:r>
              <w:rPr>
                <w:rFonts w:ascii="Arial" w:cs="Arial" w:eastAsia="Arial" w:hAnsi="Arial"/>
                <w:sz w:val="20"/>
                <w:szCs w:val="20"/>
                <w:color w:val="auto"/>
                <w:w w:val="98"/>
              </w:rPr>
              <w:t>(use value on Appendix 2.6(d)(I) and</w:t>
            </w:r>
          </w:p>
        </w:tc>
        <w:tc>
          <w:tcPr>
            <w:tcW w:w="3240" w:type="dxa"/>
            <w:vAlign w:val="bottom"/>
            <w:tcBorders>
              <w:right w:val="single" w:sz="8" w:color="auto"/>
            </w:tcBorders>
          </w:tcPr>
          <w:p>
            <w:pPr>
              <w:spacing w:after="0"/>
              <w:rPr>
                <w:sz w:val="20"/>
                <w:szCs w:val="20"/>
                <w:color w:val="auto"/>
              </w:rPr>
            </w:pPr>
            <w:r>
              <w:rPr>
                <w:rFonts w:ascii="Arial" w:cs="Arial" w:eastAsia="Arial" w:hAnsi="Arial"/>
                <w:sz w:val="20"/>
                <w:szCs w:val="20"/>
                <w:color w:val="auto"/>
                <w:w w:val="98"/>
              </w:rPr>
              <w:t>(use value on Appendix 2.6(d)(I) and</w:t>
            </w:r>
          </w:p>
        </w:tc>
        <w:tc>
          <w:tcPr>
            <w:tcW w:w="0" w:type="dxa"/>
            <w:vAlign w:val="bottom"/>
          </w:tcPr>
          <w:p>
            <w:pPr>
              <w:spacing w:after="0"/>
              <w:rPr>
                <w:sz w:val="1"/>
                <w:szCs w:val="1"/>
                <w:color w:val="auto"/>
              </w:rPr>
            </w:pPr>
          </w:p>
        </w:tc>
      </w:tr>
      <w:tr>
        <w:trPr>
          <w:trHeight w:val="275"/>
        </w:trPr>
        <w:tc>
          <w:tcPr>
            <w:tcW w:w="3380" w:type="dxa"/>
            <w:vAlign w:val="bottom"/>
            <w:tcBorders>
              <w:left w:val="single" w:sz="8" w:color="auto"/>
              <w:right w:val="single" w:sz="8" w:color="auto"/>
            </w:tcBorders>
          </w:tcPr>
          <w:p>
            <w:pPr>
              <w:jc w:val="right"/>
              <w:ind w:right="2700"/>
              <w:spacing w:after="0"/>
              <w:rPr>
                <w:sz w:val="20"/>
                <w:szCs w:val="20"/>
                <w:color w:val="auto"/>
              </w:rPr>
            </w:pPr>
            <w:r>
              <w:rPr>
                <w:rFonts w:ascii="Arial" w:cs="Arial" w:eastAsia="Arial" w:hAnsi="Arial"/>
                <w:sz w:val="20"/>
                <w:szCs w:val="20"/>
                <w:color w:val="auto"/>
              </w:rPr>
              <w:t xml:space="preserve">[ *** </w:t>
            </w:r>
            <w:r>
              <w:rPr>
                <w:rFonts w:ascii="Arial" w:cs="Arial" w:eastAsia="Arial" w:hAnsi="Arial"/>
                <w:sz w:val="21"/>
                <w:szCs w:val="21"/>
                <w:color w:val="auto"/>
              </w:rPr>
              <w:t>]</w:t>
            </w:r>
          </w:p>
        </w:tc>
        <w:tc>
          <w:tcPr>
            <w:tcW w:w="32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 xml:space="preserve">2.6(d)(II) [ *** </w:t>
            </w:r>
            <w:r>
              <w:rPr>
                <w:rFonts w:ascii="Arial" w:cs="Arial" w:eastAsia="Arial" w:hAnsi="Arial"/>
                <w:sz w:val="21"/>
                <w:szCs w:val="21"/>
                <w:color w:val="auto"/>
              </w:rPr>
              <w:t>]</w:t>
            </w:r>
            <w:r>
              <w:rPr>
                <w:rFonts w:ascii="Arial" w:cs="Arial" w:eastAsia="Arial" w:hAnsi="Arial"/>
                <w:sz w:val="20"/>
                <w:szCs w:val="20"/>
                <w:color w:val="auto"/>
              </w:rPr>
              <w:t>)</w:t>
            </w:r>
          </w:p>
        </w:tc>
        <w:tc>
          <w:tcPr>
            <w:tcW w:w="32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 xml:space="preserve">2.6(d)(II) [ *** </w:t>
            </w:r>
            <w:r>
              <w:rPr>
                <w:rFonts w:ascii="Arial" w:cs="Arial" w:eastAsia="Arial" w:hAnsi="Arial"/>
                <w:sz w:val="21"/>
                <w:szCs w:val="21"/>
                <w:color w:val="auto"/>
              </w:rPr>
              <w:t>]</w:t>
            </w:r>
          </w:p>
        </w:tc>
        <w:tc>
          <w:tcPr>
            <w:tcW w:w="0" w:type="dxa"/>
            <w:vAlign w:val="bottom"/>
          </w:tcPr>
          <w:p>
            <w:pPr>
              <w:spacing w:after="0"/>
              <w:rPr>
                <w:sz w:val="1"/>
                <w:szCs w:val="1"/>
                <w:color w:val="auto"/>
              </w:rPr>
            </w:pPr>
          </w:p>
        </w:tc>
      </w:tr>
      <w:tr>
        <w:trPr>
          <w:trHeight w:val="224"/>
        </w:trPr>
        <w:tc>
          <w:tcPr>
            <w:tcW w:w="3380" w:type="dxa"/>
            <w:vAlign w:val="bottom"/>
            <w:tcBorders>
              <w:left w:val="single" w:sz="8" w:color="auto"/>
              <w:bottom w:val="single" w:sz="8" w:color="auto"/>
              <w:right w:val="single" w:sz="8" w:color="auto"/>
            </w:tcBorders>
          </w:tcPr>
          <w:p>
            <w:pPr>
              <w:spacing w:after="0"/>
              <w:rPr>
                <w:sz w:val="19"/>
                <w:szCs w:val="19"/>
                <w:color w:val="auto"/>
              </w:rPr>
            </w:pPr>
          </w:p>
        </w:tc>
        <w:tc>
          <w:tcPr>
            <w:tcW w:w="3240" w:type="dxa"/>
            <w:vAlign w:val="bottom"/>
            <w:tcBorders>
              <w:bottom w:val="single" w:sz="8" w:color="auto"/>
              <w:right w:val="single" w:sz="8" w:color="auto"/>
            </w:tcBorders>
          </w:tcPr>
          <w:p>
            <w:pPr>
              <w:spacing w:after="0"/>
              <w:rPr>
                <w:sz w:val="19"/>
                <w:szCs w:val="19"/>
                <w:color w:val="auto"/>
              </w:rPr>
            </w:pPr>
          </w:p>
        </w:tc>
        <w:tc>
          <w:tcPr>
            <w:tcW w:w="32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45"/>
        </w:trPr>
        <w:tc>
          <w:tcPr>
            <w:tcW w:w="3380" w:type="dxa"/>
            <w:vAlign w:val="bottom"/>
            <w:tcBorders>
              <w:left w:val="single" w:sz="8" w:color="auto"/>
              <w:right w:val="single" w:sz="8" w:color="auto"/>
            </w:tcBorders>
          </w:tcPr>
          <w:p>
            <w:pPr>
              <w:spacing w:after="0"/>
              <w:rPr>
                <w:sz w:val="24"/>
                <w:szCs w:val="24"/>
                <w:color w:val="auto"/>
              </w:rPr>
            </w:pPr>
          </w:p>
        </w:tc>
        <w:tc>
          <w:tcPr>
            <w:tcW w:w="32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 xml:space="preserve">[ *** </w:t>
            </w:r>
            <w:r>
              <w:rPr>
                <w:rFonts w:ascii="Arial" w:cs="Arial" w:eastAsia="Arial" w:hAnsi="Arial"/>
                <w:sz w:val="21"/>
                <w:szCs w:val="21"/>
                <w:color w:val="auto"/>
              </w:rPr>
              <w:t>]</w:t>
            </w:r>
            <w:r>
              <w:rPr>
                <w:rFonts w:ascii="Arial" w:cs="Arial" w:eastAsia="Arial" w:hAnsi="Arial"/>
                <w:sz w:val="20"/>
                <w:szCs w:val="20"/>
                <w:color w:val="auto"/>
              </w:rPr>
              <w:t xml:space="preserve"> or if unavailable, the most</w:t>
            </w:r>
          </w:p>
        </w:tc>
        <w:tc>
          <w:tcPr>
            <w:tcW w:w="3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380" w:type="dxa"/>
            <w:vAlign w:val="bottom"/>
            <w:tcBorders>
              <w:left w:val="single" w:sz="8" w:color="auto"/>
              <w:right w:val="single" w:sz="8" w:color="auto"/>
            </w:tcBorders>
          </w:tcPr>
          <w:p>
            <w:pPr>
              <w:spacing w:after="0"/>
              <w:rPr>
                <w:sz w:val="21"/>
                <w:szCs w:val="21"/>
                <w:color w:val="auto"/>
              </w:rPr>
            </w:pPr>
          </w:p>
        </w:tc>
        <w:tc>
          <w:tcPr>
            <w:tcW w:w="3240" w:type="dxa"/>
            <w:vAlign w:val="bottom"/>
            <w:tcBorders>
              <w:right w:val="single" w:sz="8" w:color="auto"/>
            </w:tcBorders>
          </w:tcPr>
          <w:p>
            <w:pPr>
              <w:spacing w:after="0"/>
              <w:rPr>
                <w:sz w:val="20"/>
                <w:szCs w:val="20"/>
                <w:color w:val="auto"/>
              </w:rPr>
            </w:pPr>
            <w:r>
              <w:rPr>
                <w:rFonts w:ascii="Arial" w:cs="Arial" w:eastAsia="Arial" w:hAnsi="Arial"/>
                <w:sz w:val="20"/>
                <w:szCs w:val="20"/>
                <w:color w:val="auto"/>
                <w:w w:val="96"/>
              </w:rPr>
              <w:t xml:space="preserve">recent quarter end prior to [ *** </w:t>
            </w:r>
            <w:r>
              <w:rPr>
                <w:rFonts w:ascii="Arial" w:cs="Arial" w:eastAsia="Arial" w:hAnsi="Arial"/>
                <w:sz w:val="21"/>
                <w:szCs w:val="21"/>
                <w:color w:val="auto"/>
                <w:w w:val="96"/>
              </w:rPr>
              <w:t>]</w:t>
            </w:r>
            <w:r>
              <w:rPr>
                <w:rFonts w:ascii="Arial" w:cs="Arial" w:eastAsia="Arial" w:hAnsi="Arial"/>
                <w:sz w:val="20"/>
                <w:szCs w:val="20"/>
                <w:color w:val="auto"/>
                <w:w w:val="96"/>
              </w:rPr>
              <w:t xml:space="preserve"> that [</w:t>
            </w:r>
          </w:p>
        </w:tc>
        <w:tc>
          <w:tcPr>
            <w:tcW w:w="32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3380" w:type="dxa"/>
            <w:vAlign w:val="bottom"/>
            <w:tcBorders>
              <w:left w:val="single" w:sz="8" w:color="auto"/>
              <w:right w:val="single" w:sz="8" w:color="auto"/>
            </w:tcBorders>
          </w:tcPr>
          <w:p>
            <w:pPr>
              <w:jc w:val="right"/>
              <w:ind w:right="2700"/>
              <w:spacing w:after="0"/>
              <w:rPr>
                <w:sz w:val="20"/>
                <w:szCs w:val="20"/>
                <w:color w:val="auto"/>
              </w:rPr>
            </w:pPr>
            <w:r>
              <w:rPr>
                <w:rFonts w:ascii="Arial" w:cs="Arial" w:eastAsia="Arial" w:hAnsi="Arial"/>
                <w:sz w:val="20"/>
                <w:szCs w:val="20"/>
                <w:color w:val="auto"/>
              </w:rPr>
              <w:t xml:space="preserve">[ *** </w:t>
            </w:r>
            <w:r>
              <w:rPr>
                <w:rFonts w:ascii="Arial" w:cs="Arial" w:eastAsia="Arial" w:hAnsi="Arial"/>
                <w:sz w:val="21"/>
                <w:szCs w:val="21"/>
                <w:color w:val="auto"/>
              </w:rPr>
              <w:t>]</w:t>
            </w:r>
          </w:p>
        </w:tc>
        <w:tc>
          <w:tcPr>
            <w:tcW w:w="32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 xml:space="preserve">*** </w:t>
            </w:r>
            <w:r>
              <w:rPr>
                <w:rFonts w:ascii="Arial" w:cs="Arial" w:eastAsia="Arial" w:hAnsi="Arial"/>
                <w:sz w:val="21"/>
                <w:szCs w:val="21"/>
                <w:color w:val="auto"/>
              </w:rPr>
              <w:t>]</w:t>
            </w:r>
          </w:p>
        </w:tc>
        <w:tc>
          <w:tcPr>
            <w:tcW w:w="32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 xml:space="preserve">[ *** </w:t>
            </w:r>
            <w:r>
              <w:rPr>
                <w:rFonts w:ascii="Arial" w:cs="Arial" w:eastAsia="Arial" w:hAnsi="Arial"/>
                <w:sz w:val="21"/>
                <w:szCs w:val="21"/>
                <w:color w:val="auto"/>
              </w:rPr>
              <w:t>]</w:t>
            </w:r>
          </w:p>
        </w:tc>
        <w:tc>
          <w:tcPr>
            <w:tcW w:w="0" w:type="dxa"/>
            <w:vAlign w:val="bottom"/>
          </w:tcPr>
          <w:p>
            <w:pPr>
              <w:spacing w:after="0"/>
              <w:rPr>
                <w:sz w:val="1"/>
                <w:szCs w:val="1"/>
                <w:color w:val="auto"/>
              </w:rPr>
            </w:pPr>
          </w:p>
        </w:tc>
      </w:tr>
      <w:tr>
        <w:trPr>
          <w:trHeight w:val="224"/>
        </w:trPr>
        <w:tc>
          <w:tcPr>
            <w:tcW w:w="3380" w:type="dxa"/>
            <w:vAlign w:val="bottom"/>
            <w:tcBorders>
              <w:left w:val="single" w:sz="8" w:color="auto"/>
              <w:bottom w:val="single" w:sz="8" w:color="auto"/>
              <w:right w:val="single" w:sz="8" w:color="auto"/>
            </w:tcBorders>
          </w:tcPr>
          <w:p>
            <w:pPr>
              <w:spacing w:after="0"/>
              <w:rPr>
                <w:sz w:val="19"/>
                <w:szCs w:val="19"/>
                <w:color w:val="auto"/>
              </w:rPr>
            </w:pPr>
          </w:p>
        </w:tc>
        <w:tc>
          <w:tcPr>
            <w:tcW w:w="3240" w:type="dxa"/>
            <w:vAlign w:val="bottom"/>
            <w:tcBorders>
              <w:bottom w:val="single" w:sz="8" w:color="auto"/>
              <w:right w:val="single" w:sz="8" w:color="auto"/>
            </w:tcBorders>
          </w:tcPr>
          <w:p>
            <w:pPr>
              <w:spacing w:after="0"/>
              <w:rPr>
                <w:sz w:val="19"/>
                <w:szCs w:val="19"/>
                <w:color w:val="auto"/>
              </w:rPr>
            </w:pPr>
          </w:p>
        </w:tc>
        <w:tc>
          <w:tcPr>
            <w:tcW w:w="32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45"/>
        </w:trPr>
        <w:tc>
          <w:tcPr>
            <w:tcW w:w="3380" w:type="dxa"/>
            <w:vAlign w:val="bottom"/>
            <w:tcBorders>
              <w:left w:val="single" w:sz="8" w:color="auto"/>
              <w:right w:val="single" w:sz="8" w:color="auto"/>
            </w:tcBorders>
          </w:tcPr>
          <w:p>
            <w:pPr>
              <w:spacing w:after="0"/>
              <w:rPr>
                <w:sz w:val="24"/>
                <w:szCs w:val="24"/>
                <w:color w:val="auto"/>
              </w:rPr>
            </w:pPr>
          </w:p>
        </w:tc>
        <w:tc>
          <w:tcPr>
            <w:tcW w:w="32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 xml:space="preserve">[ *** </w:t>
            </w:r>
            <w:r>
              <w:rPr>
                <w:rFonts w:ascii="Arial" w:cs="Arial" w:eastAsia="Arial" w:hAnsi="Arial"/>
                <w:sz w:val="21"/>
                <w:szCs w:val="21"/>
                <w:color w:val="auto"/>
              </w:rPr>
              <w:t>]</w:t>
            </w:r>
            <w:r>
              <w:rPr>
                <w:rFonts w:ascii="Arial" w:cs="Arial" w:eastAsia="Arial" w:hAnsi="Arial"/>
                <w:sz w:val="20"/>
                <w:szCs w:val="20"/>
                <w:color w:val="auto"/>
              </w:rPr>
              <w:t xml:space="preserve"> or if unavailable, the most</w:t>
            </w:r>
          </w:p>
        </w:tc>
        <w:tc>
          <w:tcPr>
            <w:tcW w:w="3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380" w:type="dxa"/>
            <w:vAlign w:val="bottom"/>
            <w:tcBorders>
              <w:left w:val="single" w:sz="8" w:color="auto"/>
              <w:right w:val="single" w:sz="8" w:color="auto"/>
            </w:tcBorders>
          </w:tcPr>
          <w:p>
            <w:pPr>
              <w:spacing w:after="0"/>
              <w:rPr>
                <w:sz w:val="21"/>
                <w:szCs w:val="21"/>
                <w:color w:val="auto"/>
              </w:rPr>
            </w:pPr>
          </w:p>
        </w:tc>
        <w:tc>
          <w:tcPr>
            <w:tcW w:w="32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 xml:space="preserve">recent quarter end prior [ *** </w:t>
            </w:r>
            <w:r>
              <w:rPr>
                <w:rFonts w:ascii="Arial" w:cs="Arial" w:eastAsia="Arial" w:hAnsi="Arial"/>
                <w:sz w:val="21"/>
                <w:szCs w:val="21"/>
                <w:color w:val="auto"/>
              </w:rPr>
              <w:t>]</w:t>
            </w:r>
            <w:r>
              <w:rPr>
                <w:rFonts w:ascii="Arial" w:cs="Arial" w:eastAsia="Arial" w:hAnsi="Arial"/>
                <w:sz w:val="20"/>
                <w:szCs w:val="20"/>
                <w:color w:val="auto"/>
              </w:rPr>
              <w:t xml:space="preserve"> that [</w:t>
            </w:r>
          </w:p>
        </w:tc>
        <w:tc>
          <w:tcPr>
            <w:tcW w:w="32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3380" w:type="dxa"/>
            <w:vAlign w:val="bottom"/>
            <w:tcBorders>
              <w:left w:val="single" w:sz="8" w:color="auto"/>
              <w:right w:val="single" w:sz="8" w:color="auto"/>
            </w:tcBorders>
          </w:tcPr>
          <w:p>
            <w:pPr>
              <w:jc w:val="right"/>
              <w:ind w:right="2700"/>
              <w:spacing w:after="0"/>
              <w:rPr>
                <w:sz w:val="20"/>
                <w:szCs w:val="20"/>
                <w:color w:val="auto"/>
              </w:rPr>
            </w:pPr>
            <w:r>
              <w:rPr>
                <w:rFonts w:ascii="Arial" w:cs="Arial" w:eastAsia="Arial" w:hAnsi="Arial"/>
                <w:sz w:val="20"/>
                <w:szCs w:val="20"/>
                <w:color w:val="auto"/>
              </w:rPr>
              <w:t xml:space="preserve">[ *** </w:t>
            </w:r>
            <w:r>
              <w:rPr>
                <w:rFonts w:ascii="Arial" w:cs="Arial" w:eastAsia="Arial" w:hAnsi="Arial"/>
                <w:sz w:val="21"/>
                <w:szCs w:val="21"/>
                <w:color w:val="auto"/>
              </w:rPr>
              <w:t>]</w:t>
            </w:r>
          </w:p>
        </w:tc>
        <w:tc>
          <w:tcPr>
            <w:tcW w:w="32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 xml:space="preserve">*** </w:t>
            </w:r>
            <w:r>
              <w:rPr>
                <w:rFonts w:ascii="Arial" w:cs="Arial" w:eastAsia="Arial" w:hAnsi="Arial"/>
                <w:sz w:val="21"/>
                <w:szCs w:val="21"/>
                <w:color w:val="auto"/>
              </w:rPr>
              <w:t>]</w:t>
            </w:r>
            <w:r>
              <w:rPr>
                <w:rFonts w:ascii="Arial" w:cs="Arial" w:eastAsia="Arial" w:hAnsi="Arial"/>
                <w:sz w:val="20"/>
                <w:szCs w:val="20"/>
                <w:color w:val="auto"/>
              </w:rPr>
              <w:t xml:space="preserve"> is available</w:t>
            </w:r>
          </w:p>
        </w:tc>
        <w:tc>
          <w:tcPr>
            <w:tcW w:w="32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 xml:space="preserve">[ *** </w:t>
            </w:r>
            <w:r>
              <w:rPr>
                <w:rFonts w:ascii="Arial" w:cs="Arial" w:eastAsia="Arial" w:hAnsi="Arial"/>
                <w:sz w:val="21"/>
                <w:szCs w:val="21"/>
                <w:color w:val="auto"/>
              </w:rPr>
              <w:t>]</w:t>
            </w:r>
          </w:p>
        </w:tc>
        <w:tc>
          <w:tcPr>
            <w:tcW w:w="0" w:type="dxa"/>
            <w:vAlign w:val="bottom"/>
          </w:tcPr>
          <w:p>
            <w:pPr>
              <w:spacing w:after="0"/>
              <w:rPr>
                <w:sz w:val="1"/>
                <w:szCs w:val="1"/>
                <w:color w:val="auto"/>
              </w:rPr>
            </w:pPr>
          </w:p>
        </w:tc>
      </w:tr>
      <w:tr>
        <w:trPr>
          <w:trHeight w:val="224"/>
        </w:trPr>
        <w:tc>
          <w:tcPr>
            <w:tcW w:w="3380" w:type="dxa"/>
            <w:vAlign w:val="bottom"/>
            <w:tcBorders>
              <w:left w:val="single" w:sz="8" w:color="auto"/>
              <w:bottom w:val="single" w:sz="8" w:color="auto"/>
              <w:right w:val="single" w:sz="8" w:color="auto"/>
            </w:tcBorders>
          </w:tcPr>
          <w:p>
            <w:pPr>
              <w:spacing w:after="0"/>
              <w:rPr>
                <w:sz w:val="19"/>
                <w:szCs w:val="19"/>
                <w:color w:val="auto"/>
              </w:rPr>
            </w:pPr>
          </w:p>
        </w:tc>
        <w:tc>
          <w:tcPr>
            <w:tcW w:w="3240" w:type="dxa"/>
            <w:vAlign w:val="bottom"/>
            <w:tcBorders>
              <w:bottom w:val="single" w:sz="8" w:color="auto"/>
              <w:right w:val="single" w:sz="8" w:color="auto"/>
            </w:tcBorders>
          </w:tcPr>
          <w:p>
            <w:pPr>
              <w:spacing w:after="0"/>
              <w:rPr>
                <w:sz w:val="19"/>
                <w:szCs w:val="19"/>
                <w:color w:val="auto"/>
              </w:rPr>
            </w:pPr>
          </w:p>
        </w:tc>
        <w:tc>
          <w:tcPr>
            <w:tcW w:w="32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45"/>
        </w:trPr>
        <w:tc>
          <w:tcPr>
            <w:tcW w:w="3380" w:type="dxa"/>
            <w:vAlign w:val="bottom"/>
            <w:tcBorders>
              <w:left w:val="single" w:sz="8" w:color="auto"/>
              <w:right w:val="single" w:sz="8" w:color="auto"/>
            </w:tcBorders>
          </w:tcPr>
          <w:p>
            <w:pPr>
              <w:spacing w:after="0"/>
              <w:rPr>
                <w:sz w:val="24"/>
                <w:szCs w:val="24"/>
                <w:color w:val="auto"/>
              </w:rPr>
            </w:pPr>
          </w:p>
        </w:tc>
        <w:tc>
          <w:tcPr>
            <w:tcW w:w="32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 xml:space="preserve">[ *** </w:t>
            </w:r>
            <w:r>
              <w:rPr>
                <w:rFonts w:ascii="Arial" w:cs="Arial" w:eastAsia="Arial" w:hAnsi="Arial"/>
                <w:sz w:val="21"/>
                <w:szCs w:val="21"/>
                <w:color w:val="auto"/>
              </w:rPr>
              <w:t>]</w:t>
            </w:r>
            <w:r>
              <w:rPr>
                <w:rFonts w:ascii="Arial" w:cs="Arial" w:eastAsia="Arial" w:hAnsi="Arial"/>
                <w:sz w:val="20"/>
                <w:szCs w:val="20"/>
                <w:color w:val="auto"/>
              </w:rPr>
              <w:t xml:space="preserve"> or if unavailable, the most</w:t>
            </w:r>
          </w:p>
        </w:tc>
        <w:tc>
          <w:tcPr>
            <w:tcW w:w="3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380" w:type="dxa"/>
            <w:vAlign w:val="bottom"/>
            <w:tcBorders>
              <w:left w:val="single" w:sz="8" w:color="auto"/>
              <w:right w:val="single" w:sz="8" w:color="auto"/>
            </w:tcBorders>
          </w:tcPr>
          <w:p>
            <w:pPr>
              <w:spacing w:after="0"/>
              <w:rPr>
                <w:sz w:val="21"/>
                <w:szCs w:val="21"/>
                <w:color w:val="auto"/>
              </w:rPr>
            </w:pPr>
          </w:p>
        </w:tc>
        <w:tc>
          <w:tcPr>
            <w:tcW w:w="3240" w:type="dxa"/>
            <w:vAlign w:val="bottom"/>
            <w:tcBorders>
              <w:right w:val="single" w:sz="8" w:color="auto"/>
            </w:tcBorders>
          </w:tcPr>
          <w:p>
            <w:pPr>
              <w:spacing w:after="0"/>
              <w:rPr>
                <w:sz w:val="20"/>
                <w:szCs w:val="20"/>
                <w:color w:val="auto"/>
              </w:rPr>
            </w:pPr>
            <w:r>
              <w:rPr>
                <w:rFonts w:ascii="Arial" w:cs="Arial" w:eastAsia="Arial" w:hAnsi="Arial"/>
                <w:sz w:val="20"/>
                <w:szCs w:val="20"/>
                <w:color w:val="auto"/>
                <w:w w:val="96"/>
              </w:rPr>
              <w:t xml:space="preserve">recent quarter end prior to [ *** </w:t>
            </w:r>
            <w:r>
              <w:rPr>
                <w:rFonts w:ascii="Arial" w:cs="Arial" w:eastAsia="Arial" w:hAnsi="Arial"/>
                <w:sz w:val="21"/>
                <w:szCs w:val="21"/>
                <w:color w:val="auto"/>
                <w:w w:val="96"/>
              </w:rPr>
              <w:t>]</w:t>
            </w:r>
            <w:r>
              <w:rPr>
                <w:rFonts w:ascii="Arial" w:cs="Arial" w:eastAsia="Arial" w:hAnsi="Arial"/>
                <w:sz w:val="20"/>
                <w:szCs w:val="20"/>
                <w:color w:val="auto"/>
                <w:w w:val="96"/>
              </w:rPr>
              <w:t xml:space="preserve"> that [</w:t>
            </w:r>
          </w:p>
        </w:tc>
        <w:tc>
          <w:tcPr>
            <w:tcW w:w="32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3380" w:type="dxa"/>
            <w:vAlign w:val="bottom"/>
            <w:tcBorders>
              <w:left w:val="single" w:sz="8" w:color="auto"/>
              <w:right w:val="single" w:sz="8" w:color="auto"/>
            </w:tcBorders>
          </w:tcPr>
          <w:p>
            <w:pPr>
              <w:jc w:val="right"/>
              <w:ind w:right="2700"/>
              <w:spacing w:after="0"/>
              <w:rPr>
                <w:sz w:val="20"/>
                <w:szCs w:val="20"/>
                <w:color w:val="auto"/>
              </w:rPr>
            </w:pPr>
            <w:r>
              <w:rPr>
                <w:rFonts w:ascii="Arial" w:cs="Arial" w:eastAsia="Arial" w:hAnsi="Arial"/>
                <w:sz w:val="20"/>
                <w:szCs w:val="20"/>
                <w:color w:val="auto"/>
              </w:rPr>
              <w:t xml:space="preserve">[ *** </w:t>
            </w:r>
            <w:r>
              <w:rPr>
                <w:rFonts w:ascii="Arial" w:cs="Arial" w:eastAsia="Arial" w:hAnsi="Arial"/>
                <w:sz w:val="21"/>
                <w:szCs w:val="21"/>
                <w:color w:val="auto"/>
              </w:rPr>
              <w:t>]</w:t>
            </w:r>
          </w:p>
        </w:tc>
        <w:tc>
          <w:tcPr>
            <w:tcW w:w="32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 xml:space="preserve">*** </w:t>
            </w:r>
            <w:r>
              <w:rPr>
                <w:rFonts w:ascii="Arial" w:cs="Arial" w:eastAsia="Arial" w:hAnsi="Arial"/>
                <w:sz w:val="21"/>
                <w:szCs w:val="21"/>
                <w:color w:val="auto"/>
              </w:rPr>
              <w:t>]</w:t>
            </w:r>
            <w:r>
              <w:rPr>
                <w:rFonts w:ascii="Arial" w:cs="Arial" w:eastAsia="Arial" w:hAnsi="Arial"/>
                <w:sz w:val="20"/>
                <w:szCs w:val="20"/>
                <w:color w:val="auto"/>
              </w:rPr>
              <w:t xml:space="preserve"> is available</w:t>
            </w:r>
          </w:p>
        </w:tc>
        <w:tc>
          <w:tcPr>
            <w:tcW w:w="32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 xml:space="preserve">[ *** </w:t>
            </w:r>
            <w:r>
              <w:rPr>
                <w:rFonts w:ascii="Arial" w:cs="Arial" w:eastAsia="Arial" w:hAnsi="Arial"/>
                <w:sz w:val="21"/>
                <w:szCs w:val="21"/>
                <w:color w:val="auto"/>
              </w:rPr>
              <w:t>]</w:t>
            </w:r>
          </w:p>
        </w:tc>
        <w:tc>
          <w:tcPr>
            <w:tcW w:w="0" w:type="dxa"/>
            <w:vAlign w:val="bottom"/>
          </w:tcPr>
          <w:p>
            <w:pPr>
              <w:spacing w:after="0"/>
              <w:rPr>
                <w:sz w:val="1"/>
                <w:szCs w:val="1"/>
                <w:color w:val="auto"/>
              </w:rPr>
            </w:pPr>
          </w:p>
        </w:tc>
      </w:tr>
      <w:tr>
        <w:trPr>
          <w:trHeight w:val="224"/>
        </w:trPr>
        <w:tc>
          <w:tcPr>
            <w:tcW w:w="3380" w:type="dxa"/>
            <w:vAlign w:val="bottom"/>
            <w:tcBorders>
              <w:left w:val="single" w:sz="8" w:color="auto"/>
              <w:bottom w:val="single" w:sz="8" w:color="auto"/>
              <w:right w:val="single" w:sz="8" w:color="auto"/>
            </w:tcBorders>
          </w:tcPr>
          <w:p>
            <w:pPr>
              <w:spacing w:after="0"/>
              <w:rPr>
                <w:sz w:val="19"/>
                <w:szCs w:val="19"/>
                <w:color w:val="auto"/>
              </w:rPr>
            </w:pPr>
          </w:p>
        </w:tc>
        <w:tc>
          <w:tcPr>
            <w:tcW w:w="3240" w:type="dxa"/>
            <w:vAlign w:val="bottom"/>
            <w:tcBorders>
              <w:bottom w:val="single" w:sz="8" w:color="auto"/>
              <w:right w:val="single" w:sz="8" w:color="auto"/>
            </w:tcBorders>
          </w:tcPr>
          <w:p>
            <w:pPr>
              <w:spacing w:after="0"/>
              <w:rPr>
                <w:sz w:val="19"/>
                <w:szCs w:val="19"/>
                <w:color w:val="auto"/>
              </w:rPr>
            </w:pPr>
          </w:p>
        </w:tc>
        <w:tc>
          <w:tcPr>
            <w:tcW w:w="32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70"/>
        </w:trPr>
        <w:tc>
          <w:tcPr>
            <w:tcW w:w="3380" w:type="dxa"/>
            <w:vAlign w:val="bottom"/>
            <w:tcBorders>
              <w:left w:val="single" w:sz="8" w:color="auto"/>
              <w:right w:val="single" w:sz="8" w:color="auto"/>
            </w:tcBorders>
          </w:tcPr>
          <w:p>
            <w:pPr>
              <w:jc w:val="right"/>
              <w:ind w:right="2700"/>
              <w:spacing w:after="0"/>
              <w:rPr>
                <w:sz w:val="20"/>
                <w:szCs w:val="20"/>
                <w:color w:val="auto"/>
              </w:rPr>
            </w:pPr>
            <w:r>
              <w:rPr>
                <w:rFonts w:ascii="Arial" w:cs="Arial" w:eastAsia="Arial" w:hAnsi="Arial"/>
                <w:sz w:val="20"/>
                <w:szCs w:val="20"/>
                <w:color w:val="auto"/>
              </w:rPr>
              <w:t xml:space="preserve">[ *** </w:t>
            </w:r>
            <w:r>
              <w:rPr>
                <w:rFonts w:ascii="Arial" w:cs="Arial" w:eastAsia="Arial" w:hAnsi="Arial"/>
                <w:sz w:val="21"/>
                <w:szCs w:val="21"/>
                <w:color w:val="auto"/>
              </w:rPr>
              <w:t>]</w:t>
            </w:r>
          </w:p>
        </w:tc>
        <w:tc>
          <w:tcPr>
            <w:tcW w:w="32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 xml:space="preserve">[ *** </w:t>
            </w:r>
            <w:r>
              <w:rPr>
                <w:rFonts w:ascii="Arial" w:cs="Arial" w:eastAsia="Arial" w:hAnsi="Arial"/>
                <w:sz w:val="21"/>
                <w:szCs w:val="21"/>
                <w:color w:val="auto"/>
              </w:rPr>
              <w:t>]</w:t>
            </w:r>
          </w:p>
        </w:tc>
        <w:tc>
          <w:tcPr>
            <w:tcW w:w="32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 xml:space="preserve">[ *** </w:t>
            </w:r>
            <w:r>
              <w:rPr>
                <w:rFonts w:ascii="Arial" w:cs="Arial" w:eastAsia="Arial" w:hAnsi="Arial"/>
                <w:sz w:val="21"/>
                <w:szCs w:val="21"/>
                <w:color w:val="auto"/>
              </w:rPr>
              <w:t>]</w:t>
            </w:r>
          </w:p>
        </w:tc>
        <w:tc>
          <w:tcPr>
            <w:tcW w:w="0" w:type="dxa"/>
            <w:vAlign w:val="bottom"/>
          </w:tcPr>
          <w:p>
            <w:pPr>
              <w:spacing w:after="0"/>
              <w:rPr>
                <w:sz w:val="1"/>
                <w:szCs w:val="1"/>
                <w:color w:val="auto"/>
              </w:rPr>
            </w:pPr>
          </w:p>
        </w:tc>
      </w:tr>
      <w:tr>
        <w:trPr>
          <w:trHeight w:val="224"/>
        </w:trPr>
        <w:tc>
          <w:tcPr>
            <w:tcW w:w="3380" w:type="dxa"/>
            <w:vAlign w:val="bottom"/>
            <w:tcBorders>
              <w:left w:val="single" w:sz="8" w:color="auto"/>
              <w:bottom w:val="single" w:sz="8" w:color="auto"/>
              <w:right w:val="single" w:sz="8" w:color="auto"/>
            </w:tcBorders>
          </w:tcPr>
          <w:p>
            <w:pPr>
              <w:spacing w:after="0"/>
              <w:rPr>
                <w:sz w:val="19"/>
                <w:szCs w:val="19"/>
                <w:color w:val="auto"/>
              </w:rPr>
            </w:pPr>
          </w:p>
        </w:tc>
        <w:tc>
          <w:tcPr>
            <w:tcW w:w="3240" w:type="dxa"/>
            <w:vAlign w:val="bottom"/>
            <w:tcBorders>
              <w:bottom w:val="single" w:sz="8" w:color="auto"/>
              <w:right w:val="single" w:sz="8" w:color="auto"/>
            </w:tcBorders>
          </w:tcPr>
          <w:p>
            <w:pPr>
              <w:spacing w:after="0"/>
              <w:rPr>
                <w:sz w:val="19"/>
                <w:szCs w:val="19"/>
                <w:color w:val="auto"/>
              </w:rPr>
            </w:pPr>
          </w:p>
        </w:tc>
        <w:tc>
          <w:tcPr>
            <w:tcW w:w="32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p>
      <w:pPr>
        <w:ind w:left="600"/>
        <w:spacing w:after="0"/>
        <w:rPr>
          <w:sz w:val="20"/>
          <w:szCs w:val="20"/>
          <w:color w:val="auto"/>
        </w:rPr>
      </w:pPr>
      <w:r>
        <w:rPr>
          <w:rFonts w:ascii="Arial" w:cs="Arial" w:eastAsia="Arial" w:hAnsi="Arial"/>
          <w:sz w:val="20"/>
          <w:szCs w:val="20"/>
          <w:color w:val="auto"/>
        </w:rPr>
        <w:t xml:space="preserve">2.Assumptions Regarding [ *** </w:t>
      </w:r>
      <w:r>
        <w:rPr>
          <w:rFonts w:ascii="Arial" w:cs="Arial" w:eastAsia="Arial" w:hAnsi="Arial"/>
          <w:sz w:val="21"/>
          <w:szCs w:val="21"/>
          <w:color w:val="auto"/>
        </w:rPr>
        <w:t>]</w:t>
      </w:r>
      <w:r>
        <w:rPr>
          <w:rFonts w:ascii="Arial" w:cs="Arial" w:eastAsia="Arial" w:hAnsi="Arial"/>
          <w:sz w:val="20"/>
          <w:szCs w:val="20"/>
          <w:color w:val="auto"/>
        </w:rPr>
        <w:t xml:space="preserve"> Respecting [ *** </w:t>
      </w:r>
      <w:r>
        <w:rPr>
          <w:rFonts w:ascii="Arial" w:cs="Arial" w:eastAsia="Arial" w:hAnsi="Arial"/>
          <w:sz w:val="21"/>
          <w:szCs w:val="21"/>
          <w:color w:val="auto"/>
        </w:rPr>
        <w:t>]</w:t>
      </w:r>
    </w:p>
    <w:p>
      <w:pPr>
        <w:spacing w:after="0" w:line="200" w:lineRule="exact"/>
        <w:rPr>
          <w:sz w:val="20"/>
          <w:szCs w:val="20"/>
          <w:color w:val="auto"/>
        </w:rPr>
      </w:pPr>
    </w:p>
    <w:p>
      <w:pPr>
        <w:spacing w:after="0" w:line="209" w:lineRule="exact"/>
        <w:rPr>
          <w:sz w:val="20"/>
          <w:szCs w:val="20"/>
          <w:color w:val="auto"/>
        </w:rPr>
      </w:pPr>
    </w:p>
    <w:p>
      <w:pPr>
        <w:ind w:left="600"/>
        <w:spacing w:after="0"/>
        <w:rPr>
          <w:sz w:val="20"/>
          <w:szCs w:val="20"/>
          <w:color w:val="auto"/>
        </w:rPr>
      </w:pPr>
      <w:r>
        <w:rPr>
          <w:rFonts w:ascii="Arial" w:cs="Arial" w:eastAsia="Arial" w:hAnsi="Arial"/>
          <w:sz w:val="20"/>
          <w:szCs w:val="20"/>
          <w:color w:val="auto"/>
        </w:rPr>
        <w:t xml:space="preserve">Subject to Section 2.21 and 2.23 of the Agreement, Insurer shall [ *** </w:t>
      </w:r>
      <w:r>
        <w:rPr>
          <w:rFonts w:ascii="Arial" w:cs="Arial" w:eastAsia="Arial" w:hAnsi="Arial"/>
          <w:sz w:val="21"/>
          <w:szCs w:val="21"/>
          <w:color w:val="auto"/>
        </w:rPr>
        <w:t>]</w:t>
      </w:r>
      <w:r>
        <w:rPr>
          <w:rFonts w:ascii="Arial" w:cs="Arial" w:eastAsia="Arial" w:hAnsi="Arial"/>
          <w:sz w:val="20"/>
          <w:szCs w:val="20"/>
          <w:color w:val="auto"/>
        </w:rPr>
        <w:t xml:space="preserve"> listed on the Transferred Asset Schedule.</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Certain Definitions</w:t>
      </w:r>
    </w:p>
    <w:p>
      <w:pPr>
        <w:spacing w:after="0" w:line="394"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 *** </w:t>
      </w:r>
      <w:r>
        <w:rPr>
          <w:rFonts w:ascii="Arial" w:cs="Arial" w:eastAsia="Arial" w:hAnsi="Arial"/>
          <w:sz w:val="21"/>
          <w:szCs w:val="21"/>
          <w:color w:val="auto"/>
        </w:rPr>
        <w:t>]</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 *** </w:t>
      </w:r>
      <w:r>
        <w:rPr>
          <w:rFonts w:ascii="Arial" w:cs="Arial" w:eastAsia="Arial" w:hAnsi="Arial"/>
          <w:sz w:val="21"/>
          <w:szCs w:val="21"/>
          <w:color w:val="auto"/>
        </w:rPr>
        <w:t>]</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 *** </w:t>
      </w:r>
      <w:r>
        <w:rPr>
          <w:rFonts w:ascii="Arial" w:cs="Arial" w:eastAsia="Arial" w:hAnsi="Arial"/>
          <w:sz w:val="21"/>
          <w:szCs w:val="21"/>
          <w:color w:val="auto"/>
        </w:rPr>
        <w:t>]</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 *** </w:t>
      </w:r>
      <w:r>
        <w:rPr>
          <w:rFonts w:ascii="Arial" w:cs="Arial" w:eastAsia="Arial" w:hAnsi="Arial"/>
          <w:sz w:val="21"/>
          <w:szCs w:val="21"/>
          <w:color w:val="auto"/>
        </w:rPr>
        <w:t>]</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 *** </w:t>
      </w:r>
      <w:r>
        <w:rPr>
          <w:rFonts w:ascii="Arial" w:cs="Arial" w:eastAsia="Arial" w:hAnsi="Arial"/>
          <w:sz w:val="21"/>
          <w:szCs w:val="21"/>
          <w:color w:val="auto"/>
        </w:rPr>
        <w:t>]</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 *** </w:t>
      </w:r>
      <w:r>
        <w:rPr>
          <w:rFonts w:ascii="Arial" w:cs="Arial" w:eastAsia="Arial" w:hAnsi="Arial"/>
          <w:sz w:val="21"/>
          <w:szCs w:val="21"/>
          <w:color w:val="auto"/>
        </w:rPr>
        <w:t>]</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 *** </w:t>
      </w:r>
      <w:r>
        <w:rPr>
          <w:rFonts w:ascii="Arial" w:cs="Arial" w:eastAsia="Arial" w:hAnsi="Arial"/>
          <w:sz w:val="21"/>
          <w:szCs w:val="21"/>
          <w:color w:val="auto"/>
        </w:rPr>
        <w:t>]</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 *** </w:t>
      </w:r>
      <w:r>
        <w:rPr>
          <w:rFonts w:ascii="Arial" w:cs="Arial" w:eastAsia="Arial" w:hAnsi="Arial"/>
          <w:sz w:val="21"/>
          <w:szCs w:val="21"/>
          <w:color w:val="auto"/>
        </w:rPr>
        <w:t>]</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 *** </w:t>
      </w:r>
      <w:r>
        <w:rPr>
          <w:rFonts w:ascii="Arial" w:cs="Arial" w:eastAsia="Arial" w:hAnsi="Arial"/>
          <w:sz w:val="21"/>
          <w:szCs w:val="21"/>
          <w:color w:val="auto"/>
        </w:rPr>
        <w:t>]</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 *** </w:t>
      </w:r>
      <w:r>
        <w:rPr>
          <w:rFonts w:ascii="Arial" w:cs="Arial" w:eastAsia="Arial" w:hAnsi="Arial"/>
          <w:sz w:val="21"/>
          <w:szCs w:val="21"/>
          <w:color w:val="auto"/>
        </w:rPr>
        <w:t>]</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 *** </w:t>
      </w:r>
      <w:r>
        <w:rPr>
          <w:rFonts w:ascii="Arial" w:cs="Arial" w:eastAsia="Arial" w:hAnsi="Arial"/>
          <w:sz w:val="21"/>
          <w:szCs w:val="21"/>
          <w:color w:val="auto"/>
        </w:rPr>
        <w:t>]</w:t>
      </w:r>
    </w:p>
    <w:p>
      <w:pPr>
        <w:sectPr>
          <w:pgSz w:w="11900" w:h="16838" w:orient="portrait"/>
          <w:cols w:equalWidth="0" w:num="1">
            <w:col w:w="10660"/>
          </w:cols>
          <w:pgMar w:left="240" w:top="671" w:right="999" w:bottom="69" w:gutter="0" w:footer="0" w:header="0"/>
        </w:sectPr>
      </w:pPr>
    </w:p>
    <w:bookmarkStart w:id="167" w:name="page168"/>
    <w:bookmarkEnd w:id="167"/>
    <w:p>
      <w:pPr>
        <w:jc w:val="center"/>
        <w:spacing w:after="0"/>
        <w:rPr>
          <w:sz w:val="20"/>
          <w:szCs w:val="20"/>
          <w:color w:val="auto"/>
        </w:rPr>
      </w:pPr>
      <w:r>
        <w:rPr>
          <w:rFonts w:ascii="Arial" w:cs="Arial" w:eastAsia="Arial" w:hAnsi="Arial"/>
          <w:sz w:val="15"/>
          <w:szCs w:val="15"/>
          <w:color w:val="auto"/>
        </w:rPr>
        <w:t>Appendix 2.6 - 3</w:t>
      </w:r>
    </w:p>
    <w:p>
      <w:pPr>
        <w:sectPr>
          <w:pgSz w:w="11900" w:h="16838" w:orient="portrait"/>
          <w:cols w:equalWidth="0" w:num="1">
            <w:col w:w="9019"/>
          </w:cols>
          <w:pgMar w:left="1440" w:top="127" w:right="1440" w:bottom="1440" w:gutter="0" w:footer="0" w:header="0"/>
        </w:sectPr>
      </w:pPr>
    </w:p>
    <w:bookmarkStart w:id="168" w:name="page169"/>
    <w:bookmarkEnd w:id="168"/>
    <w:p>
      <w:pPr>
        <w:ind w:left="4920"/>
        <w:spacing w:after="0"/>
        <w:rPr>
          <w:sz w:val="20"/>
          <w:szCs w:val="20"/>
          <w:color w:val="auto"/>
        </w:rPr>
      </w:pPr>
      <w:r>
        <w:rPr>
          <w:rFonts w:ascii="Arial" w:cs="Arial" w:eastAsia="Arial" w:hAnsi="Arial"/>
          <w:sz w:val="20"/>
          <w:szCs w:val="20"/>
          <w:b w:val="1"/>
          <w:bCs w:val="1"/>
          <w:u w:val="single" w:color="auto"/>
          <w:color w:val="auto"/>
        </w:rPr>
        <w:t>Appendix 2.6(d)(I)</w:t>
      </w:r>
    </w:p>
    <w:p>
      <w:pPr>
        <w:spacing w:after="0" w:line="197" w:lineRule="exact"/>
        <w:rPr>
          <w:sz w:val="20"/>
          <w:szCs w:val="20"/>
          <w:color w:val="auto"/>
        </w:rPr>
      </w:pPr>
    </w:p>
    <w:p>
      <w:pPr>
        <w:ind w:left="3940"/>
        <w:spacing w:after="0"/>
        <w:rPr>
          <w:sz w:val="20"/>
          <w:szCs w:val="20"/>
          <w:color w:val="auto"/>
        </w:rPr>
      </w:pPr>
      <w:r>
        <w:rPr>
          <w:rFonts w:ascii="Arial" w:cs="Arial" w:eastAsia="Arial" w:hAnsi="Arial"/>
          <w:sz w:val="20"/>
          <w:szCs w:val="20"/>
          <w:b w:val="1"/>
          <w:bCs w:val="1"/>
          <w:u w:val="single" w:color="auto"/>
          <w:color w:val="auto"/>
        </w:rPr>
        <w:t>LIST OF</w:t>
      </w:r>
      <w:r>
        <w:rPr>
          <w:rFonts w:ascii="Arial" w:cs="Arial" w:eastAsia="Arial" w:hAnsi="Arial"/>
          <w:sz w:val="20"/>
          <w:szCs w:val="20"/>
          <w:b w:val="1"/>
          <w:bCs w:val="1"/>
          <w:color w:val="auto"/>
        </w:rPr>
        <w:t xml:space="preserve"> </w:t>
      </w:r>
      <w:r>
        <w:rPr>
          <w:rFonts w:ascii="Arial" w:cs="Arial" w:eastAsia="Arial" w:hAnsi="Arial"/>
          <w:sz w:val="20"/>
          <w:szCs w:val="20"/>
          <w:color w:val="auto"/>
        </w:rPr>
        <w:t>[ ***</w:t>
      </w:r>
      <w:r>
        <w:rPr>
          <w:rFonts w:ascii="Arial" w:cs="Arial" w:eastAsia="Arial" w:hAnsi="Arial"/>
          <w:sz w:val="20"/>
          <w:szCs w:val="20"/>
          <w:b w:val="1"/>
          <w:bCs w:val="1"/>
          <w:color w:val="auto"/>
        </w:rPr>
        <w:t xml:space="preserve"> </w:t>
      </w:r>
      <w:r>
        <w:rPr>
          <w:rFonts w:ascii="Arial" w:cs="Arial" w:eastAsia="Arial" w:hAnsi="Arial"/>
          <w:sz w:val="21"/>
          <w:szCs w:val="21"/>
          <w:color w:val="auto"/>
        </w:rPr>
        <w:t>]</w:t>
      </w:r>
      <w:r>
        <w:rPr>
          <w:rFonts w:ascii="Arial" w:cs="Arial" w:eastAsia="Arial" w:hAnsi="Arial"/>
          <w:sz w:val="20"/>
          <w:szCs w:val="20"/>
          <w:b w:val="1"/>
          <w:bCs w:val="1"/>
          <w:color w:val="auto"/>
        </w:rPr>
        <w:t xml:space="preserve"> </w:t>
      </w:r>
      <w:r>
        <w:rPr>
          <w:rFonts w:ascii="Arial" w:cs="Arial" w:eastAsia="Arial" w:hAnsi="Arial"/>
          <w:sz w:val="20"/>
          <w:szCs w:val="20"/>
          <w:b w:val="1"/>
          <w:bCs w:val="1"/>
          <w:u w:val="single" w:color="auto"/>
          <w:color w:val="auto"/>
        </w:rPr>
        <w:t>THAT PLAN TRUSTEE</w:t>
      </w:r>
    </w:p>
    <w:p>
      <w:pPr>
        <w:spacing w:after="0" w:line="34" w:lineRule="exact"/>
        <w:rPr>
          <w:sz w:val="20"/>
          <w:szCs w:val="20"/>
          <w:color w:val="auto"/>
        </w:rPr>
      </w:pPr>
    </w:p>
    <w:p>
      <w:pPr>
        <w:jc w:val="center"/>
        <w:ind w:right="-279"/>
        <w:spacing w:after="0"/>
        <w:rPr>
          <w:sz w:val="20"/>
          <w:szCs w:val="20"/>
          <w:color w:val="auto"/>
        </w:rPr>
      </w:pPr>
      <w:r>
        <w:rPr>
          <w:rFonts w:ascii="Arial" w:cs="Arial" w:eastAsia="Arial" w:hAnsi="Arial"/>
          <w:sz w:val="20"/>
          <w:szCs w:val="20"/>
          <w:b w:val="1"/>
          <w:bCs w:val="1"/>
          <w:u w:val="single" w:color="auto"/>
          <w:color w:val="auto"/>
        </w:rPr>
        <w:t>INTENDS TO TRANSFER AT CLOSING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Reference is made to the Excel file called “[ *** </w:t>
      </w:r>
      <w:r>
        <w:rPr>
          <w:rFonts w:ascii="Arial" w:cs="Arial" w:eastAsia="Arial" w:hAnsi="Arial"/>
          <w:sz w:val="19"/>
          <w:szCs w:val="19"/>
          <w:color w:val="auto"/>
        </w:rPr>
        <w:t>]</w:t>
      </w:r>
      <w:r>
        <w:rPr>
          <w:rFonts w:ascii="Arial" w:cs="Arial" w:eastAsia="Arial" w:hAnsi="Arial"/>
          <w:sz w:val="18"/>
          <w:szCs w:val="18"/>
          <w:color w:val="auto"/>
        </w:rPr>
        <w:t>” that was emailed by Dhivya Suryadevara to Dylan Tyson on May 23, 2012 at 7:22 p.m.</w:t>
      </w:r>
    </w:p>
    <w:p>
      <w:pPr>
        <w:spacing w:after="0" w:line="57"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Those [ *** </w:t>
      </w:r>
      <w:r>
        <w:rPr>
          <w:rFonts w:ascii="Arial" w:cs="Arial" w:eastAsia="Arial" w:hAnsi="Arial"/>
          <w:sz w:val="21"/>
          <w:szCs w:val="21"/>
          <w:color w:val="auto"/>
        </w:rPr>
        <w:t>]</w:t>
      </w:r>
      <w:r>
        <w:rPr>
          <w:rFonts w:ascii="Arial" w:cs="Arial" w:eastAsia="Arial" w:hAnsi="Arial"/>
          <w:sz w:val="20"/>
          <w:szCs w:val="20"/>
          <w:color w:val="auto"/>
        </w:rPr>
        <w:t xml:space="preserve"> listed in the first group up to and including row 93 are incorporated by reference herein.</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Appendix 2.6(d)(I) - 1</w:t>
      </w:r>
    </w:p>
    <w:p>
      <w:pPr>
        <w:sectPr>
          <w:pgSz w:w="11900" w:h="16838" w:orient="portrait"/>
          <w:cols w:equalWidth="0" w:num="1">
            <w:col w:w="11140"/>
          </w:cols>
          <w:pgMar w:left="240" w:top="753" w:right="519" w:bottom="1440" w:gutter="0" w:footer="0" w:header="0"/>
        </w:sectPr>
      </w:pPr>
    </w:p>
    <w:bookmarkStart w:id="169" w:name="page170"/>
    <w:bookmarkEnd w:id="169"/>
    <w:p>
      <w:pPr>
        <w:jc w:val="center"/>
        <w:ind w:right="-459"/>
        <w:spacing w:after="0"/>
        <w:rPr>
          <w:sz w:val="20"/>
          <w:szCs w:val="20"/>
          <w:color w:val="auto"/>
        </w:rPr>
      </w:pPr>
      <w:r>
        <w:rPr>
          <w:rFonts w:ascii="Arial" w:cs="Arial" w:eastAsia="Arial" w:hAnsi="Arial"/>
          <w:sz w:val="20"/>
          <w:szCs w:val="20"/>
          <w:b w:val="1"/>
          <w:bCs w:val="1"/>
          <w:u w:val="single" w:color="auto"/>
          <w:color w:val="auto"/>
        </w:rPr>
        <w:t>Appendix 2.6(d)(II)</w:t>
      </w:r>
    </w:p>
    <w:p>
      <w:pPr>
        <w:spacing w:after="0" w:line="197" w:lineRule="exact"/>
        <w:rPr>
          <w:sz w:val="20"/>
          <w:szCs w:val="20"/>
          <w:color w:val="auto"/>
        </w:rPr>
      </w:pPr>
    </w:p>
    <w:p>
      <w:pPr>
        <w:jc w:val="center"/>
        <w:ind w:right="-459"/>
        <w:spacing w:after="0"/>
        <w:rPr>
          <w:sz w:val="20"/>
          <w:szCs w:val="20"/>
          <w:color w:val="auto"/>
        </w:rPr>
      </w:pPr>
      <w:r>
        <w:rPr>
          <w:rFonts w:ascii="Arial" w:cs="Arial" w:eastAsia="Arial" w:hAnsi="Arial"/>
          <w:sz w:val="20"/>
          <w:szCs w:val="20"/>
          <w:b w:val="1"/>
          <w:bCs w:val="1"/>
          <w:color w:val="auto"/>
        </w:rPr>
        <w:t xml:space="preserve">LIST OF ADDITIONAL </w:t>
      </w:r>
      <w:r>
        <w:rPr>
          <w:rFonts w:ascii="Arial" w:cs="Arial" w:eastAsia="Arial" w:hAnsi="Arial"/>
          <w:sz w:val="20"/>
          <w:szCs w:val="20"/>
          <w:color w:val="auto"/>
        </w:rPr>
        <w:t>[ ***</w:t>
      </w:r>
      <w:r>
        <w:rPr>
          <w:rFonts w:ascii="Arial" w:cs="Arial" w:eastAsia="Arial" w:hAnsi="Arial"/>
          <w:sz w:val="20"/>
          <w:szCs w:val="20"/>
          <w:b w:val="1"/>
          <w:bCs w:val="1"/>
          <w:color w:val="auto"/>
        </w:rPr>
        <w:t xml:space="preserve"> </w:t>
      </w:r>
      <w:r>
        <w:rPr>
          <w:rFonts w:ascii="Arial" w:cs="Arial" w:eastAsia="Arial" w:hAnsi="Arial"/>
          <w:sz w:val="21"/>
          <w:szCs w:val="21"/>
          <w:color w:val="auto"/>
        </w:rPr>
        <w:t>]</w:t>
      </w:r>
      <w:r>
        <w:rPr>
          <w:rFonts w:ascii="Arial" w:cs="Arial" w:eastAsia="Arial" w:hAnsi="Arial"/>
          <w:sz w:val="20"/>
          <w:szCs w:val="20"/>
          <w:b w:val="1"/>
          <w:bCs w:val="1"/>
          <w:color w:val="auto"/>
        </w:rPr>
        <w:t xml:space="preserve"> THAT PLAN TRUSTEE MAY INCLUDE, IN RANKING ORDER OF PREFERENCE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Reference is made to the Excel file called [ *** </w:t>
      </w:r>
      <w:r>
        <w:rPr>
          <w:rFonts w:ascii="Arial" w:cs="Arial" w:eastAsia="Arial" w:hAnsi="Arial"/>
          <w:sz w:val="19"/>
          <w:szCs w:val="19"/>
          <w:color w:val="auto"/>
        </w:rPr>
        <w:t>]</w:t>
      </w:r>
      <w:r>
        <w:rPr>
          <w:rFonts w:ascii="Arial" w:cs="Arial" w:eastAsia="Arial" w:hAnsi="Arial"/>
          <w:sz w:val="18"/>
          <w:szCs w:val="18"/>
          <w:color w:val="auto"/>
        </w:rPr>
        <w:t xml:space="preserve"> that was emailed by Dhivya Suryadevara to Dylan Tyson on May 23, 2012 at 7:22 p.m.</w:t>
      </w:r>
    </w:p>
    <w:p>
      <w:pPr>
        <w:spacing w:after="0" w:line="57"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Those [ *** </w:t>
      </w:r>
      <w:r>
        <w:rPr>
          <w:rFonts w:ascii="Arial" w:cs="Arial" w:eastAsia="Arial" w:hAnsi="Arial"/>
          <w:sz w:val="21"/>
          <w:szCs w:val="21"/>
          <w:color w:val="auto"/>
        </w:rPr>
        <w:t>]</w:t>
      </w:r>
      <w:r>
        <w:rPr>
          <w:rFonts w:ascii="Arial" w:cs="Arial" w:eastAsia="Arial" w:hAnsi="Arial"/>
          <w:sz w:val="20"/>
          <w:szCs w:val="20"/>
          <w:color w:val="auto"/>
        </w:rPr>
        <w:t xml:space="preserve"> listed in the second group, starting on row 95, are incorporated by reference herein.</w:t>
      </w:r>
    </w:p>
    <w:p>
      <w:pPr>
        <w:spacing w:after="0" w:line="200" w:lineRule="exact"/>
        <w:rPr>
          <w:sz w:val="20"/>
          <w:szCs w:val="20"/>
          <w:color w:val="auto"/>
        </w:rPr>
      </w:pPr>
    </w:p>
    <w:p>
      <w:pPr>
        <w:spacing w:after="0" w:line="221"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Appendix 2.6(d)(II) - 1</w:t>
      </w:r>
    </w:p>
    <w:p>
      <w:pPr>
        <w:sectPr>
          <w:pgSz w:w="11900" w:h="16838" w:orient="portrait"/>
          <w:cols w:equalWidth="0" w:num="1">
            <w:col w:w="10960"/>
          </w:cols>
          <w:pgMar w:left="240" w:top="1104" w:right="699" w:bottom="1440" w:gutter="0" w:footer="0" w:header="0"/>
        </w:sectPr>
      </w:pPr>
    </w:p>
    <w:bookmarkStart w:id="170" w:name="page171"/>
    <w:bookmarkEnd w:id="170"/>
    <w:tbl>
      <w:tblPr>
        <w:tblLayout w:type="fixed"/>
        <w:tblInd w:w="0" w:type="dxa"/>
        <w:tblCellMar>
          <w:top w:w="0" w:type="dxa"/>
          <w:left w:w="0" w:type="dxa"/>
          <w:bottom w:w="0" w:type="dxa"/>
          <w:right w:w="0" w:type="dxa"/>
        </w:tblCellMar>
      </w:tblPr>
      <w:tr>
        <w:trPr>
          <w:trHeight w:val="230"/>
        </w:trPr>
        <w:tc>
          <w:tcPr>
            <w:tcW w:w="286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2900" w:type="dxa"/>
            <w:vAlign w:val="bottom"/>
            <w:gridSpan w:val="2"/>
          </w:tcPr>
          <w:p>
            <w:pPr>
              <w:jc w:val="center"/>
              <w:ind w:right="1760"/>
              <w:spacing w:after="0"/>
              <w:rPr>
                <w:sz w:val="20"/>
                <w:szCs w:val="20"/>
                <w:color w:val="auto"/>
              </w:rPr>
            </w:pPr>
            <w:r>
              <w:rPr>
                <w:rFonts w:ascii="Arial" w:cs="Arial" w:eastAsia="Arial" w:hAnsi="Arial"/>
                <w:sz w:val="20"/>
                <w:szCs w:val="20"/>
                <w:b w:val="1"/>
                <w:bCs w:val="1"/>
                <w:color w:val="auto"/>
                <w:w w:val="91"/>
              </w:rPr>
              <w:t>Appendix 2.7</w:t>
            </w:r>
          </w:p>
        </w:tc>
        <w:tc>
          <w:tcPr>
            <w:tcW w:w="3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3"/>
        </w:trPr>
        <w:tc>
          <w:tcPr>
            <w:tcW w:w="2860" w:type="dxa"/>
            <w:vAlign w:val="bottom"/>
            <w:vMerge w:val="restart"/>
          </w:tcPr>
          <w:p>
            <w:pPr>
              <w:jc w:val="right"/>
              <w:ind w:right="1027"/>
              <w:spacing w:after="0"/>
              <w:rPr>
                <w:sz w:val="20"/>
                <w:szCs w:val="20"/>
                <w:color w:val="auto"/>
              </w:rPr>
            </w:pPr>
            <w:r>
              <w:rPr>
                <w:rFonts w:ascii="Arial" w:cs="Arial" w:eastAsia="Arial" w:hAnsi="Arial"/>
                <w:sz w:val="17"/>
                <w:szCs w:val="17"/>
                <w:b w:val="1"/>
                <w:bCs w:val="1"/>
                <w:color w:val="auto"/>
                <w:w w:val="91"/>
              </w:rPr>
              <w:t>Vita -- Premium Buildup</w:t>
            </w:r>
          </w:p>
        </w:tc>
        <w:tc>
          <w:tcPr>
            <w:tcW w:w="5180" w:type="dxa"/>
            <w:vAlign w:val="bottom"/>
            <w:gridSpan w:val="3"/>
          </w:tcPr>
          <w:p>
            <w:pPr>
              <w:jc w:val="center"/>
              <w:ind w:left="469"/>
              <w:spacing w:after="0"/>
              <w:rPr>
                <w:sz w:val="20"/>
                <w:szCs w:val="20"/>
                <w:color w:val="auto"/>
              </w:rPr>
            </w:pPr>
            <w:r>
              <w:rPr>
                <w:rFonts w:ascii="Arial" w:cs="Arial" w:eastAsia="Arial" w:hAnsi="Arial"/>
                <w:sz w:val="20"/>
                <w:szCs w:val="20"/>
                <w:b w:val="1"/>
                <w:bCs w:val="1"/>
                <w:color w:val="auto"/>
              </w:rPr>
              <w:t>FORM OF PREMIUM CALCULATION</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860" w:type="dxa"/>
            <w:vAlign w:val="bottom"/>
            <w:vMerge w:val="continue"/>
          </w:tcPr>
          <w:p>
            <w:pPr>
              <w:spacing w:after="0"/>
              <w:rPr>
                <w:sz w:val="16"/>
                <w:szCs w:val="16"/>
                <w:color w:val="auto"/>
              </w:rPr>
            </w:pPr>
          </w:p>
        </w:tc>
        <w:tc>
          <w:tcPr>
            <w:tcW w:w="2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2860" w:type="dxa"/>
            <w:vAlign w:val="bottom"/>
          </w:tcPr>
          <w:p>
            <w:pPr>
              <w:jc w:val="right"/>
              <w:ind w:right="2567"/>
              <w:spacing w:after="0"/>
              <w:rPr>
                <w:sz w:val="20"/>
                <w:szCs w:val="20"/>
                <w:color w:val="auto"/>
              </w:rPr>
            </w:pPr>
            <w:r>
              <w:rPr>
                <w:rFonts w:ascii="Arial" w:cs="Arial" w:eastAsia="Arial" w:hAnsi="Arial"/>
                <w:sz w:val="10"/>
                <w:szCs w:val="10"/>
                <w:color w:val="auto"/>
              </w:rPr>
              <w:t>[***]</w:t>
            </w:r>
          </w:p>
        </w:tc>
        <w:tc>
          <w:tcPr>
            <w:tcW w:w="5180" w:type="dxa"/>
            <w:vAlign w:val="bottom"/>
            <w:gridSpan w:val="3"/>
          </w:tcPr>
          <w:p>
            <w:pPr>
              <w:ind w:left="1540"/>
              <w:spacing w:after="0"/>
              <w:rPr>
                <w:sz w:val="20"/>
                <w:szCs w:val="20"/>
                <w:color w:val="auto"/>
              </w:rPr>
            </w:pPr>
            <w:r>
              <w:rPr>
                <w:rFonts w:ascii="Arial" w:cs="Arial" w:eastAsia="Arial" w:hAnsi="Arial"/>
                <w:sz w:val="10"/>
                <w:szCs w:val="10"/>
                <w:color w:val="auto"/>
              </w:rPr>
              <w:t>[a]</w:t>
            </w:r>
          </w:p>
        </w:tc>
        <w:tc>
          <w:tcPr>
            <w:tcW w:w="3380" w:type="dxa"/>
            <w:vAlign w:val="bottom"/>
          </w:tcPr>
          <w:p>
            <w:pPr>
              <w:jc w:val="right"/>
              <w:ind w:right="273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250"/>
        </w:trPr>
        <w:tc>
          <w:tcPr>
            <w:tcW w:w="2860" w:type="dxa"/>
            <w:vAlign w:val="bottom"/>
          </w:tcPr>
          <w:p>
            <w:pPr>
              <w:spacing w:after="0"/>
              <w:rPr>
                <w:sz w:val="21"/>
                <w:szCs w:val="21"/>
                <w:color w:val="auto"/>
              </w:rPr>
            </w:pPr>
          </w:p>
        </w:tc>
        <w:tc>
          <w:tcPr>
            <w:tcW w:w="5180" w:type="dxa"/>
            <w:vAlign w:val="bottom"/>
            <w:gridSpan w:val="3"/>
          </w:tcPr>
          <w:p>
            <w:pPr>
              <w:ind w:left="1540"/>
              <w:spacing w:after="0"/>
              <w:rPr>
                <w:sz w:val="20"/>
                <w:szCs w:val="20"/>
                <w:color w:val="auto"/>
              </w:rPr>
            </w:pPr>
            <w:r>
              <w:rPr>
                <w:rFonts w:ascii="Arial" w:cs="Arial" w:eastAsia="Arial" w:hAnsi="Arial"/>
                <w:sz w:val="10"/>
                <w:szCs w:val="10"/>
                <w:color w:val="auto"/>
              </w:rPr>
              <w:t>[b]</w:t>
            </w:r>
          </w:p>
        </w:tc>
        <w:tc>
          <w:tcPr>
            <w:tcW w:w="3380" w:type="dxa"/>
            <w:vAlign w:val="bottom"/>
          </w:tcPr>
          <w:p>
            <w:pPr>
              <w:jc w:val="right"/>
              <w:ind w:right="273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250"/>
        </w:trPr>
        <w:tc>
          <w:tcPr>
            <w:tcW w:w="2860" w:type="dxa"/>
            <w:vAlign w:val="bottom"/>
          </w:tcPr>
          <w:p>
            <w:pPr>
              <w:spacing w:after="0"/>
              <w:rPr>
                <w:sz w:val="21"/>
                <w:szCs w:val="21"/>
                <w:color w:val="auto"/>
              </w:rPr>
            </w:pPr>
          </w:p>
        </w:tc>
        <w:tc>
          <w:tcPr>
            <w:tcW w:w="5180" w:type="dxa"/>
            <w:vAlign w:val="bottom"/>
            <w:gridSpan w:val="3"/>
          </w:tcPr>
          <w:p>
            <w:pPr>
              <w:ind w:left="1540"/>
              <w:spacing w:after="0"/>
              <w:rPr>
                <w:sz w:val="20"/>
                <w:szCs w:val="20"/>
                <w:color w:val="auto"/>
              </w:rPr>
            </w:pPr>
            <w:r>
              <w:rPr>
                <w:rFonts w:ascii="Arial" w:cs="Arial" w:eastAsia="Arial" w:hAnsi="Arial"/>
                <w:sz w:val="10"/>
                <w:szCs w:val="10"/>
                <w:color w:val="auto"/>
              </w:rPr>
              <w:t>[c]</w:t>
            </w:r>
          </w:p>
        </w:tc>
        <w:tc>
          <w:tcPr>
            <w:tcW w:w="3380" w:type="dxa"/>
            <w:vAlign w:val="bottom"/>
          </w:tcPr>
          <w:p>
            <w:pPr>
              <w:jc w:val="right"/>
              <w:ind w:right="273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250"/>
        </w:trPr>
        <w:tc>
          <w:tcPr>
            <w:tcW w:w="2860" w:type="dxa"/>
            <w:vAlign w:val="bottom"/>
          </w:tcPr>
          <w:p>
            <w:pPr>
              <w:spacing w:after="0"/>
              <w:rPr>
                <w:sz w:val="21"/>
                <w:szCs w:val="21"/>
                <w:color w:val="auto"/>
              </w:rPr>
            </w:pPr>
          </w:p>
        </w:tc>
        <w:tc>
          <w:tcPr>
            <w:tcW w:w="5180" w:type="dxa"/>
            <w:vAlign w:val="bottom"/>
            <w:gridSpan w:val="3"/>
          </w:tcPr>
          <w:p>
            <w:pPr>
              <w:ind w:left="1540"/>
              <w:spacing w:after="0"/>
              <w:rPr>
                <w:sz w:val="20"/>
                <w:szCs w:val="20"/>
                <w:color w:val="auto"/>
              </w:rPr>
            </w:pPr>
            <w:r>
              <w:rPr>
                <w:rFonts w:ascii="Arial" w:cs="Arial" w:eastAsia="Arial" w:hAnsi="Arial"/>
                <w:sz w:val="10"/>
                <w:szCs w:val="10"/>
                <w:color w:val="auto"/>
              </w:rPr>
              <w:t>[d]</w:t>
            </w:r>
          </w:p>
        </w:tc>
        <w:tc>
          <w:tcPr>
            <w:tcW w:w="3380" w:type="dxa"/>
            <w:vAlign w:val="bottom"/>
          </w:tcPr>
          <w:p>
            <w:pPr>
              <w:jc w:val="right"/>
              <w:ind w:right="273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250"/>
        </w:trPr>
        <w:tc>
          <w:tcPr>
            <w:tcW w:w="2860" w:type="dxa"/>
            <w:vAlign w:val="bottom"/>
          </w:tcPr>
          <w:p>
            <w:pPr>
              <w:spacing w:after="0"/>
              <w:rPr>
                <w:sz w:val="21"/>
                <w:szCs w:val="21"/>
                <w:color w:val="auto"/>
              </w:rPr>
            </w:pPr>
          </w:p>
        </w:tc>
        <w:tc>
          <w:tcPr>
            <w:tcW w:w="5180" w:type="dxa"/>
            <w:vAlign w:val="bottom"/>
            <w:gridSpan w:val="3"/>
          </w:tcPr>
          <w:p>
            <w:pPr>
              <w:ind w:left="1540"/>
              <w:spacing w:after="0"/>
              <w:rPr>
                <w:sz w:val="20"/>
                <w:szCs w:val="20"/>
                <w:color w:val="auto"/>
              </w:rPr>
            </w:pPr>
            <w:r>
              <w:rPr>
                <w:rFonts w:ascii="Arial" w:cs="Arial" w:eastAsia="Arial" w:hAnsi="Arial"/>
                <w:sz w:val="10"/>
                <w:szCs w:val="10"/>
                <w:color w:val="auto"/>
              </w:rPr>
              <w:t>[e]</w:t>
            </w:r>
          </w:p>
        </w:tc>
        <w:tc>
          <w:tcPr>
            <w:tcW w:w="3380" w:type="dxa"/>
            <w:vAlign w:val="bottom"/>
          </w:tcPr>
          <w:p>
            <w:pPr>
              <w:jc w:val="right"/>
              <w:ind w:right="273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250"/>
        </w:trPr>
        <w:tc>
          <w:tcPr>
            <w:tcW w:w="2860" w:type="dxa"/>
            <w:vAlign w:val="bottom"/>
          </w:tcPr>
          <w:p>
            <w:pPr>
              <w:spacing w:after="0"/>
              <w:rPr>
                <w:sz w:val="21"/>
                <w:szCs w:val="21"/>
                <w:color w:val="auto"/>
              </w:rPr>
            </w:pPr>
          </w:p>
        </w:tc>
        <w:tc>
          <w:tcPr>
            <w:tcW w:w="5180" w:type="dxa"/>
            <w:vAlign w:val="bottom"/>
            <w:gridSpan w:val="3"/>
          </w:tcPr>
          <w:p>
            <w:pPr>
              <w:ind w:left="1540"/>
              <w:spacing w:after="0"/>
              <w:rPr>
                <w:sz w:val="20"/>
                <w:szCs w:val="20"/>
                <w:color w:val="auto"/>
              </w:rPr>
            </w:pPr>
            <w:r>
              <w:rPr>
                <w:rFonts w:ascii="Arial" w:cs="Arial" w:eastAsia="Arial" w:hAnsi="Arial"/>
                <w:sz w:val="10"/>
                <w:szCs w:val="10"/>
                <w:color w:val="auto"/>
              </w:rPr>
              <w:t>[f]</w:t>
            </w:r>
          </w:p>
        </w:tc>
        <w:tc>
          <w:tcPr>
            <w:tcW w:w="3380" w:type="dxa"/>
            <w:vAlign w:val="bottom"/>
          </w:tcPr>
          <w:p>
            <w:pPr>
              <w:jc w:val="right"/>
              <w:ind w:right="273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20"/>
        </w:trPr>
        <w:tc>
          <w:tcPr>
            <w:tcW w:w="286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3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2860" w:type="dxa"/>
            <w:vAlign w:val="bottom"/>
          </w:tcPr>
          <w:p>
            <w:pPr>
              <w:jc w:val="right"/>
              <w:ind w:right="2567"/>
              <w:spacing w:after="0"/>
              <w:rPr>
                <w:sz w:val="20"/>
                <w:szCs w:val="20"/>
                <w:color w:val="auto"/>
              </w:rPr>
            </w:pPr>
            <w:r>
              <w:rPr>
                <w:rFonts w:ascii="Arial" w:cs="Arial" w:eastAsia="Arial" w:hAnsi="Arial"/>
                <w:sz w:val="10"/>
                <w:szCs w:val="10"/>
                <w:b w:val="1"/>
                <w:bCs w:val="1"/>
                <w:color w:val="auto"/>
              </w:rPr>
              <w:t>[***]</w:t>
            </w:r>
          </w:p>
        </w:tc>
        <w:tc>
          <w:tcPr>
            <w:tcW w:w="5180" w:type="dxa"/>
            <w:vAlign w:val="bottom"/>
            <w:gridSpan w:val="3"/>
          </w:tcPr>
          <w:p>
            <w:pPr>
              <w:ind w:left="1500"/>
              <w:spacing w:after="0"/>
              <w:rPr>
                <w:sz w:val="20"/>
                <w:szCs w:val="20"/>
                <w:color w:val="auto"/>
              </w:rPr>
            </w:pPr>
            <w:r>
              <w:rPr>
                <w:rFonts w:ascii="Arial" w:cs="Arial" w:eastAsia="Arial" w:hAnsi="Arial"/>
                <w:sz w:val="10"/>
                <w:szCs w:val="10"/>
                <w:b w:val="1"/>
                <w:bCs w:val="1"/>
                <w:color w:val="auto"/>
              </w:rPr>
              <w:t>[g] = [a] + [b] - [c] + [d] + [e] + [f]</w:t>
            </w:r>
          </w:p>
        </w:tc>
        <w:tc>
          <w:tcPr>
            <w:tcW w:w="3380" w:type="dxa"/>
            <w:vAlign w:val="bottom"/>
          </w:tcPr>
          <w:p>
            <w:pPr>
              <w:jc w:val="right"/>
              <w:ind w:right="2730"/>
              <w:spacing w:after="0"/>
              <w:rPr>
                <w:sz w:val="20"/>
                <w:szCs w:val="20"/>
                <w:color w:val="auto"/>
              </w:rPr>
            </w:pPr>
            <w:r>
              <w:rPr>
                <w:rFonts w:ascii="Arial" w:cs="Arial" w:eastAsia="Arial" w:hAnsi="Arial"/>
                <w:sz w:val="10"/>
                <w:szCs w:val="10"/>
                <w:b w:val="1"/>
                <w:bCs w:val="1"/>
                <w:color w:val="auto"/>
              </w:rPr>
              <w:t>$</w:t>
            </w:r>
          </w:p>
        </w:tc>
        <w:tc>
          <w:tcPr>
            <w:tcW w:w="0" w:type="dxa"/>
            <w:vAlign w:val="bottom"/>
          </w:tcPr>
          <w:p>
            <w:pPr>
              <w:spacing w:after="0"/>
              <w:rPr>
                <w:sz w:val="1"/>
                <w:szCs w:val="1"/>
                <w:color w:val="auto"/>
              </w:rPr>
            </w:pPr>
          </w:p>
        </w:tc>
      </w:tr>
      <w:tr>
        <w:trPr>
          <w:trHeight w:val="476"/>
        </w:trPr>
        <w:tc>
          <w:tcPr>
            <w:tcW w:w="2860" w:type="dxa"/>
            <w:vAlign w:val="bottom"/>
          </w:tcPr>
          <w:p>
            <w:pPr>
              <w:spacing w:after="0"/>
              <w:rPr>
                <w:sz w:val="24"/>
                <w:szCs w:val="24"/>
                <w:color w:val="auto"/>
              </w:rPr>
            </w:pPr>
          </w:p>
        </w:tc>
        <w:tc>
          <w:tcPr>
            <w:tcW w:w="5180" w:type="dxa"/>
            <w:vAlign w:val="bottom"/>
            <w:gridSpan w:val="3"/>
          </w:tcPr>
          <w:p>
            <w:pPr>
              <w:ind w:left="1540"/>
              <w:spacing w:after="0"/>
              <w:rPr>
                <w:sz w:val="20"/>
                <w:szCs w:val="20"/>
                <w:color w:val="auto"/>
              </w:rPr>
            </w:pPr>
            <w:r>
              <w:rPr>
                <w:rFonts w:ascii="Arial" w:cs="Arial" w:eastAsia="Arial" w:hAnsi="Arial"/>
                <w:sz w:val="10"/>
                <w:szCs w:val="10"/>
                <w:color w:val="auto"/>
              </w:rPr>
              <w:t>[h]</w:t>
            </w:r>
          </w:p>
        </w:tc>
        <w:tc>
          <w:tcPr>
            <w:tcW w:w="338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250"/>
        </w:trPr>
        <w:tc>
          <w:tcPr>
            <w:tcW w:w="2860" w:type="dxa"/>
            <w:vAlign w:val="bottom"/>
          </w:tcPr>
          <w:p>
            <w:pPr>
              <w:spacing w:after="0"/>
              <w:rPr>
                <w:sz w:val="21"/>
                <w:szCs w:val="21"/>
                <w:color w:val="auto"/>
              </w:rPr>
            </w:pPr>
          </w:p>
        </w:tc>
        <w:tc>
          <w:tcPr>
            <w:tcW w:w="5180" w:type="dxa"/>
            <w:vAlign w:val="bottom"/>
            <w:gridSpan w:val="3"/>
          </w:tcPr>
          <w:p>
            <w:pPr>
              <w:ind w:left="1540"/>
              <w:spacing w:after="0"/>
              <w:rPr>
                <w:sz w:val="20"/>
                <w:szCs w:val="20"/>
                <w:color w:val="auto"/>
              </w:rPr>
            </w:pPr>
            <w:r>
              <w:rPr>
                <w:rFonts w:ascii="Arial" w:cs="Arial" w:eastAsia="Arial" w:hAnsi="Arial"/>
                <w:sz w:val="10"/>
                <w:szCs w:val="10"/>
                <w:color w:val="auto"/>
              </w:rPr>
              <w:t>[i]</w:t>
            </w:r>
          </w:p>
        </w:tc>
        <w:tc>
          <w:tcPr>
            <w:tcW w:w="338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63"/>
        </w:trPr>
        <w:tc>
          <w:tcPr>
            <w:tcW w:w="2860" w:type="dxa"/>
            <w:vAlign w:val="bottom"/>
          </w:tcPr>
          <w:p>
            <w:pPr>
              <w:jc w:val="right"/>
              <w:ind w:right="2567"/>
              <w:spacing w:after="0"/>
              <w:rPr>
                <w:sz w:val="20"/>
                <w:szCs w:val="20"/>
                <w:color w:val="auto"/>
              </w:rPr>
            </w:pPr>
            <w:r>
              <w:rPr>
                <w:rFonts w:ascii="Arial" w:cs="Arial" w:eastAsia="Arial" w:hAnsi="Arial"/>
                <w:sz w:val="10"/>
                <w:szCs w:val="10"/>
                <w:color w:val="auto"/>
              </w:rPr>
              <w:t>[***]</w:t>
            </w:r>
          </w:p>
        </w:tc>
        <w:tc>
          <w:tcPr>
            <w:tcW w:w="5180" w:type="dxa"/>
            <w:vAlign w:val="bottom"/>
            <w:gridSpan w:val="3"/>
          </w:tcPr>
          <w:p>
            <w:pPr>
              <w:ind w:left="1540"/>
              <w:spacing w:after="0"/>
              <w:rPr>
                <w:sz w:val="20"/>
                <w:szCs w:val="20"/>
                <w:color w:val="auto"/>
              </w:rPr>
            </w:pPr>
            <w:r>
              <w:rPr>
                <w:rFonts w:ascii="Arial" w:cs="Arial" w:eastAsia="Arial" w:hAnsi="Arial"/>
                <w:sz w:val="10"/>
                <w:szCs w:val="10"/>
                <w:color w:val="auto"/>
              </w:rPr>
              <w:t>[j]</w:t>
            </w:r>
          </w:p>
        </w:tc>
        <w:tc>
          <w:tcPr>
            <w:tcW w:w="338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250"/>
        </w:trPr>
        <w:tc>
          <w:tcPr>
            <w:tcW w:w="2860" w:type="dxa"/>
            <w:vAlign w:val="bottom"/>
          </w:tcPr>
          <w:p>
            <w:pPr>
              <w:spacing w:after="0"/>
              <w:rPr>
                <w:sz w:val="21"/>
                <w:szCs w:val="21"/>
                <w:color w:val="auto"/>
              </w:rPr>
            </w:pPr>
          </w:p>
        </w:tc>
        <w:tc>
          <w:tcPr>
            <w:tcW w:w="5180" w:type="dxa"/>
            <w:vAlign w:val="bottom"/>
            <w:gridSpan w:val="3"/>
          </w:tcPr>
          <w:p>
            <w:pPr>
              <w:ind w:left="1540"/>
              <w:spacing w:after="0"/>
              <w:rPr>
                <w:sz w:val="20"/>
                <w:szCs w:val="20"/>
                <w:color w:val="auto"/>
              </w:rPr>
            </w:pPr>
            <w:r>
              <w:rPr>
                <w:rFonts w:ascii="Arial" w:cs="Arial" w:eastAsia="Arial" w:hAnsi="Arial"/>
                <w:sz w:val="10"/>
                <w:szCs w:val="10"/>
                <w:color w:val="auto"/>
              </w:rPr>
              <w:t>[k]</w:t>
            </w:r>
          </w:p>
        </w:tc>
        <w:tc>
          <w:tcPr>
            <w:tcW w:w="338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250"/>
        </w:trPr>
        <w:tc>
          <w:tcPr>
            <w:tcW w:w="2860" w:type="dxa"/>
            <w:vAlign w:val="bottom"/>
          </w:tcPr>
          <w:p>
            <w:pPr>
              <w:spacing w:after="0"/>
              <w:rPr>
                <w:sz w:val="21"/>
                <w:szCs w:val="21"/>
                <w:color w:val="auto"/>
              </w:rPr>
            </w:pPr>
          </w:p>
        </w:tc>
        <w:tc>
          <w:tcPr>
            <w:tcW w:w="5180" w:type="dxa"/>
            <w:vAlign w:val="bottom"/>
            <w:gridSpan w:val="3"/>
          </w:tcPr>
          <w:p>
            <w:pPr>
              <w:ind w:left="1540"/>
              <w:spacing w:after="0"/>
              <w:rPr>
                <w:sz w:val="20"/>
                <w:szCs w:val="20"/>
                <w:color w:val="auto"/>
              </w:rPr>
            </w:pPr>
            <w:r>
              <w:rPr>
                <w:rFonts w:ascii="Arial" w:cs="Arial" w:eastAsia="Arial" w:hAnsi="Arial"/>
                <w:sz w:val="10"/>
                <w:szCs w:val="10"/>
                <w:color w:val="auto"/>
              </w:rPr>
              <w:t>[l]</w:t>
            </w:r>
          </w:p>
        </w:tc>
        <w:tc>
          <w:tcPr>
            <w:tcW w:w="3380" w:type="dxa"/>
            <w:vAlign w:val="bottom"/>
          </w:tcPr>
          <w:p>
            <w:pPr>
              <w:jc w:val="right"/>
              <w:ind w:right="273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388"/>
        </w:trPr>
        <w:tc>
          <w:tcPr>
            <w:tcW w:w="2860" w:type="dxa"/>
            <w:vAlign w:val="bottom"/>
          </w:tcPr>
          <w:p>
            <w:pPr>
              <w:jc w:val="right"/>
              <w:ind w:right="2567"/>
              <w:spacing w:after="0"/>
              <w:rPr>
                <w:sz w:val="20"/>
                <w:szCs w:val="20"/>
                <w:color w:val="auto"/>
              </w:rPr>
            </w:pPr>
            <w:r>
              <w:rPr>
                <w:rFonts w:ascii="Arial" w:cs="Arial" w:eastAsia="Arial" w:hAnsi="Arial"/>
                <w:sz w:val="10"/>
                <w:szCs w:val="10"/>
                <w:b w:val="1"/>
                <w:bCs w:val="1"/>
                <w:color w:val="auto"/>
              </w:rPr>
              <w:t>[***]</w:t>
            </w:r>
          </w:p>
        </w:tc>
        <w:tc>
          <w:tcPr>
            <w:tcW w:w="5180" w:type="dxa"/>
            <w:vAlign w:val="bottom"/>
            <w:gridSpan w:val="3"/>
          </w:tcPr>
          <w:p>
            <w:pPr>
              <w:ind w:left="1500"/>
              <w:spacing w:after="0"/>
              <w:rPr>
                <w:sz w:val="20"/>
                <w:szCs w:val="20"/>
                <w:color w:val="auto"/>
              </w:rPr>
            </w:pPr>
            <w:r>
              <w:rPr>
                <w:rFonts w:ascii="Arial" w:cs="Arial" w:eastAsia="Arial" w:hAnsi="Arial"/>
                <w:sz w:val="10"/>
                <w:szCs w:val="10"/>
                <w:b w:val="1"/>
                <w:bCs w:val="1"/>
                <w:color w:val="auto"/>
              </w:rPr>
              <w:t>[m] = ([g] x (100% + [ h]) x ([i] + [j]) x (100%+[k])) + [l]</w:t>
            </w:r>
          </w:p>
        </w:tc>
        <w:tc>
          <w:tcPr>
            <w:tcW w:w="3380" w:type="dxa"/>
            <w:vAlign w:val="bottom"/>
          </w:tcPr>
          <w:p>
            <w:pPr>
              <w:jc w:val="right"/>
              <w:ind w:right="273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476"/>
        </w:trPr>
        <w:tc>
          <w:tcPr>
            <w:tcW w:w="2860" w:type="dxa"/>
            <w:vAlign w:val="bottom"/>
          </w:tcPr>
          <w:p>
            <w:pPr>
              <w:spacing w:after="0"/>
              <w:rPr>
                <w:sz w:val="24"/>
                <w:szCs w:val="24"/>
                <w:color w:val="auto"/>
              </w:rPr>
            </w:pPr>
          </w:p>
        </w:tc>
        <w:tc>
          <w:tcPr>
            <w:tcW w:w="5180" w:type="dxa"/>
            <w:vAlign w:val="bottom"/>
            <w:gridSpan w:val="3"/>
          </w:tcPr>
          <w:p>
            <w:pPr>
              <w:ind w:left="1540"/>
              <w:spacing w:after="0"/>
              <w:rPr>
                <w:sz w:val="20"/>
                <w:szCs w:val="20"/>
                <w:color w:val="auto"/>
              </w:rPr>
            </w:pPr>
            <w:r>
              <w:rPr>
                <w:rFonts w:ascii="Arial" w:cs="Arial" w:eastAsia="Arial" w:hAnsi="Arial"/>
                <w:sz w:val="10"/>
                <w:szCs w:val="10"/>
                <w:color w:val="auto"/>
              </w:rPr>
              <w:t>[g]</w:t>
            </w:r>
          </w:p>
        </w:tc>
        <w:tc>
          <w:tcPr>
            <w:tcW w:w="3380" w:type="dxa"/>
            <w:vAlign w:val="bottom"/>
          </w:tcPr>
          <w:p>
            <w:pPr>
              <w:jc w:val="right"/>
              <w:ind w:right="273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476"/>
        </w:trPr>
        <w:tc>
          <w:tcPr>
            <w:tcW w:w="2860" w:type="dxa"/>
            <w:vAlign w:val="bottom"/>
          </w:tcPr>
          <w:p>
            <w:pPr>
              <w:spacing w:after="0"/>
              <w:rPr>
                <w:sz w:val="24"/>
                <w:szCs w:val="24"/>
                <w:color w:val="auto"/>
              </w:rPr>
            </w:pPr>
          </w:p>
        </w:tc>
        <w:tc>
          <w:tcPr>
            <w:tcW w:w="5180" w:type="dxa"/>
            <w:vAlign w:val="bottom"/>
            <w:gridSpan w:val="3"/>
          </w:tcPr>
          <w:p>
            <w:pPr>
              <w:ind w:left="1540"/>
              <w:spacing w:after="0"/>
              <w:rPr>
                <w:sz w:val="20"/>
                <w:szCs w:val="20"/>
                <w:color w:val="auto"/>
              </w:rPr>
            </w:pPr>
            <w:r>
              <w:rPr>
                <w:rFonts w:ascii="Arial" w:cs="Arial" w:eastAsia="Arial" w:hAnsi="Arial"/>
                <w:sz w:val="10"/>
                <w:szCs w:val="10"/>
                <w:color w:val="auto"/>
              </w:rPr>
              <w:t>[n]</w:t>
            </w:r>
          </w:p>
        </w:tc>
        <w:tc>
          <w:tcPr>
            <w:tcW w:w="3380" w:type="dxa"/>
            <w:vAlign w:val="bottom"/>
          </w:tcPr>
          <w:p>
            <w:pPr>
              <w:jc w:val="right"/>
              <w:ind w:right="273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63"/>
        </w:trPr>
        <w:tc>
          <w:tcPr>
            <w:tcW w:w="2860" w:type="dxa"/>
            <w:vAlign w:val="bottom"/>
          </w:tcPr>
          <w:p>
            <w:pPr>
              <w:jc w:val="right"/>
              <w:ind w:right="2567"/>
              <w:spacing w:after="0"/>
              <w:rPr>
                <w:sz w:val="20"/>
                <w:szCs w:val="20"/>
                <w:color w:val="auto"/>
              </w:rPr>
            </w:pPr>
            <w:r>
              <w:rPr>
                <w:rFonts w:ascii="Arial" w:cs="Arial" w:eastAsia="Arial" w:hAnsi="Arial"/>
                <w:sz w:val="10"/>
                <w:szCs w:val="10"/>
                <w:color w:val="auto"/>
              </w:rPr>
              <w:t>[***]</w:t>
            </w:r>
          </w:p>
        </w:tc>
        <w:tc>
          <w:tcPr>
            <w:tcW w:w="5180" w:type="dxa"/>
            <w:vAlign w:val="bottom"/>
            <w:gridSpan w:val="3"/>
          </w:tcPr>
          <w:p>
            <w:pPr>
              <w:ind w:left="1540"/>
              <w:spacing w:after="0"/>
              <w:rPr>
                <w:sz w:val="20"/>
                <w:szCs w:val="20"/>
                <w:color w:val="auto"/>
              </w:rPr>
            </w:pPr>
            <w:r>
              <w:rPr>
                <w:rFonts w:ascii="Arial" w:cs="Arial" w:eastAsia="Arial" w:hAnsi="Arial"/>
                <w:sz w:val="10"/>
                <w:szCs w:val="10"/>
                <w:color w:val="auto"/>
              </w:rPr>
              <w:t>[o]</w:t>
            </w:r>
          </w:p>
        </w:tc>
        <w:tc>
          <w:tcPr>
            <w:tcW w:w="3380" w:type="dxa"/>
            <w:vAlign w:val="bottom"/>
          </w:tcPr>
          <w:p>
            <w:pPr>
              <w:jc w:val="right"/>
              <w:ind w:right="273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250"/>
        </w:trPr>
        <w:tc>
          <w:tcPr>
            <w:tcW w:w="2860" w:type="dxa"/>
            <w:vAlign w:val="bottom"/>
          </w:tcPr>
          <w:p>
            <w:pPr>
              <w:spacing w:after="0"/>
              <w:rPr>
                <w:sz w:val="21"/>
                <w:szCs w:val="21"/>
                <w:color w:val="auto"/>
              </w:rPr>
            </w:pPr>
          </w:p>
        </w:tc>
        <w:tc>
          <w:tcPr>
            <w:tcW w:w="5180" w:type="dxa"/>
            <w:vAlign w:val="bottom"/>
            <w:gridSpan w:val="3"/>
          </w:tcPr>
          <w:p>
            <w:pPr>
              <w:ind w:left="1540"/>
              <w:spacing w:after="0"/>
              <w:rPr>
                <w:sz w:val="20"/>
                <w:szCs w:val="20"/>
                <w:color w:val="auto"/>
              </w:rPr>
            </w:pPr>
            <w:r>
              <w:rPr>
                <w:rFonts w:ascii="Arial" w:cs="Arial" w:eastAsia="Arial" w:hAnsi="Arial"/>
                <w:sz w:val="10"/>
                <w:szCs w:val="10"/>
                <w:color w:val="auto"/>
              </w:rPr>
              <w:t>[p]</w:t>
            </w:r>
          </w:p>
        </w:tc>
        <w:tc>
          <w:tcPr>
            <w:tcW w:w="3380" w:type="dxa"/>
            <w:vAlign w:val="bottom"/>
          </w:tcPr>
          <w:p>
            <w:pPr>
              <w:jc w:val="right"/>
              <w:ind w:right="273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250"/>
        </w:trPr>
        <w:tc>
          <w:tcPr>
            <w:tcW w:w="2860" w:type="dxa"/>
            <w:vAlign w:val="bottom"/>
          </w:tcPr>
          <w:p>
            <w:pPr>
              <w:spacing w:after="0"/>
              <w:rPr>
                <w:sz w:val="21"/>
                <w:szCs w:val="21"/>
                <w:color w:val="auto"/>
              </w:rPr>
            </w:pPr>
          </w:p>
        </w:tc>
        <w:tc>
          <w:tcPr>
            <w:tcW w:w="5180" w:type="dxa"/>
            <w:vAlign w:val="bottom"/>
            <w:gridSpan w:val="3"/>
          </w:tcPr>
          <w:p>
            <w:pPr>
              <w:ind w:left="1540"/>
              <w:spacing w:after="0"/>
              <w:rPr>
                <w:sz w:val="20"/>
                <w:szCs w:val="20"/>
                <w:color w:val="auto"/>
              </w:rPr>
            </w:pPr>
            <w:r>
              <w:rPr>
                <w:rFonts w:ascii="Arial" w:cs="Arial" w:eastAsia="Arial" w:hAnsi="Arial"/>
                <w:sz w:val="10"/>
                <w:szCs w:val="10"/>
                <w:color w:val="auto"/>
              </w:rPr>
              <w:t>[q]</w:t>
            </w:r>
          </w:p>
        </w:tc>
        <w:tc>
          <w:tcPr>
            <w:tcW w:w="3380" w:type="dxa"/>
            <w:vAlign w:val="bottom"/>
          </w:tcPr>
          <w:p>
            <w:pPr>
              <w:jc w:val="right"/>
              <w:ind w:right="273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20"/>
        </w:trPr>
        <w:tc>
          <w:tcPr>
            <w:tcW w:w="286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3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860" w:type="dxa"/>
            <w:vAlign w:val="bottom"/>
          </w:tcPr>
          <w:p>
            <w:pPr>
              <w:spacing w:after="0"/>
              <w:rPr>
                <w:sz w:val="19"/>
                <w:szCs w:val="19"/>
                <w:color w:val="auto"/>
              </w:rPr>
            </w:pPr>
          </w:p>
        </w:tc>
        <w:tc>
          <w:tcPr>
            <w:tcW w:w="5180" w:type="dxa"/>
            <w:vAlign w:val="bottom"/>
            <w:gridSpan w:val="3"/>
          </w:tcPr>
          <w:p>
            <w:pPr>
              <w:ind w:left="1500"/>
              <w:spacing w:after="0"/>
              <w:rPr>
                <w:sz w:val="20"/>
                <w:szCs w:val="20"/>
                <w:color w:val="auto"/>
              </w:rPr>
            </w:pPr>
            <w:r>
              <w:rPr>
                <w:rFonts w:ascii="Arial" w:cs="Arial" w:eastAsia="Arial" w:hAnsi="Arial"/>
                <w:sz w:val="10"/>
                <w:szCs w:val="10"/>
                <w:color w:val="auto"/>
              </w:rPr>
              <w:t>[r] = - [n] + [o] + [p] + [q]</w:t>
            </w:r>
          </w:p>
        </w:tc>
        <w:tc>
          <w:tcPr>
            <w:tcW w:w="3380" w:type="dxa"/>
            <w:vAlign w:val="bottom"/>
          </w:tcPr>
          <w:p>
            <w:pPr>
              <w:jc w:val="right"/>
              <w:ind w:right="273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476"/>
        </w:trPr>
        <w:tc>
          <w:tcPr>
            <w:tcW w:w="2860" w:type="dxa"/>
            <w:vAlign w:val="bottom"/>
          </w:tcPr>
          <w:p>
            <w:pPr>
              <w:spacing w:after="0"/>
              <w:rPr>
                <w:sz w:val="24"/>
                <w:szCs w:val="24"/>
                <w:color w:val="auto"/>
              </w:rPr>
            </w:pPr>
          </w:p>
        </w:tc>
        <w:tc>
          <w:tcPr>
            <w:tcW w:w="5180" w:type="dxa"/>
            <w:vAlign w:val="bottom"/>
            <w:gridSpan w:val="3"/>
          </w:tcPr>
          <w:p>
            <w:pPr>
              <w:ind w:left="1500"/>
              <w:spacing w:after="0"/>
              <w:rPr>
                <w:sz w:val="20"/>
                <w:szCs w:val="20"/>
                <w:color w:val="auto"/>
              </w:rPr>
            </w:pPr>
            <w:r>
              <w:rPr>
                <w:rFonts w:ascii="Arial" w:cs="Arial" w:eastAsia="Arial" w:hAnsi="Arial"/>
                <w:sz w:val="10"/>
                <w:szCs w:val="10"/>
                <w:color w:val="auto"/>
              </w:rPr>
              <w:t>[s] = [g] + [r]</w:t>
            </w:r>
          </w:p>
        </w:tc>
        <w:tc>
          <w:tcPr>
            <w:tcW w:w="3380" w:type="dxa"/>
            <w:vAlign w:val="bottom"/>
          </w:tcPr>
          <w:p>
            <w:pPr>
              <w:jc w:val="right"/>
              <w:ind w:right="273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250"/>
        </w:trPr>
        <w:tc>
          <w:tcPr>
            <w:tcW w:w="2860" w:type="dxa"/>
            <w:vAlign w:val="bottom"/>
          </w:tcPr>
          <w:p>
            <w:pPr>
              <w:jc w:val="right"/>
              <w:ind w:right="2567"/>
              <w:spacing w:after="0"/>
              <w:rPr>
                <w:sz w:val="20"/>
                <w:szCs w:val="20"/>
                <w:color w:val="auto"/>
              </w:rPr>
            </w:pPr>
            <w:r>
              <w:rPr>
                <w:rFonts w:ascii="Arial" w:cs="Arial" w:eastAsia="Arial" w:hAnsi="Arial"/>
                <w:sz w:val="10"/>
                <w:szCs w:val="10"/>
                <w:b w:val="1"/>
                <w:bCs w:val="1"/>
                <w:color w:val="auto"/>
              </w:rPr>
              <w:t>[***]</w:t>
            </w:r>
          </w:p>
        </w:tc>
        <w:tc>
          <w:tcPr>
            <w:tcW w:w="2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3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860" w:type="dxa"/>
            <w:vAlign w:val="bottom"/>
          </w:tcPr>
          <w:p>
            <w:pPr>
              <w:spacing w:after="0"/>
              <w:rPr>
                <w:sz w:val="21"/>
                <w:szCs w:val="21"/>
                <w:color w:val="auto"/>
              </w:rPr>
            </w:pPr>
          </w:p>
        </w:tc>
        <w:tc>
          <w:tcPr>
            <w:tcW w:w="5180" w:type="dxa"/>
            <w:vAlign w:val="bottom"/>
            <w:gridSpan w:val="3"/>
          </w:tcPr>
          <w:p>
            <w:pPr>
              <w:ind w:left="1540"/>
              <w:spacing w:after="0"/>
              <w:rPr>
                <w:sz w:val="20"/>
                <w:szCs w:val="20"/>
                <w:color w:val="auto"/>
              </w:rPr>
            </w:pPr>
            <w:r>
              <w:rPr>
                <w:rFonts w:ascii="Arial" w:cs="Arial" w:eastAsia="Arial" w:hAnsi="Arial"/>
                <w:sz w:val="10"/>
                <w:szCs w:val="10"/>
                <w:color w:val="auto"/>
              </w:rPr>
              <w:t>[h]</w:t>
            </w:r>
          </w:p>
        </w:tc>
        <w:tc>
          <w:tcPr>
            <w:tcW w:w="338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250"/>
        </w:trPr>
        <w:tc>
          <w:tcPr>
            <w:tcW w:w="2860" w:type="dxa"/>
            <w:vAlign w:val="bottom"/>
          </w:tcPr>
          <w:p>
            <w:pPr>
              <w:spacing w:after="0"/>
              <w:rPr>
                <w:sz w:val="21"/>
                <w:szCs w:val="21"/>
                <w:color w:val="auto"/>
              </w:rPr>
            </w:pPr>
          </w:p>
        </w:tc>
        <w:tc>
          <w:tcPr>
            <w:tcW w:w="5180" w:type="dxa"/>
            <w:vAlign w:val="bottom"/>
            <w:gridSpan w:val="3"/>
          </w:tcPr>
          <w:p>
            <w:pPr>
              <w:ind w:left="1540"/>
              <w:spacing w:after="0"/>
              <w:rPr>
                <w:sz w:val="20"/>
                <w:szCs w:val="20"/>
                <w:color w:val="auto"/>
              </w:rPr>
            </w:pPr>
            <w:r>
              <w:rPr>
                <w:rFonts w:ascii="Arial" w:cs="Arial" w:eastAsia="Arial" w:hAnsi="Arial"/>
                <w:sz w:val="10"/>
                <w:szCs w:val="10"/>
                <w:color w:val="auto"/>
              </w:rPr>
              <w:t>[i]</w:t>
            </w:r>
          </w:p>
        </w:tc>
        <w:tc>
          <w:tcPr>
            <w:tcW w:w="338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250"/>
        </w:trPr>
        <w:tc>
          <w:tcPr>
            <w:tcW w:w="2860" w:type="dxa"/>
            <w:vAlign w:val="bottom"/>
          </w:tcPr>
          <w:p>
            <w:pPr>
              <w:spacing w:after="0"/>
              <w:rPr>
                <w:sz w:val="21"/>
                <w:szCs w:val="21"/>
                <w:color w:val="auto"/>
              </w:rPr>
            </w:pPr>
          </w:p>
        </w:tc>
        <w:tc>
          <w:tcPr>
            <w:tcW w:w="5180" w:type="dxa"/>
            <w:vAlign w:val="bottom"/>
            <w:gridSpan w:val="3"/>
          </w:tcPr>
          <w:p>
            <w:pPr>
              <w:ind w:left="1540"/>
              <w:spacing w:after="0"/>
              <w:rPr>
                <w:sz w:val="20"/>
                <w:szCs w:val="20"/>
                <w:color w:val="auto"/>
              </w:rPr>
            </w:pPr>
            <w:r>
              <w:rPr>
                <w:rFonts w:ascii="Arial" w:cs="Arial" w:eastAsia="Arial" w:hAnsi="Arial"/>
                <w:sz w:val="10"/>
                <w:szCs w:val="10"/>
                <w:color w:val="auto"/>
              </w:rPr>
              <w:t>[j]</w:t>
            </w:r>
          </w:p>
        </w:tc>
        <w:tc>
          <w:tcPr>
            <w:tcW w:w="338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250"/>
        </w:trPr>
        <w:tc>
          <w:tcPr>
            <w:tcW w:w="2860" w:type="dxa"/>
            <w:vAlign w:val="bottom"/>
          </w:tcPr>
          <w:p>
            <w:pPr>
              <w:spacing w:after="0"/>
              <w:rPr>
                <w:sz w:val="21"/>
                <w:szCs w:val="21"/>
                <w:color w:val="auto"/>
              </w:rPr>
            </w:pPr>
          </w:p>
        </w:tc>
        <w:tc>
          <w:tcPr>
            <w:tcW w:w="5180" w:type="dxa"/>
            <w:vAlign w:val="bottom"/>
            <w:gridSpan w:val="3"/>
          </w:tcPr>
          <w:p>
            <w:pPr>
              <w:ind w:left="1540"/>
              <w:spacing w:after="0"/>
              <w:rPr>
                <w:sz w:val="20"/>
                <w:szCs w:val="20"/>
                <w:color w:val="auto"/>
              </w:rPr>
            </w:pPr>
            <w:r>
              <w:rPr>
                <w:rFonts w:ascii="Arial" w:cs="Arial" w:eastAsia="Arial" w:hAnsi="Arial"/>
                <w:sz w:val="10"/>
                <w:szCs w:val="10"/>
                <w:color w:val="auto"/>
              </w:rPr>
              <w:t>[k]</w:t>
            </w:r>
          </w:p>
        </w:tc>
        <w:tc>
          <w:tcPr>
            <w:tcW w:w="338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250"/>
        </w:trPr>
        <w:tc>
          <w:tcPr>
            <w:tcW w:w="2860" w:type="dxa"/>
            <w:vAlign w:val="bottom"/>
          </w:tcPr>
          <w:p>
            <w:pPr>
              <w:spacing w:after="0"/>
              <w:rPr>
                <w:sz w:val="21"/>
                <w:szCs w:val="21"/>
                <w:color w:val="auto"/>
              </w:rPr>
            </w:pPr>
          </w:p>
        </w:tc>
        <w:tc>
          <w:tcPr>
            <w:tcW w:w="5180" w:type="dxa"/>
            <w:vAlign w:val="bottom"/>
            <w:gridSpan w:val="3"/>
          </w:tcPr>
          <w:p>
            <w:pPr>
              <w:ind w:left="1540"/>
              <w:spacing w:after="0"/>
              <w:rPr>
                <w:sz w:val="20"/>
                <w:szCs w:val="20"/>
                <w:color w:val="auto"/>
              </w:rPr>
            </w:pPr>
            <w:r>
              <w:rPr>
                <w:rFonts w:ascii="Arial" w:cs="Arial" w:eastAsia="Arial" w:hAnsi="Arial"/>
                <w:sz w:val="10"/>
                <w:szCs w:val="10"/>
                <w:color w:val="auto"/>
              </w:rPr>
              <w:t>[l]</w:t>
            </w:r>
          </w:p>
        </w:tc>
        <w:tc>
          <w:tcPr>
            <w:tcW w:w="3380" w:type="dxa"/>
            <w:vAlign w:val="bottom"/>
          </w:tcPr>
          <w:p>
            <w:pPr>
              <w:jc w:val="right"/>
              <w:ind w:right="273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250"/>
        </w:trPr>
        <w:tc>
          <w:tcPr>
            <w:tcW w:w="2860" w:type="dxa"/>
            <w:vAlign w:val="bottom"/>
          </w:tcPr>
          <w:p>
            <w:pPr>
              <w:spacing w:after="0"/>
              <w:rPr>
                <w:sz w:val="21"/>
                <w:szCs w:val="21"/>
                <w:color w:val="auto"/>
              </w:rPr>
            </w:pPr>
          </w:p>
        </w:tc>
        <w:tc>
          <w:tcPr>
            <w:tcW w:w="5180" w:type="dxa"/>
            <w:vAlign w:val="bottom"/>
            <w:gridSpan w:val="3"/>
          </w:tcPr>
          <w:p>
            <w:pPr>
              <w:ind w:left="1540"/>
              <w:spacing w:after="0"/>
              <w:rPr>
                <w:sz w:val="20"/>
                <w:szCs w:val="20"/>
                <w:color w:val="auto"/>
              </w:rPr>
            </w:pPr>
            <w:r>
              <w:rPr>
                <w:rFonts w:ascii="Arial" w:cs="Arial" w:eastAsia="Arial" w:hAnsi="Arial"/>
                <w:sz w:val="10"/>
                <w:szCs w:val="10"/>
                <w:color w:val="auto"/>
              </w:rPr>
              <w:t>[t]</w:t>
            </w:r>
          </w:p>
        </w:tc>
        <w:tc>
          <w:tcPr>
            <w:tcW w:w="3380" w:type="dxa"/>
            <w:vAlign w:val="bottom"/>
          </w:tcPr>
          <w:p>
            <w:pPr>
              <w:jc w:val="right"/>
              <w:ind w:right="273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63"/>
        </w:trPr>
        <w:tc>
          <w:tcPr>
            <w:tcW w:w="2860" w:type="dxa"/>
            <w:vAlign w:val="bottom"/>
          </w:tcPr>
          <w:p>
            <w:pPr>
              <w:jc w:val="right"/>
              <w:ind w:right="2567"/>
              <w:spacing w:after="0"/>
              <w:rPr>
                <w:sz w:val="20"/>
                <w:szCs w:val="20"/>
                <w:color w:val="auto"/>
              </w:rPr>
            </w:pPr>
            <w:r>
              <w:rPr>
                <w:rFonts w:ascii="Arial" w:cs="Arial" w:eastAsia="Arial" w:hAnsi="Arial"/>
                <w:sz w:val="10"/>
                <w:szCs w:val="10"/>
                <w:b w:val="1"/>
                <w:bCs w:val="1"/>
                <w:color w:val="auto"/>
              </w:rPr>
              <w:t>[***]</w:t>
            </w:r>
          </w:p>
        </w:tc>
        <w:tc>
          <w:tcPr>
            <w:tcW w:w="5180" w:type="dxa"/>
            <w:vAlign w:val="bottom"/>
            <w:gridSpan w:val="3"/>
          </w:tcPr>
          <w:p>
            <w:pPr>
              <w:ind w:left="1500"/>
              <w:spacing w:after="0"/>
              <w:rPr>
                <w:sz w:val="20"/>
                <w:szCs w:val="20"/>
                <w:color w:val="auto"/>
              </w:rPr>
            </w:pPr>
            <w:r>
              <w:rPr>
                <w:rFonts w:ascii="Arial" w:cs="Arial" w:eastAsia="Arial" w:hAnsi="Arial"/>
                <w:sz w:val="10"/>
                <w:szCs w:val="10"/>
                <w:b w:val="1"/>
                <w:bCs w:val="1"/>
                <w:color w:val="auto"/>
              </w:rPr>
              <w:t>[u] = ([s] x ( 100% + [h]) x ([i] + [j]) x (100% +[k])) + [l] + [t]</w:t>
            </w:r>
          </w:p>
        </w:tc>
        <w:tc>
          <w:tcPr>
            <w:tcW w:w="3380" w:type="dxa"/>
            <w:vAlign w:val="bottom"/>
          </w:tcPr>
          <w:p>
            <w:pPr>
              <w:jc w:val="right"/>
              <w:ind w:right="273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476"/>
        </w:trPr>
        <w:tc>
          <w:tcPr>
            <w:tcW w:w="2860" w:type="dxa"/>
            <w:vAlign w:val="bottom"/>
          </w:tcPr>
          <w:p>
            <w:pPr>
              <w:spacing w:after="0"/>
              <w:rPr>
                <w:sz w:val="24"/>
                <w:szCs w:val="24"/>
                <w:color w:val="auto"/>
              </w:rPr>
            </w:pPr>
          </w:p>
        </w:tc>
        <w:tc>
          <w:tcPr>
            <w:tcW w:w="5180" w:type="dxa"/>
            <w:vAlign w:val="bottom"/>
            <w:gridSpan w:val="3"/>
          </w:tcPr>
          <w:p>
            <w:pPr>
              <w:ind w:left="1500"/>
              <w:spacing w:after="0"/>
              <w:rPr>
                <w:sz w:val="20"/>
                <w:szCs w:val="20"/>
                <w:color w:val="auto"/>
              </w:rPr>
            </w:pPr>
            <w:r>
              <w:rPr>
                <w:rFonts w:ascii="Arial" w:cs="Arial" w:eastAsia="Arial" w:hAnsi="Arial"/>
                <w:sz w:val="10"/>
                <w:szCs w:val="10"/>
                <w:color w:val="auto"/>
              </w:rPr>
              <w:t>[s]</w:t>
            </w:r>
          </w:p>
        </w:tc>
        <w:tc>
          <w:tcPr>
            <w:tcW w:w="3380" w:type="dxa"/>
            <w:vAlign w:val="bottom"/>
          </w:tcPr>
          <w:p>
            <w:pPr>
              <w:jc w:val="right"/>
              <w:ind w:right="273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388"/>
        </w:trPr>
        <w:tc>
          <w:tcPr>
            <w:tcW w:w="2860" w:type="dxa"/>
            <w:vAlign w:val="bottom"/>
          </w:tcPr>
          <w:p>
            <w:pPr>
              <w:jc w:val="right"/>
              <w:ind w:right="2567"/>
              <w:spacing w:after="0"/>
              <w:rPr>
                <w:sz w:val="20"/>
                <w:szCs w:val="20"/>
                <w:color w:val="auto"/>
              </w:rPr>
            </w:pPr>
            <w:r>
              <w:rPr>
                <w:rFonts w:ascii="Arial" w:cs="Arial" w:eastAsia="Arial" w:hAnsi="Arial"/>
                <w:sz w:val="10"/>
                <w:szCs w:val="10"/>
                <w:color w:val="auto"/>
              </w:rPr>
              <w:t>[***]</w:t>
            </w:r>
          </w:p>
        </w:tc>
        <w:tc>
          <w:tcPr>
            <w:tcW w:w="5180" w:type="dxa"/>
            <w:vAlign w:val="bottom"/>
            <w:gridSpan w:val="3"/>
          </w:tcPr>
          <w:p>
            <w:pPr>
              <w:ind w:left="1540"/>
              <w:spacing w:after="0"/>
              <w:rPr>
                <w:sz w:val="20"/>
                <w:szCs w:val="20"/>
                <w:color w:val="auto"/>
              </w:rPr>
            </w:pPr>
            <w:r>
              <w:rPr>
                <w:rFonts w:ascii="Arial" w:cs="Arial" w:eastAsia="Arial" w:hAnsi="Arial"/>
                <w:sz w:val="10"/>
                <w:szCs w:val="10"/>
                <w:color w:val="auto"/>
              </w:rPr>
              <w:t>[v]</w:t>
            </w:r>
          </w:p>
        </w:tc>
        <w:tc>
          <w:tcPr>
            <w:tcW w:w="3380" w:type="dxa"/>
            <w:vAlign w:val="bottom"/>
          </w:tcPr>
          <w:p>
            <w:pPr>
              <w:jc w:val="right"/>
              <w:ind w:right="273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250"/>
        </w:trPr>
        <w:tc>
          <w:tcPr>
            <w:tcW w:w="2860" w:type="dxa"/>
            <w:vAlign w:val="bottom"/>
          </w:tcPr>
          <w:p>
            <w:pPr>
              <w:spacing w:after="0"/>
              <w:rPr>
                <w:sz w:val="21"/>
                <w:szCs w:val="21"/>
                <w:color w:val="auto"/>
              </w:rPr>
            </w:pPr>
          </w:p>
        </w:tc>
        <w:tc>
          <w:tcPr>
            <w:tcW w:w="5180" w:type="dxa"/>
            <w:vAlign w:val="bottom"/>
            <w:gridSpan w:val="3"/>
          </w:tcPr>
          <w:p>
            <w:pPr>
              <w:ind w:left="1540"/>
              <w:spacing w:after="0"/>
              <w:rPr>
                <w:sz w:val="20"/>
                <w:szCs w:val="20"/>
                <w:color w:val="auto"/>
              </w:rPr>
            </w:pPr>
            <w:r>
              <w:rPr>
                <w:rFonts w:ascii="Arial" w:cs="Arial" w:eastAsia="Arial" w:hAnsi="Arial"/>
                <w:sz w:val="10"/>
                <w:szCs w:val="10"/>
                <w:color w:val="auto"/>
              </w:rPr>
              <w:t>[w]</w:t>
            </w:r>
          </w:p>
        </w:tc>
        <w:tc>
          <w:tcPr>
            <w:tcW w:w="3380" w:type="dxa"/>
            <w:vAlign w:val="bottom"/>
          </w:tcPr>
          <w:p>
            <w:pPr>
              <w:jc w:val="right"/>
              <w:ind w:right="273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250"/>
        </w:trPr>
        <w:tc>
          <w:tcPr>
            <w:tcW w:w="2860" w:type="dxa"/>
            <w:vAlign w:val="bottom"/>
          </w:tcPr>
          <w:p>
            <w:pPr>
              <w:spacing w:after="0"/>
              <w:rPr>
                <w:sz w:val="21"/>
                <w:szCs w:val="21"/>
                <w:color w:val="auto"/>
              </w:rPr>
            </w:pPr>
          </w:p>
        </w:tc>
        <w:tc>
          <w:tcPr>
            <w:tcW w:w="5180" w:type="dxa"/>
            <w:vAlign w:val="bottom"/>
            <w:gridSpan w:val="3"/>
          </w:tcPr>
          <w:p>
            <w:pPr>
              <w:ind w:left="1540"/>
              <w:spacing w:after="0"/>
              <w:rPr>
                <w:sz w:val="20"/>
                <w:szCs w:val="20"/>
                <w:color w:val="auto"/>
              </w:rPr>
            </w:pPr>
            <w:r>
              <w:rPr>
                <w:rFonts w:ascii="Arial" w:cs="Arial" w:eastAsia="Arial" w:hAnsi="Arial"/>
                <w:sz w:val="10"/>
                <w:szCs w:val="10"/>
                <w:color w:val="auto"/>
              </w:rPr>
              <w:t>[x]</w:t>
            </w:r>
          </w:p>
        </w:tc>
        <w:tc>
          <w:tcPr>
            <w:tcW w:w="3380" w:type="dxa"/>
            <w:vAlign w:val="bottom"/>
          </w:tcPr>
          <w:p>
            <w:pPr>
              <w:jc w:val="right"/>
              <w:ind w:right="273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250"/>
        </w:trPr>
        <w:tc>
          <w:tcPr>
            <w:tcW w:w="2860" w:type="dxa"/>
            <w:vAlign w:val="bottom"/>
          </w:tcPr>
          <w:p>
            <w:pPr>
              <w:spacing w:after="0"/>
              <w:rPr>
                <w:sz w:val="21"/>
                <w:szCs w:val="21"/>
                <w:color w:val="auto"/>
              </w:rPr>
            </w:pPr>
          </w:p>
        </w:tc>
        <w:tc>
          <w:tcPr>
            <w:tcW w:w="5180" w:type="dxa"/>
            <w:vAlign w:val="bottom"/>
            <w:gridSpan w:val="3"/>
          </w:tcPr>
          <w:p>
            <w:pPr>
              <w:ind w:left="1540"/>
              <w:spacing w:after="0"/>
              <w:rPr>
                <w:sz w:val="20"/>
                <w:szCs w:val="20"/>
                <w:color w:val="auto"/>
              </w:rPr>
            </w:pPr>
            <w:r>
              <w:rPr>
                <w:rFonts w:ascii="Arial" w:cs="Arial" w:eastAsia="Arial" w:hAnsi="Arial"/>
                <w:sz w:val="10"/>
                <w:szCs w:val="10"/>
                <w:color w:val="auto"/>
              </w:rPr>
              <w:t>[y]</w:t>
            </w:r>
          </w:p>
        </w:tc>
        <w:tc>
          <w:tcPr>
            <w:tcW w:w="3380" w:type="dxa"/>
            <w:vAlign w:val="bottom"/>
          </w:tcPr>
          <w:p>
            <w:pPr>
              <w:jc w:val="right"/>
              <w:ind w:right="273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20"/>
        </w:trPr>
        <w:tc>
          <w:tcPr>
            <w:tcW w:w="286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3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2860" w:type="dxa"/>
            <w:vAlign w:val="bottom"/>
          </w:tcPr>
          <w:p>
            <w:pPr>
              <w:jc w:val="right"/>
              <w:ind w:right="2567"/>
              <w:spacing w:after="0"/>
              <w:rPr>
                <w:sz w:val="20"/>
                <w:szCs w:val="20"/>
                <w:color w:val="auto"/>
              </w:rPr>
            </w:pPr>
            <w:r>
              <w:rPr>
                <w:rFonts w:ascii="Arial" w:cs="Arial" w:eastAsia="Arial" w:hAnsi="Arial"/>
                <w:sz w:val="10"/>
                <w:szCs w:val="10"/>
                <w:color w:val="auto"/>
              </w:rPr>
              <w:t>[***]</w:t>
            </w:r>
          </w:p>
        </w:tc>
        <w:tc>
          <w:tcPr>
            <w:tcW w:w="5180" w:type="dxa"/>
            <w:vAlign w:val="bottom"/>
            <w:gridSpan w:val="3"/>
          </w:tcPr>
          <w:p>
            <w:pPr>
              <w:ind w:left="1540"/>
              <w:spacing w:after="0"/>
              <w:rPr>
                <w:sz w:val="20"/>
                <w:szCs w:val="20"/>
                <w:color w:val="auto"/>
              </w:rPr>
            </w:pPr>
            <w:r>
              <w:rPr>
                <w:rFonts w:ascii="Arial" w:cs="Arial" w:eastAsia="Arial" w:hAnsi="Arial"/>
                <w:sz w:val="10"/>
                <w:szCs w:val="10"/>
                <w:color w:val="auto"/>
              </w:rPr>
              <w:t>[z] = - [v] + [w] + [x] + [y]</w:t>
            </w:r>
          </w:p>
        </w:tc>
        <w:tc>
          <w:tcPr>
            <w:tcW w:w="3380" w:type="dxa"/>
            <w:vAlign w:val="bottom"/>
          </w:tcPr>
          <w:p>
            <w:pPr>
              <w:jc w:val="right"/>
              <w:ind w:right="273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476"/>
        </w:trPr>
        <w:tc>
          <w:tcPr>
            <w:tcW w:w="2860" w:type="dxa"/>
            <w:vAlign w:val="bottom"/>
          </w:tcPr>
          <w:p>
            <w:pPr>
              <w:spacing w:after="0"/>
              <w:rPr>
                <w:sz w:val="24"/>
                <w:szCs w:val="24"/>
                <w:color w:val="auto"/>
              </w:rPr>
            </w:pPr>
          </w:p>
        </w:tc>
        <w:tc>
          <w:tcPr>
            <w:tcW w:w="5180" w:type="dxa"/>
            <w:vAlign w:val="bottom"/>
            <w:gridSpan w:val="3"/>
          </w:tcPr>
          <w:p>
            <w:pPr>
              <w:ind w:left="1500"/>
              <w:spacing w:after="0"/>
              <w:rPr>
                <w:sz w:val="20"/>
                <w:szCs w:val="20"/>
                <w:color w:val="auto"/>
              </w:rPr>
            </w:pPr>
            <w:r>
              <w:rPr>
                <w:rFonts w:ascii="Arial" w:cs="Arial" w:eastAsia="Arial" w:hAnsi="Arial"/>
                <w:sz w:val="10"/>
                <w:szCs w:val="10"/>
                <w:b w:val="1"/>
                <w:bCs w:val="1"/>
                <w:color w:val="auto"/>
              </w:rPr>
              <w:t>[aa] = [s] + [z]</w:t>
            </w:r>
          </w:p>
        </w:tc>
        <w:tc>
          <w:tcPr>
            <w:tcW w:w="3380" w:type="dxa"/>
            <w:vAlign w:val="bottom"/>
          </w:tcPr>
          <w:p>
            <w:pPr>
              <w:jc w:val="right"/>
              <w:ind w:right="2730"/>
              <w:spacing w:after="0"/>
              <w:rPr>
                <w:sz w:val="20"/>
                <w:szCs w:val="20"/>
                <w:color w:val="auto"/>
              </w:rPr>
            </w:pPr>
            <w:r>
              <w:rPr>
                <w:rFonts w:ascii="Arial" w:cs="Arial" w:eastAsia="Arial" w:hAnsi="Arial"/>
                <w:sz w:val="10"/>
                <w:szCs w:val="10"/>
                <w:b w:val="1"/>
                <w:bCs w:val="1"/>
                <w:color w:val="auto"/>
              </w:rPr>
              <w:t>$</w:t>
            </w:r>
          </w:p>
        </w:tc>
        <w:tc>
          <w:tcPr>
            <w:tcW w:w="0" w:type="dxa"/>
            <w:vAlign w:val="bottom"/>
          </w:tcPr>
          <w:p>
            <w:pPr>
              <w:spacing w:after="0"/>
              <w:rPr>
                <w:sz w:val="1"/>
                <w:szCs w:val="1"/>
                <w:color w:val="auto"/>
              </w:rPr>
            </w:pPr>
          </w:p>
        </w:tc>
      </w:tr>
      <w:tr>
        <w:trPr>
          <w:trHeight w:val="476"/>
        </w:trPr>
        <w:tc>
          <w:tcPr>
            <w:tcW w:w="2860" w:type="dxa"/>
            <w:vAlign w:val="bottom"/>
          </w:tcPr>
          <w:p>
            <w:pPr>
              <w:spacing w:after="0"/>
              <w:rPr>
                <w:sz w:val="24"/>
                <w:szCs w:val="24"/>
                <w:color w:val="auto"/>
              </w:rPr>
            </w:pPr>
          </w:p>
        </w:tc>
        <w:tc>
          <w:tcPr>
            <w:tcW w:w="5180" w:type="dxa"/>
            <w:vAlign w:val="bottom"/>
            <w:gridSpan w:val="3"/>
          </w:tcPr>
          <w:p>
            <w:pPr>
              <w:ind w:left="1540"/>
              <w:spacing w:after="0"/>
              <w:rPr>
                <w:sz w:val="20"/>
                <w:szCs w:val="20"/>
                <w:color w:val="auto"/>
              </w:rPr>
            </w:pPr>
            <w:r>
              <w:rPr>
                <w:rFonts w:ascii="Arial" w:cs="Arial" w:eastAsia="Arial" w:hAnsi="Arial"/>
                <w:sz w:val="10"/>
                <w:szCs w:val="10"/>
                <w:color w:val="auto"/>
              </w:rPr>
              <w:t>[h]</w:t>
            </w:r>
          </w:p>
        </w:tc>
        <w:tc>
          <w:tcPr>
            <w:tcW w:w="338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63"/>
        </w:trPr>
        <w:tc>
          <w:tcPr>
            <w:tcW w:w="2860" w:type="dxa"/>
            <w:vAlign w:val="bottom"/>
          </w:tcPr>
          <w:p>
            <w:pPr>
              <w:jc w:val="right"/>
              <w:ind w:right="2567"/>
              <w:spacing w:after="0"/>
              <w:rPr>
                <w:sz w:val="20"/>
                <w:szCs w:val="20"/>
                <w:color w:val="auto"/>
              </w:rPr>
            </w:pPr>
            <w:r>
              <w:rPr>
                <w:rFonts w:ascii="Arial" w:cs="Arial" w:eastAsia="Arial" w:hAnsi="Arial"/>
                <w:sz w:val="10"/>
                <w:szCs w:val="10"/>
                <w:color w:val="auto"/>
              </w:rPr>
              <w:t>[***]</w:t>
            </w:r>
          </w:p>
        </w:tc>
        <w:tc>
          <w:tcPr>
            <w:tcW w:w="5180" w:type="dxa"/>
            <w:vAlign w:val="bottom"/>
            <w:gridSpan w:val="3"/>
          </w:tcPr>
          <w:p>
            <w:pPr>
              <w:ind w:left="1540"/>
              <w:spacing w:after="0"/>
              <w:rPr>
                <w:sz w:val="20"/>
                <w:szCs w:val="20"/>
                <w:color w:val="auto"/>
              </w:rPr>
            </w:pPr>
            <w:r>
              <w:rPr>
                <w:rFonts w:ascii="Arial" w:cs="Arial" w:eastAsia="Arial" w:hAnsi="Arial"/>
                <w:sz w:val="10"/>
                <w:szCs w:val="10"/>
                <w:color w:val="auto"/>
              </w:rPr>
              <w:t>[i]</w:t>
            </w:r>
          </w:p>
        </w:tc>
        <w:tc>
          <w:tcPr>
            <w:tcW w:w="338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250"/>
        </w:trPr>
        <w:tc>
          <w:tcPr>
            <w:tcW w:w="2860" w:type="dxa"/>
            <w:vAlign w:val="bottom"/>
          </w:tcPr>
          <w:p>
            <w:pPr>
              <w:spacing w:after="0"/>
              <w:rPr>
                <w:sz w:val="21"/>
                <w:szCs w:val="21"/>
                <w:color w:val="auto"/>
              </w:rPr>
            </w:pPr>
          </w:p>
        </w:tc>
        <w:tc>
          <w:tcPr>
            <w:tcW w:w="5180" w:type="dxa"/>
            <w:vAlign w:val="bottom"/>
            <w:gridSpan w:val="3"/>
          </w:tcPr>
          <w:p>
            <w:pPr>
              <w:ind w:left="1540"/>
              <w:spacing w:after="0"/>
              <w:rPr>
                <w:sz w:val="20"/>
                <w:szCs w:val="20"/>
                <w:color w:val="auto"/>
              </w:rPr>
            </w:pPr>
            <w:r>
              <w:rPr>
                <w:rFonts w:ascii="Arial" w:cs="Arial" w:eastAsia="Arial" w:hAnsi="Arial"/>
                <w:sz w:val="10"/>
                <w:szCs w:val="10"/>
                <w:color w:val="auto"/>
              </w:rPr>
              <w:t>[j]</w:t>
            </w:r>
          </w:p>
        </w:tc>
        <w:tc>
          <w:tcPr>
            <w:tcW w:w="338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250"/>
        </w:trPr>
        <w:tc>
          <w:tcPr>
            <w:tcW w:w="2860" w:type="dxa"/>
            <w:vAlign w:val="bottom"/>
          </w:tcPr>
          <w:p>
            <w:pPr>
              <w:spacing w:after="0"/>
              <w:rPr>
                <w:sz w:val="21"/>
                <w:szCs w:val="21"/>
                <w:color w:val="auto"/>
              </w:rPr>
            </w:pPr>
          </w:p>
        </w:tc>
        <w:tc>
          <w:tcPr>
            <w:tcW w:w="5180" w:type="dxa"/>
            <w:vAlign w:val="bottom"/>
            <w:gridSpan w:val="3"/>
          </w:tcPr>
          <w:p>
            <w:pPr>
              <w:ind w:left="1540"/>
              <w:spacing w:after="0"/>
              <w:rPr>
                <w:sz w:val="20"/>
                <w:szCs w:val="20"/>
                <w:color w:val="auto"/>
              </w:rPr>
            </w:pPr>
            <w:r>
              <w:rPr>
                <w:rFonts w:ascii="Arial" w:cs="Arial" w:eastAsia="Arial" w:hAnsi="Arial"/>
                <w:sz w:val="10"/>
                <w:szCs w:val="10"/>
                <w:color w:val="auto"/>
              </w:rPr>
              <w:t>[k]</w:t>
            </w:r>
          </w:p>
        </w:tc>
        <w:tc>
          <w:tcPr>
            <w:tcW w:w="338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63"/>
        </w:trPr>
        <w:tc>
          <w:tcPr>
            <w:tcW w:w="2860" w:type="dxa"/>
            <w:vAlign w:val="bottom"/>
          </w:tcPr>
          <w:p>
            <w:pPr>
              <w:jc w:val="right"/>
              <w:ind w:right="2567"/>
              <w:spacing w:after="0"/>
              <w:rPr>
                <w:sz w:val="20"/>
                <w:szCs w:val="20"/>
                <w:color w:val="auto"/>
              </w:rPr>
            </w:pPr>
            <w:r>
              <w:rPr>
                <w:rFonts w:ascii="Arial" w:cs="Arial" w:eastAsia="Arial" w:hAnsi="Arial"/>
                <w:sz w:val="10"/>
                <w:szCs w:val="10"/>
                <w:color w:val="auto"/>
              </w:rPr>
              <w:t>[***]</w:t>
            </w:r>
          </w:p>
        </w:tc>
        <w:tc>
          <w:tcPr>
            <w:tcW w:w="5180" w:type="dxa"/>
            <w:vAlign w:val="bottom"/>
            <w:gridSpan w:val="3"/>
          </w:tcPr>
          <w:p>
            <w:pPr>
              <w:ind w:left="1540"/>
              <w:spacing w:after="0"/>
              <w:rPr>
                <w:sz w:val="20"/>
                <w:szCs w:val="20"/>
                <w:color w:val="auto"/>
              </w:rPr>
            </w:pPr>
            <w:r>
              <w:rPr>
                <w:rFonts w:ascii="Arial" w:cs="Arial" w:eastAsia="Arial" w:hAnsi="Arial"/>
                <w:sz w:val="10"/>
                <w:szCs w:val="10"/>
                <w:color w:val="auto"/>
              </w:rPr>
              <w:t>[l]</w:t>
            </w:r>
          </w:p>
        </w:tc>
        <w:tc>
          <w:tcPr>
            <w:tcW w:w="3380" w:type="dxa"/>
            <w:vAlign w:val="bottom"/>
          </w:tcPr>
          <w:p>
            <w:pPr>
              <w:jc w:val="right"/>
              <w:ind w:right="273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250"/>
        </w:trPr>
        <w:tc>
          <w:tcPr>
            <w:tcW w:w="2860" w:type="dxa"/>
            <w:vAlign w:val="bottom"/>
          </w:tcPr>
          <w:p>
            <w:pPr>
              <w:spacing w:after="0"/>
              <w:rPr>
                <w:sz w:val="21"/>
                <w:szCs w:val="21"/>
                <w:color w:val="auto"/>
              </w:rPr>
            </w:pPr>
          </w:p>
        </w:tc>
        <w:tc>
          <w:tcPr>
            <w:tcW w:w="5180" w:type="dxa"/>
            <w:vAlign w:val="bottom"/>
            <w:gridSpan w:val="3"/>
          </w:tcPr>
          <w:p>
            <w:pPr>
              <w:ind w:left="1540"/>
              <w:spacing w:after="0"/>
              <w:rPr>
                <w:sz w:val="20"/>
                <w:szCs w:val="20"/>
                <w:color w:val="auto"/>
              </w:rPr>
            </w:pPr>
            <w:r>
              <w:rPr>
                <w:rFonts w:ascii="Arial" w:cs="Arial" w:eastAsia="Arial" w:hAnsi="Arial"/>
                <w:sz w:val="10"/>
                <w:szCs w:val="10"/>
                <w:color w:val="auto"/>
              </w:rPr>
              <w:t>[t]</w:t>
            </w:r>
          </w:p>
        </w:tc>
        <w:tc>
          <w:tcPr>
            <w:tcW w:w="3380" w:type="dxa"/>
            <w:vAlign w:val="bottom"/>
          </w:tcPr>
          <w:p>
            <w:pPr>
              <w:jc w:val="right"/>
              <w:ind w:right="273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250"/>
        </w:trPr>
        <w:tc>
          <w:tcPr>
            <w:tcW w:w="2860" w:type="dxa"/>
            <w:vAlign w:val="bottom"/>
          </w:tcPr>
          <w:p>
            <w:pPr>
              <w:spacing w:after="0"/>
              <w:rPr>
                <w:sz w:val="21"/>
                <w:szCs w:val="21"/>
                <w:color w:val="auto"/>
              </w:rPr>
            </w:pPr>
          </w:p>
        </w:tc>
        <w:tc>
          <w:tcPr>
            <w:tcW w:w="5180" w:type="dxa"/>
            <w:vAlign w:val="bottom"/>
            <w:gridSpan w:val="3"/>
          </w:tcPr>
          <w:p>
            <w:pPr>
              <w:ind w:left="1500"/>
              <w:spacing w:after="0"/>
              <w:rPr>
                <w:sz w:val="20"/>
                <w:szCs w:val="20"/>
                <w:color w:val="auto"/>
              </w:rPr>
            </w:pPr>
            <w:r>
              <w:rPr>
                <w:rFonts w:ascii="Arial" w:cs="Arial" w:eastAsia="Arial" w:hAnsi="Arial"/>
                <w:sz w:val="10"/>
                <w:szCs w:val="10"/>
                <w:color w:val="auto"/>
              </w:rPr>
              <w:t>[bb]</w:t>
            </w:r>
          </w:p>
        </w:tc>
        <w:tc>
          <w:tcPr>
            <w:tcW w:w="3380" w:type="dxa"/>
            <w:vAlign w:val="bottom"/>
          </w:tcPr>
          <w:p>
            <w:pPr>
              <w:jc w:val="right"/>
              <w:ind w:right="273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388"/>
        </w:trPr>
        <w:tc>
          <w:tcPr>
            <w:tcW w:w="2860" w:type="dxa"/>
            <w:vAlign w:val="bottom"/>
          </w:tcPr>
          <w:p>
            <w:pPr>
              <w:jc w:val="right"/>
              <w:ind w:right="2567"/>
              <w:spacing w:after="0"/>
              <w:rPr>
                <w:sz w:val="20"/>
                <w:szCs w:val="20"/>
                <w:color w:val="auto"/>
              </w:rPr>
            </w:pPr>
            <w:r>
              <w:rPr>
                <w:rFonts w:ascii="Arial" w:cs="Arial" w:eastAsia="Arial" w:hAnsi="Arial"/>
                <w:sz w:val="10"/>
                <w:szCs w:val="10"/>
                <w:b w:val="1"/>
                <w:bCs w:val="1"/>
                <w:color w:val="auto"/>
              </w:rPr>
              <w:t>[***]</w:t>
            </w:r>
          </w:p>
        </w:tc>
        <w:tc>
          <w:tcPr>
            <w:tcW w:w="5180" w:type="dxa"/>
            <w:vAlign w:val="bottom"/>
            <w:gridSpan w:val="3"/>
          </w:tcPr>
          <w:p>
            <w:pPr>
              <w:ind w:left="1500"/>
              <w:spacing w:after="0"/>
              <w:rPr>
                <w:sz w:val="20"/>
                <w:szCs w:val="20"/>
                <w:color w:val="auto"/>
              </w:rPr>
            </w:pPr>
            <w:r>
              <w:rPr>
                <w:rFonts w:ascii="Arial" w:cs="Arial" w:eastAsia="Arial" w:hAnsi="Arial"/>
                <w:sz w:val="10"/>
                <w:szCs w:val="10"/>
                <w:b w:val="1"/>
                <w:bCs w:val="1"/>
                <w:color w:val="auto"/>
              </w:rPr>
              <w:t>[cc] = ([aa] x (100% + [h]) x ([i] + [j]) x (100%+[k]))) + [l] + [t] + [bb]</w:t>
            </w:r>
          </w:p>
        </w:tc>
        <w:tc>
          <w:tcPr>
            <w:tcW w:w="3380" w:type="dxa"/>
            <w:vAlign w:val="bottom"/>
          </w:tcPr>
          <w:p>
            <w:pPr>
              <w:jc w:val="right"/>
              <w:ind w:right="2730"/>
              <w:spacing w:after="0"/>
              <w:rPr>
                <w:sz w:val="20"/>
                <w:szCs w:val="20"/>
                <w:color w:val="auto"/>
              </w:rPr>
            </w:pPr>
            <w:r>
              <w:rPr>
                <w:rFonts w:ascii="Arial" w:cs="Arial" w:eastAsia="Arial" w:hAnsi="Arial"/>
                <w:sz w:val="10"/>
                <w:szCs w:val="10"/>
                <w:b w:val="1"/>
                <w:bCs w:val="1"/>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74" w:right="239" w:bottom="1440" w:gutter="0" w:footer="0" w:header="0"/>
        </w:sectPr>
      </w:pPr>
    </w:p>
    <w:p>
      <w:pPr>
        <w:spacing w:after="0" w:line="3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Appendix 2.7 - 1</w:t>
      </w:r>
    </w:p>
    <w:p>
      <w:pPr>
        <w:sectPr>
          <w:pgSz w:w="11900" w:h="16838" w:orient="portrait"/>
          <w:cols w:equalWidth="0" w:num="1">
            <w:col w:w="11420"/>
          </w:cols>
          <w:pgMar w:left="240" w:top="1174" w:right="239" w:bottom="1440" w:gutter="0" w:footer="0" w:header="0"/>
          <w:type w:val="continuous"/>
        </w:sectPr>
      </w:pPr>
    </w:p>
    <w:bookmarkStart w:id="171" w:name="page172"/>
    <w:bookmarkEnd w:id="171"/>
    <w:p>
      <w:pPr>
        <w:spacing w:after="0"/>
        <w:rPr>
          <w:sz w:val="20"/>
          <w:szCs w:val="20"/>
          <w:color w:val="auto"/>
        </w:rPr>
      </w:pPr>
      <w:r>
        <w:rPr>
          <w:rFonts w:ascii="Arial" w:cs="Arial" w:eastAsia="Arial" w:hAnsi="Arial"/>
          <w:sz w:val="17"/>
          <w:szCs w:val="17"/>
          <w:b w:val="1"/>
          <w:bCs w:val="1"/>
          <w:u w:val="single" w:color="auto"/>
          <w:color w:val="auto"/>
        </w:rPr>
        <w:t>Schedule 1 to Appendix 2.7</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ANNUITY EXHIBIT SAMPLE</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GA-XXXX</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Vita</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Annuitants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Annuity Commencement Date is Month 1, 20XX</w:t>
      </w:r>
    </w:p>
    <w:p>
      <w:pPr>
        <w:spacing w:after="0" w:line="248" w:lineRule="exact"/>
        <w:rPr>
          <w:sz w:val="20"/>
          <w:szCs w:val="20"/>
          <w:color w:val="auto"/>
        </w:rPr>
      </w:pPr>
    </w:p>
    <w:p>
      <w:pPr>
        <w:ind w:left="20"/>
        <w:spacing w:after="0"/>
        <w:rPr>
          <w:sz w:val="20"/>
          <w:szCs w:val="20"/>
          <w:color w:val="auto"/>
        </w:rPr>
      </w:pPr>
      <w:r>
        <w:rPr>
          <w:rFonts w:ascii="Arial" w:cs="Arial" w:eastAsia="Arial" w:hAnsi="Arial"/>
          <w:sz w:val="10"/>
          <w:szCs w:val="10"/>
          <w:b w:val="1"/>
          <w:bCs w:val="1"/>
          <w:color w:val="auto"/>
        </w:rPr>
        <w:t xml:space="preserve">Indicator if field is applicable to each annuity form. </w:t>
      </w:r>
      <w:r>
        <w:rPr>
          <w:rFonts w:ascii="Arial" w:cs="Arial" w:eastAsia="Arial" w:hAnsi="Arial"/>
          <w:sz w:val="10"/>
          <w:szCs w:val="10"/>
          <w:b w:val="1"/>
          <w:bCs w:val="1"/>
          <w:color w:val="FF0000"/>
        </w:rPr>
        <w:t>This is linked to the Exhibit</w:t>
      </w:r>
      <w:r>
        <w:rPr>
          <w:rFonts w:ascii="Arial" w:cs="Arial" w:eastAsia="Arial" w:hAnsi="Arial"/>
          <w:sz w:val="10"/>
          <w:szCs w:val="10"/>
          <w:b w:val="1"/>
          <w:bCs w:val="1"/>
          <w:color w:val="auto"/>
        </w:rPr>
        <w:t xml:space="preserve"> </w:t>
      </w:r>
      <w:r>
        <w:rPr>
          <w:rFonts w:ascii="Arial" w:cs="Arial" w:eastAsia="Arial" w:hAnsi="Arial"/>
          <w:sz w:val="10"/>
          <w:szCs w:val="10"/>
          <w:color w:val="auto"/>
        </w:rPr>
        <w:t>(1=Yes)</w:t>
      </w:r>
    </w:p>
    <w:p>
      <w:pPr>
        <w:spacing w:after="0" w:line="91" w:lineRule="exact"/>
        <w:rPr>
          <w:sz w:val="20"/>
          <w:szCs w:val="20"/>
          <w:color w:val="auto"/>
        </w:rPr>
      </w:pPr>
    </w:p>
    <w:tbl>
      <w:tblPr>
        <w:tblLayout w:type="fixed"/>
        <w:tblInd w:w="20" w:type="dxa"/>
        <w:tblCellMar>
          <w:top w:w="0" w:type="dxa"/>
          <w:left w:w="0" w:type="dxa"/>
          <w:bottom w:w="0" w:type="dxa"/>
          <w:right w:w="0" w:type="dxa"/>
        </w:tblCellMar>
      </w:tblPr>
      <w:tr>
        <w:trPr>
          <w:trHeight w:val="127"/>
        </w:trPr>
        <w:tc>
          <w:tcPr>
            <w:tcW w:w="2220" w:type="dxa"/>
            <w:vAlign w:val="bottom"/>
            <w:gridSpan w:val="2"/>
          </w:tcPr>
          <w:p>
            <w:pPr>
              <w:spacing w:after="0"/>
              <w:rPr>
                <w:sz w:val="20"/>
                <w:szCs w:val="20"/>
                <w:color w:val="auto"/>
              </w:rPr>
            </w:pPr>
            <w:r>
              <w:rPr>
                <w:rFonts w:ascii="Arial" w:cs="Arial" w:eastAsia="Arial" w:hAnsi="Arial"/>
                <w:sz w:val="10"/>
                <w:szCs w:val="10"/>
                <w:color w:val="auto"/>
              </w:rPr>
              <w:t>Spousal Joint and Survivor Life Annuity</w:t>
            </w:r>
          </w:p>
        </w:tc>
        <w:tc>
          <w:tcPr>
            <w:tcW w:w="320" w:type="dxa"/>
            <w:vAlign w:val="bottom"/>
          </w:tcPr>
          <w:p>
            <w:pPr>
              <w:jc w:val="right"/>
              <w:spacing w:after="0"/>
              <w:rPr>
                <w:sz w:val="20"/>
                <w:szCs w:val="20"/>
                <w:color w:val="auto"/>
              </w:rPr>
            </w:pPr>
            <w:r>
              <w:rPr>
                <w:rFonts w:ascii="Arial" w:cs="Arial" w:eastAsia="Arial" w:hAnsi="Arial"/>
                <w:sz w:val="10"/>
                <w:szCs w:val="10"/>
                <w:color w:val="auto"/>
              </w:rPr>
              <w:t>1</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gridSpan w:val="3"/>
          </w:tcPr>
          <w:p>
            <w:pPr>
              <w:jc w:val="right"/>
              <w:ind w:right="20"/>
              <w:spacing w:after="0"/>
              <w:rPr>
                <w:sz w:val="20"/>
                <w:szCs w:val="20"/>
                <w:color w:val="auto"/>
              </w:rPr>
            </w:pPr>
            <w:r>
              <w:rPr>
                <w:rFonts w:ascii="Arial" w:cs="Arial" w:eastAsia="Arial" w:hAnsi="Arial"/>
                <w:sz w:val="10"/>
                <w:szCs w:val="10"/>
                <w:color w:val="auto"/>
              </w:rPr>
              <w:t>1</w:t>
            </w:r>
          </w:p>
        </w:tc>
        <w:tc>
          <w:tcPr>
            <w:tcW w:w="60" w:type="dxa"/>
            <w:vAlign w:val="bottom"/>
          </w:tcPr>
          <w:p>
            <w:pPr>
              <w:spacing w:after="0"/>
              <w:rPr>
                <w:sz w:val="11"/>
                <w:szCs w:val="11"/>
                <w:color w:val="auto"/>
              </w:rPr>
            </w:pPr>
          </w:p>
        </w:tc>
        <w:tc>
          <w:tcPr>
            <w:tcW w:w="320" w:type="dxa"/>
            <w:vAlign w:val="bottom"/>
            <w:gridSpan w:val="3"/>
          </w:tcPr>
          <w:p>
            <w:pPr>
              <w:jc w:val="right"/>
              <w:ind w:right="60"/>
              <w:spacing w:after="0"/>
              <w:rPr>
                <w:sz w:val="20"/>
                <w:szCs w:val="20"/>
                <w:color w:val="auto"/>
              </w:rPr>
            </w:pPr>
            <w:r>
              <w:rPr>
                <w:rFonts w:ascii="Arial" w:cs="Arial" w:eastAsia="Arial" w:hAnsi="Arial"/>
                <w:sz w:val="10"/>
                <w:szCs w:val="10"/>
                <w:color w:val="auto"/>
              </w:rPr>
              <w:t>1</w:t>
            </w:r>
          </w:p>
        </w:tc>
        <w:tc>
          <w:tcPr>
            <w:tcW w:w="460" w:type="dxa"/>
            <w:vAlign w:val="bottom"/>
            <w:gridSpan w:val="3"/>
          </w:tcPr>
          <w:p>
            <w:pPr>
              <w:jc w:val="right"/>
              <w:ind w:right="80"/>
              <w:spacing w:after="0"/>
              <w:rPr>
                <w:sz w:val="20"/>
                <w:szCs w:val="20"/>
                <w:color w:val="auto"/>
              </w:rPr>
            </w:pPr>
            <w:r>
              <w:rPr>
                <w:rFonts w:ascii="Arial" w:cs="Arial" w:eastAsia="Arial" w:hAnsi="Arial"/>
                <w:sz w:val="10"/>
                <w:szCs w:val="10"/>
                <w:color w:val="auto"/>
              </w:rPr>
              <w:t>1</w:t>
            </w:r>
          </w:p>
        </w:tc>
        <w:tc>
          <w:tcPr>
            <w:tcW w:w="440" w:type="dxa"/>
            <w:vAlign w:val="bottom"/>
            <w:gridSpan w:val="4"/>
          </w:tcPr>
          <w:p>
            <w:pPr>
              <w:jc w:val="right"/>
              <w:ind w:right="60"/>
              <w:spacing w:after="0"/>
              <w:rPr>
                <w:sz w:val="20"/>
                <w:szCs w:val="20"/>
                <w:color w:val="auto"/>
              </w:rPr>
            </w:pPr>
            <w:r>
              <w:rPr>
                <w:rFonts w:ascii="Arial" w:cs="Arial" w:eastAsia="Arial" w:hAnsi="Arial"/>
                <w:sz w:val="10"/>
                <w:szCs w:val="10"/>
                <w:color w:val="auto"/>
              </w:rPr>
              <w:t>1</w:t>
            </w:r>
          </w:p>
        </w:tc>
        <w:tc>
          <w:tcPr>
            <w:tcW w:w="740" w:type="dxa"/>
            <w:vAlign w:val="bottom"/>
            <w:gridSpan w:val="3"/>
          </w:tcPr>
          <w:p>
            <w:pPr>
              <w:jc w:val="right"/>
              <w:ind w:right="20"/>
              <w:spacing w:after="0"/>
              <w:rPr>
                <w:sz w:val="20"/>
                <w:szCs w:val="20"/>
                <w:color w:val="auto"/>
              </w:rPr>
            </w:pPr>
            <w:r>
              <w:rPr>
                <w:rFonts w:ascii="Arial" w:cs="Arial" w:eastAsia="Arial" w:hAnsi="Arial"/>
                <w:sz w:val="10"/>
                <w:szCs w:val="10"/>
                <w:color w:val="auto"/>
              </w:rPr>
              <w:t>1</w:t>
            </w:r>
          </w:p>
        </w:tc>
        <w:tc>
          <w:tcPr>
            <w:tcW w:w="60" w:type="dxa"/>
            <w:vAlign w:val="bottom"/>
          </w:tcPr>
          <w:p>
            <w:pPr>
              <w:spacing w:after="0"/>
              <w:rPr>
                <w:sz w:val="11"/>
                <w:szCs w:val="11"/>
                <w:color w:val="auto"/>
              </w:rPr>
            </w:pPr>
          </w:p>
        </w:tc>
        <w:tc>
          <w:tcPr>
            <w:tcW w:w="720" w:type="dxa"/>
            <w:vAlign w:val="bottom"/>
            <w:gridSpan w:val="3"/>
          </w:tcPr>
          <w:p>
            <w:pPr>
              <w:jc w:val="right"/>
              <w:ind w:right="40"/>
              <w:spacing w:after="0"/>
              <w:rPr>
                <w:sz w:val="20"/>
                <w:szCs w:val="20"/>
                <w:color w:val="auto"/>
              </w:rPr>
            </w:pPr>
            <w:r>
              <w:rPr>
                <w:rFonts w:ascii="Arial" w:cs="Arial" w:eastAsia="Arial" w:hAnsi="Arial"/>
                <w:sz w:val="10"/>
                <w:szCs w:val="10"/>
                <w:color w:val="auto"/>
              </w:rPr>
              <w:t>0</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60" w:type="dxa"/>
            <w:vAlign w:val="bottom"/>
            <w:gridSpan w:val="3"/>
          </w:tcPr>
          <w:p>
            <w:pPr>
              <w:jc w:val="right"/>
              <w:ind w:right="60"/>
              <w:spacing w:after="0"/>
              <w:rPr>
                <w:sz w:val="20"/>
                <w:szCs w:val="20"/>
                <w:color w:val="auto"/>
              </w:rPr>
            </w:pPr>
            <w:r>
              <w:rPr>
                <w:rFonts w:ascii="Arial" w:cs="Arial" w:eastAsia="Arial" w:hAnsi="Arial"/>
                <w:sz w:val="10"/>
                <w:szCs w:val="10"/>
                <w:color w:val="auto"/>
              </w:rPr>
              <w:t>0</w:t>
            </w:r>
          </w:p>
        </w:tc>
        <w:tc>
          <w:tcPr>
            <w:tcW w:w="40" w:type="dxa"/>
            <w:vAlign w:val="bottom"/>
          </w:tcPr>
          <w:p>
            <w:pPr>
              <w:spacing w:after="0"/>
              <w:rPr>
                <w:sz w:val="11"/>
                <w:szCs w:val="11"/>
                <w:color w:val="auto"/>
              </w:rPr>
            </w:pPr>
          </w:p>
        </w:tc>
        <w:tc>
          <w:tcPr>
            <w:tcW w:w="480" w:type="dxa"/>
            <w:vAlign w:val="bottom"/>
            <w:gridSpan w:val="2"/>
          </w:tcPr>
          <w:p>
            <w:pPr>
              <w:jc w:val="right"/>
              <w:spacing w:after="0"/>
              <w:rPr>
                <w:sz w:val="20"/>
                <w:szCs w:val="20"/>
                <w:color w:val="auto"/>
              </w:rPr>
            </w:pPr>
            <w:r>
              <w:rPr>
                <w:rFonts w:ascii="Arial" w:cs="Arial" w:eastAsia="Arial" w:hAnsi="Arial"/>
                <w:sz w:val="10"/>
                <w:szCs w:val="10"/>
                <w:color w:val="auto"/>
              </w:rPr>
              <w:t>1</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3"/>
          </w:tcPr>
          <w:p>
            <w:pPr>
              <w:jc w:val="right"/>
              <w:ind w:right="20"/>
              <w:spacing w:after="0"/>
              <w:rPr>
                <w:sz w:val="20"/>
                <w:szCs w:val="20"/>
                <w:color w:val="auto"/>
              </w:rPr>
            </w:pPr>
            <w:r>
              <w:rPr>
                <w:rFonts w:ascii="Arial" w:cs="Arial" w:eastAsia="Arial" w:hAnsi="Arial"/>
                <w:sz w:val="10"/>
                <w:szCs w:val="10"/>
                <w:color w:val="auto"/>
              </w:rPr>
              <w:t>1</w:t>
            </w:r>
          </w:p>
        </w:tc>
        <w:tc>
          <w:tcPr>
            <w:tcW w:w="100" w:type="dxa"/>
            <w:vAlign w:val="bottom"/>
          </w:tcPr>
          <w:p>
            <w:pPr>
              <w:spacing w:after="0"/>
              <w:rPr>
                <w:sz w:val="11"/>
                <w:szCs w:val="11"/>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0"/>
                <w:szCs w:val="10"/>
                <w:color w:val="auto"/>
              </w:rPr>
              <w:t>1</w:t>
            </w:r>
          </w:p>
        </w:tc>
        <w:tc>
          <w:tcPr>
            <w:tcW w:w="700" w:type="dxa"/>
            <w:vAlign w:val="bottom"/>
            <w:gridSpan w:val="3"/>
          </w:tcPr>
          <w:p>
            <w:pPr>
              <w:jc w:val="right"/>
              <w:ind w:right="20"/>
              <w:spacing w:after="0"/>
              <w:rPr>
                <w:sz w:val="20"/>
                <w:szCs w:val="20"/>
                <w:color w:val="auto"/>
              </w:rPr>
            </w:pPr>
            <w:r>
              <w:rPr>
                <w:rFonts w:ascii="Arial" w:cs="Arial" w:eastAsia="Arial" w:hAnsi="Arial"/>
                <w:sz w:val="10"/>
                <w:szCs w:val="10"/>
                <w:color w:val="auto"/>
              </w:rPr>
              <w:t>1</w:t>
            </w:r>
          </w:p>
        </w:tc>
        <w:tc>
          <w:tcPr>
            <w:tcW w:w="60" w:type="dxa"/>
            <w:vAlign w:val="bottom"/>
          </w:tcPr>
          <w:p>
            <w:pPr>
              <w:spacing w:after="0"/>
              <w:rPr>
                <w:sz w:val="11"/>
                <w:szCs w:val="11"/>
                <w:color w:val="auto"/>
              </w:rPr>
            </w:pPr>
          </w:p>
        </w:tc>
        <w:tc>
          <w:tcPr>
            <w:tcW w:w="520" w:type="dxa"/>
            <w:vAlign w:val="bottom"/>
            <w:gridSpan w:val="3"/>
          </w:tcPr>
          <w:p>
            <w:pPr>
              <w:jc w:val="right"/>
              <w:ind w:right="60"/>
              <w:spacing w:after="0"/>
              <w:rPr>
                <w:sz w:val="20"/>
                <w:szCs w:val="20"/>
                <w:color w:val="auto"/>
              </w:rPr>
            </w:pPr>
            <w:r>
              <w:rPr>
                <w:rFonts w:ascii="Arial" w:cs="Arial" w:eastAsia="Arial" w:hAnsi="Arial"/>
                <w:sz w:val="10"/>
                <w:szCs w:val="10"/>
                <w:color w:val="auto"/>
              </w:rPr>
              <w:t>0</w:t>
            </w:r>
          </w:p>
        </w:tc>
        <w:tc>
          <w:tcPr>
            <w:tcW w:w="40" w:type="dxa"/>
            <w:vAlign w:val="bottom"/>
          </w:tcPr>
          <w:p>
            <w:pPr>
              <w:spacing w:after="0"/>
              <w:rPr>
                <w:sz w:val="11"/>
                <w:szCs w:val="11"/>
                <w:color w:val="auto"/>
              </w:rPr>
            </w:pPr>
          </w:p>
        </w:tc>
        <w:tc>
          <w:tcPr>
            <w:tcW w:w="700" w:type="dxa"/>
            <w:vAlign w:val="bottom"/>
            <w:gridSpan w:val="3"/>
          </w:tcPr>
          <w:p>
            <w:pPr>
              <w:jc w:val="right"/>
              <w:spacing w:after="0"/>
              <w:rPr>
                <w:sz w:val="20"/>
                <w:szCs w:val="20"/>
                <w:color w:val="auto"/>
              </w:rPr>
            </w:pPr>
            <w:r>
              <w:rPr>
                <w:rFonts w:ascii="Arial" w:cs="Arial" w:eastAsia="Arial" w:hAnsi="Arial"/>
                <w:sz w:val="10"/>
                <w:szCs w:val="10"/>
                <w:color w:val="auto"/>
              </w:rPr>
              <w:t>1</w:t>
            </w:r>
          </w:p>
        </w:tc>
        <w:tc>
          <w:tcPr>
            <w:tcW w:w="0" w:type="dxa"/>
            <w:vAlign w:val="bottom"/>
          </w:tcPr>
          <w:p>
            <w:pPr>
              <w:spacing w:after="0"/>
              <w:rPr>
                <w:sz w:val="1"/>
                <w:szCs w:val="1"/>
                <w:color w:val="auto"/>
              </w:rPr>
            </w:pPr>
          </w:p>
        </w:tc>
      </w:tr>
      <w:tr>
        <w:trPr>
          <w:trHeight w:val="200"/>
        </w:trPr>
        <w:tc>
          <w:tcPr>
            <w:tcW w:w="2220" w:type="dxa"/>
            <w:vAlign w:val="bottom"/>
            <w:gridSpan w:val="2"/>
          </w:tcPr>
          <w:p>
            <w:pPr>
              <w:spacing w:after="0"/>
              <w:rPr>
                <w:sz w:val="20"/>
                <w:szCs w:val="20"/>
                <w:color w:val="auto"/>
              </w:rPr>
            </w:pPr>
            <w:r>
              <w:rPr>
                <w:rFonts w:ascii="Arial" w:cs="Arial" w:eastAsia="Arial" w:hAnsi="Arial"/>
                <w:sz w:val="10"/>
                <w:szCs w:val="10"/>
                <w:color w:val="auto"/>
              </w:rPr>
              <w:t>Contingent Joint and Survivor Life Annuity</w:t>
            </w:r>
          </w:p>
        </w:tc>
        <w:tc>
          <w:tcPr>
            <w:tcW w:w="320" w:type="dxa"/>
            <w:vAlign w:val="bottom"/>
          </w:tcPr>
          <w:p>
            <w:pPr>
              <w:jc w:val="right"/>
              <w:spacing w:after="0"/>
              <w:rPr>
                <w:sz w:val="20"/>
                <w:szCs w:val="20"/>
                <w:color w:val="auto"/>
              </w:rPr>
            </w:pPr>
            <w:r>
              <w:rPr>
                <w:rFonts w:ascii="Arial" w:cs="Arial" w:eastAsia="Arial" w:hAnsi="Arial"/>
                <w:sz w:val="10"/>
                <w:szCs w:val="10"/>
                <w:color w:val="auto"/>
              </w:rPr>
              <w:t>1</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gridSpan w:val="3"/>
          </w:tcPr>
          <w:p>
            <w:pPr>
              <w:jc w:val="right"/>
              <w:ind w:right="20"/>
              <w:spacing w:after="0"/>
              <w:rPr>
                <w:sz w:val="20"/>
                <w:szCs w:val="20"/>
                <w:color w:val="auto"/>
              </w:rPr>
            </w:pPr>
            <w:r>
              <w:rPr>
                <w:rFonts w:ascii="Arial" w:cs="Arial" w:eastAsia="Arial" w:hAnsi="Arial"/>
                <w:sz w:val="10"/>
                <w:szCs w:val="10"/>
                <w:color w:val="auto"/>
              </w:rPr>
              <w:t>1</w:t>
            </w:r>
          </w:p>
        </w:tc>
        <w:tc>
          <w:tcPr>
            <w:tcW w:w="60" w:type="dxa"/>
            <w:vAlign w:val="bottom"/>
          </w:tcPr>
          <w:p>
            <w:pPr>
              <w:spacing w:after="0"/>
              <w:rPr>
                <w:sz w:val="17"/>
                <w:szCs w:val="17"/>
                <w:color w:val="auto"/>
              </w:rPr>
            </w:pPr>
          </w:p>
        </w:tc>
        <w:tc>
          <w:tcPr>
            <w:tcW w:w="320" w:type="dxa"/>
            <w:vAlign w:val="bottom"/>
            <w:gridSpan w:val="3"/>
          </w:tcPr>
          <w:p>
            <w:pPr>
              <w:jc w:val="right"/>
              <w:ind w:right="60"/>
              <w:spacing w:after="0"/>
              <w:rPr>
                <w:sz w:val="20"/>
                <w:szCs w:val="20"/>
                <w:color w:val="auto"/>
              </w:rPr>
            </w:pPr>
            <w:r>
              <w:rPr>
                <w:rFonts w:ascii="Arial" w:cs="Arial" w:eastAsia="Arial" w:hAnsi="Arial"/>
                <w:sz w:val="10"/>
                <w:szCs w:val="10"/>
                <w:color w:val="auto"/>
              </w:rPr>
              <w:t>1</w:t>
            </w:r>
          </w:p>
        </w:tc>
        <w:tc>
          <w:tcPr>
            <w:tcW w:w="460" w:type="dxa"/>
            <w:vAlign w:val="bottom"/>
            <w:gridSpan w:val="3"/>
          </w:tcPr>
          <w:p>
            <w:pPr>
              <w:jc w:val="right"/>
              <w:ind w:right="80"/>
              <w:spacing w:after="0"/>
              <w:rPr>
                <w:sz w:val="20"/>
                <w:szCs w:val="20"/>
                <w:color w:val="auto"/>
              </w:rPr>
            </w:pPr>
            <w:r>
              <w:rPr>
                <w:rFonts w:ascii="Arial" w:cs="Arial" w:eastAsia="Arial" w:hAnsi="Arial"/>
                <w:sz w:val="10"/>
                <w:szCs w:val="10"/>
                <w:color w:val="auto"/>
              </w:rPr>
              <w:t>1</w:t>
            </w:r>
          </w:p>
        </w:tc>
        <w:tc>
          <w:tcPr>
            <w:tcW w:w="440" w:type="dxa"/>
            <w:vAlign w:val="bottom"/>
            <w:gridSpan w:val="4"/>
          </w:tcPr>
          <w:p>
            <w:pPr>
              <w:jc w:val="right"/>
              <w:ind w:right="60"/>
              <w:spacing w:after="0"/>
              <w:rPr>
                <w:sz w:val="20"/>
                <w:szCs w:val="20"/>
                <w:color w:val="auto"/>
              </w:rPr>
            </w:pPr>
            <w:r>
              <w:rPr>
                <w:rFonts w:ascii="Arial" w:cs="Arial" w:eastAsia="Arial" w:hAnsi="Arial"/>
                <w:sz w:val="10"/>
                <w:szCs w:val="10"/>
                <w:color w:val="auto"/>
              </w:rPr>
              <w:t>1</w:t>
            </w:r>
          </w:p>
        </w:tc>
        <w:tc>
          <w:tcPr>
            <w:tcW w:w="740" w:type="dxa"/>
            <w:vAlign w:val="bottom"/>
            <w:gridSpan w:val="3"/>
          </w:tcPr>
          <w:p>
            <w:pPr>
              <w:jc w:val="right"/>
              <w:ind w:right="20"/>
              <w:spacing w:after="0"/>
              <w:rPr>
                <w:sz w:val="20"/>
                <w:szCs w:val="20"/>
                <w:color w:val="auto"/>
              </w:rPr>
            </w:pPr>
            <w:r>
              <w:rPr>
                <w:rFonts w:ascii="Arial" w:cs="Arial" w:eastAsia="Arial" w:hAnsi="Arial"/>
                <w:sz w:val="10"/>
                <w:szCs w:val="10"/>
                <w:color w:val="auto"/>
              </w:rPr>
              <w:t>1</w:t>
            </w:r>
          </w:p>
        </w:tc>
        <w:tc>
          <w:tcPr>
            <w:tcW w:w="60" w:type="dxa"/>
            <w:vAlign w:val="bottom"/>
          </w:tcPr>
          <w:p>
            <w:pPr>
              <w:spacing w:after="0"/>
              <w:rPr>
                <w:sz w:val="17"/>
                <w:szCs w:val="17"/>
                <w:color w:val="auto"/>
              </w:rPr>
            </w:pPr>
          </w:p>
        </w:tc>
        <w:tc>
          <w:tcPr>
            <w:tcW w:w="720" w:type="dxa"/>
            <w:vAlign w:val="bottom"/>
            <w:gridSpan w:val="3"/>
          </w:tcPr>
          <w:p>
            <w:pPr>
              <w:jc w:val="right"/>
              <w:ind w:right="40"/>
              <w:spacing w:after="0"/>
              <w:rPr>
                <w:sz w:val="20"/>
                <w:szCs w:val="20"/>
                <w:color w:val="auto"/>
              </w:rPr>
            </w:pPr>
            <w:r>
              <w:rPr>
                <w:rFonts w:ascii="Arial" w:cs="Arial" w:eastAsia="Arial" w:hAnsi="Arial"/>
                <w:sz w:val="10"/>
                <w:szCs w:val="10"/>
                <w:color w:val="auto"/>
              </w:rPr>
              <w:t>1</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0" w:type="dxa"/>
            <w:vAlign w:val="bottom"/>
            <w:gridSpan w:val="3"/>
          </w:tcPr>
          <w:p>
            <w:pPr>
              <w:jc w:val="right"/>
              <w:ind w:right="60"/>
              <w:spacing w:after="0"/>
              <w:rPr>
                <w:sz w:val="20"/>
                <w:szCs w:val="20"/>
                <w:color w:val="auto"/>
              </w:rPr>
            </w:pPr>
            <w:r>
              <w:rPr>
                <w:rFonts w:ascii="Arial" w:cs="Arial" w:eastAsia="Arial" w:hAnsi="Arial"/>
                <w:sz w:val="10"/>
                <w:szCs w:val="10"/>
                <w:color w:val="auto"/>
              </w:rPr>
              <w:t>0</w:t>
            </w:r>
          </w:p>
        </w:tc>
        <w:tc>
          <w:tcPr>
            <w:tcW w:w="40" w:type="dxa"/>
            <w:vAlign w:val="bottom"/>
          </w:tcPr>
          <w:p>
            <w:pPr>
              <w:spacing w:after="0"/>
              <w:rPr>
                <w:sz w:val="17"/>
                <w:szCs w:val="17"/>
                <w:color w:val="auto"/>
              </w:rPr>
            </w:pPr>
          </w:p>
        </w:tc>
        <w:tc>
          <w:tcPr>
            <w:tcW w:w="480" w:type="dxa"/>
            <w:vAlign w:val="bottom"/>
            <w:gridSpan w:val="2"/>
          </w:tcPr>
          <w:p>
            <w:pPr>
              <w:jc w:val="right"/>
              <w:spacing w:after="0"/>
              <w:rPr>
                <w:sz w:val="20"/>
                <w:szCs w:val="20"/>
                <w:color w:val="auto"/>
              </w:rPr>
            </w:pPr>
            <w:r>
              <w:rPr>
                <w:rFonts w:ascii="Arial" w:cs="Arial" w:eastAsia="Arial" w:hAnsi="Arial"/>
                <w:sz w:val="10"/>
                <w:szCs w:val="10"/>
                <w:color w:val="auto"/>
              </w:rPr>
              <w:t>1</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3"/>
          </w:tcPr>
          <w:p>
            <w:pPr>
              <w:jc w:val="right"/>
              <w:ind w:right="20"/>
              <w:spacing w:after="0"/>
              <w:rPr>
                <w:sz w:val="20"/>
                <w:szCs w:val="20"/>
                <w:color w:val="auto"/>
              </w:rPr>
            </w:pPr>
            <w:r>
              <w:rPr>
                <w:rFonts w:ascii="Arial" w:cs="Arial" w:eastAsia="Arial" w:hAnsi="Arial"/>
                <w:sz w:val="10"/>
                <w:szCs w:val="10"/>
                <w:color w:val="auto"/>
              </w:rPr>
              <w:t>1</w:t>
            </w:r>
          </w:p>
        </w:tc>
        <w:tc>
          <w:tcPr>
            <w:tcW w:w="100" w:type="dxa"/>
            <w:vAlign w:val="bottom"/>
          </w:tcPr>
          <w:p>
            <w:pPr>
              <w:spacing w:after="0"/>
              <w:rPr>
                <w:sz w:val="17"/>
                <w:szCs w:val="17"/>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0"/>
                <w:szCs w:val="10"/>
                <w:color w:val="auto"/>
              </w:rPr>
              <w:t>1</w:t>
            </w:r>
          </w:p>
        </w:tc>
        <w:tc>
          <w:tcPr>
            <w:tcW w:w="700" w:type="dxa"/>
            <w:vAlign w:val="bottom"/>
            <w:gridSpan w:val="3"/>
          </w:tcPr>
          <w:p>
            <w:pPr>
              <w:jc w:val="right"/>
              <w:ind w:right="20"/>
              <w:spacing w:after="0"/>
              <w:rPr>
                <w:sz w:val="20"/>
                <w:szCs w:val="20"/>
                <w:color w:val="auto"/>
              </w:rPr>
            </w:pPr>
            <w:r>
              <w:rPr>
                <w:rFonts w:ascii="Arial" w:cs="Arial" w:eastAsia="Arial" w:hAnsi="Arial"/>
                <w:sz w:val="10"/>
                <w:szCs w:val="10"/>
                <w:color w:val="auto"/>
              </w:rPr>
              <w:t>1</w:t>
            </w:r>
          </w:p>
        </w:tc>
        <w:tc>
          <w:tcPr>
            <w:tcW w:w="60" w:type="dxa"/>
            <w:vAlign w:val="bottom"/>
          </w:tcPr>
          <w:p>
            <w:pPr>
              <w:spacing w:after="0"/>
              <w:rPr>
                <w:sz w:val="17"/>
                <w:szCs w:val="17"/>
                <w:color w:val="auto"/>
              </w:rPr>
            </w:pPr>
          </w:p>
        </w:tc>
        <w:tc>
          <w:tcPr>
            <w:tcW w:w="520" w:type="dxa"/>
            <w:vAlign w:val="bottom"/>
            <w:gridSpan w:val="3"/>
          </w:tcPr>
          <w:p>
            <w:pPr>
              <w:jc w:val="right"/>
              <w:ind w:right="60"/>
              <w:spacing w:after="0"/>
              <w:rPr>
                <w:sz w:val="20"/>
                <w:szCs w:val="20"/>
                <w:color w:val="auto"/>
              </w:rPr>
            </w:pPr>
            <w:r>
              <w:rPr>
                <w:rFonts w:ascii="Arial" w:cs="Arial" w:eastAsia="Arial" w:hAnsi="Arial"/>
                <w:sz w:val="10"/>
                <w:szCs w:val="10"/>
                <w:color w:val="auto"/>
              </w:rPr>
              <w:t>0</w:t>
            </w:r>
          </w:p>
        </w:tc>
        <w:tc>
          <w:tcPr>
            <w:tcW w:w="40" w:type="dxa"/>
            <w:vAlign w:val="bottom"/>
          </w:tcPr>
          <w:p>
            <w:pPr>
              <w:spacing w:after="0"/>
              <w:rPr>
                <w:sz w:val="17"/>
                <w:szCs w:val="17"/>
                <w:color w:val="auto"/>
              </w:rPr>
            </w:pPr>
          </w:p>
        </w:tc>
        <w:tc>
          <w:tcPr>
            <w:tcW w:w="700" w:type="dxa"/>
            <w:vAlign w:val="bottom"/>
            <w:gridSpan w:val="3"/>
          </w:tcPr>
          <w:p>
            <w:pPr>
              <w:jc w:val="right"/>
              <w:spacing w:after="0"/>
              <w:rPr>
                <w:sz w:val="20"/>
                <w:szCs w:val="20"/>
                <w:color w:val="auto"/>
              </w:rPr>
            </w:pPr>
            <w:r>
              <w:rPr>
                <w:rFonts w:ascii="Arial" w:cs="Arial" w:eastAsia="Arial" w:hAnsi="Arial"/>
                <w:sz w:val="10"/>
                <w:szCs w:val="10"/>
                <w:color w:val="auto"/>
              </w:rPr>
              <w:t>1</w:t>
            </w:r>
          </w:p>
        </w:tc>
        <w:tc>
          <w:tcPr>
            <w:tcW w:w="0" w:type="dxa"/>
            <w:vAlign w:val="bottom"/>
          </w:tcPr>
          <w:p>
            <w:pPr>
              <w:spacing w:after="0"/>
              <w:rPr>
                <w:sz w:val="1"/>
                <w:szCs w:val="1"/>
                <w:color w:val="auto"/>
              </w:rPr>
            </w:pPr>
          </w:p>
        </w:tc>
      </w:tr>
      <w:tr>
        <w:trPr>
          <w:trHeight w:val="200"/>
        </w:trPr>
        <w:tc>
          <w:tcPr>
            <w:tcW w:w="2220" w:type="dxa"/>
            <w:vAlign w:val="bottom"/>
            <w:gridSpan w:val="2"/>
          </w:tcPr>
          <w:p>
            <w:pPr>
              <w:spacing w:after="0"/>
              <w:rPr>
                <w:sz w:val="20"/>
                <w:szCs w:val="20"/>
                <w:color w:val="auto"/>
              </w:rPr>
            </w:pPr>
            <w:r>
              <w:rPr>
                <w:rFonts w:ascii="Arial" w:cs="Arial" w:eastAsia="Arial" w:hAnsi="Arial"/>
                <w:sz w:val="10"/>
                <w:szCs w:val="10"/>
                <w:color w:val="auto"/>
              </w:rPr>
              <w:t>Single Life Annuity</w:t>
            </w:r>
          </w:p>
        </w:tc>
        <w:tc>
          <w:tcPr>
            <w:tcW w:w="320" w:type="dxa"/>
            <w:vAlign w:val="bottom"/>
          </w:tcPr>
          <w:p>
            <w:pPr>
              <w:jc w:val="right"/>
              <w:spacing w:after="0"/>
              <w:rPr>
                <w:sz w:val="20"/>
                <w:szCs w:val="20"/>
                <w:color w:val="auto"/>
              </w:rPr>
            </w:pPr>
            <w:r>
              <w:rPr>
                <w:rFonts w:ascii="Arial" w:cs="Arial" w:eastAsia="Arial" w:hAnsi="Arial"/>
                <w:sz w:val="10"/>
                <w:szCs w:val="10"/>
                <w:color w:val="auto"/>
              </w:rPr>
              <w:t>1</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gridSpan w:val="3"/>
          </w:tcPr>
          <w:p>
            <w:pPr>
              <w:jc w:val="right"/>
              <w:ind w:right="20"/>
              <w:spacing w:after="0"/>
              <w:rPr>
                <w:sz w:val="20"/>
                <w:szCs w:val="20"/>
                <w:color w:val="auto"/>
              </w:rPr>
            </w:pPr>
            <w:r>
              <w:rPr>
                <w:rFonts w:ascii="Arial" w:cs="Arial" w:eastAsia="Arial" w:hAnsi="Arial"/>
                <w:sz w:val="10"/>
                <w:szCs w:val="10"/>
                <w:color w:val="auto"/>
              </w:rPr>
              <w:t>1</w:t>
            </w:r>
          </w:p>
        </w:tc>
        <w:tc>
          <w:tcPr>
            <w:tcW w:w="60" w:type="dxa"/>
            <w:vAlign w:val="bottom"/>
          </w:tcPr>
          <w:p>
            <w:pPr>
              <w:spacing w:after="0"/>
              <w:rPr>
                <w:sz w:val="17"/>
                <w:szCs w:val="17"/>
                <w:color w:val="auto"/>
              </w:rPr>
            </w:pPr>
          </w:p>
        </w:tc>
        <w:tc>
          <w:tcPr>
            <w:tcW w:w="320" w:type="dxa"/>
            <w:vAlign w:val="bottom"/>
            <w:gridSpan w:val="3"/>
          </w:tcPr>
          <w:p>
            <w:pPr>
              <w:jc w:val="right"/>
              <w:ind w:right="60"/>
              <w:spacing w:after="0"/>
              <w:rPr>
                <w:sz w:val="20"/>
                <w:szCs w:val="20"/>
                <w:color w:val="auto"/>
              </w:rPr>
            </w:pPr>
            <w:r>
              <w:rPr>
                <w:rFonts w:ascii="Arial" w:cs="Arial" w:eastAsia="Arial" w:hAnsi="Arial"/>
                <w:sz w:val="10"/>
                <w:szCs w:val="10"/>
                <w:color w:val="auto"/>
              </w:rPr>
              <w:t>1</w:t>
            </w:r>
          </w:p>
        </w:tc>
        <w:tc>
          <w:tcPr>
            <w:tcW w:w="460" w:type="dxa"/>
            <w:vAlign w:val="bottom"/>
            <w:gridSpan w:val="3"/>
          </w:tcPr>
          <w:p>
            <w:pPr>
              <w:jc w:val="right"/>
              <w:ind w:right="80"/>
              <w:spacing w:after="0"/>
              <w:rPr>
                <w:sz w:val="20"/>
                <w:szCs w:val="20"/>
                <w:color w:val="auto"/>
              </w:rPr>
            </w:pPr>
            <w:r>
              <w:rPr>
                <w:rFonts w:ascii="Arial" w:cs="Arial" w:eastAsia="Arial" w:hAnsi="Arial"/>
                <w:sz w:val="10"/>
                <w:szCs w:val="10"/>
                <w:color w:val="auto"/>
              </w:rPr>
              <w:t>1</w:t>
            </w:r>
          </w:p>
        </w:tc>
        <w:tc>
          <w:tcPr>
            <w:tcW w:w="440" w:type="dxa"/>
            <w:vAlign w:val="bottom"/>
            <w:gridSpan w:val="4"/>
          </w:tcPr>
          <w:p>
            <w:pPr>
              <w:jc w:val="right"/>
              <w:ind w:right="60"/>
              <w:spacing w:after="0"/>
              <w:rPr>
                <w:sz w:val="20"/>
                <w:szCs w:val="20"/>
                <w:color w:val="auto"/>
              </w:rPr>
            </w:pPr>
            <w:r>
              <w:rPr>
                <w:rFonts w:ascii="Arial" w:cs="Arial" w:eastAsia="Arial" w:hAnsi="Arial"/>
                <w:sz w:val="10"/>
                <w:szCs w:val="10"/>
                <w:color w:val="auto"/>
              </w:rPr>
              <w:t>1</w:t>
            </w:r>
          </w:p>
        </w:tc>
        <w:tc>
          <w:tcPr>
            <w:tcW w:w="740" w:type="dxa"/>
            <w:vAlign w:val="bottom"/>
            <w:gridSpan w:val="3"/>
          </w:tcPr>
          <w:p>
            <w:pPr>
              <w:jc w:val="right"/>
              <w:ind w:right="20"/>
              <w:spacing w:after="0"/>
              <w:rPr>
                <w:sz w:val="20"/>
                <w:szCs w:val="20"/>
                <w:color w:val="auto"/>
              </w:rPr>
            </w:pPr>
            <w:r>
              <w:rPr>
                <w:rFonts w:ascii="Arial" w:cs="Arial" w:eastAsia="Arial" w:hAnsi="Arial"/>
                <w:sz w:val="10"/>
                <w:szCs w:val="10"/>
                <w:color w:val="auto"/>
              </w:rPr>
              <w:t>1</w:t>
            </w:r>
          </w:p>
        </w:tc>
        <w:tc>
          <w:tcPr>
            <w:tcW w:w="60" w:type="dxa"/>
            <w:vAlign w:val="bottom"/>
          </w:tcPr>
          <w:p>
            <w:pPr>
              <w:spacing w:after="0"/>
              <w:rPr>
                <w:sz w:val="17"/>
                <w:szCs w:val="17"/>
                <w:color w:val="auto"/>
              </w:rPr>
            </w:pPr>
          </w:p>
        </w:tc>
        <w:tc>
          <w:tcPr>
            <w:tcW w:w="720" w:type="dxa"/>
            <w:vAlign w:val="bottom"/>
            <w:gridSpan w:val="3"/>
          </w:tcPr>
          <w:p>
            <w:pPr>
              <w:jc w:val="right"/>
              <w:ind w:right="40"/>
              <w:spacing w:after="0"/>
              <w:rPr>
                <w:sz w:val="20"/>
                <w:szCs w:val="20"/>
                <w:color w:val="auto"/>
              </w:rPr>
            </w:pPr>
            <w:r>
              <w:rPr>
                <w:rFonts w:ascii="Arial" w:cs="Arial" w:eastAsia="Arial" w:hAnsi="Arial"/>
                <w:sz w:val="10"/>
                <w:szCs w:val="10"/>
                <w:color w:val="auto"/>
              </w:rPr>
              <w:t>0</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0" w:type="dxa"/>
            <w:vAlign w:val="bottom"/>
            <w:gridSpan w:val="3"/>
          </w:tcPr>
          <w:p>
            <w:pPr>
              <w:jc w:val="right"/>
              <w:ind w:right="60"/>
              <w:spacing w:after="0"/>
              <w:rPr>
                <w:sz w:val="20"/>
                <w:szCs w:val="20"/>
                <w:color w:val="auto"/>
              </w:rPr>
            </w:pPr>
            <w:r>
              <w:rPr>
                <w:rFonts w:ascii="Arial" w:cs="Arial" w:eastAsia="Arial" w:hAnsi="Arial"/>
                <w:sz w:val="10"/>
                <w:szCs w:val="10"/>
                <w:color w:val="auto"/>
              </w:rPr>
              <w:t>0</w:t>
            </w:r>
          </w:p>
        </w:tc>
        <w:tc>
          <w:tcPr>
            <w:tcW w:w="40" w:type="dxa"/>
            <w:vAlign w:val="bottom"/>
          </w:tcPr>
          <w:p>
            <w:pPr>
              <w:spacing w:after="0"/>
              <w:rPr>
                <w:sz w:val="17"/>
                <w:szCs w:val="17"/>
                <w:color w:val="auto"/>
              </w:rPr>
            </w:pPr>
          </w:p>
        </w:tc>
        <w:tc>
          <w:tcPr>
            <w:tcW w:w="480" w:type="dxa"/>
            <w:vAlign w:val="bottom"/>
            <w:gridSpan w:val="2"/>
          </w:tcPr>
          <w:p>
            <w:pPr>
              <w:jc w:val="right"/>
              <w:spacing w:after="0"/>
              <w:rPr>
                <w:sz w:val="20"/>
                <w:szCs w:val="20"/>
                <w:color w:val="auto"/>
              </w:rPr>
            </w:pPr>
            <w:r>
              <w:rPr>
                <w:rFonts w:ascii="Arial" w:cs="Arial" w:eastAsia="Arial" w:hAnsi="Arial"/>
                <w:sz w:val="10"/>
                <w:szCs w:val="10"/>
                <w:color w:val="auto"/>
              </w:rPr>
              <w:t>1</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3"/>
          </w:tcPr>
          <w:p>
            <w:pPr>
              <w:jc w:val="right"/>
              <w:ind w:right="20"/>
              <w:spacing w:after="0"/>
              <w:rPr>
                <w:sz w:val="20"/>
                <w:szCs w:val="20"/>
                <w:color w:val="auto"/>
              </w:rPr>
            </w:pPr>
            <w:r>
              <w:rPr>
                <w:rFonts w:ascii="Arial" w:cs="Arial" w:eastAsia="Arial" w:hAnsi="Arial"/>
                <w:sz w:val="10"/>
                <w:szCs w:val="10"/>
                <w:color w:val="auto"/>
              </w:rPr>
              <w:t>1</w:t>
            </w:r>
          </w:p>
        </w:tc>
        <w:tc>
          <w:tcPr>
            <w:tcW w:w="100" w:type="dxa"/>
            <w:vAlign w:val="bottom"/>
          </w:tcPr>
          <w:p>
            <w:pPr>
              <w:spacing w:after="0"/>
              <w:rPr>
                <w:sz w:val="17"/>
                <w:szCs w:val="17"/>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0"/>
                <w:szCs w:val="10"/>
                <w:color w:val="auto"/>
              </w:rPr>
              <w:t>1</w:t>
            </w:r>
          </w:p>
        </w:tc>
        <w:tc>
          <w:tcPr>
            <w:tcW w:w="700" w:type="dxa"/>
            <w:vAlign w:val="bottom"/>
            <w:gridSpan w:val="3"/>
          </w:tcPr>
          <w:p>
            <w:pPr>
              <w:jc w:val="right"/>
              <w:ind w:right="20"/>
              <w:spacing w:after="0"/>
              <w:rPr>
                <w:sz w:val="20"/>
                <w:szCs w:val="20"/>
                <w:color w:val="auto"/>
              </w:rPr>
            </w:pPr>
            <w:r>
              <w:rPr>
                <w:rFonts w:ascii="Arial" w:cs="Arial" w:eastAsia="Arial" w:hAnsi="Arial"/>
                <w:sz w:val="10"/>
                <w:szCs w:val="10"/>
                <w:color w:val="auto"/>
              </w:rPr>
              <w:t>1</w:t>
            </w:r>
          </w:p>
        </w:tc>
        <w:tc>
          <w:tcPr>
            <w:tcW w:w="60" w:type="dxa"/>
            <w:vAlign w:val="bottom"/>
          </w:tcPr>
          <w:p>
            <w:pPr>
              <w:spacing w:after="0"/>
              <w:rPr>
                <w:sz w:val="17"/>
                <w:szCs w:val="17"/>
                <w:color w:val="auto"/>
              </w:rPr>
            </w:pPr>
          </w:p>
        </w:tc>
        <w:tc>
          <w:tcPr>
            <w:tcW w:w="520" w:type="dxa"/>
            <w:vAlign w:val="bottom"/>
            <w:gridSpan w:val="3"/>
          </w:tcPr>
          <w:p>
            <w:pPr>
              <w:jc w:val="right"/>
              <w:ind w:right="60"/>
              <w:spacing w:after="0"/>
              <w:rPr>
                <w:sz w:val="20"/>
                <w:szCs w:val="20"/>
                <w:color w:val="auto"/>
              </w:rPr>
            </w:pPr>
            <w:r>
              <w:rPr>
                <w:rFonts w:ascii="Arial" w:cs="Arial" w:eastAsia="Arial" w:hAnsi="Arial"/>
                <w:sz w:val="10"/>
                <w:szCs w:val="10"/>
                <w:color w:val="auto"/>
              </w:rPr>
              <w:t>0</w:t>
            </w:r>
          </w:p>
        </w:tc>
        <w:tc>
          <w:tcPr>
            <w:tcW w:w="40" w:type="dxa"/>
            <w:vAlign w:val="bottom"/>
          </w:tcPr>
          <w:p>
            <w:pPr>
              <w:spacing w:after="0"/>
              <w:rPr>
                <w:sz w:val="17"/>
                <w:szCs w:val="17"/>
                <w:color w:val="auto"/>
              </w:rPr>
            </w:pPr>
          </w:p>
        </w:tc>
        <w:tc>
          <w:tcPr>
            <w:tcW w:w="700" w:type="dxa"/>
            <w:vAlign w:val="bottom"/>
            <w:gridSpan w:val="3"/>
          </w:tcPr>
          <w:p>
            <w:pPr>
              <w:jc w:val="right"/>
              <w:spacing w:after="0"/>
              <w:rPr>
                <w:sz w:val="20"/>
                <w:szCs w:val="20"/>
                <w:color w:val="auto"/>
              </w:rPr>
            </w:pPr>
            <w:r>
              <w:rPr>
                <w:rFonts w:ascii="Arial" w:cs="Arial" w:eastAsia="Arial" w:hAnsi="Arial"/>
                <w:sz w:val="10"/>
                <w:szCs w:val="10"/>
                <w:color w:val="auto"/>
              </w:rPr>
              <w:t>1</w:t>
            </w:r>
          </w:p>
        </w:tc>
        <w:tc>
          <w:tcPr>
            <w:tcW w:w="0" w:type="dxa"/>
            <w:vAlign w:val="bottom"/>
          </w:tcPr>
          <w:p>
            <w:pPr>
              <w:spacing w:after="0"/>
              <w:rPr>
                <w:sz w:val="1"/>
                <w:szCs w:val="1"/>
                <w:color w:val="auto"/>
              </w:rPr>
            </w:pPr>
          </w:p>
        </w:tc>
      </w:tr>
      <w:tr>
        <w:trPr>
          <w:trHeight w:val="200"/>
        </w:trPr>
        <w:tc>
          <w:tcPr>
            <w:tcW w:w="2220" w:type="dxa"/>
            <w:vAlign w:val="bottom"/>
            <w:gridSpan w:val="2"/>
          </w:tcPr>
          <w:p>
            <w:pPr>
              <w:spacing w:after="0"/>
              <w:rPr>
                <w:sz w:val="20"/>
                <w:szCs w:val="20"/>
                <w:color w:val="auto"/>
              </w:rPr>
            </w:pPr>
            <w:r>
              <w:rPr>
                <w:rFonts w:ascii="Arial" w:cs="Arial" w:eastAsia="Arial" w:hAnsi="Arial"/>
                <w:sz w:val="10"/>
                <w:szCs w:val="10"/>
                <w:color w:val="auto"/>
              </w:rPr>
              <w:t>Single Life and Period Certain Annuity</w:t>
            </w:r>
          </w:p>
        </w:tc>
        <w:tc>
          <w:tcPr>
            <w:tcW w:w="320" w:type="dxa"/>
            <w:vAlign w:val="bottom"/>
          </w:tcPr>
          <w:p>
            <w:pPr>
              <w:jc w:val="right"/>
              <w:spacing w:after="0"/>
              <w:rPr>
                <w:sz w:val="20"/>
                <w:szCs w:val="20"/>
                <w:color w:val="auto"/>
              </w:rPr>
            </w:pPr>
            <w:r>
              <w:rPr>
                <w:rFonts w:ascii="Arial" w:cs="Arial" w:eastAsia="Arial" w:hAnsi="Arial"/>
                <w:sz w:val="10"/>
                <w:szCs w:val="10"/>
                <w:color w:val="auto"/>
              </w:rPr>
              <w:t>1</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gridSpan w:val="3"/>
          </w:tcPr>
          <w:p>
            <w:pPr>
              <w:jc w:val="right"/>
              <w:ind w:right="20"/>
              <w:spacing w:after="0"/>
              <w:rPr>
                <w:sz w:val="20"/>
                <w:szCs w:val="20"/>
                <w:color w:val="auto"/>
              </w:rPr>
            </w:pPr>
            <w:r>
              <w:rPr>
                <w:rFonts w:ascii="Arial" w:cs="Arial" w:eastAsia="Arial" w:hAnsi="Arial"/>
                <w:sz w:val="10"/>
                <w:szCs w:val="10"/>
                <w:color w:val="auto"/>
              </w:rPr>
              <w:t>1</w:t>
            </w:r>
          </w:p>
        </w:tc>
        <w:tc>
          <w:tcPr>
            <w:tcW w:w="60" w:type="dxa"/>
            <w:vAlign w:val="bottom"/>
          </w:tcPr>
          <w:p>
            <w:pPr>
              <w:spacing w:after="0"/>
              <w:rPr>
                <w:sz w:val="17"/>
                <w:szCs w:val="17"/>
                <w:color w:val="auto"/>
              </w:rPr>
            </w:pPr>
          </w:p>
        </w:tc>
        <w:tc>
          <w:tcPr>
            <w:tcW w:w="320" w:type="dxa"/>
            <w:vAlign w:val="bottom"/>
            <w:gridSpan w:val="3"/>
          </w:tcPr>
          <w:p>
            <w:pPr>
              <w:jc w:val="right"/>
              <w:ind w:right="60"/>
              <w:spacing w:after="0"/>
              <w:rPr>
                <w:sz w:val="20"/>
                <w:szCs w:val="20"/>
                <w:color w:val="auto"/>
              </w:rPr>
            </w:pPr>
            <w:r>
              <w:rPr>
                <w:rFonts w:ascii="Arial" w:cs="Arial" w:eastAsia="Arial" w:hAnsi="Arial"/>
                <w:sz w:val="10"/>
                <w:szCs w:val="10"/>
                <w:color w:val="auto"/>
              </w:rPr>
              <w:t>1</w:t>
            </w:r>
          </w:p>
        </w:tc>
        <w:tc>
          <w:tcPr>
            <w:tcW w:w="460" w:type="dxa"/>
            <w:vAlign w:val="bottom"/>
            <w:gridSpan w:val="3"/>
          </w:tcPr>
          <w:p>
            <w:pPr>
              <w:jc w:val="right"/>
              <w:ind w:right="80"/>
              <w:spacing w:after="0"/>
              <w:rPr>
                <w:sz w:val="20"/>
                <w:szCs w:val="20"/>
                <w:color w:val="auto"/>
              </w:rPr>
            </w:pPr>
            <w:r>
              <w:rPr>
                <w:rFonts w:ascii="Arial" w:cs="Arial" w:eastAsia="Arial" w:hAnsi="Arial"/>
                <w:sz w:val="10"/>
                <w:szCs w:val="10"/>
                <w:color w:val="auto"/>
              </w:rPr>
              <w:t>1</w:t>
            </w:r>
          </w:p>
        </w:tc>
        <w:tc>
          <w:tcPr>
            <w:tcW w:w="440" w:type="dxa"/>
            <w:vAlign w:val="bottom"/>
            <w:gridSpan w:val="4"/>
          </w:tcPr>
          <w:p>
            <w:pPr>
              <w:jc w:val="right"/>
              <w:ind w:right="60"/>
              <w:spacing w:after="0"/>
              <w:rPr>
                <w:sz w:val="20"/>
                <w:szCs w:val="20"/>
                <w:color w:val="auto"/>
              </w:rPr>
            </w:pPr>
            <w:r>
              <w:rPr>
                <w:rFonts w:ascii="Arial" w:cs="Arial" w:eastAsia="Arial" w:hAnsi="Arial"/>
                <w:sz w:val="10"/>
                <w:szCs w:val="10"/>
                <w:color w:val="auto"/>
              </w:rPr>
              <w:t>1</w:t>
            </w:r>
          </w:p>
        </w:tc>
        <w:tc>
          <w:tcPr>
            <w:tcW w:w="740" w:type="dxa"/>
            <w:vAlign w:val="bottom"/>
            <w:gridSpan w:val="3"/>
          </w:tcPr>
          <w:p>
            <w:pPr>
              <w:jc w:val="right"/>
              <w:ind w:right="20"/>
              <w:spacing w:after="0"/>
              <w:rPr>
                <w:sz w:val="20"/>
                <w:szCs w:val="20"/>
                <w:color w:val="auto"/>
              </w:rPr>
            </w:pPr>
            <w:r>
              <w:rPr>
                <w:rFonts w:ascii="Arial" w:cs="Arial" w:eastAsia="Arial" w:hAnsi="Arial"/>
                <w:sz w:val="10"/>
                <w:szCs w:val="10"/>
                <w:color w:val="auto"/>
              </w:rPr>
              <w:t>1</w:t>
            </w:r>
          </w:p>
        </w:tc>
        <w:tc>
          <w:tcPr>
            <w:tcW w:w="60" w:type="dxa"/>
            <w:vAlign w:val="bottom"/>
          </w:tcPr>
          <w:p>
            <w:pPr>
              <w:spacing w:after="0"/>
              <w:rPr>
                <w:sz w:val="17"/>
                <w:szCs w:val="17"/>
                <w:color w:val="auto"/>
              </w:rPr>
            </w:pPr>
          </w:p>
        </w:tc>
        <w:tc>
          <w:tcPr>
            <w:tcW w:w="720" w:type="dxa"/>
            <w:vAlign w:val="bottom"/>
            <w:gridSpan w:val="3"/>
          </w:tcPr>
          <w:p>
            <w:pPr>
              <w:jc w:val="right"/>
              <w:ind w:right="40"/>
              <w:spacing w:after="0"/>
              <w:rPr>
                <w:sz w:val="20"/>
                <w:szCs w:val="20"/>
                <w:color w:val="auto"/>
              </w:rPr>
            </w:pPr>
            <w:r>
              <w:rPr>
                <w:rFonts w:ascii="Arial" w:cs="Arial" w:eastAsia="Arial" w:hAnsi="Arial"/>
                <w:sz w:val="10"/>
                <w:szCs w:val="10"/>
                <w:color w:val="auto"/>
              </w:rPr>
              <w:t>0</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0" w:type="dxa"/>
            <w:vAlign w:val="bottom"/>
            <w:gridSpan w:val="3"/>
          </w:tcPr>
          <w:p>
            <w:pPr>
              <w:jc w:val="right"/>
              <w:ind w:right="60"/>
              <w:spacing w:after="0"/>
              <w:rPr>
                <w:sz w:val="20"/>
                <w:szCs w:val="20"/>
                <w:color w:val="auto"/>
              </w:rPr>
            </w:pPr>
            <w:r>
              <w:rPr>
                <w:rFonts w:ascii="Arial" w:cs="Arial" w:eastAsia="Arial" w:hAnsi="Arial"/>
                <w:sz w:val="10"/>
                <w:szCs w:val="10"/>
                <w:color w:val="auto"/>
              </w:rPr>
              <w:t>1</w:t>
            </w:r>
          </w:p>
        </w:tc>
        <w:tc>
          <w:tcPr>
            <w:tcW w:w="40" w:type="dxa"/>
            <w:vAlign w:val="bottom"/>
          </w:tcPr>
          <w:p>
            <w:pPr>
              <w:spacing w:after="0"/>
              <w:rPr>
                <w:sz w:val="17"/>
                <w:szCs w:val="17"/>
                <w:color w:val="auto"/>
              </w:rPr>
            </w:pPr>
          </w:p>
        </w:tc>
        <w:tc>
          <w:tcPr>
            <w:tcW w:w="480" w:type="dxa"/>
            <w:vAlign w:val="bottom"/>
            <w:gridSpan w:val="2"/>
          </w:tcPr>
          <w:p>
            <w:pPr>
              <w:jc w:val="right"/>
              <w:spacing w:after="0"/>
              <w:rPr>
                <w:sz w:val="20"/>
                <w:szCs w:val="20"/>
                <w:color w:val="auto"/>
              </w:rPr>
            </w:pPr>
            <w:r>
              <w:rPr>
                <w:rFonts w:ascii="Arial" w:cs="Arial" w:eastAsia="Arial" w:hAnsi="Arial"/>
                <w:sz w:val="10"/>
                <w:szCs w:val="10"/>
                <w:color w:val="auto"/>
              </w:rPr>
              <w:t>1</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3"/>
          </w:tcPr>
          <w:p>
            <w:pPr>
              <w:jc w:val="right"/>
              <w:ind w:right="20"/>
              <w:spacing w:after="0"/>
              <w:rPr>
                <w:sz w:val="20"/>
                <w:szCs w:val="20"/>
                <w:color w:val="auto"/>
              </w:rPr>
            </w:pPr>
            <w:r>
              <w:rPr>
                <w:rFonts w:ascii="Arial" w:cs="Arial" w:eastAsia="Arial" w:hAnsi="Arial"/>
                <w:sz w:val="10"/>
                <w:szCs w:val="10"/>
                <w:color w:val="auto"/>
              </w:rPr>
              <w:t>1</w:t>
            </w:r>
          </w:p>
        </w:tc>
        <w:tc>
          <w:tcPr>
            <w:tcW w:w="100" w:type="dxa"/>
            <w:vAlign w:val="bottom"/>
          </w:tcPr>
          <w:p>
            <w:pPr>
              <w:spacing w:after="0"/>
              <w:rPr>
                <w:sz w:val="17"/>
                <w:szCs w:val="17"/>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0"/>
                <w:szCs w:val="10"/>
                <w:color w:val="auto"/>
              </w:rPr>
              <w:t>0</w:t>
            </w:r>
          </w:p>
        </w:tc>
        <w:tc>
          <w:tcPr>
            <w:tcW w:w="700" w:type="dxa"/>
            <w:vAlign w:val="bottom"/>
            <w:gridSpan w:val="3"/>
          </w:tcPr>
          <w:p>
            <w:pPr>
              <w:jc w:val="right"/>
              <w:ind w:right="20"/>
              <w:spacing w:after="0"/>
              <w:rPr>
                <w:sz w:val="20"/>
                <w:szCs w:val="20"/>
                <w:color w:val="auto"/>
              </w:rPr>
            </w:pPr>
            <w:r>
              <w:rPr>
                <w:rFonts w:ascii="Arial" w:cs="Arial" w:eastAsia="Arial" w:hAnsi="Arial"/>
                <w:sz w:val="10"/>
                <w:szCs w:val="10"/>
                <w:color w:val="auto"/>
              </w:rPr>
              <w:t>0</w:t>
            </w:r>
          </w:p>
        </w:tc>
        <w:tc>
          <w:tcPr>
            <w:tcW w:w="60" w:type="dxa"/>
            <w:vAlign w:val="bottom"/>
          </w:tcPr>
          <w:p>
            <w:pPr>
              <w:spacing w:after="0"/>
              <w:rPr>
                <w:sz w:val="17"/>
                <w:szCs w:val="17"/>
                <w:color w:val="auto"/>
              </w:rPr>
            </w:pPr>
          </w:p>
        </w:tc>
        <w:tc>
          <w:tcPr>
            <w:tcW w:w="520" w:type="dxa"/>
            <w:vAlign w:val="bottom"/>
            <w:gridSpan w:val="3"/>
          </w:tcPr>
          <w:p>
            <w:pPr>
              <w:jc w:val="right"/>
              <w:ind w:right="60"/>
              <w:spacing w:after="0"/>
              <w:rPr>
                <w:sz w:val="20"/>
                <w:szCs w:val="20"/>
                <w:color w:val="auto"/>
              </w:rPr>
            </w:pPr>
            <w:r>
              <w:rPr>
                <w:rFonts w:ascii="Arial" w:cs="Arial" w:eastAsia="Arial" w:hAnsi="Arial"/>
                <w:sz w:val="10"/>
                <w:szCs w:val="10"/>
                <w:color w:val="auto"/>
              </w:rPr>
              <w:t>0</w:t>
            </w:r>
          </w:p>
        </w:tc>
        <w:tc>
          <w:tcPr>
            <w:tcW w:w="40" w:type="dxa"/>
            <w:vAlign w:val="bottom"/>
          </w:tcPr>
          <w:p>
            <w:pPr>
              <w:spacing w:after="0"/>
              <w:rPr>
                <w:sz w:val="17"/>
                <w:szCs w:val="17"/>
                <w:color w:val="auto"/>
              </w:rPr>
            </w:pPr>
          </w:p>
        </w:tc>
        <w:tc>
          <w:tcPr>
            <w:tcW w:w="700" w:type="dxa"/>
            <w:vAlign w:val="bottom"/>
            <w:gridSpan w:val="3"/>
          </w:tcPr>
          <w:p>
            <w:pPr>
              <w:jc w:val="right"/>
              <w:spacing w:after="0"/>
              <w:rPr>
                <w:sz w:val="20"/>
                <w:szCs w:val="20"/>
                <w:color w:val="auto"/>
              </w:rPr>
            </w:pPr>
            <w:r>
              <w:rPr>
                <w:rFonts w:ascii="Arial" w:cs="Arial" w:eastAsia="Arial" w:hAnsi="Arial"/>
                <w:sz w:val="10"/>
                <w:szCs w:val="10"/>
                <w:color w:val="auto"/>
              </w:rPr>
              <w:t>0</w:t>
            </w:r>
          </w:p>
        </w:tc>
        <w:tc>
          <w:tcPr>
            <w:tcW w:w="0" w:type="dxa"/>
            <w:vAlign w:val="bottom"/>
          </w:tcPr>
          <w:p>
            <w:pPr>
              <w:spacing w:after="0"/>
              <w:rPr>
                <w:sz w:val="1"/>
                <w:szCs w:val="1"/>
                <w:color w:val="auto"/>
              </w:rPr>
            </w:pPr>
          </w:p>
        </w:tc>
      </w:tr>
      <w:tr>
        <w:trPr>
          <w:trHeight w:val="200"/>
        </w:trPr>
        <w:tc>
          <w:tcPr>
            <w:tcW w:w="2220" w:type="dxa"/>
            <w:vAlign w:val="bottom"/>
            <w:gridSpan w:val="2"/>
          </w:tcPr>
          <w:p>
            <w:pPr>
              <w:spacing w:after="0"/>
              <w:rPr>
                <w:sz w:val="20"/>
                <w:szCs w:val="20"/>
                <w:color w:val="auto"/>
              </w:rPr>
            </w:pPr>
            <w:r>
              <w:rPr>
                <w:rFonts w:ascii="Arial" w:cs="Arial" w:eastAsia="Arial" w:hAnsi="Arial"/>
                <w:sz w:val="10"/>
                <w:szCs w:val="10"/>
                <w:color w:val="auto"/>
              </w:rPr>
              <w:t>Period Certain Annuity</w:t>
            </w:r>
          </w:p>
        </w:tc>
        <w:tc>
          <w:tcPr>
            <w:tcW w:w="320" w:type="dxa"/>
            <w:vAlign w:val="bottom"/>
          </w:tcPr>
          <w:p>
            <w:pPr>
              <w:jc w:val="right"/>
              <w:spacing w:after="0"/>
              <w:rPr>
                <w:sz w:val="20"/>
                <w:szCs w:val="20"/>
                <w:color w:val="auto"/>
              </w:rPr>
            </w:pPr>
            <w:r>
              <w:rPr>
                <w:rFonts w:ascii="Arial" w:cs="Arial" w:eastAsia="Arial" w:hAnsi="Arial"/>
                <w:sz w:val="10"/>
                <w:szCs w:val="10"/>
                <w:color w:val="auto"/>
              </w:rPr>
              <w:t>1</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gridSpan w:val="3"/>
          </w:tcPr>
          <w:p>
            <w:pPr>
              <w:jc w:val="right"/>
              <w:ind w:right="20"/>
              <w:spacing w:after="0"/>
              <w:rPr>
                <w:sz w:val="20"/>
                <w:szCs w:val="20"/>
                <w:color w:val="auto"/>
              </w:rPr>
            </w:pPr>
            <w:r>
              <w:rPr>
                <w:rFonts w:ascii="Arial" w:cs="Arial" w:eastAsia="Arial" w:hAnsi="Arial"/>
                <w:sz w:val="10"/>
                <w:szCs w:val="10"/>
                <w:color w:val="auto"/>
              </w:rPr>
              <w:t>1</w:t>
            </w:r>
          </w:p>
        </w:tc>
        <w:tc>
          <w:tcPr>
            <w:tcW w:w="60" w:type="dxa"/>
            <w:vAlign w:val="bottom"/>
          </w:tcPr>
          <w:p>
            <w:pPr>
              <w:spacing w:after="0"/>
              <w:rPr>
                <w:sz w:val="17"/>
                <w:szCs w:val="17"/>
                <w:color w:val="auto"/>
              </w:rPr>
            </w:pPr>
          </w:p>
        </w:tc>
        <w:tc>
          <w:tcPr>
            <w:tcW w:w="320" w:type="dxa"/>
            <w:vAlign w:val="bottom"/>
            <w:gridSpan w:val="3"/>
          </w:tcPr>
          <w:p>
            <w:pPr>
              <w:jc w:val="right"/>
              <w:ind w:right="60"/>
              <w:spacing w:after="0"/>
              <w:rPr>
                <w:sz w:val="20"/>
                <w:szCs w:val="20"/>
                <w:color w:val="auto"/>
              </w:rPr>
            </w:pPr>
            <w:r>
              <w:rPr>
                <w:rFonts w:ascii="Arial" w:cs="Arial" w:eastAsia="Arial" w:hAnsi="Arial"/>
                <w:sz w:val="10"/>
                <w:szCs w:val="10"/>
                <w:color w:val="auto"/>
              </w:rPr>
              <w:t>1</w:t>
            </w:r>
          </w:p>
        </w:tc>
        <w:tc>
          <w:tcPr>
            <w:tcW w:w="460" w:type="dxa"/>
            <w:vAlign w:val="bottom"/>
            <w:gridSpan w:val="3"/>
          </w:tcPr>
          <w:p>
            <w:pPr>
              <w:jc w:val="right"/>
              <w:ind w:right="80"/>
              <w:spacing w:after="0"/>
              <w:rPr>
                <w:sz w:val="20"/>
                <w:szCs w:val="20"/>
                <w:color w:val="auto"/>
              </w:rPr>
            </w:pPr>
            <w:r>
              <w:rPr>
                <w:rFonts w:ascii="Arial" w:cs="Arial" w:eastAsia="Arial" w:hAnsi="Arial"/>
                <w:sz w:val="10"/>
                <w:szCs w:val="10"/>
                <w:color w:val="auto"/>
              </w:rPr>
              <w:t>1</w:t>
            </w:r>
          </w:p>
        </w:tc>
        <w:tc>
          <w:tcPr>
            <w:tcW w:w="440" w:type="dxa"/>
            <w:vAlign w:val="bottom"/>
            <w:gridSpan w:val="4"/>
          </w:tcPr>
          <w:p>
            <w:pPr>
              <w:jc w:val="right"/>
              <w:ind w:right="60"/>
              <w:spacing w:after="0"/>
              <w:rPr>
                <w:sz w:val="20"/>
                <w:szCs w:val="20"/>
                <w:color w:val="auto"/>
              </w:rPr>
            </w:pPr>
            <w:r>
              <w:rPr>
                <w:rFonts w:ascii="Arial" w:cs="Arial" w:eastAsia="Arial" w:hAnsi="Arial"/>
                <w:sz w:val="10"/>
                <w:szCs w:val="10"/>
                <w:color w:val="auto"/>
              </w:rPr>
              <w:t>1</w:t>
            </w:r>
          </w:p>
        </w:tc>
        <w:tc>
          <w:tcPr>
            <w:tcW w:w="740" w:type="dxa"/>
            <w:vAlign w:val="bottom"/>
            <w:gridSpan w:val="3"/>
          </w:tcPr>
          <w:p>
            <w:pPr>
              <w:jc w:val="right"/>
              <w:ind w:right="20"/>
              <w:spacing w:after="0"/>
              <w:rPr>
                <w:sz w:val="20"/>
                <w:szCs w:val="20"/>
                <w:color w:val="auto"/>
              </w:rPr>
            </w:pPr>
            <w:r>
              <w:rPr>
                <w:rFonts w:ascii="Arial" w:cs="Arial" w:eastAsia="Arial" w:hAnsi="Arial"/>
                <w:sz w:val="10"/>
                <w:szCs w:val="10"/>
                <w:color w:val="auto"/>
              </w:rPr>
              <w:t>1</w:t>
            </w:r>
          </w:p>
        </w:tc>
        <w:tc>
          <w:tcPr>
            <w:tcW w:w="60" w:type="dxa"/>
            <w:vAlign w:val="bottom"/>
          </w:tcPr>
          <w:p>
            <w:pPr>
              <w:spacing w:after="0"/>
              <w:rPr>
                <w:sz w:val="17"/>
                <w:szCs w:val="17"/>
                <w:color w:val="auto"/>
              </w:rPr>
            </w:pPr>
          </w:p>
        </w:tc>
        <w:tc>
          <w:tcPr>
            <w:tcW w:w="720" w:type="dxa"/>
            <w:vAlign w:val="bottom"/>
            <w:gridSpan w:val="3"/>
          </w:tcPr>
          <w:p>
            <w:pPr>
              <w:jc w:val="right"/>
              <w:ind w:right="40"/>
              <w:spacing w:after="0"/>
              <w:rPr>
                <w:sz w:val="20"/>
                <w:szCs w:val="20"/>
                <w:color w:val="auto"/>
              </w:rPr>
            </w:pPr>
            <w:r>
              <w:rPr>
                <w:rFonts w:ascii="Arial" w:cs="Arial" w:eastAsia="Arial" w:hAnsi="Arial"/>
                <w:sz w:val="10"/>
                <w:szCs w:val="10"/>
                <w:color w:val="auto"/>
              </w:rPr>
              <w:t>0</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0" w:type="dxa"/>
            <w:vAlign w:val="bottom"/>
            <w:gridSpan w:val="3"/>
          </w:tcPr>
          <w:p>
            <w:pPr>
              <w:jc w:val="right"/>
              <w:ind w:right="60"/>
              <w:spacing w:after="0"/>
              <w:rPr>
                <w:sz w:val="20"/>
                <w:szCs w:val="20"/>
                <w:color w:val="auto"/>
              </w:rPr>
            </w:pPr>
            <w:r>
              <w:rPr>
                <w:rFonts w:ascii="Arial" w:cs="Arial" w:eastAsia="Arial" w:hAnsi="Arial"/>
                <w:sz w:val="10"/>
                <w:szCs w:val="10"/>
                <w:color w:val="auto"/>
              </w:rPr>
              <w:t>1</w:t>
            </w:r>
          </w:p>
        </w:tc>
        <w:tc>
          <w:tcPr>
            <w:tcW w:w="40" w:type="dxa"/>
            <w:vAlign w:val="bottom"/>
          </w:tcPr>
          <w:p>
            <w:pPr>
              <w:spacing w:after="0"/>
              <w:rPr>
                <w:sz w:val="17"/>
                <w:szCs w:val="17"/>
                <w:color w:val="auto"/>
              </w:rPr>
            </w:pPr>
          </w:p>
        </w:tc>
        <w:tc>
          <w:tcPr>
            <w:tcW w:w="480" w:type="dxa"/>
            <w:vAlign w:val="bottom"/>
            <w:gridSpan w:val="2"/>
          </w:tcPr>
          <w:p>
            <w:pPr>
              <w:jc w:val="right"/>
              <w:spacing w:after="0"/>
              <w:rPr>
                <w:sz w:val="20"/>
                <w:szCs w:val="20"/>
                <w:color w:val="auto"/>
              </w:rPr>
            </w:pPr>
            <w:r>
              <w:rPr>
                <w:rFonts w:ascii="Arial" w:cs="Arial" w:eastAsia="Arial" w:hAnsi="Arial"/>
                <w:sz w:val="10"/>
                <w:szCs w:val="10"/>
                <w:color w:val="auto"/>
              </w:rPr>
              <w:t>1</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3"/>
          </w:tcPr>
          <w:p>
            <w:pPr>
              <w:jc w:val="right"/>
              <w:ind w:right="20"/>
              <w:spacing w:after="0"/>
              <w:rPr>
                <w:sz w:val="20"/>
                <w:szCs w:val="20"/>
                <w:color w:val="auto"/>
              </w:rPr>
            </w:pPr>
            <w:r>
              <w:rPr>
                <w:rFonts w:ascii="Arial" w:cs="Arial" w:eastAsia="Arial" w:hAnsi="Arial"/>
                <w:sz w:val="10"/>
                <w:szCs w:val="10"/>
                <w:color w:val="auto"/>
              </w:rPr>
              <w:t>1</w:t>
            </w:r>
          </w:p>
        </w:tc>
        <w:tc>
          <w:tcPr>
            <w:tcW w:w="100" w:type="dxa"/>
            <w:vAlign w:val="bottom"/>
          </w:tcPr>
          <w:p>
            <w:pPr>
              <w:spacing w:after="0"/>
              <w:rPr>
                <w:sz w:val="17"/>
                <w:szCs w:val="17"/>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0"/>
                <w:szCs w:val="10"/>
                <w:color w:val="auto"/>
              </w:rPr>
              <w:t>0</w:t>
            </w:r>
          </w:p>
        </w:tc>
        <w:tc>
          <w:tcPr>
            <w:tcW w:w="700" w:type="dxa"/>
            <w:vAlign w:val="bottom"/>
            <w:gridSpan w:val="3"/>
          </w:tcPr>
          <w:p>
            <w:pPr>
              <w:jc w:val="right"/>
              <w:ind w:right="20"/>
              <w:spacing w:after="0"/>
              <w:rPr>
                <w:sz w:val="20"/>
                <w:szCs w:val="20"/>
                <w:color w:val="auto"/>
              </w:rPr>
            </w:pPr>
            <w:r>
              <w:rPr>
                <w:rFonts w:ascii="Arial" w:cs="Arial" w:eastAsia="Arial" w:hAnsi="Arial"/>
                <w:sz w:val="10"/>
                <w:szCs w:val="10"/>
                <w:color w:val="auto"/>
              </w:rPr>
              <w:t>0</w:t>
            </w:r>
          </w:p>
        </w:tc>
        <w:tc>
          <w:tcPr>
            <w:tcW w:w="60" w:type="dxa"/>
            <w:vAlign w:val="bottom"/>
          </w:tcPr>
          <w:p>
            <w:pPr>
              <w:spacing w:after="0"/>
              <w:rPr>
                <w:sz w:val="17"/>
                <w:szCs w:val="17"/>
                <w:color w:val="auto"/>
              </w:rPr>
            </w:pPr>
          </w:p>
        </w:tc>
        <w:tc>
          <w:tcPr>
            <w:tcW w:w="520" w:type="dxa"/>
            <w:vAlign w:val="bottom"/>
            <w:gridSpan w:val="3"/>
          </w:tcPr>
          <w:p>
            <w:pPr>
              <w:jc w:val="right"/>
              <w:ind w:right="60"/>
              <w:spacing w:after="0"/>
              <w:rPr>
                <w:sz w:val="20"/>
                <w:szCs w:val="20"/>
                <w:color w:val="auto"/>
              </w:rPr>
            </w:pPr>
            <w:r>
              <w:rPr>
                <w:rFonts w:ascii="Arial" w:cs="Arial" w:eastAsia="Arial" w:hAnsi="Arial"/>
                <w:sz w:val="10"/>
                <w:szCs w:val="10"/>
                <w:color w:val="auto"/>
              </w:rPr>
              <w:t>0</w:t>
            </w:r>
          </w:p>
        </w:tc>
        <w:tc>
          <w:tcPr>
            <w:tcW w:w="40" w:type="dxa"/>
            <w:vAlign w:val="bottom"/>
          </w:tcPr>
          <w:p>
            <w:pPr>
              <w:spacing w:after="0"/>
              <w:rPr>
                <w:sz w:val="17"/>
                <w:szCs w:val="17"/>
                <w:color w:val="auto"/>
              </w:rPr>
            </w:pPr>
          </w:p>
        </w:tc>
        <w:tc>
          <w:tcPr>
            <w:tcW w:w="700" w:type="dxa"/>
            <w:vAlign w:val="bottom"/>
            <w:gridSpan w:val="3"/>
          </w:tcPr>
          <w:p>
            <w:pPr>
              <w:jc w:val="right"/>
              <w:spacing w:after="0"/>
              <w:rPr>
                <w:sz w:val="20"/>
                <w:szCs w:val="20"/>
                <w:color w:val="auto"/>
              </w:rPr>
            </w:pPr>
            <w:r>
              <w:rPr>
                <w:rFonts w:ascii="Arial" w:cs="Arial" w:eastAsia="Arial" w:hAnsi="Arial"/>
                <w:sz w:val="10"/>
                <w:szCs w:val="10"/>
                <w:color w:val="auto"/>
              </w:rPr>
              <w:t>0</w:t>
            </w:r>
          </w:p>
        </w:tc>
        <w:tc>
          <w:tcPr>
            <w:tcW w:w="0" w:type="dxa"/>
            <w:vAlign w:val="bottom"/>
          </w:tcPr>
          <w:p>
            <w:pPr>
              <w:spacing w:after="0"/>
              <w:rPr>
                <w:sz w:val="1"/>
                <w:szCs w:val="1"/>
                <w:color w:val="auto"/>
              </w:rPr>
            </w:pPr>
          </w:p>
        </w:tc>
      </w:tr>
      <w:tr>
        <w:trPr>
          <w:trHeight w:val="155"/>
        </w:trPr>
        <w:tc>
          <w:tcPr>
            <w:tcW w:w="2220" w:type="dxa"/>
            <w:vAlign w:val="bottom"/>
            <w:gridSpan w:val="2"/>
          </w:tcPr>
          <w:p>
            <w:pPr>
              <w:spacing w:after="0"/>
              <w:rPr>
                <w:sz w:val="20"/>
                <w:szCs w:val="20"/>
                <w:color w:val="auto"/>
              </w:rPr>
            </w:pPr>
            <w:r>
              <w:rPr>
                <w:rFonts w:ascii="Arial" w:cs="Arial" w:eastAsia="Arial" w:hAnsi="Arial"/>
                <w:sz w:val="10"/>
                <w:szCs w:val="10"/>
                <w:color w:val="auto"/>
              </w:rPr>
              <w:t>Window Contingent Joint and Survivor Life</w:t>
            </w:r>
          </w:p>
        </w:tc>
        <w:tc>
          <w:tcPr>
            <w:tcW w:w="320" w:type="dxa"/>
            <w:vAlign w:val="bottom"/>
            <w:vMerge w:val="restart"/>
          </w:tcPr>
          <w:p>
            <w:pPr>
              <w:jc w:val="right"/>
              <w:spacing w:after="0"/>
              <w:rPr>
                <w:sz w:val="20"/>
                <w:szCs w:val="20"/>
                <w:color w:val="auto"/>
              </w:rPr>
            </w:pPr>
            <w:r>
              <w:rPr>
                <w:rFonts w:ascii="Arial" w:cs="Arial" w:eastAsia="Arial" w:hAnsi="Arial"/>
                <w:sz w:val="10"/>
                <w:szCs w:val="10"/>
                <w:color w:val="auto"/>
              </w:rPr>
              <w:t>1</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gridSpan w:val="3"/>
            <w:vMerge w:val="restart"/>
          </w:tcPr>
          <w:p>
            <w:pPr>
              <w:jc w:val="right"/>
              <w:ind w:right="20"/>
              <w:spacing w:after="0"/>
              <w:rPr>
                <w:sz w:val="20"/>
                <w:szCs w:val="20"/>
                <w:color w:val="auto"/>
              </w:rPr>
            </w:pPr>
            <w:r>
              <w:rPr>
                <w:rFonts w:ascii="Arial" w:cs="Arial" w:eastAsia="Arial" w:hAnsi="Arial"/>
                <w:sz w:val="10"/>
                <w:szCs w:val="10"/>
                <w:color w:val="auto"/>
              </w:rPr>
              <w:t>1</w:t>
            </w:r>
          </w:p>
        </w:tc>
        <w:tc>
          <w:tcPr>
            <w:tcW w:w="60" w:type="dxa"/>
            <w:vAlign w:val="bottom"/>
          </w:tcPr>
          <w:p>
            <w:pPr>
              <w:spacing w:after="0"/>
              <w:rPr>
                <w:sz w:val="13"/>
                <w:szCs w:val="13"/>
                <w:color w:val="auto"/>
              </w:rPr>
            </w:pPr>
          </w:p>
        </w:tc>
        <w:tc>
          <w:tcPr>
            <w:tcW w:w="320" w:type="dxa"/>
            <w:vAlign w:val="bottom"/>
            <w:gridSpan w:val="3"/>
            <w:vMerge w:val="restart"/>
          </w:tcPr>
          <w:p>
            <w:pPr>
              <w:jc w:val="right"/>
              <w:ind w:right="60"/>
              <w:spacing w:after="0"/>
              <w:rPr>
                <w:sz w:val="20"/>
                <w:szCs w:val="20"/>
                <w:color w:val="auto"/>
              </w:rPr>
            </w:pPr>
            <w:r>
              <w:rPr>
                <w:rFonts w:ascii="Arial" w:cs="Arial" w:eastAsia="Arial" w:hAnsi="Arial"/>
                <w:sz w:val="10"/>
                <w:szCs w:val="10"/>
                <w:color w:val="auto"/>
              </w:rPr>
              <w:t>1</w:t>
            </w:r>
          </w:p>
        </w:tc>
        <w:tc>
          <w:tcPr>
            <w:tcW w:w="460" w:type="dxa"/>
            <w:vAlign w:val="bottom"/>
            <w:gridSpan w:val="3"/>
            <w:vMerge w:val="restart"/>
          </w:tcPr>
          <w:p>
            <w:pPr>
              <w:jc w:val="right"/>
              <w:ind w:right="80"/>
              <w:spacing w:after="0"/>
              <w:rPr>
                <w:sz w:val="20"/>
                <w:szCs w:val="20"/>
                <w:color w:val="auto"/>
              </w:rPr>
            </w:pPr>
            <w:r>
              <w:rPr>
                <w:rFonts w:ascii="Arial" w:cs="Arial" w:eastAsia="Arial" w:hAnsi="Arial"/>
                <w:sz w:val="10"/>
                <w:szCs w:val="10"/>
                <w:color w:val="auto"/>
              </w:rPr>
              <w:t>1</w:t>
            </w:r>
          </w:p>
        </w:tc>
        <w:tc>
          <w:tcPr>
            <w:tcW w:w="440" w:type="dxa"/>
            <w:vAlign w:val="bottom"/>
            <w:gridSpan w:val="4"/>
            <w:vMerge w:val="restart"/>
          </w:tcPr>
          <w:p>
            <w:pPr>
              <w:jc w:val="right"/>
              <w:ind w:right="60"/>
              <w:spacing w:after="0"/>
              <w:rPr>
                <w:sz w:val="20"/>
                <w:szCs w:val="20"/>
                <w:color w:val="auto"/>
              </w:rPr>
            </w:pPr>
            <w:r>
              <w:rPr>
                <w:rFonts w:ascii="Arial" w:cs="Arial" w:eastAsia="Arial" w:hAnsi="Arial"/>
                <w:sz w:val="10"/>
                <w:szCs w:val="10"/>
                <w:color w:val="auto"/>
              </w:rPr>
              <w:t>1</w:t>
            </w:r>
          </w:p>
        </w:tc>
        <w:tc>
          <w:tcPr>
            <w:tcW w:w="740" w:type="dxa"/>
            <w:vAlign w:val="bottom"/>
            <w:gridSpan w:val="3"/>
            <w:vMerge w:val="restart"/>
          </w:tcPr>
          <w:p>
            <w:pPr>
              <w:jc w:val="right"/>
              <w:ind w:right="20"/>
              <w:spacing w:after="0"/>
              <w:rPr>
                <w:sz w:val="20"/>
                <w:szCs w:val="20"/>
                <w:color w:val="auto"/>
              </w:rPr>
            </w:pPr>
            <w:r>
              <w:rPr>
                <w:rFonts w:ascii="Arial" w:cs="Arial" w:eastAsia="Arial" w:hAnsi="Arial"/>
                <w:sz w:val="10"/>
                <w:szCs w:val="10"/>
                <w:color w:val="auto"/>
              </w:rPr>
              <w:t>1</w:t>
            </w:r>
          </w:p>
        </w:tc>
        <w:tc>
          <w:tcPr>
            <w:tcW w:w="60" w:type="dxa"/>
            <w:vAlign w:val="bottom"/>
          </w:tcPr>
          <w:p>
            <w:pPr>
              <w:spacing w:after="0"/>
              <w:rPr>
                <w:sz w:val="13"/>
                <w:szCs w:val="13"/>
                <w:color w:val="auto"/>
              </w:rPr>
            </w:pPr>
          </w:p>
        </w:tc>
        <w:tc>
          <w:tcPr>
            <w:tcW w:w="720" w:type="dxa"/>
            <w:vAlign w:val="bottom"/>
            <w:gridSpan w:val="3"/>
            <w:vMerge w:val="restart"/>
          </w:tcPr>
          <w:p>
            <w:pPr>
              <w:jc w:val="right"/>
              <w:ind w:right="40"/>
              <w:spacing w:after="0"/>
              <w:rPr>
                <w:sz w:val="20"/>
                <w:szCs w:val="20"/>
                <w:color w:val="auto"/>
              </w:rPr>
            </w:pPr>
            <w:r>
              <w:rPr>
                <w:rFonts w:ascii="Arial" w:cs="Arial" w:eastAsia="Arial" w:hAnsi="Arial"/>
                <w:sz w:val="10"/>
                <w:szCs w:val="10"/>
                <w:color w:val="auto"/>
              </w:rPr>
              <w:t>1</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60" w:type="dxa"/>
            <w:vAlign w:val="bottom"/>
            <w:gridSpan w:val="3"/>
            <w:vMerge w:val="restart"/>
          </w:tcPr>
          <w:p>
            <w:pPr>
              <w:jc w:val="right"/>
              <w:ind w:right="60"/>
              <w:spacing w:after="0"/>
              <w:rPr>
                <w:sz w:val="20"/>
                <w:szCs w:val="20"/>
                <w:color w:val="auto"/>
              </w:rPr>
            </w:pPr>
            <w:r>
              <w:rPr>
                <w:rFonts w:ascii="Arial" w:cs="Arial" w:eastAsia="Arial" w:hAnsi="Arial"/>
                <w:sz w:val="10"/>
                <w:szCs w:val="10"/>
                <w:color w:val="auto"/>
              </w:rPr>
              <w:t>0</w:t>
            </w:r>
          </w:p>
        </w:tc>
        <w:tc>
          <w:tcPr>
            <w:tcW w:w="40" w:type="dxa"/>
            <w:vAlign w:val="bottom"/>
          </w:tcPr>
          <w:p>
            <w:pPr>
              <w:spacing w:after="0"/>
              <w:rPr>
                <w:sz w:val="13"/>
                <w:szCs w:val="13"/>
                <w:color w:val="auto"/>
              </w:rPr>
            </w:pPr>
          </w:p>
        </w:tc>
        <w:tc>
          <w:tcPr>
            <w:tcW w:w="480" w:type="dxa"/>
            <w:vAlign w:val="bottom"/>
            <w:gridSpan w:val="2"/>
            <w:vMerge w:val="restart"/>
          </w:tcPr>
          <w:p>
            <w:pPr>
              <w:jc w:val="right"/>
              <w:spacing w:after="0"/>
              <w:rPr>
                <w:sz w:val="20"/>
                <w:szCs w:val="20"/>
                <w:color w:val="auto"/>
              </w:rPr>
            </w:pPr>
            <w:r>
              <w:rPr>
                <w:rFonts w:ascii="Arial" w:cs="Arial" w:eastAsia="Arial" w:hAnsi="Arial"/>
                <w:sz w:val="10"/>
                <w:szCs w:val="10"/>
                <w:color w:val="auto"/>
              </w:rPr>
              <w:t>1</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3"/>
            <w:vMerge w:val="restart"/>
          </w:tcPr>
          <w:p>
            <w:pPr>
              <w:jc w:val="right"/>
              <w:ind w:right="20"/>
              <w:spacing w:after="0"/>
              <w:rPr>
                <w:sz w:val="20"/>
                <w:szCs w:val="20"/>
                <w:color w:val="auto"/>
              </w:rPr>
            </w:pPr>
            <w:r>
              <w:rPr>
                <w:rFonts w:ascii="Arial" w:cs="Arial" w:eastAsia="Arial" w:hAnsi="Arial"/>
                <w:sz w:val="10"/>
                <w:szCs w:val="10"/>
                <w:color w:val="auto"/>
              </w:rPr>
              <w:t>1</w:t>
            </w:r>
          </w:p>
        </w:tc>
        <w:tc>
          <w:tcPr>
            <w:tcW w:w="100" w:type="dxa"/>
            <w:vAlign w:val="bottom"/>
          </w:tcPr>
          <w:p>
            <w:pPr>
              <w:spacing w:after="0"/>
              <w:rPr>
                <w:sz w:val="13"/>
                <w:szCs w:val="13"/>
                <w:color w:val="auto"/>
              </w:rPr>
            </w:pPr>
          </w:p>
        </w:tc>
        <w:tc>
          <w:tcPr>
            <w:tcW w:w="600" w:type="dxa"/>
            <w:vAlign w:val="bottom"/>
            <w:gridSpan w:val="2"/>
            <w:vMerge w:val="restart"/>
          </w:tcPr>
          <w:p>
            <w:pPr>
              <w:jc w:val="right"/>
              <w:ind w:right="60"/>
              <w:spacing w:after="0"/>
              <w:rPr>
                <w:sz w:val="20"/>
                <w:szCs w:val="20"/>
                <w:color w:val="auto"/>
              </w:rPr>
            </w:pPr>
            <w:r>
              <w:rPr>
                <w:rFonts w:ascii="Arial" w:cs="Arial" w:eastAsia="Arial" w:hAnsi="Arial"/>
                <w:sz w:val="10"/>
                <w:szCs w:val="10"/>
                <w:color w:val="auto"/>
              </w:rPr>
              <w:t>1</w:t>
            </w:r>
          </w:p>
        </w:tc>
        <w:tc>
          <w:tcPr>
            <w:tcW w:w="700" w:type="dxa"/>
            <w:vAlign w:val="bottom"/>
            <w:gridSpan w:val="3"/>
            <w:vMerge w:val="restart"/>
          </w:tcPr>
          <w:p>
            <w:pPr>
              <w:jc w:val="right"/>
              <w:ind w:right="20"/>
              <w:spacing w:after="0"/>
              <w:rPr>
                <w:sz w:val="20"/>
                <w:szCs w:val="20"/>
                <w:color w:val="auto"/>
              </w:rPr>
            </w:pPr>
            <w:r>
              <w:rPr>
                <w:rFonts w:ascii="Arial" w:cs="Arial" w:eastAsia="Arial" w:hAnsi="Arial"/>
                <w:sz w:val="10"/>
                <w:szCs w:val="10"/>
                <w:color w:val="auto"/>
              </w:rPr>
              <w:t>1</w:t>
            </w:r>
          </w:p>
        </w:tc>
        <w:tc>
          <w:tcPr>
            <w:tcW w:w="60" w:type="dxa"/>
            <w:vAlign w:val="bottom"/>
          </w:tcPr>
          <w:p>
            <w:pPr>
              <w:spacing w:after="0"/>
              <w:rPr>
                <w:sz w:val="13"/>
                <w:szCs w:val="13"/>
                <w:color w:val="auto"/>
              </w:rPr>
            </w:pPr>
          </w:p>
        </w:tc>
        <w:tc>
          <w:tcPr>
            <w:tcW w:w="520" w:type="dxa"/>
            <w:vAlign w:val="bottom"/>
            <w:gridSpan w:val="3"/>
            <w:vMerge w:val="restart"/>
          </w:tcPr>
          <w:p>
            <w:pPr>
              <w:jc w:val="right"/>
              <w:ind w:right="60"/>
              <w:spacing w:after="0"/>
              <w:rPr>
                <w:sz w:val="20"/>
                <w:szCs w:val="20"/>
                <w:color w:val="auto"/>
              </w:rPr>
            </w:pPr>
            <w:r>
              <w:rPr>
                <w:rFonts w:ascii="Arial" w:cs="Arial" w:eastAsia="Arial" w:hAnsi="Arial"/>
                <w:sz w:val="10"/>
                <w:szCs w:val="10"/>
                <w:color w:val="auto"/>
              </w:rPr>
              <w:t>0</w:t>
            </w:r>
          </w:p>
        </w:tc>
        <w:tc>
          <w:tcPr>
            <w:tcW w:w="40" w:type="dxa"/>
            <w:vAlign w:val="bottom"/>
          </w:tcPr>
          <w:p>
            <w:pPr>
              <w:spacing w:after="0"/>
              <w:rPr>
                <w:sz w:val="13"/>
                <w:szCs w:val="13"/>
                <w:color w:val="auto"/>
              </w:rPr>
            </w:pPr>
          </w:p>
        </w:tc>
        <w:tc>
          <w:tcPr>
            <w:tcW w:w="700" w:type="dxa"/>
            <w:vAlign w:val="bottom"/>
            <w:gridSpan w:val="3"/>
            <w:vMerge w:val="restart"/>
          </w:tcPr>
          <w:p>
            <w:pPr>
              <w:jc w:val="right"/>
              <w:spacing w:after="0"/>
              <w:rPr>
                <w:sz w:val="20"/>
                <w:szCs w:val="20"/>
                <w:color w:val="auto"/>
              </w:rPr>
            </w:pPr>
            <w:r>
              <w:rPr>
                <w:rFonts w:ascii="Arial" w:cs="Arial" w:eastAsia="Arial" w:hAnsi="Arial"/>
                <w:sz w:val="10"/>
                <w:szCs w:val="10"/>
                <w:color w:val="auto"/>
              </w:rPr>
              <w:t>0</w:t>
            </w:r>
          </w:p>
        </w:tc>
        <w:tc>
          <w:tcPr>
            <w:tcW w:w="0" w:type="dxa"/>
            <w:vAlign w:val="bottom"/>
          </w:tcPr>
          <w:p>
            <w:pPr>
              <w:spacing w:after="0"/>
              <w:rPr>
                <w:sz w:val="1"/>
                <w:szCs w:val="1"/>
                <w:color w:val="auto"/>
              </w:rPr>
            </w:pPr>
          </w:p>
        </w:tc>
      </w:tr>
      <w:tr>
        <w:trPr>
          <w:trHeight w:val="121"/>
        </w:trPr>
        <w:tc>
          <w:tcPr>
            <w:tcW w:w="2220" w:type="dxa"/>
            <w:vAlign w:val="bottom"/>
            <w:gridSpan w:val="2"/>
          </w:tcPr>
          <w:p>
            <w:pPr>
              <w:spacing w:after="0"/>
              <w:rPr>
                <w:sz w:val="20"/>
                <w:szCs w:val="20"/>
                <w:color w:val="auto"/>
              </w:rPr>
            </w:pPr>
            <w:r>
              <w:rPr>
                <w:rFonts w:ascii="Arial" w:cs="Arial" w:eastAsia="Arial" w:hAnsi="Arial"/>
                <w:sz w:val="10"/>
                <w:szCs w:val="10"/>
                <w:color w:val="auto"/>
              </w:rPr>
              <w:t>Annuity</w:t>
            </w:r>
          </w:p>
        </w:tc>
        <w:tc>
          <w:tcPr>
            <w:tcW w:w="32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gridSpan w:val="3"/>
            <w:vMerge w:val="continue"/>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gridSpan w:val="3"/>
            <w:vMerge w:val="continue"/>
          </w:tcPr>
          <w:p>
            <w:pPr>
              <w:spacing w:after="0"/>
              <w:rPr>
                <w:sz w:val="10"/>
                <w:szCs w:val="10"/>
                <w:color w:val="auto"/>
              </w:rPr>
            </w:pPr>
          </w:p>
        </w:tc>
        <w:tc>
          <w:tcPr>
            <w:tcW w:w="460" w:type="dxa"/>
            <w:vAlign w:val="bottom"/>
            <w:gridSpan w:val="3"/>
            <w:vMerge w:val="continue"/>
          </w:tcPr>
          <w:p>
            <w:pPr>
              <w:spacing w:after="0"/>
              <w:rPr>
                <w:sz w:val="10"/>
                <w:szCs w:val="10"/>
                <w:color w:val="auto"/>
              </w:rPr>
            </w:pPr>
          </w:p>
        </w:tc>
        <w:tc>
          <w:tcPr>
            <w:tcW w:w="440" w:type="dxa"/>
            <w:vAlign w:val="bottom"/>
            <w:gridSpan w:val="4"/>
            <w:vMerge w:val="continue"/>
          </w:tcPr>
          <w:p>
            <w:pPr>
              <w:spacing w:after="0"/>
              <w:rPr>
                <w:sz w:val="10"/>
                <w:szCs w:val="10"/>
                <w:color w:val="auto"/>
              </w:rPr>
            </w:pPr>
          </w:p>
        </w:tc>
        <w:tc>
          <w:tcPr>
            <w:tcW w:w="740" w:type="dxa"/>
            <w:vAlign w:val="bottom"/>
            <w:gridSpan w:val="3"/>
            <w:vMerge w:val="continue"/>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gridSpan w:val="3"/>
            <w:vMerge w:val="continue"/>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60" w:type="dxa"/>
            <w:vAlign w:val="bottom"/>
            <w:gridSpan w:val="3"/>
            <w:vMerge w:val="continue"/>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700" w:type="dxa"/>
            <w:vAlign w:val="bottom"/>
            <w:gridSpan w:val="3"/>
            <w:vMerge w:val="continue"/>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gridSpan w:val="3"/>
            <w:vMerge w:val="continue"/>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2220" w:type="dxa"/>
            <w:vAlign w:val="bottom"/>
            <w:gridSpan w:val="2"/>
          </w:tcPr>
          <w:p>
            <w:pPr>
              <w:spacing w:after="0"/>
              <w:rPr>
                <w:sz w:val="20"/>
                <w:szCs w:val="20"/>
                <w:color w:val="auto"/>
              </w:rPr>
            </w:pPr>
            <w:r>
              <w:rPr>
                <w:rFonts w:ascii="Arial" w:cs="Arial" w:eastAsia="Arial" w:hAnsi="Arial"/>
                <w:sz w:val="10"/>
                <w:szCs w:val="10"/>
                <w:color w:val="auto"/>
              </w:rPr>
              <w:t>Window Single Life Annuity</w:t>
            </w:r>
          </w:p>
        </w:tc>
        <w:tc>
          <w:tcPr>
            <w:tcW w:w="320" w:type="dxa"/>
            <w:vAlign w:val="bottom"/>
          </w:tcPr>
          <w:p>
            <w:pPr>
              <w:jc w:val="right"/>
              <w:spacing w:after="0"/>
              <w:rPr>
                <w:sz w:val="20"/>
                <w:szCs w:val="20"/>
                <w:color w:val="auto"/>
              </w:rPr>
            </w:pPr>
            <w:r>
              <w:rPr>
                <w:rFonts w:ascii="Arial" w:cs="Arial" w:eastAsia="Arial" w:hAnsi="Arial"/>
                <w:sz w:val="10"/>
                <w:szCs w:val="10"/>
                <w:color w:val="auto"/>
              </w:rPr>
              <w:t>1</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gridSpan w:val="3"/>
          </w:tcPr>
          <w:p>
            <w:pPr>
              <w:jc w:val="right"/>
              <w:ind w:right="20"/>
              <w:spacing w:after="0"/>
              <w:rPr>
                <w:sz w:val="20"/>
                <w:szCs w:val="20"/>
                <w:color w:val="auto"/>
              </w:rPr>
            </w:pPr>
            <w:r>
              <w:rPr>
                <w:rFonts w:ascii="Arial" w:cs="Arial" w:eastAsia="Arial" w:hAnsi="Arial"/>
                <w:sz w:val="10"/>
                <w:szCs w:val="10"/>
                <w:color w:val="auto"/>
              </w:rPr>
              <w:t>1</w:t>
            </w:r>
          </w:p>
        </w:tc>
        <w:tc>
          <w:tcPr>
            <w:tcW w:w="60" w:type="dxa"/>
            <w:vAlign w:val="bottom"/>
          </w:tcPr>
          <w:p>
            <w:pPr>
              <w:spacing w:after="0"/>
              <w:rPr>
                <w:sz w:val="17"/>
                <w:szCs w:val="17"/>
                <w:color w:val="auto"/>
              </w:rPr>
            </w:pPr>
          </w:p>
        </w:tc>
        <w:tc>
          <w:tcPr>
            <w:tcW w:w="320" w:type="dxa"/>
            <w:vAlign w:val="bottom"/>
            <w:gridSpan w:val="3"/>
          </w:tcPr>
          <w:p>
            <w:pPr>
              <w:jc w:val="right"/>
              <w:ind w:right="60"/>
              <w:spacing w:after="0"/>
              <w:rPr>
                <w:sz w:val="20"/>
                <w:szCs w:val="20"/>
                <w:color w:val="auto"/>
              </w:rPr>
            </w:pPr>
            <w:r>
              <w:rPr>
                <w:rFonts w:ascii="Arial" w:cs="Arial" w:eastAsia="Arial" w:hAnsi="Arial"/>
                <w:sz w:val="10"/>
                <w:szCs w:val="10"/>
                <w:color w:val="auto"/>
              </w:rPr>
              <w:t>1</w:t>
            </w:r>
          </w:p>
        </w:tc>
        <w:tc>
          <w:tcPr>
            <w:tcW w:w="460" w:type="dxa"/>
            <w:vAlign w:val="bottom"/>
            <w:gridSpan w:val="3"/>
          </w:tcPr>
          <w:p>
            <w:pPr>
              <w:jc w:val="right"/>
              <w:ind w:right="80"/>
              <w:spacing w:after="0"/>
              <w:rPr>
                <w:sz w:val="20"/>
                <w:szCs w:val="20"/>
                <w:color w:val="auto"/>
              </w:rPr>
            </w:pPr>
            <w:r>
              <w:rPr>
                <w:rFonts w:ascii="Arial" w:cs="Arial" w:eastAsia="Arial" w:hAnsi="Arial"/>
                <w:sz w:val="10"/>
                <w:szCs w:val="10"/>
                <w:color w:val="auto"/>
              </w:rPr>
              <w:t>1</w:t>
            </w:r>
          </w:p>
        </w:tc>
        <w:tc>
          <w:tcPr>
            <w:tcW w:w="440" w:type="dxa"/>
            <w:vAlign w:val="bottom"/>
            <w:gridSpan w:val="4"/>
          </w:tcPr>
          <w:p>
            <w:pPr>
              <w:jc w:val="right"/>
              <w:ind w:right="60"/>
              <w:spacing w:after="0"/>
              <w:rPr>
                <w:sz w:val="20"/>
                <w:szCs w:val="20"/>
                <w:color w:val="auto"/>
              </w:rPr>
            </w:pPr>
            <w:r>
              <w:rPr>
                <w:rFonts w:ascii="Arial" w:cs="Arial" w:eastAsia="Arial" w:hAnsi="Arial"/>
                <w:sz w:val="10"/>
                <w:szCs w:val="10"/>
                <w:color w:val="auto"/>
              </w:rPr>
              <w:t>1</w:t>
            </w:r>
          </w:p>
        </w:tc>
        <w:tc>
          <w:tcPr>
            <w:tcW w:w="740" w:type="dxa"/>
            <w:vAlign w:val="bottom"/>
            <w:gridSpan w:val="3"/>
          </w:tcPr>
          <w:p>
            <w:pPr>
              <w:jc w:val="right"/>
              <w:ind w:right="20"/>
              <w:spacing w:after="0"/>
              <w:rPr>
                <w:sz w:val="20"/>
                <w:szCs w:val="20"/>
                <w:color w:val="auto"/>
              </w:rPr>
            </w:pPr>
            <w:r>
              <w:rPr>
                <w:rFonts w:ascii="Arial" w:cs="Arial" w:eastAsia="Arial" w:hAnsi="Arial"/>
                <w:sz w:val="10"/>
                <w:szCs w:val="10"/>
                <w:color w:val="auto"/>
              </w:rPr>
              <w:t>1</w:t>
            </w:r>
          </w:p>
        </w:tc>
        <w:tc>
          <w:tcPr>
            <w:tcW w:w="60" w:type="dxa"/>
            <w:vAlign w:val="bottom"/>
          </w:tcPr>
          <w:p>
            <w:pPr>
              <w:spacing w:after="0"/>
              <w:rPr>
                <w:sz w:val="17"/>
                <w:szCs w:val="17"/>
                <w:color w:val="auto"/>
              </w:rPr>
            </w:pPr>
          </w:p>
        </w:tc>
        <w:tc>
          <w:tcPr>
            <w:tcW w:w="720" w:type="dxa"/>
            <w:vAlign w:val="bottom"/>
            <w:gridSpan w:val="3"/>
          </w:tcPr>
          <w:p>
            <w:pPr>
              <w:jc w:val="right"/>
              <w:ind w:right="40"/>
              <w:spacing w:after="0"/>
              <w:rPr>
                <w:sz w:val="20"/>
                <w:szCs w:val="20"/>
                <w:color w:val="auto"/>
              </w:rPr>
            </w:pPr>
            <w:r>
              <w:rPr>
                <w:rFonts w:ascii="Arial" w:cs="Arial" w:eastAsia="Arial" w:hAnsi="Arial"/>
                <w:sz w:val="10"/>
                <w:szCs w:val="10"/>
                <w:color w:val="auto"/>
              </w:rPr>
              <w:t>0</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0" w:type="dxa"/>
            <w:vAlign w:val="bottom"/>
            <w:gridSpan w:val="3"/>
          </w:tcPr>
          <w:p>
            <w:pPr>
              <w:jc w:val="right"/>
              <w:ind w:right="60"/>
              <w:spacing w:after="0"/>
              <w:rPr>
                <w:sz w:val="20"/>
                <w:szCs w:val="20"/>
                <w:color w:val="auto"/>
              </w:rPr>
            </w:pPr>
            <w:r>
              <w:rPr>
                <w:rFonts w:ascii="Arial" w:cs="Arial" w:eastAsia="Arial" w:hAnsi="Arial"/>
                <w:sz w:val="10"/>
                <w:szCs w:val="10"/>
                <w:color w:val="auto"/>
              </w:rPr>
              <w:t>0</w:t>
            </w:r>
          </w:p>
        </w:tc>
        <w:tc>
          <w:tcPr>
            <w:tcW w:w="40" w:type="dxa"/>
            <w:vAlign w:val="bottom"/>
          </w:tcPr>
          <w:p>
            <w:pPr>
              <w:spacing w:after="0"/>
              <w:rPr>
                <w:sz w:val="17"/>
                <w:szCs w:val="17"/>
                <w:color w:val="auto"/>
              </w:rPr>
            </w:pPr>
          </w:p>
        </w:tc>
        <w:tc>
          <w:tcPr>
            <w:tcW w:w="480" w:type="dxa"/>
            <w:vAlign w:val="bottom"/>
            <w:gridSpan w:val="2"/>
          </w:tcPr>
          <w:p>
            <w:pPr>
              <w:jc w:val="right"/>
              <w:spacing w:after="0"/>
              <w:rPr>
                <w:sz w:val="20"/>
                <w:szCs w:val="20"/>
                <w:color w:val="auto"/>
              </w:rPr>
            </w:pPr>
            <w:r>
              <w:rPr>
                <w:rFonts w:ascii="Arial" w:cs="Arial" w:eastAsia="Arial" w:hAnsi="Arial"/>
                <w:sz w:val="10"/>
                <w:szCs w:val="10"/>
                <w:color w:val="auto"/>
              </w:rPr>
              <w:t>0</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3"/>
          </w:tcPr>
          <w:p>
            <w:pPr>
              <w:jc w:val="right"/>
              <w:ind w:right="20"/>
              <w:spacing w:after="0"/>
              <w:rPr>
                <w:sz w:val="20"/>
                <w:szCs w:val="20"/>
                <w:color w:val="auto"/>
              </w:rPr>
            </w:pPr>
            <w:r>
              <w:rPr>
                <w:rFonts w:ascii="Arial" w:cs="Arial" w:eastAsia="Arial" w:hAnsi="Arial"/>
                <w:sz w:val="10"/>
                <w:szCs w:val="10"/>
                <w:color w:val="auto"/>
              </w:rPr>
              <w:t>0</w:t>
            </w:r>
          </w:p>
        </w:tc>
        <w:tc>
          <w:tcPr>
            <w:tcW w:w="100" w:type="dxa"/>
            <w:vAlign w:val="bottom"/>
          </w:tcPr>
          <w:p>
            <w:pPr>
              <w:spacing w:after="0"/>
              <w:rPr>
                <w:sz w:val="17"/>
                <w:szCs w:val="17"/>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0"/>
                <w:szCs w:val="10"/>
                <w:color w:val="auto"/>
              </w:rPr>
              <w:t>0</w:t>
            </w:r>
          </w:p>
        </w:tc>
        <w:tc>
          <w:tcPr>
            <w:tcW w:w="700" w:type="dxa"/>
            <w:vAlign w:val="bottom"/>
            <w:gridSpan w:val="3"/>
          </w:tcPr>
          <w:p>
            <w:pPr>
              <w:jc w:val="right"/>
              <w:ind w:right="20"/>
              <w:spacing w:after="0"/>
              <w:rPr>
                <w:sz w:val="20"/>
                <w:szCs w:val="20"/>
                <w:color w:val="auto"/>
              </w:rPr>
            </w:pPr>
            <w:r>
              <w:rPr>
                <w:rFonts w:ascii="Arial" w:cs="Arial" w:eastAsia="Arial" w:hAnsi="Arial"/>
                <w:sz w:val="10"/>
                <w:szCs w:val="10"/>
                <w:color w:val="auto"/>
              </w:rPr>
              <w:t>0</w:t>
            </w:r>
          </w:p>
        </w:tc>
        <w:tc>
          <w:tcPr>
            <w:tcW w:w="60" w:type="dxa"/>
            <w:vAlign w:val="bottom"/>
          </w:tcPr>
          <w:p>
            <w:pPr>
              <w:spacing w:after="0"/>
              <w:rPr>
                <w:sz w:val="17"/>
                <w:szCs w:val="17"/>
                <w:color w:val="auto"/>
              </w:rPr>
            </w:pPr>
          </w:p>
        </w:tc>
        <w:tc>
          <w:tcPr>
            <w:tcW w:w="520" w:type="dxa"/>
            <w:vAlign w:val="bottom"/>
            <w:gridSpan w:val="3"/>
          </w:tcPr>
          <w:p>
            <w:pPr>
              <w:jc w:val="right"/>
              <w:ind w:right="60"/>
              <w:spacing w:after="0"/>
              <w:rPr>
                <w:sz w:val="20"/>
                <w:szCs w:val="20"/>
                <w:color w:val="auto"/>
              </w:rPr>
            </w:pPr>
            <w:r>
              <w:rPr>
                <w:rFonts w:ascii="Arial" w:cs="Arial" w:eastAsia="Arial" w:hAnsi="Arial"/>
                <w:sz w:val="10"/>
                <w:szCs w:val="10"/>
                <w:color w:val="auto"/>
              </w:rPr>
              <w:t>0</w:t>
            </w:r>
          </w:p>
        </w:tc>
        <w:tc>
          <w:tcPr>
            <w:tcW w:w="40" w:type="dxa"/>
            <w:vAlign w:val="bottom"/>
          </w:tcPr>
          <w:p>
            <w:pPr>
              <w:spacing w:after="0"/>
              <w:rPr>
                <w:sz w:val="17"/>
                <w:szCs w:val="17"/>
                <w:color w:val="auto"/>
              </w:rPr>
            </w:pPr>
          </w:p>
        </w:tc>
        <w:tc>
          <w:tcPr>
            <w:tcW w:w="700" w:type="dxa"/>
            <w:vAlign w:val="bottom"/>
            <w:gridSpan w:val="3"/>
          </w:tcPr>
          <w:p>
            <w:pPr>
              <w:jc w:val="right"/>
              <w:spacing w:after="0"/>
              <w:rPr>
                <w:sz w:val="20"/>
                <w:szCs w:val="20"/>
                <w:color w:val="auto"/>
              </w:rPr>
            </w:pPr>
            <w:r>
              <w:rPr>
                <w:rFonts w:ascii="Arial" w:cs="Arial" w:eastAsia="Arial" w:hAnsi="Arial"/>
                <w:sz w:val="10"/>
                <w:szCs w:val="10"/>
                <w:color w:val="auto"/>
              </w:rPr>
              <w:t>0</w:t>
            </w:r>
          </w:p>
        </w:tc>
        <w:tc>
          <w:tcPr>
            <w:tcW w:w="0" w:type="dxa"/>
            <w:vAlign w:val="bottom"/>
          </w:tcPr>
          <w:p>
            <w:pPr>
              <w:spacing w:after="0"/>
              <w:rPr>
                <w:sz w:val="1"/>
                <w:szCs w:val="1"/>
                <w:color w:val="auto"/>
              </w:rPr>
            </w:pPr>
          </w:p>
        </w:tc>
      </w:tr>
      <w:tr>
        <w:trPr>
          <w:trHeight w:val="200"/>
        </w:trPr>
        <w:tc>
          <w:tcPr>
            <w:tcW w:w="2220" w:type="dxa"/>
            <w:vAlign w:val="bottom"/>
            <w:gridSpan w:val="2"/>
          </w:tcPr>
          <w:p>
            <w:pPr>
              <w:spacing w:after="0"/>
              <w:rPr>
                <w:sz w:val="20"/>
                <w:szCs w:val="20"/>
                <w:color w:val="auto"/>
              </w:rPr>
            </w:pPr>
            <w:r>
              <w:rPr>
                <w:rFonts w:ascii="Arial" w:cs="Arial" w:eastAsia="Arial" w:hAnsi="Arial"/>
                <w:sz w:val="10"/>
                <w:szCs w:val="10"/>
                <w:color w:val="auto"/>
              </w:rPr>
              <w:t>Alternate Payee (QDRO)</w:t>
            </w:r>
          </w:p>
        </w:tc>
        <w:tc>
          <w:tcPr>
            <w:tcW w:w="320" w:type="dxa"/>
            <w:vAlign w:val="bottom"/>
          </w:tcPr>
          <w:p>
            <w:pPr>
              <w:jc w:val="right"/>
              <w:spacing w:after="0"/>
              <w:rPr>
                <w:sz w:val="20"/>
                <w:szCs w:val="20"/>
                <w:color w:val="auto"/>
              </w:rPr>
            </w:pPr>
            <w:r>
              <w:rPr>
                <w:rFonts w:ascii="Arial" w:cs="Arial" w:eastAsia="Arial" w:hAnsi="Arial"/>
                <w:sz w:val="10"/>
                <w:szCs w:val="10"/>
                <w:color w:val="auto"/>
              </w:rPr>
              <w:t>1</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gridSpan w:val="3"/>
          </w:tcPr>
          <w:p>
            <w:pPr>
              <w:jc w:val="right"/>
              <w:ind w:right="20"/>
              <w:spacing w:after="0"/>
              <w:rPr>
                <w:sz w:val="20"/>
                <w:szCs w:val="20"/>
                <w:color w:val="auto"/>
              </w:rPr>
            </w:pPr>
            <w:r>
              <w:rPr>
                <w:rFonts w:ascii="Arial" w:cs="Arial" w:eastAsia="Arial" w:hAnsi="Arial"/>
                <w:sz w:val="10"/>
                <w:szCs w:val="10"/>
                <w:color w:val="auto"/>
              </w:rPr>
              <w:t>1</w:t>
            </w:r>
          </w:p>
        </w:tc>
        <w:tc>
          <w:tcPr>
            <w:tcW w:w="60" w:type="dxa"/>
            <w:vAlign w:val="bottom"/>
          </w:tcPr>
          <w:p>
            <w:pPr>
              <w:spacing w:after="0"/>
              <w:rPr>
                <w:sz w:val="17"/>
                <w:szCs w:val="17"/>
                <w:color w:val="auto"/>
              </w:rPr>
            </w:pPr>
          </w:p>
        </w:tc>
        <w:tc>
          <w:tcPr>
            <w:tcW w:w="320" w:type="dxa"/>
            <w:vAlign w:val="bottom"/>
            <w:gridSpan w:val="3"/>
          </w:tcPr>
          <w:p>
            <w:pPr>
              <w:jc w:val="right"/>
              <w:ind w:right="60"/>
              <w:spacing w:after="0"/>
              <w:rPr>
                <w:sz w:val="20"/>
                <w:szCs w:val="20"/>
                <w:color w:val="auto"/>
              </w:rPr>
            </w:pPr>
            <w:r>
              <w:rPr>
                <w:rFonts w:ascii="Arial" w:cs="Arial" w:eastAsia="Arial" w:hAnsi="Arial"/>
                <w:sz w:val="10"/>
                <w:szCs w:val="10"/>
                <w:color w:val="auto"/>
              </w:rPr>
              <w:t>1</w:t>
            </w:r>
          </w:p>
        </w:tc>
        <w:tc>
          <w:tcPr>
            <w:tcW w:w="460" w:type="dxa"/>
            <w:vAlign w:val="bottom"/>
            <w:gridSpan w:val="3"/>
          </w:tcPr>
          <w:p>
            <w:pPr>
              <w:jc w:val="right"/>
              <w:ind w:right="80"/>
              <w:spacing w:after="0"/>
              <w:rPr>
                <w:sz w:val="20"/>
                <w:szCs w:val="20"/>
                <w:color w:val="auto"/>
              </w:rPr>
            </w:pPr>
            <w:r>
              <w:rPr>
                <w:rFonts w:ascii="Arial" w:cs="Arial" w:eastAsia="Arial" w:hAnsi="Arial"/>
                <w:sz w:val="10"/>
                <w:szCs w:val="10"/>
                <w:color w:val="auto"/>
              </w:rPr>
              <w:t>1</w:t>
            </w:r>
          </w:p>
        </w:tc>
        <w:tc>
          <w:tcPr>
            <w:tcW w:w="440" w:type="dxa"/>
            <w:vAlign w:val="bottom"/>
            <w:gridSpan w:val="4"/>
          </w:tcPr>
          <w:p>
            <w:pPr>
              <w:jc w:val="right"/>
              <w:ind w:right="60"/>
              <w:spacing w:after="0"/>
              <w:rPr>
                <w:sz w:val="20"/>
                <w:szCs w:val="20"/>
                <w:color w:val="auto"/>
              </w:rPr>
            </w:pPr>
            <w:r>
              <w:rPr>
                <w:rFonts w:ascii="Arial" w:cs="Arial" w:eastAsia="Arial" w:hAnsi="Arial"/>
                <w:sz w:val="10"/>
                <w:szCs w:val="10"/>
                <w:color w:val="auto"/>
              </w:rPr>
              <w:t>1</w:t>
            </w:r>
          </w:p>
        </w:tc>
        <w:tc>
          <w:tcPr>
            <w:tcW w:w="740" w:type="dxa"/>
            <w:vAlign w:val="bottom"/>
            <w:gridSpan w:val="3"/>
          </w:tcPr>
          <w:p>
            <w:pPr>
              <w:jc w:val="right"/>
              <w:ind w:right="20"/>
              <w:spacing w:after="0"/>
              <w:rPr>
                <w:sz w:val="20"/>
                <w:szCs w:val="20"/>
                <w:color w:val="auto"/>
              </w:rPr>
            </w:pPr>
            <w:r>
              <w:rPr>
                <w:rFonts w:ascii="Arial" w:cs="Arial" w:eastAsia="Arial" w:hAnsi="Arial"/>
                <w:sz w:val="10"/>
                <w:szCs w:val="10"/>
                <w:color w:val="auto"/>
              </w:rPr>
              <w:t>1</w:t>
            </w:r>
          </w:p>
        </w:tc>
        <w:tc>
          <w:tcPr>
            <w:tcW w:w="60" w:type="dxa"/>
            <w:vAlign w:val="bottom"/>
          </w:tcPr>
          <w:p>
            <w:pPr>
              <w:spacing w:after="0"/>
              <w:rPr>
                <w:sz w:val="17"/>
                <w:szCs w:val="17"/>
                <w:color w:val="auto"/>
              </w:rPr>
            </w:pPr>
          </w:p>
        </w:tc>
        <w:tc>
          <w:tcPr>
            <w:tcW w:w="720" w:type="dxa"/>
            <w:vAlign w:val="bottom"/>
            <w:gridSpan w:val="3"/>
          </w:tcPr>
          <w:p>
            <w:pPr>
              <w:jc w:val="right"/>
              <w:ind w:right="40"/>
              <w:spacing w:after="0"/>
              <w:rPr>
                <w:sz w:val="20"/>
                <w:szCs w:val="20"/>
                <w:color w:val="auto"/>
              </w:rPr>
            </w:pPr>
            <w:r>
              <w:rPr>
                <w:rFonts w:ascii="Arial" w:cs="Arial" w:eastAsia="Arial" w:hAnsi="Arial"/>
                <w:sz w:val="10"/>
                <w:szCs w:val="10"/>
                <w:color w:val="auto"/>
              </w:rPr>
              <w:t>0</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0" w:type="dxa"/>
            <w:vAlign w:val="bottom"/>
            <w:gridSpan w:val="3"/>
          </w:tcPr>
          <w:p>
            <w:pPr>
              <w:jc w:val="right"/>
              <w:ind w:right="60"/>
              <w:spacing w:after="0"/>
              <w:rPr>
                <w:sz w:val="20"/>
                <w:szCs w:val="20"/>
                <w:color w:val="auto"/>
              </w:rPr>
            </w:pPr>
            <w:r>
              <w:rPr>
                <w:rFonts w:ascii="Arial" w:cs="Arial" w:eastAsia="Arial" w:hAnsi="Arial"/>
                <w:sz w:val="10"/>
                <w:szCs w:val="10"/>
                <w:color w:val="auto"/>
              </w:rPr>
              <w:t>0</w:t>
            </w:r>
          </w:p>
        </w:tc>
        <w:tc>
          <w:tcPr>
            <w:tcW w:w="40" w:type="dxa"/>
            <w:vAlign w:val="bottom"/>
          </w:tcPr>
          <w:p>
            <w:pPr>
              <w:spacing w:after="0"/>
              <w:rPr>
                <w:sz w:val="17"/>
                <w:szCs w:val="17"/>
                <w:color w:val="auto"/>
              </w:rPr>
            </w:pPr>
          </w:p>
        </w:tc>
        <w:tc>
          <w:tcPr>
            <w:tcW w:w="480" w:type="dxa"/>
            <w:vAlign w:val="bottom"/>
            <w:gridSpan w:val="2"/>
          </w:tcPr>
          <w:p>
            <w:pPr>
              <w:jc w:val="right"/>
              <w:spacing w:after="0"/>
              <w:rPr>
                <w:sz w:val="20"/>
                <w:szCs w:val="20"/>
                <w:color w:val="auto"/>
              </w:rPr>
            </w:pPr>
            <w:r>
              <w:rPr>
                <w:rFonts w:ascii="Arial" w:cs="Arial" w:eastAsia="Arial" w:hAnsi="Arial"/>
                <w:sz w:val="10"/>
                <w:szCs w:val="10"/>
                <w:color w:val="auto"/>
              </w:rPr>
              <w:t>0</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3"/>
          </w:tcPr>
          <w:p>
            <w:pPr>
              <w:jc w:val="right"/>
              <w:ind w:right="20"/>
              <w:spacing w:after="0"/>
              <w:rPr>
                <w:sz w:val="20"/>
                <w:szCs w:val="20"/>
                <w:color w:val="auto"/>
              </w:rPr>
            </w:pPr>
            <w:r>
              <w:rPr>
                <w:rFonts w:ascii="Arial" w:cs="Arial" w:eastAsia="Arial" w:hAnsi="Arial"/>
                <w:sz w:val="10"/>
                <w:szCs w:val="10"/>
                <w:color w:val="auto"/>
              </w:rPr>
              <w:t>1</w:t>
            </w:r>
          </w:p>
        </w:tc>
        <w:tc>
          <w:tcPr>
            <w:tcW w:w="100" w:type="dxa"/>
            <w:vAlign w:val="bottom"/>
          </w:tcPr>
          <w:p>
            <w:pPr>
              <w:spacing w:after="0"/>
              <w:rPr>
                <w:sz w:val="17"/>
                <w:szCs w:val="17"/>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0"/>
                <w:szCs w:val="10"/>
                <w:color w:val="auto"/>
              </w:rPr>
              <w:t>0</w:t>
            </w:r>
          </w:p>
        </w:tc>
        <w:tc>
          <w:tcPr>
            <w:tcW w:w="700" w:type="dxa"/>
            <w:vAlign w:val="bottom"/>
            <w:gridSpan w:val="3"/>
          </w:tcPr>
          <w:p>
            <w:pPr>
              <w:jc w:val="right"/>
              <w:ind w:right="20"/>
              <w:spacing w:after="0"/>
              <w:rPr>
                <w:sz w:val="20"/>
                <w:szCs w:val="20"/>
                <w:color w:val="auto"/>
              </w:rPr>
            </w:pPr>
            <w:r>
              <w:rPr>
                <w:rFonts w:ascii="Arial" w:cs="Arial" w:eastAsia="Arial" w:hAnsi="Arial"/>
                <w:sz w:val="10"/>
                <w:szCs w:val="10"/>
                <w:color w:val="auto"/>
              </w:rPr>
              <w:t>1</w:t>
            </w:r>
          </w:p>
        </w:tc>
        <w:tc>
          <w:tcPr>
            <w:tcW w:w="60" w:type="dxa"/>
            <w:vAlign w:val="bottom"/>
          </w:tcPr>
          <w:p>
            <w:pPr>
              <w:spacing w:after="0"/>
              <w:rPr>
                <w:sz w:val="17"/>
                <w:szCs w:val="17"/>
                <w:color w:val="auto"/>
              </w:rPr>
            </w:pPr>
          </w:p>
        </w:tc>
        <w:tc>
          <w:tcPr>
            <w:tcW w:w="520" w:type="dxa"/>
            <w:vAlign w:val="bottom"/>
            <w:gridSpan w:val="3"/>
          </w:tcPr>
          <w:p>
            <w:pPr>
              <w:jc w:val="right"/>
              <w:ind w:right="60"/>
              <w:spacing w:after="0"/>
              <w:rPr>
                <w:sz w:val="20"/>
                <w:szCs w:val="20"/>
                <w:color w:val="auto"/>
              </w:rPr>
            </w:pPr>
            <w:r>
              <w:rPr>
                <w:rFonts w:ascii="Arial" w:cs="Arial" w:eastAsia="Arial" w:hAnsi="Arial"/>
                <w:sz w:val="10"/>
                <w:szCs w:val="10"/>
                <w:color w:val="auto"/>
              </w:rPr>
              <w:t>1</w:t>
            </w:r>
          </w:p>
        </w:tc>
        <w:tc>
          <w:tcPr>
            <w:tcW w:w="40" w:type="dxa"/>
            <w:vAlign w:val="bottom"/>
          </w:tcPr>
          <w:p>
            <w:pPr>
              <w:spacing w:after="0"/>
              <w:rPr>
                <w:sz w:val="17"/>
                <w:szCs w:val="17"/>
                <w:color w:val="auto"/>
              </w:rPr>
            </w:pPr>
          </w:p>
        </w:tc>
        <w:tc>
          <w:tcPr>
            <w:tcW w:w="700" w:type="dxa"/>
            <w:vAlign w:val="bottom"/>
            <w:gridSpan w:val="3"/>
          </w:tcPr>
          <w:p>
            <w:pPr>
              <w:jc w:val="right"/>
              <w:spacing w:after="0"/>
              <w:rPr>
                <w:sz w:val="20"/>
                <w:szCs w:val="20"/>
                <w:color w:val="auto"/>
              </w:rPr>
            </w:pPr>
            <w:r>
              <w:rPr>
                <w:rFonts w:ascii="Arial" w:cs="Arial" w:eastAsia="Arial" w:hAnsi="Arial"/>
                <w:sz w:val="10"/>
                <w:szCs w:val="10"/>
                <w:color w:val="auto"/>
              </w:rPr>
              <w:t>1</w:t>
            </w:r>
          </w:p>
        </w:tc>
        <w:tc>
          <w:tcPr>
            <w:tcW w:w="0" w:type="dxa"/>
            <w:vAlign w:val="bottom"/>
          </w:tcPr>
          <w:p>
            <w:pPr>
              <w:spacing w:after="0"/>
              <w:rPr>
                <w:sz w:val="1"/>
                <w:szCs w:val="1"/>
                <w:color w:val="auto"/>
              </w:rPr>
            </w:pPr>
          </w:p>
        </w:tc>
      </w:tr>
      <w:tr>
        <w:trPr>
          <w:trHeight w:val="446"/>
        </w:trPr>
        <w:tc>
          <w:tcPr>
            <w:tcW w:w="8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0" w:type="dxa"/>
            <w:vAlign w:val="bottom"/>
            <w:gridSpan w:val="3"/>
          </w:tcPr>
          <w:p>
            <w:pPr>
              <w:spacing w:after="0"/>
              <w:rPr>
                <w:sz w:val="20"/>
                <w:szCs w:val="20"/>
                <w:color w:val="auto"/>
              </w:rPr>
            </w:pPr>
            <w:r>
              <w:rPr>
                <w:rFonts w:ascii="Arial" w:cs="Arial" w:eastAsia="Arial" w:hAnsi="Arial"/>
                <w:sz w:val="10"/>
                <w:szCs w:val="10"/>
                <w:color w:val="auto"/>
              </w:rPr>
              <w:t>Social</w:t>
            </w:r>
          </w:p>
        </w:tc>
        <w:tc>
          <w:tcPr>
            <w:tcW w:w="560" w:type="dxa"/>
            <w:vAlign w:val="bottom"/>
            <w:gridSpan w:val="4"/>
            <w:vMerge w:val="restart"/>
          </w:tcPr>
          <w:p>
            <w:pPr>
              <w:ind w:left="60"/>
              <w:spacing w:after="0"/>
              <w:rPr>
                <w:sz w:val="20"/>
                <w:szCs w:val="20"/>
                <w:color w:val="auto"/>
              </w:rPr>
            </w:pPr>
            <w:r>
              <w:rPr>
                <w:rFonts w:ascii="Arial" w:cs="Arial" w:eastAsia="Arial" w:hAnsi="Arial"/>
                <w:sz w:val="10"/>
                <w:szCs w:val="10"/>
                <w:color w:val="auto"/>
                <w:w w:val="98"/>
              </w:rPr>
              <w:t>Retirement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gridSpan w:val="4"/>
            <w:vMerge w:val="restart"/>
          </w:tcPr>
          <w:p>
            <w:pPr>
              <w:ind w:left="60"/>
              <w:spacing w:after="0"/>
              <w:rPr>
                <w:sz w:val="20"/>
                <w:szCs w:val="20"/>
                <w:color w:val="auto"/>
              </w:rPr>
            </w:pPr>
            <w:r>
              <w:rPr>
                <w:rFonts w:ascii="Arial" w:cs="Arial" w:eastAsia="Arial" w:hAnsi="Arial"/>
                <w:sz w:val="10"/>
                <w:szCs w:val="10"/>
                <w:color w:val="auto"/>
              </w:rPr>
              <w:t>Date of</w:t>
            </w:r>
          </w:p>
        </w:tc>
        <w:tc>
          <w:tcPr>
            <w:tcW w:w="800" w:type="dxa"/>
            <w:vAlign w:val="bottom"/>
            <w:gridSpan w:val="4"/>
            <w:vMerge w:val="restart"/>
          </w:tcPr>
          <w:p>
            <w:pPr>
              <w:ind w:left="80"/>
              <w:spacing w:after="0"/>
              <w:rPr>
                <w:sz w:val="20"/>
                <w:szCs w:val="20"/>
                <w:color w:val="auto"/>
              </w:rPr>
            </w:pPr>
            <w:r>
              <w:rPr>
                <w:rFonts w:ascii="Arial" w:cs="Arial" w:eastAsia="Arial" w:hAnsi="Arial"/>
                <w:sz w:val="10"/>
                <w:szCs w:val="10"/>
                <w:color w:val="auto"/>
              </w:rPr>
              <w:t>Original</w:t>
            </w:r>
          </w:p>
        </w:tc>
        <w:tc>
          <w:tcPr>
            <w:tcW w:w="780" w:type="dxa"/>
            <w:vAlign w:val="bottom"/>
            <w:gridSpan w:val="5"/>
          </w:tcPr>
          <w:p>
            <w:pPr>
              <w:ind w:left="40"/>
              <w:spacing w:after="0"/>
              <w:rPr>
                <w:sz w:val="20"/>
                <w:szCs w:val="20"/>
                <w:color w:val="auto"/>
              </w:rPr>
            </w:pPr>
            <w:r>
              <w:rPr>
                <w:rFonts w:ascii="Arial" w:cs="Arial" w:eastAsia="Arial" w:hAnsi="Arial"/>
                <w:sz w:val="10"/>
                <w:szCs w:val="10"/>
                <w:color w:val="auto"/>
                <w:w w:val="95"/>
              </w:rPr>
              <w:t>Is the Contingent</w:t>
            </w:r>
          </w:p>
        </w:tc>
        <w:tc>
          <w:tcPr>
            <w:tcW w:w="1000" w:type="dxa"/>
            <w:vAlign w:val="bottom"/>
            <w:gridSpan w:val="4"/>
            <w:vMerge w:val="restart"/>
          </w:tcPr>
          <w:p>
            <w:pPr>
              <w:ind w:left="40"/>
              <w:spacing w:after="0"/>
              <w:rPr>
                <w:sz w:val="20"/>
                <w:szCs w:val="20"/>
                <w:color w:val="auto"/>
              </w:rPr>
            </w:pPr>
            <w:r>
              <w:rPr>
                <w:rFonts w:ascii="Arial" w:cs="Arial" w:eastAsia="Arial" w:hAnsi="Arial"/>
                <w:sz w:val="10"/>
                <w:szCs w:val="10"/>
                <w:color w:val="auto"/>
                <w:w w:val="91"/>
              </w:rPr>
              <w:t>Guaranteed Number of</w:t>
            </w:r>
          </w:p>
        </w:tc>
        <w:tc>
          <w:tcPr>
            <w:tcW w:w="600" w:type="dxa"/>
            <w:vAlign w:val="bottom"/>
            <w:gridSpan w:val="4"/>
            <w:vMerge w:val="restart"/>
          </w:tcPr>
          <w:p>
            <w:pPr>
              <w:ind w:left="40"/>
              <w:spacing w:after="0"/>
              <w:rPr>
                <w:sz w:val="20"/>
                <w:szCs w:val="20"/>
                <w:color w:val="auto"/>
              </w:rPr>
            </w:pPr>
            <w:r>
              <w:rPr>
                <w:rFonts w:ascii="Arial" w:cs="Arial" w:eastAsia="Arial" w:hAnsi="Arial"/>
                <w:sz w:val="10"/>
                <w:szCs w:val="10"/>
                <w:color w:val="auto"/>
              </w:rPr>
              <w:t>Contingent</w:t>
            </w:r>
          </w:p>
        </w:tc>
        <w:tc>
          <w:tcPr>
            <w:tcW w:w="740" w:type="dxa"/>
            <w:vAlign w:val="bottom"/>
            <w:gridSpan w:val="4"/>
          </w:tcPr>
          <w:p>
            <w:pPr>
              <w:spacing w:after="0"/>
              <w:rPr>
                <w:sz w:val="20"/>
                <w:szCs w:val="20"/>
                <w:color w:val="auto"/>
              </w:rPr>
            </w:pPr>
            <w:r>
              <w:rPr>
                <w:rFonts w:ascii="Arial" w:cs="Arial" w:eastAsia="Arial" w:hAnsi="Arial"/>
                <w:sz w:val="10"/>
                <w:szCs w:val="10"/>
                <w:color w:val="auto"/>
              </w:rPr>
              <w:t>Contingent Life</w:t>
            </w:r>
          </w:p>
        </w:tc>
        <w:tc>
          <w:tcPr>
            <w:tcW w:w="600" w:type="dxa"/>
            <w:vAlign w:val="bottom"/>
            <w:gridSpan w:val="2"/>
            <w:vMerge w:val="restart"/>
          </w:tcPr>
          <w:p>
            <w:pPr>
              <w:spacing w:after="0"/>
              <w:rPr>
                <w:sz w:val="20"/>
                <w:szCs w:val="20"/>
                <w:color w:val="auto"/>
              </w:rPr>
            </w:pPr>
            <w:r>
              <w:rPr>
                <w:rFonts w:ascii="Arial" w:cs="Arial" w:eastAsia="Arial" w:hAnsi="Arial"/>
                <w:sz w:val="10"/>
                <w:szCs w:val="10"/>
                <w:color w:val="auto"/>
              </w:rPr>
              <w:t>Contingent</w:t>
            </w:r>
          </w:p>
        </w:tc>
        <w:tc>
          <w:tcPr>
            <w:tcW w:w="760" w:type="dxa"/>
            <w:vAlign w:val="bottom"/>
            <w:gridSpan w:val="4"/>
            <w:vMerge w:val="restart"/>
          </w:tcPr>
          <w:p>
            <w:pPr>
              <w:ind w:left="60"/>
              <w:spacing w:after="0"/>
              <w:rPr>
                <w:sz w:val="20"/>
                <w:szCs w:val="20"/>
                <w:color w:val="auto"/>
              </w:rPr>
            </w:pPr>
            <w:r>
              <w:rPr>
                <w:rFonts w:ascii="Arial" w:cs="Arial" w:eastAsia="Arial" w:hAnsi="Arial"/>
                <w:sz w:val="10"/>
                <w:szCs w:val="10"/>
                <w:color w:val="auto"/>
              </w:rPr>
              <w:t>Contingent Life</w:t>
            </w:r>
          </w:p>
        </w:tc>
        <w:tc>
          <w:tcPr>
            <w:tcW w:w="560" w:type="dxa"/>
            <w:vAlign w:val="bottom"/>
            <w:gridSpan w:val="4"/>
            <w:vMerge w:val="restart"/>
          </w:tcPr>
          <w:p>
            <w:pPr>
              <w:ind w:left="60"/>
              <w:spacing w:after="0"/>
              <w:rPr>
                <w:sz w:val="20"/>
                <w:szCs w:val="20"/>
                <w:color w:val="auto"/>
              </w:rPr>
            </w:pPr>
            <w:r>
              <w:rPr>
                <w:rFonts w:ascii="Arial" w:cs="Arial" w:eastAsia="Arial" w:hAnsi="Arial"/>
                <w:sz w:val="10"/>
                <w:szCs w:val="10"/>
                <w:color w:val="auto"/>
              </w:rPr>
              <w:t>Alternate</w:t>
            </w:r>
          </w:p>
        </w:tc>
        <w:tc>
          <w:tcPr>
            <w:tcW w:w="700" w:type="dxa"/>
            <w:vAlign w:val="bottom"/>
            <w:gridSpan w:val="3"/>
            <w:vMerge w:val="restart"/>
          </w:tcPr>
          <w:p>
            <w:pPr>
              <w:ind w:left="20"/>
              <w:spacing w:after="0"/>
              <w:rPr>
                <w:sz w:val="20"/>
                <w:szCs w:val="20"/>
                <w:color w:val="auto"/>
              </w:rPr>
            </w:pPr>
            <w:r>
              <w:rPr>
                <w:rFonts w:ascii="Arial" w:cs="Arial" w:eastAsia="Arial" w:hAnsi="Arial"/>
                <w:sz w:val="10"/>
                <w:szCs w:val="10"/>
                <w:color w:val="auto"/>
              </w:rPr>
              <w:t>Pre 62+1</w:t>
            </w:r>
          </w:p>
        </w:tc>
        <w:tc>
          <w:tcPr>
            <w:tcW w:w="0" w:type="dxa"/>
            <w:vAlign w:val="bottom"/>
          </w:tcPr>
          <w:p>
            <w:pPr>
              <w:spacing w:after="0"/>
              <w:rPr>
                <w:sz w:val="1"/>
                <w:szCs w:val="1"/>
                <w:color w:val="auto"/>
              </w:rPr>
            </w:pPr>
          </w:p>
        </w:tc>
      </w:tr>
      <w:tr>
        <w:trPr>
          <w:trHeight w:val="93"/>
        </w:trPr>
        <w:tc>
          <w:tcPr>
            <w:tcW w:w="860" w:type="dxa"/>
            <w:vAlign w:val="bottom"/>
          </w:tcPr>
          <w:p>
            <w:pPr>
              <w:spacing w:after="0"/>
              <w:rPr>
                <w:sz w:val="8"/>
                <w:szCs w:val="8"/>
                <w:color w:val="auto"/>
              </w:rPr>
            </w:pPr>
          </w:p>
        </w:tc>
        <w:tc>
          <w:tcPr>
            <w:tcW w:w="1360" w:type="dxa"/>
            <w:vAlign w:val="bottom"/>
          </w:tcPr>
          <w:p>
            <w:pPr>
              <w:spacing w:after="0"/>
              <w:rPr>
                <w:sz w:val="8"/>
                <w:szCs w:val="8"/>
                <w:color w:val="auto"/>
              </w:rPr>
            </w:pPr>
          </w:p>
        </w:tc>
        <w:tc>
          <w:tcPr>
            <w:tcW w:w="320" w:type="dxa"/>
            <w:vAlign w:val="bottom"/>
            <w:tcBorders>
              <w:top w:val="single" w:sz="8" w:color="auto"/>
            </w:tcBorders>
          </w:tcPr>
          <w:p>
            <w:pPr>
              <w:spacing w:after="0" w:line="93" w:lineRule="exact"/>
              <w:rPr>
                <w:sz w:val="20"/>
                <w:szCs w:val="20"/>
                <w:color w:val="auto"/>
              </w:rPr>
            </w:pPr>
            <w:r>
              <w:rPr>
                <w:rFonts w:ascii="Arial" w:cs="Arial" w:eastAsia="Arial" w:hAnsi="Arial"/>
                <w:sz w:val="10"/>
                <w:szCs w:val="10"/>
                <w:color w:val="auto"/>
                <w:w w:val="77"/>
              </w:rPr>
              <w:t>Security</w:t>
            </w: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gridSpan w:val="4"/>
            <w:vMerge w:val="continue"/>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gridSpan w:val="4"/>
            <w:vMerge w:val="continue"/>
          </w:tcPr>
          <w:p>
            <w:pPr>
              <w:spacing w:after="0"/>
              <w:rPr>
                <w:sz w:val="8"/>
                <w:szCs w:val="8"/>
                <w:color w:val="auto"/>
              </w:rPr>
            </w:pPr>
          </w:p>
        </w:tc>
        <w:tc>
          <w:tcPr>
            <w:tcW w:w="800" w:type="dxa"/>
            <w:vAlign w:val="bottom"/>
            <w:gridSpan w:val="4"/>
            <w:vMerge w:val="continue"/>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tcBorders>
              <w:top w:val="single" w:sz="8" w:color="auto"/>
            </w:tcBorders>
            <w:gridSpan w:val="3"/>
          </w:tcPr>
          <w:p>
            <w:pPr>
              <w:spacing w:after="0" w:line="93" w:lineRule="exact"/>
              <w:rPr>
                <w:sz w:val="20"/>
                <w:szCs w:val="20"/>
                <w:color w:val="auto"/>
              </w:rPr>
            </w:pPr>
            <w:r>
              <w:rPr>
                <w:rFonts w:ascii="Arial" w:cs="Arial" w:eastAsia="Arial" w:hAnsi="Arial"/>
                <w:sz w:val="10"/>
                <w:szCs w:val="10"/>
                <w:color w:val="auto"/>
                <w:w w:val="92"/>
              </w:rPr>
              <w:t>Life the Covered</w:t>
            </w:r>
          </w:p>
        </w:tc>
        <w:tc>
          <w:tcPr>
            <w:tcW w:w="40" w:type="dxa"/>
            <w:vAlign w:val="bottom"/>
          </w:tcPr>
          <w:p>
            <w:pPr>
              <w:spacing w:after="0"/>
              <w:rPr>
                <w:sz w:val="8"/>
                <w:szCs w:val="8"/>
                <w:color w:val="auto"/>
              </w:rPr>
            </w:pPr>
          </w:p>
        </w:tc>
        <w:tc>
          <w:tcPr>
            <w:tcW w:w="1000" w:type="dxa"/>
            <w:vAlign w:val="bottom"/>
            <w:gridSpan w:val="4"/>
            <w:vMerge w:val="continue"/>
          </w:tcPr>
          <w:p>
            <w:pPr>
              <w:spacing w:after="0"/>
              <w:rPr>
                <w:sz w:val="8"/>
                <w:szCs w:val="8"/>
                <w:color w:val="auto"/>
              </w:rPr>
            </w:pPr>
          </w:p>
        </w:tc>
        <w:tc>
          <w:tcPr>
            <w:tcW w:w="600" w:type="dxa"/>
            <w:vAlign w:val="bottom"/>
            <w:gridSpan w:val="4"/>
            <w:vMerge w:val="continue"/>
          </w:tcPr>
          <w:p>
            <w:pPr>
              <w:spacing w:after="0"/>
              <w:rPr>
                <w:sz w:val="8"/>
                <w:szCs w:val="8"/>
                <w:color w:val="auto"/>
              </w:rPr>
            </w:pPr>
          </w:p>
        </w:tc>
        <w:tc>
          <w:tcPr>
            <w:tcW w:w="640" w:type="dxa"/>
            <w:vAlign w:val="bottom"/>
            <w:tcBorders>
              <w:top w:val="single" w:sz="8" w:color="auto"/>
            </w:tcBorders>
            <w:gridSpan w:val="3"/>
          </w:tcPr>
          <w:p>
            <w:pPr>
              <w:spacing w:after="0" w:line="93" w:lineRule="exact"/>
              <w:rPr>
                <w:sz w:val="20"/>
                <w:szCs w:val="20"/>
                <w:color w:val="auto"/>
              </w:rPr>
            </w:pPr>
            <w:r>
              <w:rPr>
                <w:rFonts w:ascii="Arial" w:cs="Arial" w:eastAsia="Arial" w:hAnsi="Arial"/>
                <w:sz w:val="10"/>
                <w:szCs w:val="10"/>
                <w:color w:val="auto"/>
                <w:w w:val="93"/>
              </w:rPr>
              <w:t>Social Security</w:t>
            </w:r>
          </w:p>
        </w:tc>
        <w:tc>
          <w:tcPr>
            <w:tcW w:w="100" w:type="dxa"/>
            <w:vAlign w:val="bottom"/>
          </w:tcPr>
          <w:p>
            <w:pPr>
              <w:spacing w:after="0"/>
              <w:rPr>
                <w:sz w:val="8"/>
                <w:szCs w:val="8"/>
                <w:color w:val="auto"/>
              </w:rPr>
            </w:pPr>
          </w:p>
        </w:tc>
        <w:tc>
          <w:tcPr>
            <w:tcW w:w="600" w:type="dxa"/>
            <w:vAlign w:val="bottom"/>
            <w:gridSpan w:val="2"/>
            <w:vMerge w:val="continue"/>
          </w:tcPr>
          <w:p>
            <w:pPr>
              <w:spacing w:after="0"/>
              <w:rPr>
                <w:sz w:val="8"/>
                <w:szCs w:val="8"/>
                <w:color w:val="auto"/>
              </w:rPr>
            </w:pPr>
          </w:p>
        </w:tc>
        <w:tc>
          <w:tcPr>
            <w:tcW w:w="760" w:type="dxa"/>
            <w:vAlign w:val="bottom"/>
            <w:gridSpan w:val="4"/>
            <w:vMerge w:val="continue"/>
          </w:tcPr>
          <w:p>
            <w:pPr>
              <w:spacing w:after="0"/>
              <w:rPr>
                <w:sz w:val="8"/>
                <w:szCs w:val="8"/>
                <w:color w:val="auto"/>
              </w:rPr>
            </w:pPr>
          </w:p>
        </w:tc>
        <w:tc>
          <w:tcPr>
            <w:tcW w:w="560" w:type="dxa"/>
            <w:vAlign w:val="bottom"/>
            <w:gridSpan w:val="4"/>
            <w:vMerge w:val="continue"/>
          </w:tcPr>
          <w:p>
            <w:pPr>
              <w:spacing w:after="0"/>
              <w:rPr>
                <w:sz w:val="8"/>
                <w:szCs w:val="8"/>
                <w:color w:val="auto"/>
              </w:rPr>
            </w:pPr>
          </w:p>
        </w:tc>
        <w:tc>
          <w:tcPr>
            <w:tcW w:w="70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220" w:type="dxa"/>
            <w:vAlign w:val="bottom"/>
            <w:gridSpan w:val="2"/>
            <w:vMerge w:val="restart"/>
          </w:tcPr>
          <w:p>
            <w:pPr>
              <w:spacing w:after="0" w:line="113" w:lineRule="exact"/>
              <w:rPr>
                <w:sz w:val="20"/>
                <w:szCs w:val="20"/>
                <w:color w:val="auto"/>
              </w:rPr>
            </w:pPr>
            <w:r>
              <w:rPr>
                <w:rFonts w:ascii="Arial" w:cs="Arial" w:eastAsia="Arial" w:hAnsi="Arial"/>
                <w:sz w:val="10"/>
                <w:szCs w:val="10"/>
                <w:color w:val="auto"/>
              </w:rPr>
              <w:t>Covered Life Name</w:t>
            </w: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320" w:type="dxa"/>
            <w:vAlign w:val="bottom"/>
            <w:gridSpan w:val="3"/>
            <w:vMerge w:val="restart"/>
          </w:tcPr>
          <w:p>
            <w:pPr>
              <w:jc w:val="right"/>
              <w:ind w:right="80"/>
              <w:spacing w:after="0" w:line="113" w:lineRule="exact"/>
              <w:rPr>
                <w:sz w:val="20"/>
                <w:szCs w:val="20"/>
                <w:color w:val="auto"/>
              </w:rPr>
            </w:pPr>
            <w:r>
              <w:rPr>
                <w:rFonts w:ascii="Arial" w:cs="Arial" w:eastAsia="Arial" w:hAnsi="Arial"/>
                <w:sz w:val="10"/>
                <w:szCs w:val="10"/>
                <w:color w:val="auto"/>
              </w:rPr>
              <w:t>Plan</w:t>
            </w:r>
          </w:p>
        </w:tc>
        <w:tc>
          <w:tcPr>
            <w:tcW w:w="460" w:type="dxa"/>
            <w:vAlign w:val="bottom"/>
            <w:gridSpan w:val="3"/>
            <w:vMerge w:val="restart"/>
          </w:tcPr>
          <w:p>
            <w:pPr>
              <w:jc w:val="right"/>
              <w:ind w:right="100"/>
              <w:spacing w:after="0" w:line="113" w:lineRule="exact"/>
              <w:rPr>
                <w:sz w:val="20"/>
                <w:szCs w:val="20"/>
                <w:color w:val="auto"/>
              </w:rPr>
            </w:pPr>
            <w:r>
              <w:rPr>
                <w:rFonts w:ascii="Arial" w:cs="Arial" w:eastAsia="Arial" w:hAnsi="Arial"/>
                <w:sz w:val="10"/>
                <w:szCs w:val="10"/>
                <w:color w:val="auto"/>
              </w:rPr>
              <w:t>Gender</w:t>
            </w:r>
          </w:p>
        </w:tc>
        <w:tc>
          <w:tcPr>
            <w:tcW w:w="6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gridSpan w:val="2"/>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gridSpan w:val="2"/>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vMerge w:val="restart"/>
          </w:tcPr>
          <w:p>
            <w:pPr>
              <w:jc w:val="right"/>
              <w:spacing w:after="0" w:line="113" w:lineRule="exact"/>
              <w:rPr>
                <w:sz w:val="20"/>
                <w:szCs w:val="20"/>
                <w:color w:val="auto"/>
              </w:rPr>
            </w:pPr>
            <w:r>
              <w:rPr>
                <w:rFonts w:ascii="Arial" w:cs="Arial" w:eastAsia="Arial" w:hAnsi="Arial"/>
                <w:sz w:val="10"/>
                <w:szCs w:val="10"/>
                <w:color w:val="auto"/>
                <w:w w:val="81"/>
              </w:rPr>
              <w:t>Amount</w:t>
            </w:r>
          </w:p>
        </w:tc>
        <w:tc>
          <w:tcPr>
            <w:tcW w:w="0" w:type="dxa"/>
            <w:vAlign w:val="bottom"/>
          </w:tcPr>
          <w:p>
            <w:pPr>
              <w:spacing w:after="0" w:line="20" w:lineRule="exact"/>
              <w:rPr>
                <w:sz w:val="1"/>
                <w:szCs w:val="1"/>
                <w:color w:val="auto"/>
              </w:rPr>
            </w:pPr>
          </w:p>
        </w:tc>
      </w:tr>
      <w:tr>
        <w:trPr>
          <w:trHeight w:val="93"/>
        </w:trPr>
        <w:tc>
          <w:tcPr>
            <w:tcW w:w="2220" w:type="dxa"/>
            <w:vAlign w:val="bottom"/>
            <w:gridSpan w:val="2"/>
            <w:vMerge w:val="continue"/>
          </w:tcPr>
          <w:p>
            <w:pPr>
              <w:spacing w:after="0"/>
              <w:rPr>
                <w:sz w:val="8"/>
                <w:szCs w:val="8"/>
                <w:color w:val="auto"/>
              </w:rPr>
            </w:pPr>
          </w:p>
        </w:tc>
        <w:tc>
          <w:tcPr>
            <w:tcW w:w="340" w:type="dxa"/>
            <w:vAlign w:val="bottom"/>
            <w:gridSpan w:val="2"/>
          </w:tcPr>
          <w:p>
            <w:pPr>
              <w:spacing w:after="0" w:line="93" w:lineRule="exact"/>
              <w:rPr>
                <w:sz w:val="20"/>
                <w:szCs w:val="20"/>
                <w:color w:val="auto"/>
              </w:rPr>
            </w:pPr>
            <w:r>
              <w:rPr>
                <w:rFonts w:ascii="Arial" w:cs="Arial" w:eastAsia="Arial" w:hAnsi="Arial"/>
                <w:sz w:val="10"/>
                <w:szCs w:val="10"/>
                <w:color w:val="auto"/>
                <w:w w:val="89"/>
              </w:rPr>
              <w:t>Number</w:t>
            </w:r>
          </w:p>
        </w:tc>
        <w:tc>
          <w:tcPr>
            <w:tcW w:w="60" w:type="dxa"/>
            <w:vAlign w:val="bottom"/>
            <w:vMerge w:val="continue"/>
          </w:tcPr>
          <w:p>
            <w:pPr>
              <w:spacing w:after="0"/>
              <w:rPr>
                <w:sz w:val="8"/>
                <w:szCs w:val="8"/>
                <w:color w:val="auto"/>
              </w:rPr>
            </w:pPr>
          </w:p>
        </w:tc>
        <w:tc>
          <w:tcPr>
            <w:tcW w:w="60" w:type="dxa"/>
            <w:vAlign w:val="bottom"/>
            <w:vMerge w:val="continue"/>
          </w:tcPr>
          <w:p>
            <w:pPr>
              <w:spacing w:after="0"/>
              <w:rPr>
                <w:sz w:val="8"/>
                <w:szCs w:val="8"/>
                <w:color w:val="auto"/>
              </w:rPr>
            </w:pPr>
          </w:p>
        </w:tc>
        <w:tc>
          <w:tcPr>
            <w:tcW w:w="440" w:type="dxa"/>
            <w:vAlign w:val="bottom"/>
            <w:gridSpan w:val="2"/>
          </w:tcPr>
          <w:p>
            <w:pPr>
              <w:jc w:val="right"/>
              <w:ind w:right="240"/>
              <w:spacing w:after="0" w:line="93" w:lineRule="exact"/>
              <w:rPr>
                <w:sz w:val="20"/>
                <w:szCs w:val="20"/>
                <w:color w:val="auto"/>
              </w:rPr>
            </w:pPr>
            <w:r>
              <w:rPr>
                <w:rFonts w:ascii="Arial" w:cs="Arial" w:eastAsia="Arial" w:hAnsi="Arial"/>
                <w:sz w:val="10"/>
                <w:szCs w:val="10"/>
                <w:color w:val="auto"/>
                <w:w w:val="75"/>
              </w:rPr>
              <w:t>Code</w:t>
            </w:r>
          </w:p>
        </w:tc>
        <w:tc>
          <w:tcPr>
            <w:tcW w:w="60" w:type="dxa"/>
            <w:vAlign w:val="bottom"/>
            <w:vMerge w:val="continue"/>
          </w:tcPr>
          <w:p>
            <w:pPr>
              <w:spacing w:after="0"/>
              <w:rPr>
                <w:sz w:val="8"/>
                <w:szCs w:val="8"/>
                <w:color w:val="auto"/>
              </w:rPr>
            </w:pPr>
          </w:p>
        </w:tc>
        <w:tc>
          <w:tcPr>
            <w:tcW w:w="320" w:type="dxa"/>
            <w:vAlign w:val="bottom"/>
            <w:gridSpan w:val="3"/>
            <w:vMerge w:val="continue"/>
          </w:tcPr>
          <w:p>
            <w:pPr>
              <w:spacing w:after="0"/>
              <w:rPr>
                <w:sz w:val="8"/>
                <w:szCs w:val="8"/>
                <w:color w:val="auto"/>
              </w:rPr>
            </w:pPr>
          </w:p>
        </w:tc>
        <w:tc>
          <w:tcPr>
            <w:tcW w:w="460" w:type="dxa"/>
            <w:vAlign w:val="bottom"/>
            <w:gridSpan w:val="3"/>
            <w:vMerge w:val="continue"/>
          </w:tcPr>
          <w:p>
            <w:pPr>
              <w:spacing w:after="0"/>
              <w:rPr>
                <w:sz w:val="8"/>
                <w:szCs w:val="8"/>
                <w:color w:val="auto"/>
              </w:rPr>
            </w:pPr>
          </w:p>
        </w:tc>
        <w:tc>
          <w:tcPr>
            <w:tcW w:w="60" w:type="dxa"/>
            <w:vAlign w:val="bottom"/>
            <w:vMerge w:val="continue"/>
          </w:tcPr>
          <w:p>
            <w:pPr>
              <w:spacing w:after="0"/>
              <w:rPr>
                <w:sz w:val="8"/>
                <w:szCs w:val="8"/>
                <w:color w:val="auto"/>
              </w:rPr>
            </w:pPr>
          </w:p>
        </w:tc>
        <w:tc>
          <w:tcPr>
            <w:tcW w:w="300" w:type="dxa"/>
            <w:vAlign w:val="bottom"/>
            <w:gridSpan w:val="2"/>
          </w:tcPr>
          <w:p>
            <w:pPr>
              <w:spacing w:after="0" w:line="93" w:lineRule="exact"/>
              <w:rPr>
                <w:sz w:val="20"/>
                <w:szCs w:val="20"/>
                <w:color w:val="auto"/>
              </w:rPr>
            </w:pPr>
            <w:r>
              <w:rPr>
                <w:rFonts w:ascii="Arial" w:cs="Arial" w:eastAsia="Arial" w:hAnsi="Arial"/>
                <w:sz w:val="10"/>
                <w:szCs w:val="10"/>
                <w:color w:val="auto"/>
              </w:rPr>
              <w:t>Birth</w:t>
            </w:r>
          </w:p>
        </w:tc>
        <w:tc>
          <w:tcPr>
            <w:tcW w:w="80" w:type="dxa"/>
            <w:vAlign w:val="bottom"/>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720" w:type="dxa"/>
            <w:vAlign w:val="bottom"/>
            <w:gridSpan w:val="3"/>
          </w:tcPr>
          <w:p>
            <w:pPr>
              <w:spacing w:after="0" w:line="93" w:lineRule="exact"/>
              <w:rPr>
                <w:sz w:val="20"/>
                <w:szCs w:val="20"/>
                <w:color w:val="auto"/>
              </w:rPr>
            </w:pPr>
            <w:r>
              <w:rPr>
                <w:rFonts w:ascii="Arial" w:cs="Arial" w:eastAsia="Arial" w:hAnsi="Arial"/>
                <w:sz w:val="10"/>
                <w:szCs w:val="10"/>
                <w:color w:val="auto"/>
                <w:w w:val="96"/>
              </w:rPr>
              <w:t>Retirement Date</w:t>
            </w:r>
          </w:p>
        </w:tc>
        <w:tc>
          <w:tcPr>
            <w:tcW w:w="40" w:type="dxa"/>
            <w:vAlign w:val="bottom"/>
            <w:vMerge w:val="continue"/>
          </w:tcPr>
          <w:p>
            <w:pPr>
              <w:spacing w:after="0"/>
              <w:rPr>
                <w:sz w:val="8"/>
                <w:szCs w:val="8"/>
                <w:color w:val="auto"/>
              </w:rPr>
            </w:pPr>
          </w:p>
        </w:tc>
        <w:tc>
          <w:tcPr>
            <w:tcW w:w="680" w:type="dxa"/>
            <w:vAlign w:val="bottom"/>
            <w:gridSpan w:val="2"/>
          </w:tcPr>
          <w:p>
            <w:pPr>
              <w:spacing w:after="0" w:line="93" w:lineRule="exact"/>
              <w:rPr>
                <w:sz w:val="20"/>
                <w:szCs w:val="20"/>
                <w:color w:val="auto"/>
              </w:rPr>
            </w:pPr>
            <w:r>
              <w:rPr>
                <w:rFonts w:ascii="Arial" w:cs="Arial" w:eastAsia="Arial" w:hAnsi="Arial"/>
                <w:sz w:val="10"/>
                <w:szCs w:val="10"/>
                <w:color w:val="auto"/>
              </w:rPr>
              <w:t>Life's spouse?</w:t>
            </w:r>
          </w:p>
        </w:tc>
        <w:tc>
          <w:tcPr>
            <w:tcW w:w="60" w:type="dxa"/>
            <w:vAlign w:val="bottom"/>
            <w:gridSpan w:val="2"/>
            <w:vMerge w:val="continue"/>
          </w:tcPr>
          <w:p>
            <w:pPr>
              <w:spacing w:after="0"/>
              <w:rPr>
                <w:sz w:val="8"/>
                <w:szCs w:val="8"/>
                <w:color w:val="auto"/>
              </w:rPr>
            </w:pPr>
          </w:p>
        </w:tc>
        <w:tc>
          <w:tcPr>
            <w:tcW w:w="40" w:type="dxa"/>
            <w:vAlign w:val="bottom"/>
            <w:vMerge w:val="continue"/>
          </w:tcPr>
          <w:p>
            <w:pPr>
              <w:spacing w:after="0"/>
              <w:rPr>
                <w:sz w:val="8"/>
                <w:szCs w:val="8"/>
                <w:color w:val="auto"/>
              </w:rPr>
            </w:pPr>
          </w:p>
        </w:tc>
        <w:tc>
          <w:tcPr>
            <w:tcW w:w="920" w:type="dxa"/>
            <w:vAlign w:val="bottom"/>
            <w:gridSpan w:val="2"/>
          </w:tcPr>
          <w:p>
            <w:pPr>
              <w:spacing w:after="0" w:line="93" w:lineRule="exact"/>
              <w:rPr>
                <w:sz w:val="20"/>
                <w:szCs w:val="20"/>
                <w:color w:val="auto"/>
              </w:rPr>
            </w:pPr>
            <w:r>
              <w:rPr>
                <w:rFonts w:ascii="Arial" w:cs="Arial" w:eastAsia="Arial" w:hAnsi="Arial"/>
                <w:sz w:val="10"/>
                <w:szCs w:val="10"/>
                <w:color w:val="auto"/>
              </w:rPr>
              <w:t>Payments</w:t>
            </w:r>
          </w:p>
        </w:tc>
        <w:tc>
          <w:tcPr>
            <w:tcW w:w="40" w:type="dxa"/>
            <w:vAlign w:val="bottom"/>
            <w:vMerge w:val="continue"/>
          </w:tcPr>
          <w:p>
            <w:pPr>
              <w:spacing w:after="0"/>
              <w:rPr>
                <w:sz w:val="8"/>
                <w:szCs w:val="8"/>
                <w:color w:val="auto"/>
              </w:rPr>
            </w:pPr>
          </w:p>
        </w:tc>
        <w:tc>
          <w:tcPr>
            <w:tcW w:w="40" w:type="dxa"/>
            <w:vAlign w:val="bottom"/>
            <w:vMerge w:val="continue"/>
          </w:tcPr>
          <w:p>
            <w:pPr>
              <w:spacing w:after="0"/>
              <w:rPr>
                <w:sz w:val="8"/>
                <w:szCs w:val="8"/>
                <w:color w:val="auto"/>
              </w:rPr>
            </w:pPr>
          </w:p>
        </w:tc>
        <w:tc>
          <w:tcPr>
            <w:tcW w:w="460" w:type="dxa"/>
            <w:vAlign w:val="bottom"/>
            <w:gridSpan w:val="2"/>
          </w:tcPr>
          <w:p>
            <w:pPr>
              <w:jc w:val="right"/>
              <w:ind w:right="20"/>
              <w:spacing w:after="0" w:line="93" w:lineRule="exact"/>
              <w:rPr>
                <w:sz w:val="20"/>
                <w:szCs w:val="20"/>
                <w:color w:val="auto"/>
              </w:rPr>
            </w:pPr>
            <w:r>
              <w:rPr>
                <w:rFonts w:ascii="Arial" w:cs="Arial" w:eastAsia="Arial" w:hAnsi="Arial"/>
                <w:sz w:val="10"/>
                <w:szCs w:val="10"/>
                <w:color w:val="auto"/>
                <w:w w:val="92"/>
              </w:rPr>
              <w:t>Life Name</w:t>
            </w:r>
          </w:p>
        </w:tc>
        <w:tc>
          <w:tcPr>
            <w:tcW w:w="100" w:type="dxa"/>
            <w:vAlign w:val="bottom"/>
            <w:vMerge w:val="continue"/>
          </w:tcPr>
          <w:p>
            <w:pPr>
              <w:spacing w:after="0"/>
              <w:rPr>
                <w:sz w:val="8"/>
                <w:szCs w:val="8"/>
                <w:color w:val="auto"/>
              </w:rPr>
            </w:pPr>
          </w:p>
        </w:tc>
        <w:tc>
          <w:tcPr>
            <w:tcW w:w="600" w:type="dxa"/>
            <w:vAlign w:val="bottom"/>
            <w:gridSpan w:val="2"/>
          </w:tcPr>
          <w:p>
            <w:pPr>
              <w:spacing w:after="0" w:line="93" w:lineRule="exact"/>
              <w:rPr>
                <w:sz w:val="20"/>
                <w:szCs w:val="20"/>
                <w:color w:val="auto"/>
              </w:rPr>
            </w:pPr>
            <w:r>
              <w:rPr>
                <w:rFonts w:ascii="Arial" w:cs="Arial" w:eastAsia="Arial" w:hAnsi="Arial"/>
                <w:sz w:val="10"/>
                <w:szCs w:val="10"/>
                <w:color w:val="auto"/>
              </w:rPr>
              <w:t>Number</w:t>
            </w:r>
          </w:p>
        </w:tc>
        <w:tc>
          <w:tcPr>
            <w:tcW w:w="140" w:type="dxa"/>
            <w:vAlign w:val="bottom"/>
            <w:gridSpan w:val="2"/>
            <w:vMerge w:val="continue"/>
          </w:tcPr>
          <w:p>
            <w:pPr>
              <w:spacing w:after="0"/>
              <w:rPr>
                <w:sz w:val="8"/>
                <w:szCs w:val="8"/>
                <w:color w:val="auto"/>
              </w:rPr>
            </w:pPr>
          </w:p>
        </w:tc>
        <w:tc>
          <w:tcPr>
            <w:tcW w:w="460" w:type="dxa"/>
            <w:vAlign w:val="bottom"/>
          </w:tcPr>
          <w:p>
            <w:pPr>
              <w:spacing w:after="0" w:line="93" w:lineRule="exact"/>
              <w:rPr>
                <w:sz w:val="20"/>
                <w:szCs w:val="20"/>
                <w:color w:val="auto"/>
              </w:rPr>
            </w:pPr>
            <w:r>
              <w:rPr>
                <w:rFonts w:ascii="Arial" w:cs="Arial" w:eastAsia="Arial" w:hAnsi="Arial"/>
                <w:sz w:val="10"/>
                <w:szCs w:val="10"/>
                <w:color w:val="auto"/>
                <w:w w:val="80"/>
              </w:rPr>
              <w:t>Life Gender</w:t>
            </w:r>
          </w:p>
        </w:tc>
        <w:tc>
          <w:tcPr>
            <w:tcW w:w="140" w:type="dxa"/>
            <w:vAlign w:val="bottom"/>
            <w:vMerge w:val="continue"/>
          </w:tcPr>
          <w:p>
            <w:pPr>
              <w:spacing w:after="0"/>
              <w:rPr>
                <w:sz w:val="8"/>
                <w:szCs w:val="8"/>
                <w:color w:val="auto"/>
              </w:rPr>
            </w:pPr>
          </w:p>
        </w:tc>
        <w:tc>
          <w:tcPr>
            <w:tcW w:w="60" w:type="dxa"/>
            <w:vAlign w:val="bottom"/>
            <w:vMerge w:val="continue"/>
          </w:tcPr>
          <w:p>
            <w:pPr>
              <w:spacing w:after="0"/>
              <w:rPr>
                <w:sz w:val="8"/>
                <w:szCs w:val="8"/>
                <w:color w:val="auto"/>
              </w:rPr>
            </w:pPr>
          </w:p>
        </w:tc>
        <w:tc>
          <w:tcPr>
            <w:tcW w:w="640" w:type="dxa"/>
            <w:vAlign w:val="bottom"/>
            <w:gridSpan w:val="2"/>
          </w:tcPr>
          <w:p>
            <w:pPr>
              <w:spacing w:after="0" w:line="93" w:lineRule="exact"/>
              <w:rPr>
                <w:sz w:val="20"/>
                <w:szCs w:val="20"/>
                <w:color w:val="auto"/>
              </w:rPr>
            </w:pPr>
            <w:r>
              <w:rPr>
                <w:rFonts w:ascii="Arial" w:cs="Arial" w:eastAsia="Arial" w:hAnsi="Arial"/>
                <w:sz w:val="10"/>
                <w:szCs w:val="10"/>
                <w:color w:val="auto"/>
              </w:rPr>
              <w:t>Date of Birth</w:t>
            </w:r>
          </w:p>
        </w:tc>
        <w:tc>
          <w:tcPr>
            <w:tcW w:w="60" w:type="dxa"/>
            <w:vAlign w:val="bottom"/>
            <w:vMerge w:val="continue"/>
          </w:tcPr>
          <w:p>
            <w:pPr>
              <w:spacing w:after="0"/>
              <w:rPr>
                <w:sz w:val="8"/>
                <w:szCs w:val="8"/>
                <w:color w:val="auto"/>
              </w:rPr>
            </w:pPr>
          </w:p>
        </w:tc>
        <w:tc>
          <w:tcPr>
            <w:tcW w:w="60" w:type="dxa"/>
            <w:vAlign w:val="bottom"/>
            <w:vMerge w:val="continue"/>
          </w:tcPr>
          <w:p>
            <w:pPr>
              <w:spacing w:after="0"/>
              <w:rPr>
                <w:sz w:val="8"/>
                <w:szCs w:val="8"/>
                <w:color w:val="auto"/>
              </w:rPr>
            </w:pPr>
          </w:p>
        </w:tc>
        <w:tc>
          <w:tcPr>
            <w:tcW w:w="500" w:type="dxa"/>
            <w:vAlign w:val="bottom"/>
            <w:gridSpan w:val="3"/>
          </w:tcPr>
          <w:p>
            <w:pPr>
              <w:spacing w:after="0" w:line="93" w:lineRule="exact"/>
              <w:rPr>
                <w:sz w:val="20"/>
                <w:szCs w:val="20"/>
                <w:color w:val="auto"/>
              </w:rPr>
            </w:pPr>
            <w:r>
              <w:rPr>
                <w:rFonts w:ascii="Arial" w:cs="Arial" w:eastAsia="Arial" w:hAnsi="Arial"/>
                <w:sz w:val="10"/>
                <w:szCs w:val="10"/>
                <w:color w:val="auto"/>
                <w:w w:val="89"/>
              </w:rPr>
              <w:t>Payee Type</w:t>
            </w:r>
          </w:p>
        </w:tc>
        <w:tc>
          <w:tcPr>
            <w:tcW w:w="20" w:type="dxa"/>
            <w:vAlign w:val="bottom"/>
            <w:vMerge w:val="continue"/>
          </w:tcPr>
          <w:p>
            <w:pPr>
              <w:spacing w:after="0"/>
              <w:rPr>
                <w:sz w:val="8"/>
                <w:szCs w:val="8"/>
                <w:color w:val="auto"/>
              </w:rPr>
            </w:pPr>
          </w:p>
        </w:tc>
        <w:tc>
          <w:tcPr>
            <w:tcW w:w="380" w:type="dxa"/>
            <w:vAlign w:val="bottom"/>
          </w:tcPr>
          <w:p>
            <w:pPr>
              <w:spacing w:after="0" w:line="93" w:lineRule="exact"/>
              <w:rPr>
                <w:sz w:val="20"/>
                <w:szCs w:val="20"/>
                <w:color w:val="auto"/>
              </w:rPr>
            </w:pPr>
            <w:r>
              <w:rPr>
                <w:rFonts w:ascii="Arial" w:cs="Arial" w:eastAsia="Arial" w:hAnsi="Arial"/>
                <w:sz w:val="10"/>
                <w:szCs w:val="10"/>
                <w:color w:val="auto"/>
                <w:w w:val="99"/>
              </w:rPr>
              <w:t>Pension</w:t>
            </w:r>
          </w:p>
        </w:tc>
        <w:tc>
          <w:tcPr>
            <w:tcW w:w="3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86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960"/>
          </w:cols>
          <w:pgMar w:left="240" w:top="549" w:right="699" w:bottom="1440" w:gutter="0" w:footer="0" w:header="0"/>
        </w:sectPr>
      </w:pPr>
    </w:p>
    <w:bookmarkStart w:id="172" w:name="page173"/>
    <w:bookmarkEnd w:id="172"/>
    <w:p>
      <w:pPr>
        <w:spacing w:after="0"/>
        <w:rPr>
          <w:sz w:val="20"/>
          <w:szCs w:val="20"/>
          <w:color w:val="auto"/>
        </w:rPr>
      </w:pPr>
      <w:r>
        <w:rPr>
          <w:rFonts w:ascii="Arial" w:cs="Arial" w:eastAsia="Arial" w:hAnsi="Arial"/>
          <w:sz w:val="17"/>
          <w:szCs w:val="17"/>
          <w:b w:val="1"/>
          <w:bCs w:val="1"/>
          <w:u w:val="single" w:color="auto"/>
          <w:color w:val="auto"/>
        </w:rPr>
        <w:t>Schedule 1 to Appendix 2.7</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ANNUITY EXHIBIT SAMPLE</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GA-XXXX</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Vita</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Annuitants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Annuity Commencement Date is Month 1, 20XX</w:t>
      </w:r>
    </w:p>
    <w:p>
      <w:pPr>
        <w:spacing w:after="0" w:line="248" w:lineRule="exact"/>
        <w:rPr>
          <w:sz w:val="20"/>
          <w:szCs w:val="20"/>
          <w:color w:val="auto"/>
        </w:rPr>
      </w:pPr>
    </w:p>
    <w:tbl>
      <w:tblPr>
        <w:tblLayout w:type="fixed"/>
        <w:tblInd w:w="20" w:type="dxa"/>
        <w:tblCellMar>
          <w:top w:w="0" w:type="dxa"/>
          <w:left w:w="0" w:type="dxa"/>
          <w:bottom w:w="0" w:type="dxa"/>
          <w:right w:w="0" w:type="dxa"/>
        </w:tblCellMar>
      </w:tblPr>
      <w:tr>
        <w:trPr>
          <w:trHeight w:val="133"/>
        </w:trPr>
        <w:tc>
          <w:tcPr>
            <w:tcW w:w="4620" w:type="dxa"/>
            <w:vAlign w:val="bottom"/>
            <w:gridSpan w:val="13"/>
          </w:tcPr>
          <w:p>
            <w:pPr>
              <w:spacing w:after="0"/>
              <w:rPr>
                <w:sz w:val="20"/>
                <w:szCs w:val="20"/>
                <w:color w:val="auto"/>
              </w:rPr>
            </w:pPr>
            <w:r>
              <w:rPr>
                <w:rFonts w:ascii="Arial" w:cs="Arial" w:eastAsia="Arial" w:hAnsi="Arial"/>
                <w:sz w:val="10"/>
                <w:szCs w:val="10"/>
                <w:b w:val="1"/>
                <w:bCs w:val="1"/>
                <w:color w:val="auto"/>
              </w:rPr>
              <w:t xml:space="preserve">Indicator if field is applicable to each annuity form. </w:t>
            </w:r>
            <w:r>
              <w:rPr>
                <w:rFonts w:ascii="Arial" w:cs="Arial" w:eastAsia="Arial" w:hAnsi="Arial"/>
                <w:sz w:val="10"/>
                <w:szCs w:val="10"/>
                <w:b w:val="1"/>
                <w:bCs w:val="1"/>
                <w:color w:val="FF0000"/>
              </w:rPr>
              <w:t>This is linked to the Exhibit</w:t>
            </w:r>
            <w:r>
              <w:rPr>
                <w:rFonts w:ascii="Arial" w:cs="Arial" w:eastAsia="Arial" w:hAnsi="Arial"/>
                <w:sz w:val="10"/>
                <w:szCs w:val="10"/>
                <w:b w:val="1"/>
                <w:bCs w:val="1"/>
                <w:color w:val="auto"/>
              </w:rPr>
              <w:t xml:space="preserve"> </w:t>
            </w:r>
            <w:r>
              <w:rPr>
                <w:rFonts w:ascii="Arial" w:cs="Arial" w:eastAsia="Arial" w:hAnsi="Arial"/>
                <w:sz w:val="10"/>
                <w:szCs w:val="10"/>
                <w:color w:val="auto"/>
              </w:rPr>
              <w:t>(1=Yes)</w:t>
            </w: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660" w:type="dxa"/>
            <w:vAlign w:val="bottom"/>
            <w:gridSpan w:val="2"/>
          </w:tcPr>
          <w:p>
            <w:pPr>
              <w:spacing w:after="0"/>
              <w:rPr>
                <w:sz w:val="20"/>
                <w:szCs w:val="20"/>
                <w:color w:val="auto"/>
              </w:rPr>
            </w:pPr>
            <w:r>
              <w:rPr>
                <w:rFonts w:ascii="Arial" w:cs="Arial" w:eastAsia="Arial" w:hAnsi="Arial"/>
                <w:sz w:val="10"/>
                <w:szCs w:val="10"/>
                <w:color w:val="auto"/>
              </w:rPr>
              <w:t>Spousal Joint and Survivor Life Annuity</w:t>
            </w: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jc w:val="right"/>
              <w:ind w:right="10"/>
              <w:spacing w:after="0"/>
              <w:rPr>
                <w:sz w:val="20"/>
                <w:szCs w:val="20"/>
                <w:color w:val="auto"/>
              </w:rPr>
            </w:pPr>
            <w:r>
              <w:rPr>
                <w:rFonts w:ascii="Arial" w:cs="Arial" w:eastAsia="Arial" w:hAnsi="Arial"/>
                <w:sz w:val="10"/>
                <w:szCs w:val="10"/>
                <w:color w:val="auto"/>
              </w:rPr>
              <w:t>1</w:t>
            </w:r>
          </w:p>
        </w:tc>
        <w:tc>
          <w:tcPr>
            <w:tcW w:w="760" w:type="dxa"/>
            <w:vAlign w:val="bottom"/>
            <w:gridSpan w:val="4"/>
          </w:tcPr>
          <w:p>
            <w:pPr>
              <w:jc w:val="right"/>
              <w:ind w:right="140"/>
              <w:spacing w:after="0"/>
              <w:rPr>
                <w:sz w:val="20"/>
                <w:szCs w:val="20"/>
                <w:color w:val="auto"/>
              </w:rPr>
            </w:pPr>
            <w:r>
              <w:rPr>
                <w:rFonts w:ascii="Arial" w:cs="Arial" w:eastAsia="Arial" w:hAnsi="Arial"/>
                <w:sz w:val="10"/>
                <w:szCs w:val="10"/>
                <w:color w:val="auto"/>
              </w:rPr>
              <w:t>0</w:t>
            </w:r>
          </w:p>
        </w:tc>
        <w:tc>
          <w:tcPr>
            <w:tcW w:w="600" w:type="dxa"/>
            <w:vAlign w:val="bottom"/>
            <w:gridSpan w:val="3"/>
          </w:tcPr>
          <w:p>
            <w:pPr>
              <w:jc w:val="right"/>
              <w:ind w:right="80"/>
              <w:spacing w:after="0"/>
              <w:rPr>
                <w:sz w:val="20"/>
                <w:szCs w:val="20"/>
                <w:color w:val="auto"/>
              </w:rPr>
            </w:pPr>
            <w:r>
              <w:rPr>
                <w:rFonts w:ascii="Arial" w:cs="Arial" w:eastAsia="Arial" w:hAnsi="Arial"/>
                <w:sz w:val="10"/>
                <w:szCs w:val="10"/>
                <w:color w:val="auto"/>
              </w:rPr>
              <w:t>1</w:t>
            </w:r>
          </w:p>
        </w:tc>
        <w:tc>
          <w:tcPr>
            <w:tcW w:w="680" w:type="dxa"/>
            <w:vAlign w:val="bottom"/>
            <w:gridSpan w:val="3"/>
          </w:tcPr>
          <w:p>
            <w:pPr>
              <w:jc w:val="right"/>
              <w:ind w:right="80"/>
              <w:spacing w:after="0"/>
              <w:rPr>
                <w:sz w:val="20"/>
                <w:szCs w:val="20"/>
                <w:color w:val="auto"/>
              </w:rPr>
            </w:pPr>
            <w:r>
              <w:rPr>
                <w:rFonts w:ascii="Arial" w:cs="Arial" w:eastAsia="Arial" w:hAnsi="Arial"/>
                <w:sz w:val="10"/>
                <w:szCs w:val="10"/>
                <w:color w:val="auto"/>
              </w:rPr>
              <w:t>1</w:t>
            </w:r>
          </w:p>
        </w:tc>
        <w:tc>
          <w:tcPr>
            <w:tcW w:w="60" w:type="dxa"/>
            <w:vAlign w:val="bottom"/>
          </w:tcPr>
          <w:p>
            <w:pPr>
              <w:spacing w:after="0"/>
              <w:rPr>
                <w:sz w:val="17"/>
                <w:szCs w:val="17"/>
                <w:color w:val="auto"/>
              </w:rPr>
            </w:pPr>
          </w:p>
        </w:tc>
        <w:tc>
          <w:tcPr>
            <w:tcW w:w="540" w:type="dxa"/>
            <w:vAlign w:val="bottom"/>
            <w:gridSpan w:val="2"/>
          </w:tcPr>
          <w:p>
            <w:pPr>
              <w:jc w:val="right"/>
              <w:spacing w:after="0"/>
              <w:rPr>
                <w:sz w:val="20"/>
                <w:szCs w:val="20"/>
                <w:color w:val="auto"/>
              </w:rPr>
            </w:pPr>
            <w:r>
              <w:rPr>
                <w:rFonts w:ascii="Arial" w:cs="Arial" w:eastAsia="Arial" w:hAnsi="Arial"/>
                <w:sz w:val="10"/>
                <w:szCs w:val="10"/>
                <w:color w:val="auto"/>
              </w:rPr>
              <w:t>1</w:t>
            </w:r>
          </w:p>
        </w:tc>
        <w:tc>
          <w:tcPr>
            <w:tcW w:w="140" w:type="dxa"/>
            <w:vAlign w:val="bottom"/>
          </w:tcPr>
          <w:p>
            <w:pPr>
              <w:spacing w:after="0"/>
              <w:rPr>
                <w:sz w:val="17"/>
                <w:szCs w:val="17"/>
                <w:color w:val="auto"/>
              </w:rPr>
            </w:pPr>
          </w:p>
        </w:tc>
        <w:tc>
          <w:tcPr>
            <w:tcW w:w="640" w:type="dxa"/>
            <w:vAlign w:val="bottom"/>
            <w:gridSpan w:val="2"/>
          </w:tcPr>
          <w:p>
            <w:pPr>
              <w:jc w:val="right"/>
              <w:spacing w:after="0"/>
              <w:rPr>
                <w:sz w:val="20"/>
                <w:szCs w:val="20"/>
                <w:color w:val="auto"/>
              </w:rPr>
            </w:pPr>
            <w:r>
              <w:rPr>
                <w:rFonts w:ascii="Arial" w:cs="Arial" w:eastAsia="Arial" w:hAnsi="Arial"/>
                <w:sz w:val="10"/>
                <w:szCs w:val="10"/>
                <w:color w:val="auto"/>
              </w:rPr>
              <w:t>1</w:t>
            </w:r>
          </w:p>
        </w:tc>
        <w:tc>
          <w:tcPr>
            <w:tcW w:w="900" w:type="dxa"/>
            <w:vAlign w:val="bottom"/>
            <w:gridSpan w:val="3"/>
          </w:tcPr>
          <w:p>
            <w:pPr>
              <w:jc w:val="right"/>
              <w:ind w:right="120"/>
              <w:spacing w:after="0"/>
              <w:rPr>
                <w:sz w:val="20"/>
                <w:szCs w:val="20"/>
                <w:color w:val="auto"/>
              </w:rPr>
            </w:pPr>
            <w:r>
              <w:rPr>
                <w:rFonts w:ascii="Arial" w:cs="Arial" w:eastAsia="Arial" w:hAnsi="Arial"/>
                <w:sz w:val="10"/>
                <w:szCs w:val="10"/>
                <w:color w:val="auto"/>
              </w:rPr>
              <w:t>1</w:t>
            </w:r>
          </w:p>
        </w:tc>
        <w:tc>
          <w:tcPr>
            <w:tcW w:w="620" w:type="dxa"/>
            <w:vAlign w:val="bottom"/>
            <w:gridSpan w:val="2"/>
          </w:tcPr>
          <w:p>
            <w:pPr>
              <w:jc w:val="right"/>
              <w:spacing w:after="0"/>
              <w:rPr>
                <w:sz w:val="20"/>
                <w:szCs w:val="20"/>
                <w:color w:val="auto"/>
              </w:rPr>
            </w:pPr>
            <w:r>
              <w:rPr>
                <w:rFonts w:ascii="Arial" w:cs="Arial" w:eastAsia="Arial" w:hAnsi="Arial"/>
                <w:sz w:val="10"/>
                <w:szCs w:val="10"/>
                <w:color w:val="auto"/>
              </w:rPr>
              <w:t>1</w:t>
            </w:r>
          </w:p>
        </w:tc>
        <w:tc>
          <w:tcPr>
            <w:tcW w:w="760" w:type="dxa"/>
            <w:vAlign w:val="bottom"/>
            <w:gridSpan w:val="2"/>
          </w:tcPr>
          <w:p>
            <w:pPr>
              <w:jc w:val="right"/>
              <w:spacing w:after="0"/>
              <w:rPr>
                <w:sz w:val="20"/>
                <w:szCs w:val="20"/>
                <w:color w:val="auto"/>
              </w:rPr>
            </w:pPr>
            <w:r>
              <w:rPr>
                <w:rFonts w:ascii="Arial" w:cs="Arial" w:eastAsia="Arial" w:hAnsi="Arial"/>
                <w:sz w:val="10"/>
                <w:szCs w:val="10"/>
                <w:color w:val="auto"/>
              </w:rPr>
              <w:t>1</w:t>
            </w:r>
          </w:p>
        </w:tc>
        <w:tc>
          <w:tcPr>
            <w:tcW w:w="120" w:type="dxa"/>
            <w:vAlign w:val="bottom"/>
          </w:tcPr>
          <w:p>
            <w:pPr>
              <w:spacing w:after="0"/>
              <w:rPr>
                <w:sz w:val="17"/>
                <w:szCs w:val="17"/>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0"/>
                <w:szCs w:val="10"/>
                <w:color w:val="auto"/>
              </w:rPr>
              <w:t>1</w:t>
            </w:r>
          </w:p>
        </w:tc>
        <w:tc>
          <w:tcPr>
            <w:tcW w:w="1300" w:type="dxa"/>
            <w:vAlign w:val="bottom"/>
            <w:gridSpan w:val="3"/>
          </w:tcPr>
          <w:p>
            <w:pPr>
              <w:jc w:val="right"/>
              <w:ind w:right="120"/>
              <w:spacing w:after="0"/>
              <w:rPr>
                <w:sz w:val="20"/>
                <w:szCs w:val="20"/>
                <w:color w:val="auto"/>
              </w:rPr>
            </w:pPr>
            <w:r>
              <w:rPr>
                <w:rFonts w:ascii="Arial" w:cs="Arial" w:eastAsia="Arial" w:hAnsi="Arial"/>
                <w:sz w:val="10"/>
                <w:szCs w:val="10"/>
                <w:color w:val="auto"/>
              </w:rPr>
              <w:t>1</w:t>
            </w:r>
          </w:p>
        </w:tc>
        <w:tc>
          <w:tcPr>
            <w:tcW w:w="0" w:type="dxa"/>
            <w:vAlign w:val="bottom"/>
          </w:tcPr>
          <w:p>
            <w:pPr>
              <w:spacing w:after="0"/>
              <w:rPr>
                <w:sz w:val="1"/>
                <w:szCs w:val="1"/>
                <w:color w:val="auto"/>
              </w:rPr>
            </w:pPr>
          </w:p>
        </w:tc>
      </w:tr>
      <w:tr>
        <w:trPr>
          <w:trHeight w:val="200"/>
        </w:trPr>
        <w:tc>
          <w:tcPr>
            <w:tcW w:w="2660" w:type="dxa"/>
            <w:vAlign w:val="bottom"/>
            <w:gridSpan w:val="2"/>
          </w:tcPr>
          <w:p>
            <w:pPr>
              <w:spacing w:after="0"/>
              <w:rPr>
                <w:sz w:val="20"/>
                <w:szCs w:val="20"/>
                <w:color w:val="auto"/>
              </w:rPr>
            </w:pPr>
            <w:r>
              <w:rPr>
                <w:rFonts w:ascii="Arial" w:cs="Arial" w:eastAsia="Arial" w:hAnsi="Arial"/>
                <w:sz w:val="10"/>
                <w:szCs w:val="10"/>
                <w:color w:val="auto"/>
              </w:rPr>
              <w:t>Contingent Joint and Survivor Life Annuity</w:t>
            </w: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jc w:val="right"/>
              <w:ind w:right="10"/>
              <w:spacing w:after="0"/>
              <w:rPr>
                <w:sz w:val="20"/>
                <w:szCs w:val="20"/>
                <w:color w:val="auto"/>
              </w:rPr>
            </w:pPr>
            <w:r>
              <w:rPr>
                <w:rFonts w:ascii="Arial" w:cs="Arial" w:eastAsia="Arial" w:hAnsi="Arial"/>
                <w:sz w:val="10"/>
                <w:szCs w:val="10"/>
                <w:color w:val="auto"/>
              </w:rPr>
              <w:t>1</w:t>
            </w:r>
          </w:p>
        </w:tc>
        <w:tc>
          <w:tcPr>
            <w:tcW w:w="760" w:type="dxa"/>
            <w:vAlign w:val="bottom"/>
            <w:gridSpan w:val="4"/>
          </w:tcPr>
          <w:p>
            <w:pPr>
              <w:jc w:val="right"/>
              <w:ind w:right="140"/>
              <w:spacing w:after="0"/>
              <w:rPr>
                <w:sz w:val="20"/>
                <w:szCs w:val="20"/>
                <w:color w:val="auto"/>
              </w:rPr>
            </w:pPr>
            <w:r>
              <w:rPr>
                <w:rFonts w:ascii="Arial" w:cs="Arial" w:eastAsia="Arial" w:hAnsi="Arial"/>
                <w:sz w:val="10"/>
                <w:szCs w:val="10"/>
                <w:color w:val="auto"/>
              </w:rPr>
              <w:t>0</w:t>
            </w:r>
          </w:p>
        </w:tc>
        <w:tc>
          <w:tcPr>
            <w:tcW w:w="600" w:type="dxa"/>
            <w:vAlign w:val="bottom"/>
            <w:gridSpan w:val="3"/>
          </w:tcPr>
          <w:p>
            <w:pPr>
              <w:jc w:val="right"/>
              <w:ind w:right="80"/>
              <w:spacing w:after="0"/>
              <w:rPr>
                <w:sz w:val="20"/>
                <w:szCs w:val="20"/>
                <w:color w:val="auto"/>
              </w:rPr>
            </w:pPr>
            <w:r>
              <w:rPr>
                <w:rFonts w:ascii="Arial" w:cs="Arial" w:eastAsia="Arial" w:hAnsi="Arial"/>
                <w:sz w:val="10"/>
                <w:szCs w:val="10"/>
                <w:color w:val="auto"/>
              </w:rPr>
              <w:t>1</w:t>
            </w:r>
          </w:p>
        </w:tc>
        <w:tc>
          <w:tcPr>
            <w:tcW w:w="680" w:type="dxa"/>
            <w:vAlign w:val="bottom"/>
            <w:gridSpan w:val="3"/>
          </w:tcPr>
          <w:p>
            <w:pPr>
              <w:jc w:val="right"/>
              <w:ind w:right="80"/>
              <w:spacing w:after="0"/>
              <w:rPr>
                <w:sz w:val="20"/>
                <w:szCs w:val="20"/>
                <w:color w:val="auto"/>
              </w:rPr>
            </w:pPr>
            <w:r>
              <w:rPr>
                <w:rFonts w:ascii="Arial" w:cs="Arial" w:eastAsia="Arial" w:hAnsi="Arial"/>
                <w:sz w:val="10"/>
                <w:szCs w:val="10"/>
                <w:color w:val="auto"/>
              </w:rPr>
              <w:t>1</w:t>
            </w:r>
          </w:p>
        </w:tc>
        <w:tc>
          <w:tcPr>
            <w:tcW w:w="60" w:type="dxa"/>
            <w:vAlign w:val="bottom"/>
          </w:tcPr>
          <w:p>
            <w:pPr>
              <w:spacing w:after="0"/>
              <w:rPr>
                <w:sz w:val="17"/>
                <w:szCs w:val="17"/>
                <w:color w:val="auto"/>
              </w:rPr>
            </w:pPr>
          </w:p>
        </w:tc>
        <w:tc>
          <w:tcPr>
            <w:tcW w:w="540" w:type="dxa"/>
            <w:vAlign w:val="bottom"/>
            <w:gridSpan w:val="2"/>
          </w:tcPr>
          <w:p>
            <w:pPr>
              <w:jc w:val="right"/>
              <w:spacing w:after="0"/>
              <w:rPr>
                <w:sz w:val="20"/>
                <w:szCs w:val="20"/>
                <w:color w:val="auto"/>
              </w:rPr>
            </w:pPr>
            <w:r>
              <w:rPr>
                <w:rFonts w:ascii="Arial" w:cs="Arial" w:eastAsia="Arial" w:hAnsi="Arial"/>
                <w:sz w:val="10"/>
                <w:szCs w:val="10"/>
                <w:color w:val="auto"/>
              </w:rPr>
              <w:t>1</w:t>
            </w:r>
          </w:p>
        </w:tc>
        <w:tc>
          <w:tcPr>
            <w:tcW w:w="140" w:type="dxa"/>
            <w:vAlign w:val="bottom"/>
          </w:tcPr>
          <w:p>
            <w:pPr>
              <w:spacing w:after="0"/>
              <w:rPr>
                <w:sz w:val="17"/>
                <w:szCs w:val="17"/>
                <w:color w:val="auto"/>
              </w:rPr>
            </w:pPr>
          </w:p>
        </w:tc>
        <w:tc>
          <w:tcPr>
            <w:tcW w:w="640" w:type="dxa"/>
            <w:vAlign w:val="bottom"/>
            <w:gridSpan w:val="2"/>
          </w:tcPr>
          <w:p>
            <w:pPr>
              <w:jc w:val="right"/>
              <w:spacing w:after="0"/>
              <w:rPr>
                <w:sz w:val="20"/>
                <w:szCs w:val="20"/>
                <w:color w:val="auto"/>
              </w:rPr>
            </w:pPr>
            <w:r>
              <w:rPr>
                <w:rFonts w:ascii="Arial" w:cs="Arial" w:eastAsia="Arial" w:hAnsi="Arial"/>
                <w:sz w:val="10"/>
                <w:szCs w:val="10"/>
                <w:color w:val="auto"/>
              </w:rPr>
              <w:t>1</w:t>
            </w:r>
          </w:p>
        </w:tc>
        <w:tc>
          <w:tcPr>
            <w:tcW w:w="900" w:type="dxa"/>
            <w:vAlign w:val="bottom"/>
            <w:gridSpan w:val="3"/>
          </w:tcPr>
          <w:p>
            <w:pPr>
              <w:jc w:val="right"/>
              <w:ind w:right="120"/>
              <w:spacing w:after="0"/>
              <w:rPr>
                <w:sz w:val="20"/>
                <w:szCs w:val="20"/>
                <w:color w:val="auto"/>
              </w:rPr>
            </w:pPr>
            <w:r>
              <w:rPr>
                <w:rFonts w:ascii="Arial" w:cs="Arial" w:eastAsia="Arial" w:hAnsi="Arial"/>
                <w:sz w:val="10"/>
                <w:szCs w:val="10"/>
                <w:color w:val="auto"/>
              </w:rPr>
              <w:t>1</w:t>
            </w:r>
          </w:p>
        </w:tc>
        <w:tc>
          <w:tcPr>
            <w:tcW w:w="620" w:type="dxa"/>
            <w:vAlign w:val="bottom"/>
            <w:gridSpan w:val="2"/>
          </w:tcPr>
          <w:p>
            <w:pPr>
              <w:jc w:val="right"/>
              <w:spacing w:after="0"/>
              <w:rPr>
                <w:sz w:val="20"/>
                <w:szCs w:val="20"/>
                <w:color w:val="auto"/>
              </w:rPr>
            </w:pPr>
            <w:r>
              <w:rPr>
                <w:rFonts w:ascii="Arial" w:cs="Arial" w:eastAsia="Arial" w:hAnsi="Arial"/>
                <w:sz w:val="10"/>
                <w:szCs w:val="10"/>
                <w:color w:val="auto"/>
              </w:rPr>
              <w:t>1</w:t>
            </w:r>
          </w:p>
        </w:tc>
        <w:tc>
          <w:tcPr>
            <w:tcW w:w="760" w:type="dxa"/>
            <w:vAlign w:val="bottom"/>
            <w:gridSpan w:val="2"/>
          </w:tcPr>
          <w:p>
            <w:pPr>
              <w:jc w:val="right"/>
              <w:spacing w:after="0"/>
              <w:rPr>
                <w:sz w:val="20"/>
                <w:szCs w:val="20"/>
                <w:color w:val="auto"/>
              </w:rPr>
            </w:pPr>
            <w:r>
              <w:rPr>
                <w:rFonts w:ascii="Arial" w:cs="Arial" w:eastAsia="Arial" w:hAnsi="Arial"/>
                <w:sz w:val="10"/>
                <w:szCs w:val="10"/>
                <w:color w:val="auto"/>
              </w:rPr>
              <w:t>1</w:t>
            </w:r>
          </w:p>
        </w:tc>
        <w:tc>
          <w:tcPr>
            <w:tcW w:w="120" w:type="dxa"/>
            <w:vAlign w:val="bottom"/>
          </w:tcPr>
          <w:p>
            <w:pPr>
              <w:spacing w:after="0"/>
              <w:rPr>
                <w:sz w:val="17"/>
                <w:szCs w:val="17"/>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0"/>
                <w:szCs w:val="10"/>
                <w:color w:val="auto"/>
              </w:rPr>
              <w:t>0</w:t>
            </w:r>
          </w:p>
        </w:tc>
        <w:tc>
          <w:tcPr>
            <w:tcW w:w="1300" w:type="dxa"/>
            <w:vAlign w:val="bottom"/>
            <w:gridSpan w:val="3"/>
          </w:tcPr>
          <w:p>
            <w:pPr>
              <w:jc w:val="right"/>
              <w:ind w:right="120"/>
              <w:spacing w:after="0"/>
              <w:rPr>
                <w:sz w:val="20"/>
                <w:szCs w:val="20"/>
                <w:color w:val="auto"/>
              </w:rPr>
            </w:pPr>
            <w:r>
              <w:rPr>
                <w:rFonts w:ascii="Arial" w:cs="Arial" w:eastAsia="Arial" w:hAnsi="Arial"/>
                <w:sz w:val="10"/>
                <w:szCs w:val="10"/>
                <w:color w:val="auto"/>
              </w:rPr>
              <w:t>1</w:t>
            </w:r>
          </w:p>
        </w:tc>
        <w:tc>
          <w:tcPr>
            <w:tcW w:w="0" w:type="dxa"/>
            <w:vAlign w:val="bottom"/>
          </w:tcPr>
          <w:p>
            <w:pPr>
              <w:spacing w:after="0"/>
              <w:rPr>
                <w:sz w:val="1"/>
                <w:szCs w:val="1"/>
                <w:color w:val="auto"/>
              </w:rPr>
            </w:pPr>
          </w:p>
        </w:tc>
      </w:tr>
      <w:tr>
        <w:trPr>
          <w:trHeight w:val="200"/>
        </w:trPr>
        <w:tc>
          <w:tcPr>
            <w:tcW w:w="2660" w:type="dxa"/>
            <w:vAlign w:val="bottom"/>
            <w:gridSpan w:val="2"/>
          </w:tcPr>
          <w:p>
            <w:pPr>
              <w:spacing w:after="0"/>
              <w:rPr>
                <w:sz w:val="20"/>
                <w:szCs w:val="20"/>
                <w:color w:val="auto"/>
              </w:rPr>
            </w:pPr>
            <w:r>
              <w:rPr>
                <w:rFonts w:ascii="Arial" w:cs="Arial" w:eastAsia="Arial" w:hAnsi="Arial"/>
                <w:sz w:val="10"/>
                <w:szCs w:val="10"/>
                <w:color w:val="auto"/>
              </w:rPr>
              <w:t>Single Life Annuity</w:t>
            </w: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jc w:val="right"/>
              <w:ind w:right="10"/>
              <w:spacing w:after="0"/>
              <w:rPr>
                <w:sz w:val="20"/>
                <w:szCs w:val="20"/>
                <w:color w:val="auto"/>
              </w:rPr>
            </w:pPr>
            <w:r>
              <w:rPr>
                <w:rFonts w:ascii="Arial" w:cs="Arial" w:eastAsia="Arial" w:hAnsi="Arial"/>
                <w:sz w:val="10"/>
                <w:szCs w:val="10"/>
                <w:color w:val="auto"/>
              </w:rPr>
              <w:t>1</w:t>
            </w:r>
          </w:p>
        </w:tc>
        <w:tc>
          <w:tcPr>
            <w:tcW w:w="760" w:type="dxa"/>
            <w:vAlign w:val="bottom"/>
            <w:gridSpan w:val="4"/>
          </w:tcPr>
          <w:p>
            <w:pPr>
              <w:jc w:val="right"/>
              <w:ind w:right="140"/>
              <w:spacing w:after="0"/>
              <w:rPr>
                <w:sz w:val="20"/>
                <w:szCs w:val="20"/>
                <w:color w:val="auto"/>
              </w:rPr>
            </w:pPr>
            <w:r>
              <w:rPr>
                <w:rFonts w:ascii="Arial" w:cs="Arial" w:eastAsia="Arial" w:hAnsi="Arial"/>
                <w:sz w:val="10"/>
                <w:szCs w:val="10"/>
                <w:color w:val="auto"/>
              </w:rPr>
              <w:t>0</w:t>
            </w:r>
          </w:p>
        </w:tc>
        <w:tc>
          <w:tcPr>
            <w:tcW w:w="600" w:type="dxa"/>
            <w:vAlign w:val="bottom"/>
            <w:gridSpan w:val="3"/>
          </w:tcPr>
          <w:p>
            <w:pPr>
              <w:jc w:val="right"/>
              <w:ind w:right="80"/>
              <w:spacing w:after="0"/>
              <w:rPr>
                <w:sz w:val="20"/>
                <w:szCs w:val="20"/>
                <w:color w:val="auto"/>
              </w:rPr>
            </w:pPr>
            <w:r>
              <w:rPr>
                <w:rFonts w:ascii="Arial" w:cs="Arial" w:eastAsia="Arial" w:hAnsi="Arial"/>
                <w:sz w:val="10"/>
                <w:szCs w:val="10"/>
                <w:color w:val="auto"/>
              </w:rPr>
              <w:t>0</w:t>
            </w:r>
          </w:p>
        </w:tc>
        <w:tc>
          <w:tcPr>
            <w:tcW w:w="680" w:type="dxa"/>
            <w:vAlign w:val="bottom"/>
            <w:gridSpan w:val="3"/>
          </w:tcPr>
          <w:p>
            <w:pPr>
              <w:jc w:val="right"/>
              <w:ind w:right="80"/>
              <w:spacing w:after="0"/>
              <w:rPr>
                <w:sz w:val="20"/>
                <w:szCs w:val="20"/>
                <w:color w:val="auto"/>
              </w:rPr>
            </w:pPr>
            <w:r>
              <w:rPr>
                <w:rFonts w:ascii="Arial" w:cs="Arial" w:eastAsia="Arial" w:hAnsi="Arial"/>
                <w:sz w:val="10"/>
                <w:szCs w:val="10"/>
                <w:color w:val="auto"/>
              </w:rPr>
              <w:t>1</w:t>
            </w:r>
          </w:p>
        </w:tc>
        <w:tc>
          <w:tcPr>
            <w:tcW w:w="60" w:type="dxa"/>
            <w:vAlign w:val="bottom"/>
          </w:tcPr>
          <w:p>
            <w:pPr>
              <w:spacing w:after="0"/>
              <w:rPr>
                <w:sz w:val="17"/>
                <w:szCs w:val="17"/>
                <w:color w:val="auto"/>
              </w:rPr>
            </w:pPr>
          </w:p>
        </w:tc>
        <w:tc>
          <w:tcPr>
            <w:tcW w:w="540" w:type="dxa"/>
            <w:vAlign w:val="bottom"/>
            <w:gridSpan w:val="2"/>
          </w:tcPr>
          <w:p>
            <w:pPr>
              <w:jc w:val="right"/>
              <w:spacing w:after="0"/>
              <w:rPr>
                <w:sz w:val="20"/>
                <w:szCs w:val="20"/>
                <w:color w:val="auto"/>
              </w:rPr>
            </w:pPr>
            <w:r>
              <w:rPr>
                <w:rFonts w:ascii="Arial" w:cs="Arial" w:eastAsia="Arial" w:hAnsi="Arial"/>
                <w:sz w:val="10"/>
                <w:szCs w:val="10"/>
                <w:color w:val="auto"/>
              </w:rPr>
              <w:t>1</w:t>
            </w:r>
          </w:p>
        </w:tc>
        <w:tc>
          <w:tcPr>
            <w:tcW w:w="140" w:type="dxa"/>
            <w:vAlign w:val="bottom"/>
          </w:tcPr>
          <w:p>
            <w:pPr>
              <w:spacing w:after="0"/>
              <w:rPr>
                <w:sz w:val="17"/>
                <w:szCs w:val="17"/>
                <w:color w:val="auto"/>
              </w:rPr>
            </w:pPr>
          </w:p>
        </w:tc>
        <w:tc>
          <w:tcPr>
            <w:tcW w:w="640" w:type="dxa"/>
            <w:vAlign w:val="bottom"/>
            <w:gridSpan w:val="2"/>
          </w:tcPr>
          <w:p>
            <w:pPr>
              <w:jc w:val="right"/>
              <w:spacing w:after="0"/>
              <w:rPr>
                <w:sz w:val="20"/>
                <w:szCs w:val="20"/>
                <w:color w:val="auto"/>
              </w:rPr>
            </w:pPr>
            <w:r>
              <w:rPr>
                <w:rFonts w:ascii="Arial" w:cs="Arial" w:eastAsia="Arial" w:hAnsi="Arial"/>
                <w:sz w:val="10"/>
                <w:szCs w:val="10"/>
                <w:color w:val="auto"/>
              </w:rPr>
              <w:t>1</w:t>
            </w:r>
          </w:p>
        </w:tc>
        <w:tc>
          <w:tcPr>
            <w:tcW w:w="900" w:type="dxa"/>
            <w:vAlign w:val="bottom"/>
            <w:gridSpan w:val="3"/>
          </w:tcPr>
          <w:p>
            <w:pPr>
              <w:jc w:val="right"/>
              <w:ind w:right="120"/>
              <w:spacing w:after="0"/>
              <w:rPr>
                <w:sz w:val="20"/>
                <w:szCs w:val="20"/>
                <w:color w:val="auto"/>
              </w:rPr>
            </w:pPr>
            <w:r>
              <w:rPr>
                <w:rFonts w:ascii="Arial" w:cs="Arial" w:eastAsia="Arial" w:hAnsi="Arial"/>
                <w:sz w:val="10"/>
                <w:szCs w:val="10"/>
                <w:color w:val="auto"/>
              </w:rPr>
              <w:t>1</w:t>
            </w:r>
          </w:p>
        </w:tc>
        <w:tc>
          <w:tcPr>
            <w:tcW w:w="620" w:type="dxa"/>
            <w:vAlign w:val="bottom"/>
            <w:gridSpan w:val="2"/>
          </w:tcPr>
          <w:p>
            <w:pPr>
              <w:jc w:val="right"/>
              <w:spacing w:after="0"/>
              <w:rPr>
                <w:sz w:val="20"/>
                <w:szCs w:val="20"/>
                <w:color w:val="auto"/>
              </w:rPr>
            </w:pPr>
            <w:r>
              <w:rPr>
                <w:rFonts w:ascii="Arial" w:cs="Arial" w:eastAsia="Arial" w:hAnsi="Arial"/>
                <w:sz w:val="10"/>
                <w:szCs w:val="10"/>
                <w:color w:val="auto"/>
              </w:rPr>
              <w:t>1</w:t>
            </w:r>
          </w:p>
        </w:tc>
        <w:tc>
          <w:tcPr>
            <w:tcW w:w="760" w:type="dxa"/>
            <w:vAlign w:val="bottom"/>
            <w:gridSpan w:val="2"/>
          </w:tcPr>
          <w:p>
            <w:pPr>
              <w:jc w:val="right"/>
              <w:spacing w:after="0"/>
              <w:rPr>
                <w:sz w:val="20"/>
                <w:szCs w:val="20"/>
                <w:color w:val="auto"/>
              </w:rPr>
            </w:pPr>
            <w:r>
              <w:rPr>
                <w:rFonts w:ascii="Arial" w:cs="Arial" w:eastAsia="Arial" w:hAnsi="Arial"/>
                <w:sz w:val="10"/>
                <w:szCs w:val="10"/>
                <w:color w:val="auto"/>
              </w:rPr>
              <w:t>1</w:t>
            </w:r>
          </w:p>
        </w:tc>
        <w:tc>
          <w:tcPr>
            <w:tcW w:w="120" w:type="dxa"/>
            <w:vAlign w:val="bottom"/>
          </w:tcPr>
          <w:p>
            <w:pPr>
              <w:spacing w:after="0"/>
              <w:rPr>
                <w:sz w:val="17"/>
                <w:szCs w:val="17"/>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0"/>
                <w:szCs w:val="10"/>
                <w:color w:val="auto"/>
              </w:rPr>
              <w:t>0</w:t>
            </w:r>
          </w:p>
        </w:tc>
        <w:tc>
          <w:tcPr>
            <w:tcW w:w="1300" w:type="dxa"/>
            <w:vAlign w:val="bottom"/>
            <w:gridSpan w:val="3"/>
          </w:tcPr>
          <w:p>
            <w:pPr>
              <w:jc w:val="right"/>
              <w:ind w:right="120"/>
              <w:spacing w:after="0"/>
              <w:rPr>
                <w:sz w:val="20"/>
                <w:szCs w:val="20"/>
                <w:color w:val="auto"/>
              </w:rPr>
            </w:pPr>
            <w:r>
              <w:rPr>
                <w:rFonts w:ascii="Arial" w:cs="Arial" w:eastAsia="Arial" w:hAnsi="Arial"/>
                <w:sz w:val="10"/>
                <w:szCs w:val="10"/>
                <w:color w:val="auto"/>
              </w:rPr>
              <w:t>1</w:t>
            </w:r>
          </w:p>
        </w:tc>
        <w:tc>
          <w:tcPr>
            <w:tcW w:w="0" w:type="dxa"/>
            <w:vAlign w:val="bottom"/>
          </w:tcPr>
          <w:p>
            <w:pPr>
              <w:spacing w:after="0"/>
              <w:rPr>
                <w:sz w:val="1"/>
                <w:szCs w:val="1"/>
                <w:color w:val="auto"/>
              </w:rPr>
            </w:pPr>
          </w:p>
        </w:tc>
      </w:tr>
      <w:tr>
        <w:trPr>
          <w:trHeight w:val="200"/>
        </w:trPr>
        <w:tc>
          <w:tcPr>
            <w:tcW w:w="2660" w:type="dxa"/>
            <w:vAlign w:val="bottom"/>
            <w:gridSpan w:val="2"/>
          </w:tcPr>
          <w:p>
            <w:pPr>
              <w:spacing w:after="0"/>
              <w:rPr>
                <w:sz w:val="20"/>
                <w:szCs w:val="20"/>
                <w:color w:val="auto"/>
              </w:rPr>
            </w:pPr>
            <w:r>
              <w:rPr>
                <w:rFonts w:ascii="Arial" w:cs="Arial" w:eastAsia="Arial" w:hAnsi="Arial"/>
                <w:sz w:val="10"/>
                <w:szCs w:val="10"/>
                <w:color w:val="auto"/>
              </w:rPr>
              <w:t>Single Life and Period Certain Annuity</w:t>
            </w: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jc w:val="right"/>
              <w:ind w:right="10"/>
              <w:spacing w:after="0"/>
              <w:rPr>
                <w:sz w:val="20"/>
                <w:szCs w:val="20"/>
                <w:color w:val="auto"/>
              </w:rPr>
            </w:pPr>
            <w:r>
              <w:rPr>
                <w:rFonts w:ascii="Arial" w:cs="Arial" w:eastAsia="Arial" w:hAnsi="Arial"/>
                <w:sz w:val="10"/>
                <w:szCs w:val="10"/>
                <w:color w:val="auto"/>
              </w:rPr>
              <w:t>0</w:t>
            </w:r>
          </w:p>
        </w:tc>
        <w:tc>
          <w:tcPr>
            <w:tcW w:w="760" w:type="dxa"/>
            <w:vAlign w:val="bottom"/>
            <w:gridSpan w:val="4"/>
          </w:tcPr>
          <w:p>
            <w:pPr>
              <w:jc w:val="right"/>
              <w:ind w:right="140"/>
              <w:spacing w:after="0"/>
              <w:rPr>
                <w:sz w:val="20"/>
                <w:szCs w:val="20"/>
                <w:color w:val="auto"/>
              </w:rPr>
            </w:pPr>
            <w:r>
              <w:rPr>
                <w:rFonts w:ascii="Arial" w:cs="Arial" w:eastAsia="Arial" w:hAnsi="Arial"/>
                <w:sz w:val="10"/>
                <w:szCs w:val="10"/>
                <w:color w:val="auto"/>
              </w:rPr>
              <w:t>1</w:t>
            </w:r>
          </w:p>
        </w:tc>
        <w:tc>
          <w:tcPr>
            <w:tcW w:w="600" w:type="dxa"/>
            <w:vAlign w:val="bottom"/>
            <w:gridSpan w:val="3"/>
          </w:tcPr>
          <w:p>
            <w:pPr>
              <w:jc w:val="right"/>
              <w:ind w:right="80"/>
              <w:spacing w:after="0"/>
              <w:rPr>
                <w:sz w:val="20"/>
                <w:szCs w:val="20"/>
                <w:color w:val="auto"/>
              </w:rPr>
            </w:pPr>
            <w:r>
              <w:rPr>
                <w:rFonts w:ascii="Arial" w:cs="Arial" w:eastAsia="Arial" w:hAnsi="Arial"/>
                <w:sz w:val="10"/>
                <w:szCs w:val="10"/>
                <w:color w:val="auto"/>
              </w:rPr>
              <w:t>0</w:t>
            </w:r>
          </w:p>
        </w:tc>
        <w:tc>
          <w:tcPr>
            <w:tcW w:w="680" w:type="dxa"/>
            <w:vAlign w:val="bottom"/>
            <w:gridSpan w:val="3"/>
          </w:tcPr>
          <w:p>
            <w:pPr>
              <w:jc w:val="right"/>
              <w:ind w:right="80"/>
              <w:spacing w:after="0"/>
              <w:rPr>
                <w:sz w:val="20"/>
                <w:szCs w:val="20"/>
                <w:color w:val="auto"/>
              </w:rPr>
            </w:pPr>
            <w:r>
              <w:rPr>
                <w:rFonts w:ascii="Arial" w:cs="Arial" w:eastAsia="Arial" w:hAnsi="Arial"/>
                <w:sz w:val="10"/>
                <w:szCs w:val="10"/>
                <w:color w:val="auto"/>
              </w:rPr>
              <w:t>0</w:t>
            </w:r>
          </w:p>
        </w:tc>
        <w:tc>
          <w:tcPr>
            <w:tcW w:w="60" w:type="dxa"/>
            <w:vAlign w:val="bottom"/>
          </w:tcPr>
          <w:p>
            <w:pPr>
              <w:spacing w:after="0"/>
              <w:rPr>
                <w:sz w:val="17"/>
                <w:szCs w:val="17"/>
                <w:color w:val="auto"/>
              </w:rPr>
            </w:pPr>
          </w:p>
        </w:tc>
        <w:tc>
          <w:tcPr>
            <w:tcW w:w="540" w:type="dxa"/>
            <w:vAlign w:val="bottom"/>
            <w:gridSpan w:val="2"/>
          </w:tcPr>
          <w:p>
            <w:pPr>
              <w:jc w:val="right"/>
              <w:spacing w:after="0"/>
              <w:rPr>
                <w:sz w:val="20"/>
                <w:szCs w:val="20"/>
                <w:color w:val="auto"/>
              </w:rPr>
            </w:pPr>
            <w:r>
              <w:rPr>
                <w:rFonts w:ascii="Arial" w:cs="Arial" w:eastAsia="Arial" w:hAnsi="Arial"/>
                <w:sz w:val="10"/>
                <w:szCs w:val="10"/>
                <w:color w:val="auto"/>
              </w:rPr>
              <w:t>0</w:t>
            </w:r>
          </w:p>
        </w:tc>
        <w:tc>
          <w:tcPr>
            <w:tcW w:w="140" w:type="dxa"/>
            <w:vAlign w:val="bottom"/>
          </w:tcPr>
          <w:p>
            <w:pPr>
              <w:spacing w:after="0"/>
              <w:rPr>
                <w:sz w:val="17"/>
                <w:szCs w:val="17"/>
                <w:color w:val="auto"/>
              </w:rPr>
            </w:pPr>
          </w:p>
        </w:tc>
        <w:tc>
          <w:tcPr>
            <w:tcW w:w="640" w:type="dxa"/>
            <w:vAlign w:val="bottom"/>
            <w:gridSpan w:val="2"/>
          </w:tcPr>
          <w:p>
            <w:pPr>
              <w:jc w:val="right"/>
              <w:spacing w:after="0"/>
              <w:rPr>
                <w:sz w:val="20"/>
                <w:szCs w:val="20"/>
                <w:color w:val="auto"/>
              </w:rPr>
            </w:pPr>
            <w:r>
              <w:rPr>
                <w:rFonts w:ascii="Arial" w:cs="Arial" w:eastAsia="Arial" w:hAnsi="Arial"/>
                <w:sz w:val="10"/>
                <w:szCs w:val="10"/>
                <w:color w:val="auto"/>
              </w:rPr>
              <w:t>0</w:t>
            </w:r>
          </w:p>
        </w:tc>
        <w:tc>
          <w:tcPr>
            <w:tcW w:w="900" w:type="dxa"/>
            <w:vAlign w:val="bottom"/>
            <w:gridSpan w:val="3"/>
          </w:tcPr>
          <w:p>
            <w:pPr>
              <w:jc w:val="right"/>
              <w:ind w:right="120"/>
              <w:spacing w:after="0"/>
              <w:rPr>
                <w:sz w:val="20"/>
                <w:szCs w:val="20"/>
                <w:color w:val="auto"/>
              </w:rPr>
            </w:pPr>
            <w:r>
              <w:rPr>
                <w:rFonts w:ascii="Arial" w:cs="Arial" w:eastAsia="Arial" w:hAnsi="Arial"/>
                <w:sz w:val="10"/>
                <w:szCs w:val="10"/>
                <w:color w:val="auto"/>
              </w:rPr>
              <w:t>0</w:t>
            </w:r>
          </w:p>
        </w:tc>
        <w:tc>
          <w:tcPr>
            <w:tcW w:w="620" w:type="dxa"/>
            <w:vAlign w:val="bottom"/>
            <w:gridSpan w:val="2"/>
          </w:tcPr>
          <w:p>
            <w:pPr>
              <w:jc w:val="right"/>
              <w:spacing w:after="0"/>
              <w:rPr>
                <w:sz w:val="20"/>
                <w:szCs w:val="20"/>
                <w:color w:val="auto"/>
              </w:rPr>
            </w:pPr>
            <w:r>
              <w:rPr>
                <w:rFonts w:ascii="Arial" w:cs="Arial" w:eastAsia="Arial" w:hAnsi="Arial"/>
                <w:sz w:val="10"/>
                <w:szCs w:val="10"/>
                <w:color w:val="auto"/>
              </w:rPr>
              <w:t>0</w:t>
            </w:r>
          </w:p>
        </w:tc>
        <w:tc>
          <w:tcPr>
            <w:tcW w:w="760" w:type="dxa"/>
            <w:vAlign w:val="bottom"/>
            <w:gridSpan w:val="2"/>
          </w:tcPr>
          <w:p>
            <w:pPr>
              <w:jc w:val="right"/>
              <w:spacing w:after="0"/>
              <w:rPr>
                <w:sz w:val="20"/>
                <w:szCs w:val="20"/>
                <w:color w:val="auto"/>
              </w:rPr>
            </w:pPr>
            <w:r>
              <w:rPr>
                <w:rFonts w:ascii="Arial" w:cs="Arial" w:eastAsia="Arial" w:hAnsi="Arial"/>
                <w:sz w:val="10"/>
                <w:szCs w:val="10"/>
                <w:color w:val="auto"/>
              </w:rPr>
              <w:t>0</w:t>
            </w:r>
          </w:p>
        </w:tc>
        <w:tc>
          <w:tcPr>
            <w:tcW w:w="120" w:type="dxa"/>
            <w:vAlign w:val="bottom"/>
          </w:tcPr>
          <w:p>
            <w:pPr>
              <w:spacing w:after="0"/>
              <w:rPr>
                <w:sz w:val="17"/>
                <w:szCs w:val="17"/>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0"/>
                <w:szCs w:val="10"/>
                <w:color w:val="auto"/>
              </w:rPr>
              <w:t>0</w:t>
            </w:r>
          </w:p>
        </w:tc>
        <w:tc>
          <w:tcPr>
            <w:tcW w:w="1300" w:type="dxa"/>
            <w:vAlign w:val="bottom"/>
            <w:gridSpan w:val="3"/>
          </w:tcPr>
          <w:p>
            <w:pPr>
              <w:jc w:val="right"/>
              <w:ind w:right="120"/>
              <w:spacing w:after="0"/>
              <w:rPr>
                <w:sz w:val="20"/>
                <w:szCs w:val="20"/>
                <w:color w:val="auto"/>
              </w:rPr>
            </w:pPr>
            <w:r>
              <w:rPr>
                <w:rFonts w:ascii="Arial" w:cs="Arial" w:eastAsia="Arial" w:hAnsi="Arial"/>
                <w:sz w:val="10"/>
                <w:szCs w:val="10"/>
                <w:color w:val="auto"/>
              </w:rPr>
              <w:t>0</w:t>
            </w:r>
          </w:p>
        </w:tc>
        <w:tc>
          <w:tcPr>
            <w:tcW w:w="0" w:type="dxa"/>
            <w:vAlign w:val="bottom"/>
          </w:tcPr>
          <w:p>
            <w:pPr>
              <w:spacing w:after="0"/>
              <w:rPr>
                <w:sz w:val="1"/>
                <w:szCs w:val="1"/>
                <w:color w:val="auto"/>
              </w:rPr>
            </w:pPr>
          </w:p>
        </w:tc>
      </w:tr>
      <w:tr>
        <w:trPr>
          <w:trHeight w:val="200"/>
        </w:trPr>
        <w:tc>
          <w:tcPr>
            <w:tcW w:w="2660" w:type="dxa"/>
            <w:vAlign w:val="bottom"/>
            <w:gridSpan w:val="2"/>
          </w:tcPr>
          <w:p>
            <w:pPr>
              <w:spacing w:after="0"/>
              <w:rPr>
                <w:sz w:val="20"/>
                <w:szCs w:val="20"/>
                <w:color w:val="auto"/>
              </w:rPr>
            </w:pPr>
            <w:r>
              <w:rPr>
                <w:rFonts w:ascii="Arial" w:cs="Arial" w:eastAsia="Arial" w:hAnsi="Arial"/>
                <w:sz w:val="10"/>
                <w:szCs w:val="10"/>
                <w:color w:val="auto"/>
              </w:rPr>
              <w:t>Period Certain Annuity</w:t>
            </w: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jc w:val="right"/>
              <w:ind w:right="10"/>
              <w:spacing w:after="0"/>
              <w:rPr>
                <w:sz w:val="20"/>
                <w:szCs w:val="20"/>
                <w:color w:val="auto"/>
              </w:rPr>
            </w:pPr>
            <w:r>
              <w:rPr>
                <w:rFonts w:ascii="Arial" w:cs="Arial" w:eastAsia="Arial" w:hAnsi="Arial"/>
                <w:sz w:val="10"/>
                <w:szCs w:val="10"/>
                <w:color w:val="auto"/>
              </w:rPr>
              <w:t>0</w:t>
            </w:r>
          </w:p>
        </w:tc>
        <w:tc>
          <w:tcPr>
            <w:tcW w:w="760" w:type="dxa"/>
            <w:vAlign w:val="bottom"/>
            <w:gridSpan w:val="4"/>
          </w:tcPr>
          <w:p>
            <w:pPr>
              <w:jc w:val="right"/>
              <w:ind w:right="140"/>
              <w:spacing w:after="0"/>
              <w:rPr>
                <w:sz w:val="20"/>
                <w:szCs w:val="20"/>
                <w:color w:val="auto"/>
              </w:rPr>
            </w:pPr>
            <w:r>
              <w:rPr>
                <w:rFonts w:ascii="Arial" w:cs="Arial" w:eastAsia="Arial" w:hAnsi="Arial"/>
                <w:sz w:val="10"/>
                <w:szCs w:val="10"/>
                <w:color w:val="auto"/>
              </w:rPr>
              <w:t>1</w:t>
            </w:r>
          </w:p>
        </w:tc>
        <w:tc>
          <w:tcPr>
            <w:tcW w:w="600" w:type="dxa"/>
            <w:vAlign w:val="bottom"/>
            <w:gridSpan w:val="3"/>
          </w:tcPr>
          <w:p>
            <w:pPr>
              <w:jc w:val="right"/>
              <w:ind w:right="80"/>
              <w:spacing w:after="0"/>
              <w:rPr>
                <w:sz w:val="20"/>
                <w:szCs w:val="20"/>
                <w:color w:val="auto"/>
              </w:rPr>
            </w:pPr>
            <w:r>
              <w:rPr>
                <w:rFonts w:ascii="Arial" w:cs="Arial" w:eastAsia="Arial" w:hAnsi="Arial"/>
                <w:sz w:val="10"/>
                <w:szCs w:val="10"/>
                <w:color w:val="auto"/>
              </w:rPr>
              <w:t>0</w:t>
            </w:r>
          </w:p>
        </w:tc>
        <w:tc>
          <w:tcPr>
            <w:tcW w:w="680" w:type="dxa"/>
            <w:vAlign w:val="bottom"/>
            <w:gridSpan w:val="3"/>
          </w:tcPr>
          <w:p>
            <w:pPr>
              <w:jc w:val="right"/>
              <w:ind w:right="80"/>
              <w:spacing w:after="0"/>
              <w:rPr>
                <w:sz w:val="20"/>
                <w:szCs w:val="20"/>
                <w:color w:val="auto"/>
              </w:rPr>
            </w:pPr>
            <w:r>
              <w:rPr>
                <w:rFonts w:ascii="Arial" w:cs="Arial" w:eastAsia="Arial" w:hAnsi="Arial"/>
                <w:sz w:val="10"/>
                <w:szCs w:val="10"/>
                <w:color w:val="auto"/>
              </w:rPr>
              <w:t>0</w:t>
            </w:r>
          </w:p>
        </w:tc>
        <w:tc>
          <w:tcPr>
            <w:tcW w:w="60" w:type="dxa"/>
            <w:vAlign w:val="bottom"/>
          </w:tcPr>
          <w:p>
            <w:pPr>
              <w:spacing w:after="0"/>
              <w:rPr>
                <w:sz w:val="17"/>
                <w:szCs w:val="17"/>
                <w:color w:val="auto"/>
              </w:rPr>
            </w:pPr>
          </w:p>
        </w:tc>
        <w:tc>
          <w:tcPr>
            <w:tcW w:w="540" w:type="dxa"/>
            <w:vAlign w:val="bottom"/>
            <w:gridSpan w:val="2"/>
          </w:tcPr>
          <w:p>
            <w:pPr>
              <w:jc w:val="right"/>
              <w:spacing w:after="0"/>
              <w:rPr>
                <w:sz w:val="20"/>
                <w:szCs w:val="20"/>
                <w:color w:val="auto"/>
              </w:rPr>
            </w:pPr>
            <w:r>
              <w:rPr>
                <w:rFonts w:ascii="Arial" w:cs="Arial" w:eastAsia="Arial" w:hAnsi="Arial"/>
                <w:sz w:val="10"/>
                <w:szCs w:val="10"/>
                <w:color w:val="auto"/>
              </w:rPr>
              <w:t>0</w:t>
            </w:r>
          </w:p>
        </w:tc>
        <w:tc>
          <w:tcPr>
            <w:tcW w:w="140" w:type="dxa"/>
            <w:vAlign w:val="bottom"/>
          </w:tcPr>
          <w:p>
            <w:pPr>
              <w:spacing w:after="0"/>
              <w:rPr>
                <w:sz w:val="17"/>
                <w:szCs w:val="17"/>
                <w:color w:val="auto"/>
              </w:rPr>
            </w:pPr>
          </w:p>
        </w:tc>
        <w:tc>
          <w:tcPr>
            <w:tcW w:w="640" w:type="dxa"/>
            <w:vAlign w:val="bottom"/>
            <w:gridSpan w:val="2"/>
          </w:tcPr>
          <w:p>
            <w:pPr>
              <w:jc w:val="right"/>
              <w:spacing w:after="0"/>
              <w:rPr>
                <w:sz w:val="20"/>
                <w:szCs w:val="20"/>
                <w:color w:val="auto"/>
              </w:rPr>
            </w:pPr>
            <w:r>
              <w:rPr>
                <w:rFonts w:ascii="Arial" w:cs="Arial" w:eastAsia="Arial" w:hAnsi="Arial"/>
                <w:sz w:val="10"/>
                <w:szCs w:val="10"/>
                <w:color w:val="auto"/>
              </w:rPr>
              <w:t>0</w:t>
            </w:r>
          </w:p>
        </w:tc>
        <w:tc>
          <w:tcPr>
            <w:tcW w:w="900" w:type="dxa"/>
            <w:vAlign w:val="bottom"/>
            <w:gridSpan w:val="3"/>
          </w:tcPr>
          <w:p>
            <w:pPr>
              <w:jc w:val="right"/>
              <w:ind w:right="120"/>
              <w:spacing w:after="0"/>
              <w:rPr>
                <w:sz w:val="20"/>
                <w:szCs w:val="20"/>
                <w:color w:val="auto"/>
              </w:rPr>
            </w:pPr>
            <w:r>
              <w:rPr>
                <w:rFonts w:ascii="Arial" w:cs="Arial" w:eastAsia="Arial" w:hAnsi="Arial"/>
                <w:sz w:val="10"/>
                <w:szCs w:val="10"/>
                <w:color w:val="auto"/>
              </w:rPr>
              <w:t>0</w:t>
            </w:r>
          </w:p>
        </w:tc>
        <w:tc>
          <w:tcPr>
            <w:tcW w:w="620" w:type="dxa"/>
            <w:vAlign w:val="bottom"/>
            <w:gridSpan w:val="2"/>
          </w:tcPr>
          <w:p>
            <w:pPr>
              <w:jc w:val="right"/>
              <w:spacing w:after="0"/>
              <w:rPr>
                <w:sz w:val="20"/>
                <w:szCs w:val="20"/>
                <w:color w:val="auto"/>
              </w:rPr>
            </w:pPr>
            <w:r>
              <w:rPr>
                <w:rFonts w:ascii="Arial" w:cs="Arial" w:eastAsia="Arial" w:hAnsi="Arial"/>
                <w:sz w:val="10"/>
                <w:szCs w:val="10"/>
                <w:color w:val="auto"/>
              </w:rPr>
              <w:t>0</w:t>
            </w:r>
          </w:p>
        </w:tc>
        <w:tc>
          <w:tcPr>
            <w:tcW w:w="760" w:type="dxa"/>
            <w:vAlign w:val="bottom"/>
            <w:gridSpan w:val="2"/>
          </w:tcPr>
          <w:p>
            <w:pPr>
              <w:jc w:val="right"/>
              <w:spacing w:after="0"/>
              <w:rPr>
                <w:sz w:val="20"/>
                <w:szCs w:val="20"/>
                <w:color w:val="auto"/>
              </w:rPr>
            </w:pPr>
            <w:r>
              <w:rPr>
                <w:rFonts w:ascii="Arial" w:cs="Arial" w:eastAsia="Arial" w:hAnsi="Arial"/>
                <w:sz w:val="10"/>
                <w:szCs w:val="10"/>
                <w:color w:val="auto"/>
              </w:rPr>
              <w:t>0</w:t>
            </w:r>
          </w:p>
        </w:tc>
        <w:tc>
          <w:tcPr>
            <w:tcW w:w="120" w:type="dxa"/>
            <w:vAlign w:val="bottom"/>
          </w:tcPr>
          <w:p>
            <w:pPr>
              <w:spacing w:after="0"/>
              <w:rPr>
                <w:sz w:val="17"/>
                <w:szCs w:val="17"/>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0"/>
                <w:szCs w:val="10"/>
                <w:color w:val="auto"/>
              </w:rPr>
              <w:t>0</w:t>
            </w:r>
          </w:p>
        </w:tc>
        <w:tc>
          <w:tcPr>
            <w:tcW w:w="1300" w:type="dxa"/>
            <w:vAlign w:val="bottom"/>
            <w:gridSpan w:val="3"/>
          </w:tcPr>
          <w:p>
            <w:pPr>
              <w:jc w:val="right"/>
              <w:ind w:right="120"/>
              <w:spacing w:after="0"/>
              <w:rPr>
                <w:sz w:val="20"/>
                <w:szCs w:val="20"/>
                <w:color w:val="auto"/>
              </w:rPr>
            </w:pPr>
            <w:r>
              <w:rPr>
                <w:rFonts w:ascii="Arial" w:cs="Arial" w:eastAsia="Arial" w:hAnsi="Arial"/>
                <w:sz w:val="10"/>
                <w:szCs w:val="10"/>
                <w:color w:val="auto"/>
              </w:rPr>
              <w:t>0</w:t>
            </w:r>
          </w:p>
        </w:tc>
        <w:tc>
          <w:tcPr>
            <w:tcW w:w="0" w:type="dxa"/>
            <w:vAlign w:val="bottom"/>
          </w:tcPr>
          <w:p>
            <w:pPr>
              <w:spacing w:after="0"/>
              <w:rPr>
                <w:sz w:val="1"/>
                <w:szCs w:val="1"/>
                <w:color w:val="auto"/>
              </w:rPr>
            </w:pPr>
          </w:p>
        </w:tc>
      </w:tr>
      <w:tr>
        <w:trPr>
          <w:trHeight w:val="200"/>
        </w:trPr>
        <w:tc>
          <w:tcPr>
            <w:tcW w:w="2660" w:type="dxa"/>
            <w:vAlign w:val="bottom"/>
            <w:gridSpan w:val="2"/>
          </w:tcPr>
          <w:p>
            <w:pPr>
              <w:spacing w:after="0"/>
              <w:rPr>
                <w:sz w:val="20"/>
                <w:szCs w:val="20"/>
                <w:color w:val="auto"/>
              </w:rPr>
            </w:pPr>
            <w:r>
              <w:rPr>
                <w:rFonts w:ascii="Arial" w:cs="Arial" w:eastAsia="Arial" w:hAnsi="Arial"/>
                <w:sz w:val="10"/>
                <w:szCs w:val="10"/>
                <w:color w:val="auto"/>
              </w:rPr>
              <w:t>Window Contingent Joint and Survivor Life Annuity</w:t>
            </w: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jc w:val="right"/>
              <w:ind w:right="10"/>
              <w:spacing w:after="0"/>
              <w:rPr>
                <w:sz w:val="20"/>
                <w:szCs w:val="20"/>
                <w:color w:val="auto"/>
              </w:rPr>
            </w:pPr>
            <w:r>
              <w:rPr>
                <w:rFonts w:ascii="Arial" w:cs="Arial" w:eastAsia="Arial" w:hAnsi="Arial"/>
                <w:sz w:val="10"/>
                <w:szCs w:val="10"/>
                <w:color w:val="auto"/>
              </w:rPr>
              <w:t>0</w:t>
            </w:r>
          </w:p>
        </w:tc>
        <w:tc>
          <w:tcPr>
            <w:tcW w:w="760" w:type="dxa"/>
            <w:vAlign w:val="bottom"/>
            <w:gridSpan w:val="4"/>
          </w:tcPr>
          <w:p>
            <w:pPr>
              <w:jc w:val="right"/>
              <w:ind w:right="140"/>
              <w:spacing w:after="0"/>
              <w:rPr>
                <w:sz w:val="20"/>
                <w:szCs w:val="20"/>
                <w:color w:val="auto"/>
              </w:rPr>
            </w:pPr>
            <w:r>
              <w:rPr>
                <w:rFonts w:ascii="Arial" w:cs="Arial" w:eastAsia="Arial" w:hAnsi="Arial"/>
                <w:sz w:val="10"/>
                <w:szCs w:val="10"/>
                <w:color w:val="auto"/>
              </w:rPr>
              <w:t>1</w:t>
            </w:r>
          </w:p>
        </w:tc>
        <w:tc>
          <w:tcPr>
            <w:tcW w:w="600" w:type="dxa"/>
            <w:vAlign w:val="bottom"/>
            <w:gridSpan w:val="3"/>
          </w:tcPr>
          <w:p>
            <w:pPr>
              <w:jc w:val="right"/>
              <w:ind w:right="80"/>
              <w:spacing w:after="0"/>
              <w:rPr>
                <w:sz w:val="20"/>
                <w:szCs w:val="20"/>
                <w:color w:val="auto"/>
              </w:rPr>
            </w:pPr>
            <w:r>
              <w:rPr>
                <w:rFonts w:ascii="Arial" w:cs="Arial" w:eastAsia="Arial" w:hAnsi="Arial"/>
                <w:sz w:val="10"/>
                <w:szCs w:val="10"/>
                <w:color w:val="auto"/>
              </w:rPr>
              <w:t>1</w:t>
            </w:r>
          </w:p>
        </w:tc>
        <w:tc>
          <w:tcPr>
            <w:tcW w:w="680" w:type="dxa"/>
            <w:vAlign w:val="bottom"/>
            <w:gridSpan w:val="3"/>
          </w:tcPr>
          <w:p>
            <w:pPr>
              <w:jc w:val="right"/>
              <w:ind w:right="80"/>
              <w:spacing w:after="0"/>
              <w:rPr>
                <w:sz w:val="20"/>
                <w:szCs w:val="20"/>
                <w:color w:val="auto"/>
              </w:rPr>
            </w:pPr>
            <w:r>
              <w:rPr>
                <w:rFonts w:ascii="Arial" w:cs="Arial" w:eastAsia="Arial" w:hAnsi="Arial"/>
                <w:sz w:val="10"/>
                <w:szCs w:val="10"/>
                <w:color w:val="auto"/>
              </w:rPr>
              <w:t>0</w:t>
            </w:r>
          </w:p>
        </w:tc>
        <w:tc>
          <w:tcPr>
            <w:tcW w:w="60" w:type="dxa"/>
            <w:vAlign w:val="bottom"/>
          </w:tcPr>
          <w:p>
            <w:pPr>
              <w:spacing w:after="0"/>
              <w:rPr>
                <w:sz w:val="17"/>
                <w:szCs w:val="17"/>
                <w:color w:val="auto"/>
              </w:rPr>
            </w:pPr>
          </w:p>
        </w:tc>
        <w:tc>
          <w:tcPr>
            <w:tcW w:w="540" w:type="dxa"/>
            <w:vAlign w:val="bottom"/>
            <w:gridSpan w:val="2"/>
          </w:tcPr>
          <w:p>
            <w:pPr>
              <w:jc w:val="right"/>
              <w:spacing w:after="0"/>
              <w:rPr>
                <w:sz w:val="20"/>
                <w:szCs w:val="20"/>
                <w:color w:val="auto"/>
              </w:rPr>
            </w:pPr>
            <w:r>
              <w:rPr>
                <w:rFonts w:ascii="Arial" w:cs="Arial" w:eastAsia="Arial" w:hAnsi="Arial"/>
                <w:sz w:val="10"/>
                <w:szCs w:val="10"/>
                <w:color w:val="auto"/>
              </w:rPr>
              <w:t>0</w:t>
            </w:r>
          </w:p>
        </w:tc>
        <w:tc>
          <w:tcPr>
            <w:tcW w:w="140" w:type="dxa"/>
            <w:vAlign w:val="bottom"/>
          </w:tcPr>
          <w:p>
            <w:pPr>
              <w:spacing w:after="0"/>
              <w:rPr>
                <w:sz w:val="17"/>
                <w:szCs w:val="17"/>
                <w:color w:val="auto"/>
              </w:rPr>
            </w:pPr>
          </w:p>
        </w:tc>
        <w:tc>
          <w:tcPr>
            <w:tcW w:w="640" w:type="dxa"/>
            <w:vAlign w:val="bottom"/>
            <w:gridSpan w:val="2"/>
          </w:tcPr>
          <w:p>
            <w:pPr>
              <w:jc w:val="right"/>
              <w:spacing w:after="0"/>
              <w:rPr>
                <w:sz w:val="20"/>
                <w:szCs w:val="20"/>
                <w:color w:val="auto"/>
              </w:rPr>
            </w:pPr>
            <w:r>
              <w:rPr>
                <w:rFonts w:ascii="Arial" w:cs="Arial" w:eastAsia="Arial" w:hAnsi="Arial"/>
                <w:sz w:val="10"/>
                <w:szCs w:val="10"/>
                <w:color w:val="auto"/>
              </w:rPr>
              <w:t>0</w:t>
            </w:r>
          </w:p>
        </w:tc>
        <w:tc>
          <w:tcPr>
            <w:tcW w:w="900" w:type="dxa"/>
            <w:vAlign w:val="bottom"/>
            <w:gridSpan w:val="3"/>
          </w:tcPr>
          <w:p>
            <w:pPr>
              <w:jc w:val="right"/>
              <w:ind w:right="120"/>
              <w:spacing w:after="0"/>
              <w:rPr>
                <w:sz w:val="20"/>
                <w:szCs w:val="20"/>
                <w:color w:val="auto"/>
              </w:rPr>
            </w:pPr>
            <w:r>
              <w:rPr>
                <w:rFonts w:ascii="Arial" w:cs="Arial" w:eastAsia="Arial" w:hAnsi="Arial"/>
                <w:sz w:val="10"/>
                <w:szCs w:val="10"/>
                <w:color w:val="auto"/>
              </w:rPr>
              <w:t>0</w:t>
            </w:r>
          </w:p>
        </w:tc>
        <w:tc>
          <w:tcPr>
            <w:tcW w:w="620" w:type="dxa"/>
            <w:vAlign w:val="bottom"/>
            <w:gridSpan w:val="2"/>
          </w:tcPr>
          <w:p>
            <w:pPr>
              <w:jc w:val="right"/>
              <w:spacing w:after="0"/>
              <w:rPr>
                <w:sz w:val="20"/>
                <w:szCs w:val="20"/>
                <w:color w:val="auto"/>
              </w:rPr>
            </w:pPr>
            <w:r>
              <w:rPr>
                <w:rFonts w:ascii="Arial" w:cs="Arial" w:eastAsia="Arial" w:hAnsi="Arial"/>
                <w:sz w:val="10"/>
                <w:szCs w:val="10"/>
                <w:color w:val="auto"/>
              </w:rPr>
              <w:t>0</w:t>
            </w:r>
          </w:p>
        </w:tc>
        <w:tc>
          <w:tcPr>
            <w:tcW w:w="760" w:type="dxa"/>
            <w:vAlign w:val="bottom"/>
            <w:gridSpan w:val="2"/>
          </w:tcPr>
          <w:p>
            <w:pPr>
              <w:jc w:val="right"/>
              <w:spacing w:after="0"/>
              <w:rPr>
                <w:sz w:val="20"/>
                <w:szCs w:val="20"/>
                <w:color w:val="auto"/>
              </w:rPr>
            </w:pPr>
            <w:r>
              <w:rPr>
                <w:rFonts w:ascii="Arial" w:cs="Arial" w:eastAsia="Arial" w:hAnsi="Arial"/>
                <w:sz w:val="10"/>
                <w:szCs w:val="10"/>
                <w:color w:val="auto"/>
              </w:rPr>
              <w:t>0</w:t>
            </w:r>
          </w:p>
        </w:tc>
        <w:tc>
          <w:tcPr>
            <w:tcW w:w="120" w:type="dxa"/>
            <w:vAlign w:val="bottom"/>
          </w:tcPr>
          <w:p>
            <w:pPr>
              <w:spacing w:after="0"/>
              <w:rPr>
                <w:sz w:val="17"/>
                <w:szCs w:val="17"/>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0"/>
                <w:szCs w:val="10"/>
                <w:color w:val="auto"/>
              </w:rPr>
              <w:t>0</w:t>
            </w:r>
          </w:p>
        </w:tc>
        <w:tc>
          <w:tcPr>
            <w:tcW w:w="1300" w:type="dxa"/>
            <w:vAlign w:val="bottom"/>
            <w:gridSpan w:val="3"/>
          </w:tcPr>
          <w:p>
            <w:pPr>
              <w:jc w:val="right"/>
              <w:ind w:right="120"/>
              <w:spacing w:after="0"/>
              <w:rPr>
                <w:sz w:val="20"/>
                <w:szCs w:val="20"/>
                <w:color w:val="auto"/>
              </w:rPr>
            </w:pPr>
            <w:r>
              <w:rPr>
                <w:rFonts w:ascii="Arial" w:cs="Arial" w:eastAsia="Arial" w:hAnsi="Arial"/>
                <w:sz w:val="10"/>
                <w:szCs w:val="10"/>
                <w:color w:val="auto"/>
              </w:rPr>
              <w:t>1</w:t>
            </w:r>
          </w:p>
        </w:tc>
        <w:tc>
          <w:tcPr>
            <w:tcW w:w="0" w:type="dxa"/>
            <w:vAlign w:val="bottom"/>
          </w:tcPr>
          <w:p>
            <w:pPr>
              <w:spacing w:after="0"/>
              <w:rPr>
                <w:sz w:val="1"/>
                <w:szCs w:val="1"/>
                <w:color w:val="auto"/>
              </w:rPr>
            </w:pPr>
          </w:p>
        </w:tc>
      </w:tr>
      <w:tr>
        <w:trPr>
          <w:trHeight w:val="200"/>
        </w:trPr>
        <w:tc>
          <w:tcPr>
            <w:tcW w:w="2660" w:type="dxa"/>
            <w:vAlign w:val="bottom"/>
            <w:gridSpan w:val="2"/>
          </w:tcPr>
          <w:p>
            <w:pPr>
              <w:spacing w:after="0"/>
              <w:rPr>
                <w:sz w:val="20"/>
                <w:szCs w:val="20"/>
                <w:color w:val="auto"/>
              </w:rPr>
            </w:pPr>
            <w:r>
              <w:rPr>
                <w:rFonts w:ascii="Arial" w:cs="Arial" w:eastAsia="Arial" w:hAnsi="Arial"/>
                <w:sz w:val="10"/>
                <w:szCs w:val="10"/>
                <w:color w:val="auto"/>
              </w:rPr>
              <w:t>Window Single Life Annuity</w:t>
            </w: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jc w:val="right"/>
              <w:ind w:right="10"/>
              <w:spacing w:after="0"/>
              <w:rPr>
                <w:sz w:val="20"/>
                <w:szCs w:val="20"/>
                <w:color w:val="auto"/>
              </w:rPr>
            </w:pPr>
            <w:r>
              <w:rPr>
                <w:rFonts w:ascii="Arial" w:cs="Arial" w:eastAsia="Arial" w:hAnsi="Arial"/>
                <w:sz w:val="10"/>
                <w:szCs w:val="10"/>
                <w:color w:val="auto"/>
              </w:rPr>
              <w:t>0</w:t>
            </w:r>
          </w:p>
        </w:tc>
        <w:tc>
          <w:tcPr>
            <w:tcW w:w="760" w:type="dxa"/>
            <w:vAlign w:val="bottom"/>
            <w:gridSpan w:val="4"/>
          </w:tcPr>
          <w:p>
            <w:pPr>
              <w:jc w:val="right"/>
              <w:ind w:right="140"/>
              <w:spacing w:after="0"/>
              <w:rPr>
                <w:sz w:val="20"/>
                <w:szCs w:val="20"/>
                <w:color w:val="auto"/>
              </w:rPr>
            </w:pPr>
            <w:r>
              <w:rPr>
                <w:rFonts w:ascii="Arial" w:cs="Arial" w:eastAsia="Arial" w:hAnsi="Arial"/>
                <w:sz w:val="10"/>
                <w:szCs w:val="10"/>
                <w:color w:val="auto"/>
              </w:rPr>
              <w:t>1</w:t>
            </w:r>
          </w:p>
        </w:tc>
        <w:tc>
          <w:tcPr>
            <w:tcW w:w="600" w:type="dxa"/>
            <w:vAlign w:val="bottom"/>
            <w:gridSpan w:val="3"/>
          </w:tcPr>
          <w:p>
            <w:pPr>
              <w:jc w:val="right"/>
              <w:ind w:right="80"/>
              <w:spacing w:after="0"/>
              <w:rPr>
                <w:sz w:val="20"/>
                <w:szCs w:val="20"/>
                <w:color w:val="auto"/>
              </w:rPr>
            </w:pPr>
            <w:r>
              <w:rPr>
                <w:rFonts w:ascii="Arial" w:cs="Arial" w:eastAsia="Arial" w:hAnsi="Arial"/>
                <w:sz w:val="10"/>
                <w:szCs w:val="10"/>
                <w:color w:val="auto"/>
              </w:rPr>
              <w:t>0</w:t>
            </w:r>
          </w:p>
        </w:tc>
        <w:tc>
          <w:tcPr>
            <w:tcW w:w="680" w:type="dxa"/>
            <w:vAlign w:val="bottom"/>
            <w:gridSpan w:val="3"/>
          </w:tcPr>
          <w:p>
            <w:pPr>
              <w:jc w:val="right"/>
              <w:ind w:right="80"/>
              <w:spacing w:after="0"/>
              <w:rPr>
                <w:sz w:val="20"/>
                <w:szCs w:val="20"/>
                <w:color w:val="auto"/>
              </w:rPr>
            </w:pPr>
            <w:r>
              <w:rPr>
                <w:rFonts w:ascii="Arial" w:cs="Arial" w:eastAsia="Arial" w:hAnsi="Arial"/>
                <w:sz w:val="10"/>
                <w:szCs w:val="10"/>
                <w:color w:val="auto"/>
              </w:rPr>
              <w:t>0</w:t>
            </w:r>
          </w:p>
        </w:tc>
        <w:tc>
          <w:tcPr>
            <w:tcW w:w="60" w:type="dxa"/>
            <w:vAlign w:val="bottom"/>
          </w:tcPr>
          <w:p>
            <w:pPr>
              <w:spacing w:after="0"/>
              <w:rPr>
                <w:sz w:val="17"/>
                <w:szCs w:val="17"/>
                <w:color w:val="auto"/>
              </w:rPr>
            </w:pPr>
          </w:p>
        </w:tc>
        <w:tc>
          <w:tcPr>
            <w:tcW w:w="540" w:type="dxa"/>
            <w:vAlign w:val="bottom"/>
            <w:gridSpan w:val="2"/>
          </w:tcPr>
          <w:p>
            <w:pPr>
              <w:jc w:val="right"/>
              <w:spacing w:after="0"/>
              <w:rPr>
                <w:sz w:val="20"/>
                <w:szCs w:val="20"/>
                <w:color w:val="auto"/>
              </w:rPr>
            </w:pPr>
            <w:r>
              <w:rPr>
                <w:rFonts w:ascii="Arial" w:cs="Arial" w:eastAsia="Arial" w:hAnsi="Arial"/>
                <w:sz w:val="10"/>
                <w:szCs w:val="10"/>
                <w:color w:val="auto"/>
              </w:rPr>
              <w:t>0</w:t>
            </w:r>
          </w:p>
        </w:tc>
        <w:tc>
          <w:tcPr>
            <w:tcW w:w="140" w:type="dxa"/>
            <w:vAlign w:val="bottom"/>
          </w:tcPr>
          <w:p>
            <w:pPr>
              <w:spacing w:after="0"/>
              <w:rPr>
                <w:sz w:val="17"/>
                <w:szCs w:val="17"/>
                <w:color w:val="auto"/>
              </w:rPr>
            </w:pPr>
          </w:p>
        </w:tc>
        <w:tc>
          <w:tcPr>
            <w:tcW w:w="640" w:type="dxa"/>
            <w:vAlign w:val="bottom"/>
            <w:gridSpan w:val="2"/>
          </w:tcPr>
          <w:p>
            <w:pPr>
              <w:jc w:val="right"/>
              <w:spacing w:after="0"/>
              <w:rPr>
                <w:sz w:val="20"/>
                <w:szCs w:val="20"/>
                <w:color w:val="auto"/>
              </w:rPr>
            </w:pPr>
            <w:r>
              <w:rPr>
                <w:rFonts w:ascii="Arial" w:cs="Arial" w:eastAsia="Arial" w:hAnsi="Arial"/>
                <w:sz w:val="10"/>
                <w:szCs w:val="10"/>
                <w:color w:val="auto"/>
              </w:rPr>
              <w:t>0</w:t>
            </w:r>
          </w:p>
        </w:tc>
        <w:tc>
          <w:tcPr>
            <w:tcW w:w="900" w:type="dxa"/>
            <w:vAlign w:val="bottom"/>
            <w:gridSpan w:val="3"/>
          </w:tcPr>
          <w:p>
            <w:pPr>
              <w:jc w:val="right"/>
              <w:ind w:right="120"/>
              <w:spacing w:after="0"/>
              <w:rPr>
                <w:sz w:val="20"/>
                <w:szCs w:val="20"/>
                <w:color w:val="auto"/>
              </w:rPr>
            </w:pPr>
            <w:r>
              <w:rPr>
                <w:rFonts w:ascii="Arial" w:cs="Arial" w:eastAsia="Arial" w:hAnsi="Arial"/>
                <w:sz w:val="10"/>
                <w:szCs w:val="10"/>
                <w:color w:val="auto"/>
              </w:rPr>
              <w:t>0</w:t>
            </w:r>
          </w:p>
        </w:tc>
        <w:tc>
          <w:tcPr>
            <w:tcW w:w="620" w:type="dxa"/>
            <w:vAlign w:val="bottom"/>
            <w:gridSpan w:val="2"/>
          </w:tcPr>
          <w:p>
            <w:pPr>
              <w:jc w:val="right"/>
              <w:spacing w:after="0"/>
              <w:rPr>
                <w:sz w:val="20"/>
                <w:szCs w:val="20"/>
                <w:color w:val="auto"/>
              </w:rPr>
            </w:pPr>
            <w:r>
              <w:rPr>
                <w:rFonts w:ascii="Arial" w:cs="Arial" w:eastAsia="Arial" w:hAnsi="Arial"/>
                <w:sz w:val="10"/>
                <w:szCs w:val="10"/>
                <w:color w:val="auto"/>
              </w:rPr>
              <w:t>0</w:t>
            </w:r>
          </w:p>
        </w:tc>
        <w:tc>
          <w:tcPr>
            <w:tcW w:w="760" w:type="dxa"/>
            <w:vAlign w:val="bottom"/>
            <w:gridSpan w:val="2"/>
          </w:tcPr>
          <w:p>
            <w:pPr>
              <w:jc w:val="right"/>
              <w:spacing w:after="0"/>
              <w:rPr>
                <w:sz w:val="20"/>
                <w:szCs w:val="20"/>
                <w:color w:val="auto"/>
              </w:rPr>
            </w:pPr>
            <w:r>
              <w:rPr>
                <w:rFonts w:ascii="Arial" w:cs="Arial" w:eastAsia="Arial" w:hAnsi="Arial"/>
                <w:sz w:val="10"/>
                <w:szCs w:val="10"/>
                <w:color w:val="auto"/>
              </w:rPr>
              <w:t>0</w:t>
            </w:r>
          </w:p>
        </w:tc>
        <w:tc>
          <w:tcPr>
            <w:tcW w:w="120" w:type="dxa"/>
            <w:vAlign w:val="bottom"/>
          </w:tcPr>
          <w:p>
            <w:pPr>
              <w:spacing w:after="0"/>
              <w:rPr>
                <w:sz w:val="17"/>
                <w:szCs w:val="17"/>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0"/>
                <w:szCs w:val="10"/>
                <w:color w:val="auto"/>
              </w:rPr>
              <w:t>0</w:t>
            </w:r>
          </w:p>
        </w:tc>
        <w:tc>
          <w:tcPr>
            <w:tcW w:w="1300" w:type="dxa"/>
            <w:vAlign w:val="bottom"/>
            <w:gridSpan w:val="3"/>
          </w:tcPr>
          <w:p>
            <w:pPr>
              <w:jc w:val="right"/>
              <w:ind w:right="120"/>
              <w:spacing w:after="0"/>
              <w:rPr>
                <w:sz w:val="20"/>
                <w:szCs w:val="20"/>
                <w:color w:val="auto"/>
              </w:rPr>
            </w:pPr>
            <w:r>
              <w:rPr>
                <w:rFonts w:ascii="Arial" w:cs="Arial" w:eastAsia="Arial" w:hAnsi="Arial"/>
                <w:sz w:val="10"/>
                <w:szCs w:val="10"/>
                <w:color w:val="auto"/>
              </w:rPr>
              <w:t>1</w:t>
            </w:r>
          </w:p>
        </w:tc>
        <w:tc>
          <w:tcPr>
            <w:tcW w:w="0" w:type="dxa"/>
            <w:vAlign w:val="bottom"/>
          </w:tcPr>
          <w:p>
            <w:pPr>
              <w:spacing w:after="0"/>
              <w:rPr>
                <w:sz w:val="1"/>
                <w:szCs w:val="1"/>
                <w:color w:val="auto"/>
              </w:rPr>
            </w:pPr>
          </w:p>
        </w:tc>
      </w:tr>
      <w:tr>
        <w:trPr>
          <w:trHeight w:val="200"/>
        </w:trPr>
        <w:tc>
          <w:tcPr>
            <w:tcW w:w="2660" w:type="dxa"/>
            <w:vAlign w:val="bottom"/>
            <w:gridSpan w:val="2"/>
          </w:tcPr>
          <w:p>
            <w:pPr>
              <w:spacing w:after="0"/>
              <w:rPr>
                <w:sz w:val="20"/>
                <w:szCs w:val="20"/>
                <w:color w:val="auto"/>
              </w:rPr>
            </w:pPr>
            <w:r>
              <w:rPr>
                <w:rFonts w:ascii="Arial" w:cs="Arial" w:eastAsia="Arial" w:hAnsi="Arial"/>
                <w:sz w:val="10"/>
                <w:szCs w:val="10"/>
                <w:color w:val="auto"/>
              </w:rPr>
              <w:t>Alternate Payee (QDRO)</w:t>
            </w: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jc w:val="right"/>
              <w:ind w:right="10"/>
              <w:spacing w:after="0"/>
              <w:rPr>
                <w:sz w:val="20"/>
                <w:szCs w:val="20"/>
                <w:color w:val="auto"/>
              </w:rPr>
            </w:pPr>
            <w:r>
              <w:rPr>
                <w:rFonts w:ascii="Arial" w:cs="Arial" w:eastAsia="Arial" w:hAnsi="Arial"/>
                <w:sz w:val="10"/>
                <w:szCs w:val="10"/>
                <w:color w:val="auto"/>
              </w:rPr>
              <w:t>1</w:t>
            </w:r>
          </w:p>
        </w:tc>
        <w:tc>
          <w:tcPr>
            <w:tcW w:w="760" w:type="dxa"/>
            <w:vAlign w:val="bottom"/>
            <w:gridSpan w:val="4"/>
          </w:tcPr>
          <w:p>
            <w:pPr>
              <w:jc w:val="right"/>
              <w:ind w:right="140"/>
              <w:spacing w:after="0"/>
              <w:rPr>
                <w:sz w:val="20"/>
                <w:szCs w:val="20"/>
                <w:color w:val="auto"/>
              </w:rPr>
            </w:pPr>
            <w:r>
              <w:rPr>
                <w:rFonts w:ascii="Arial" w:cs="Arial" w:eastAsia="Arial" w:hAnsi="Arial"/>
                <w:sz w:val="10"/>
                <w:szCs w:val="10"/>
                <w:color w:val="auto"/>
              </w:rPr>
              <w:t>0</w:t>
            </w:r>
          </w:p>
        </w:tc>
        <w:tc>
          <w:tcPr>
            <w:tcW w:w="600" w:type="dxa"/>
            <w:vAlign w:val="bottom"/>
            <w:gridSpan w:val="3"/>
          </w:tcPr>
          <w:p>
            <w:pPr>
              <w:jc w:val="right"/>
              <w:ind w:right="80"/>
              <w:spacing w:after="0"/>
              <w:rPr>
                <w:sz w:val="20"/>
                <w:szCs w:val="20"/>
                <w:color w:val="auto"/>
              </w:rPr>
            </w:pPr>
            <w:r>
              <w:rPr>
                <w:rFonts w:ascii="Arial" w:cs="Arial" w:eastAsia="Arial" w:hAnsi="Arial"/>
                <w:sz w:val="10"/>
                <w:szCs w:val="10"/>
                <w:color w:val="auto"/>
              </w:rPr>
              <w:t>0</w:t>
            </w:r>
          </w:p>
        </w:tc>
        <w:tc>
          <w:tcPr>
            <w:tcW w:w="680" w:type="dxa"/>
            <w:vAlign w:val="bottom"/>
            <w:gridSpan w:val="3"/>
          </w:tcPr>
          <w:p>
            <w:pPr>
              <w:jc w:val="right"/>
              <w:ind w:right="80"/>
              <w:spacing w:after="0"/>
              <w:rPr>
                <w:sz w:val="20"/>
                <w:szCs w:val="20"/>
                <w:color w:val="auto"/>
              </w:rPr>
            </w:pPr>
            <w:r>
              <w:rPr>
                <w:rFonts w:ascii="Arial" w:cs="Arial" w:eastAsia="Arial" w:hAnsi="Arial"/>
                <w:sz w:val="10"/>
                <w:szCs w:val="10"/>
                <w:color w:val="auto"/>
              </w:rPr>
              <w:t>0</w:t>
            </w:r>
          </w:p>
        </w:tc>
        <w:tc>
          <w:tcPr>
            <w:tcW w:w="60" w:type="dxa"/>
            <w:vAlign w:val="bottom"/>
          </w:tcPr>
          <w:p>
            <w:pPr>
              <w:spacing w:after="0"/>
              <w:rPr>
                <w:sz w:val="17"/>
                <w:szCs w:val="17"/>
                <w:color w:val="auto"/>
              </w:rPr>
            </w:pPr>
          </w:p>
        </w:tc>
        <w:tc>
          <w:tcPr>
            <w:tcW w:w="540" w:type="dxa"/>
            <w:vAlign w:val="bottom"/>
            <w:gridSpan w:val="2"/>
          </w:tcPr>
          <w:p>
            <w:pPr>
              <w:jc w:val="right"/>
              <w:spacing w:after="0"/>
              <w:rPr>
                <w:sz w:val="20"/>
                <w:szCs w:val="20"/>
                <w:color w:val="auto"/>
              </w:rPr>
            </w:pPr>
            <w:r>
              <w:rPr>
                <w:rFonts w:ascii="Arial" w:cs="Arial" w:eastAsia="Arial" w:hAnsi="Arial"/>
                <w:sz w:val="10"/>
                <w:szCs w:val="10"/>
                <w:color w:val="auto"/>
              </w:rPr>
              <w:t>1</w:t>
            </w:r>
          </w:p>
        </w:tc>
        <w:tc>
          <w:tcPr>
            <w:tcW w:w="140" w:type="dxa"/>
            <w:vAlign w:val="bottom"/>
          </w:tcPr>
          <w:p>
            <w:pPr>
              <w:spacing w:after="0"/>
              <w:rPr>
                <w:sz w:val="17"/>
                <w:szCs w:val="17"/>
                <w:color w:val="auto"/>
              </w:rPr>
            </w:pPr>
          </w:p>
        </w:tc>
        <w:tc>
          <w:tcPr>
            <w:tcW w:w="640" w:type="dxa"/>
            <w:vAlign w:val="bottom"/>
            <w:gridSpan w:val="2"/>
          </w:tcPr>
          <w:p>
            <w:pPr>
              <w:jc w:val="right"/>
              <w:spacing w:after="0"/>
              <w:rPr>
                <w:sz w:val="20"/>
                <w:szCs w:val="20"/>
                <w:color w:val="auto"/>
              </w:rPr>
            </w:pPr>
            <w:r>
              <w:rPr>
                <w:rFonts w:ascii="Arial" w:cs="Arial" w:eastAsia="Arial" w:hAnsi="Arial"/>
                <w:sz w:val="10"/>
                <w:szCs w:val="10"/>
                <w:color w:val="auto"/>
              </w:rPr>
              <w:t>0</w:t>
            </w:r>
          </w:p>
        </w:tc>
        <w:tc>
          <w:tcPr>
            <w:tcW w:w="900" w:type="dxa"/>
            <w:vAlign w:val="bottom"/>
            <w:gridSpan w:val="3"/>
          </w:tcPr>
          <w:p>
            <w:pPr>
              <w:jc w:val="right"/>
              <w:ind w:right="120"/>
              <w:spacing w:after="0"/>
              <w:rPr>
                <w:sz w:val="20"/>
                <w:szCs w:val="20"/>
                <w:color w:val="auto"/>
              </w:rPr>
            </w:pPr>
            <w:r>
              <w:rPr>
                <w:rFonts w:ascii="Arial" w:cs="Arial" w:eastAsia="Arial" w:hAnsi="Arial"/>
                <w:sz w:val="10"/>
                <w:szCs w:val="10"/>
                <w:color w:val="auto"/>
              </w:rPr>
              <w:t>0</w:t>
            </w:r>
          </w:p>
        </w:tc>
        <w:tc>
          <w:tcPr>
            <w:tcW w:w="620" w:type="dxa"/>
            <w:vAlign w:val="bottom"/>
            <w:gridSpan w:val="2"/>
          </w:tcPr>
          <w:p>
            <w:pPr>
              <w:jc w:val="right"/>
              <w:spacing w:after="0"/>
              <w:rPr>
                <w:sz w:val="20"/>
                <w:szCs w:val="20"/>
                <w:color w:val="auto"/>
              </w:rPr>
            </w:pPr>
            <w:r>
              <w:rPr>
                <w:rFonts w:ascii="Arial" w:cs="Arial" w:eastAsia="Arial" w:hAnsi="Arial"/>
                <w:sz w:val="10"/>
                <w:szCs w:val="10"/>
                <w:color w:val="auto"/>
              </w:rPr>
              <w:t>1</w:t>
            </w:r>
          </w:p>
        </w:tc>
        <w:tc>
          <w:tcPr>
            <w:tcW w:w="760" w:type="dxa"/>
            <w:vAlign w:val="bottom"/>
            <w:gridSpan w:val="2"/>
          </w:tcPr>
          <w:p>
            <w:pPr>
              <w:jc w:val="right"/>
              <w:spacing w:after="0"/>
              <w:rPr>
                <w:sz w:val="20"/>
                <w:szCs w:val="20"/>
                <w:color w:val="auto"/>
              </w:rPr>
            </w:pPr>
            <w:r>
              <w:rPr>
                <w:rFonts w:ascii="Arial" w:cs="Arial" w:eastAsia="Arial" w:hAnsi="Arial"/>
                <w:sz w:val="10"/>
                <w:szCs w:val="10"/>
                <w:color w:val="auto"/>
              </w:rPr>
              <w:t>0</w:t>
            </w:r>
          </w:p>
        </w:tc>
        <w:tc>
          <w:tcPr>
            <w:tcW w:w="120" w:type="dxa"/>
            <w:vAlign w:val="bottom"/>
          </w:tcPr>
          <w:p>
            <w:pPr>
              <w:spacing w:after="0"/>
              <w:rPr>
                <w:sz w:val="17"/>
                <w:szCs w:val="17"/>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0"/>
                <w:szCs w:val="10"/>
                <w:color w:val="auto"/>
              </w:rPr>
              <w:t>0</w:t>
            </w:r>
          </w:p>
        </w:tc>
        <w:tc>
          <w:tcPr>
            <w:tcW w:w="1300" w:type="dxa"/>
            <w:vAlign w:val="bottom"/>
            <w:gridSpan w:val="3"/>
          </w:tcPr>
          <w:p>
            <w:pPr>
              <w:jc w:val="right"/>
              <w:ind w:right="120"/>
              <w:spacing w:after="0"/>
              <w:rPr>
                <w:sz w:val="20"/>
                <w:szCs w:val="20"/>
                <w:color w:val="auto"/>
              </w:rPr>
            </w:pPr>
            <w:r>
              <w:rPr>
                <w:rFonts w:ascii="Arial" w:cs="Arial" w:eastAsia="Arial" w:hAnsi="Arial"/>
                <w:sz w:val="10"/>
                <w:szCs w:val="10"/>
                <w:color w:val="auto"/>
              </w:rPr>
              <w:t>1</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gridSpan w:val="2"/>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gridSpan w:val="2"/>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1"/>
        </w:trPr>
        <w:tc>
          <w:tcPr>
            <w:tcW w:w="86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540" w:type="dxa"/>
            <w:vAlign w:val="bottom"/>
            <w:tcBorders>
              <w:right w:val="single" w:sz="8" w:color="auto"/>
            </w:tcBorders>
            <w:gridSpan w:val="5"/>
            <w:shd w:val="clear" w:color="auto" w:fill="BFBFBF"/>
          </w:tcPr>
          <w:p>
            <w:pPr>
              <w:jc w:val="right"/>
              <w:ind w:right="140"/>
              <w:spacing w:after="0"/>
              <w:rPr>
                <w:sz w:val="20"/>
                <w:szCs w:val="20"/>
                <w:color w:val="auto"/>
              </w:rPr>
            </w:pPr>
            <w:r>
              <w:rPr>
                <w:rFonts w:ascii="Arial" w:cs="Arial" w:eastAsia="Arial" w:hAnsi="Arial"/>
                <w:sz w:val="10"/>
                <w:szCs w:val="10"/>
                <w:color w:val="auto"/>
              </w:rPr>
              <w:t>Special Benefit Rider Eligibility</w:t>
            </w:r>
          </w:p>
        </w:tc>
        <w:tc>
          <w:tcPr>
            <w:tcW w:w="1500" w:type="dxa"/>
            <w:vAlign w:val="bottom"/>
            <w:tcBorders>
              <w:right w:val="single" w:sz="8" w:color="auto"/>
            </w:tcBorders>
            <w:gridSpan w:val="5"/>
            <w:shd w:val="clear" w:color="auto" w:fill="BFBFBF"/>
          </w:tcPr>
          <w:p>
            <w:pPr>
              <w:jc w:val="center"/>
              <w:ind w:right="20"/>
              <w:spacing w:after="0"/>
              <w:rPr>
                <w:sz w:val="20"/>
                <w:szCs w:val="20"/>
                <w:color w:val="auto"/>
              </w:rPr>
            </w:pPr>
            <w:r>
              <w:rPr>
                <w:rFonts w:ascii="Arial" w:cs="Arial" w:eastAsia="Arial" w:hAnsi="Arial"/>
                <w:sz w:val="10"/>
                <w:szCs w:val="10"/>
                <w:color w:val="auto"/>
                <w:w w:val="98"/>
              </w:rPr>
              <w:t>Level Benefit Rider Eligibility</w:t>
            </w:r>
          </w:p>
        </w:tc>
        <w:tc>
          <w:tcPr>
            <w:tcW w:w="320" w:type="dxa"/>
            <w:vAlign w:val="bottom"/>
            <w:shd w:val="clear" w:color="auto" w:fill="BFBFBF"/>
          </w:tcPr>
          <w:p>
            <w:pPr>
              <w:spacing w:after="0"/>
              <w:rPr>
                <w:sz w:val="10"/>
                <w:szCs w:val="10"/>
                <w:color w:val="auto"/>
              </w:rPr>
            </w:pPr>
          </w:p>
        </w:tc>
        <w:tc>
          <w:tcPr>
            <w:tcW w:w="320" w:type="dxa"/>
            <w:vAlign w:val="bottom"/>
            <w:tcBorders>
              <w:right w:val="single" w:sz="8" w:color="auto"/>
            </w:tcBorders>
            <w:shd w:val="clear" w:color="auto" w:fill="BFBFBF"/>
          </w:tcPr>
          <w:p>
            <w:pPr>
              <w:spacing w:after="0"/>
              <w:rPr>
                <w:sz w:val="10"/>
                <w:szCs w:val="10"/>
                <w:color w:val="auto"/>
              </w:rPr>
            </w:pPr>
          </w:p>
        </w:tc>
        <w:tc>
          <w:tcPr>
            <w:tcW w:w="20" w:type="dxa"/>
            <w:vAlign w:val="bottom"/>
            <w:shd w:val="clear" w:color="auto" w:fill="BFBFBF"/>
          </w:tcPr>
          <w:p>
            <w:pPr>
              <w:spacing w:after="0"/>
              <w:rPr>
                <w:sz w:val="10"/>
                <w:szCs w:val="10"/>
                <w:color w:val="auto"/>
              </w:rPr>
            </w:pPr>
          </w:p>
        </w:tc>
        <w:tc>
          <w:tcPr>
            <w:tcW w:w="860" w:type="dxa"/>
            <w:vAlign w:val="bottom"/>
            <w:shd w:val="clear" w:color="auto" w:fill="BFBFBF"/>
          </w:tcPr>
          <w:p>
            <w:pPr>
              <w:spacing w:after="0"/>
              <w:rPr>
                <w:sz w:val="10"/>
                <w:szCs w:val="10"/>
                <w:color w:val="auto"/>
              </w:rPr>
            </w:pPr>
          </w:p>
        </w:tc>
        <w:tc>
          <w:tcPr>
            <w:tcW w:w="420" w:type="dxa"/>
            <w:vAlign w:val="bottom"/>
            <w:tcBorders>
              <w:right w:val="single" w:sz="8" w:color="auto"/>
            </w:tcBorders>
            <w:shd w:val="clear" w:color="auto" w:fill="BFBFBF"/>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8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520" w:type="dxa"/>
            <w:vAlign w:val="bottom"/>
            <w:tcBorders>
              <w:bottom w:val="single" w:sz="8" w:color="BFBFBF"/>
            </w:tcBorders>
            <w:shd w:val="clear" w:color="auto" w:fill="BFBFBF"/>
          </w:tcPr>
          <w:p>
            <w:pPr>
              <w:spacing w:after="0"/>
              <w:rPr>
                <w:sz w:val="12"/>
                <w:szCs w:val="12"/>
                <w:color w:val="auto"/>
              </w:rPr>
            </w:pPr>
          </w:p>
        </w:tc>
        <w:tc>
          <w:tcPr>
            <w:tcW w:w="120" w:type="dxa"/>
            <w:vAlign w:val="bottom"/>
            <w:tcBorders>
              <w:bottom w:val="single" w:sz="8" w:color="BFBFBF"/>
            </w:tcBorders>
            <w:shd w:val="clear" w:color="auto" w:fill="BFBFBF"/>
          </w:tcPr>
          <w:p>
            <w:pPr>
              <w:spacing w:after="0"/>
              <w:rPr>
                <w:sz w:val="12"/>
                <w:szCs w:val="12"/>
                <w:color w:val="auto"/>
              </w:rPr>
            </w:pPr>
          </w:p>
        </w:tc>
        <w:tc>
          <w:tcPr>
            <w:tcW w:w="900" w:type="dxa"/>
            <w:vAlign w:val="bottom"/>
            <w:tcBorders>
              <w:bottom w:val="single" w:sz="8" w:color="BFBFBF"/>
              <w:right w:val="single" w:sz="8" w:color="auto"/>
            </w:tcBorders>
            <w:gridSpan w:val="3"/>
            <w:shd w:val="clear" w:color="auto" w:fill="BFBFBF"/>
          </w:tcPr>
          <w:p>
            <w:pPr>
              <w:spacing w:after="0"/>
              <w:rPr>
                <w:sz w:val="20"/>
                <w:szCs w:val="20"/>
                <w:color w:val="auto"/>
              </w:rPr>
            </w:pPr>
            <w:r>
              <w:rPr>
                <w:rFonts w:ascii="Arial" w:cs="Arial" w:eastAsia="Arial" w:hAnsi="Arial"/>
                <w:sz w:val="10"/>
                <w:szCs w:val="10"/>
                <w:color w:val="auto"/>
              </w:rPr>
              <w:t>(Y/N)</w:t>
            </w:r>
          </w:p>
        </w:tc>
        <w:tc>
          <w:tcPr>
            <w:tcW w:w="520" w:type="dxa"/>
            <w:vAlign w:val="bottom"/>
            <w:tcBorders>
              <w:bottom w:val="single" w:sz="8" w:color="BFBFBF"/>
            </w:tcBorders>
            <w:shd w:val="clear" w:color="auto" w:fill="BFBFBF"/>
          </w:tcPr>
          <w:p>
            <w:pPr>
              <w:spacing w:after="0"/>
              <w:rPr>
                <w:sz w:val="12"/>
                <w:szCs w:val="12"/>
                <w:color w:val="auto"/>
              </w:rPr>
            </w:pPr>
          </w:p>
        </w:tc>
        <w:tc>
          <w:tcPr>
            <w:tcW w:w="100" w:type="dxa"/>
            <w:vAlign w:val="bottom"/>
            <w:tcBorders>
              <w:bottom w:val="single" w:sz="8" w:color="BFBFBF"/>
            </w:tcBorders>
            <w:shd w:val="clear" w:color="auto" w:fill="BFBFBF"/>
          </w:tcPr>
          <w:p>
            <w:pPr>
              <w:spacing w:after="0"/>
              <w:rPr>
                <w:sz w:val="12"/>
                <w:szCs w:val="12"/>
                <w:color w:val="auto"/>
              </w:rPr>
            </w:pPr>
          </w:p>
        </w:tc>
        <w:tc>
          <w:tcPr>
            <w:tcW w:w="880" w:type="dxa"/>
            <w:vAlign w:val="bottom"/>
            <w:tcBorders>
              <w:bottom w:val="single" w:sz="8" w:color="BFBFBF"/>
              <w:right w:val="single" w:sz="8" w:color="auto"/>
            </w:tcBorders>
            <w:gridSpan w:val="3"/>
            <w:shd w:val="clear" w:color="auto" w:fill="BFBFBF"/>
          </w:tcPr>
          <w:p>
            <w:pPr>
              <w:jc w:val="center"/>
              <w:ind w:right="640"/>
              <w:spacing w:after="0"/>
              <w:rPr>
                <w:sz w:val="20"/>
                <w:szCs w:val="20"/>
                <w:color w:val="auto"/>
              </w:rPr>
            </w:pPr>
            <w:r>
              <w:rPr>
                <w:rFonts w:ascii="Arial" w:cs="Arial" w:eastAsia="Arial" w:hAnsi="Arial"/>
                <w:sz w:val="10"/>
                <w:szCs w:val="10"/>
                <w:color w:val="auto"/>
              </w:rPr>
              <w:t>(Y/N)</w:t>
            </w:r>
          </w:p>
        </w:tc>
        <w:tc>
          <w:tcPr>
            <w:tcW w:w="640" w:type="dxa"/>
            <w:vAlign w:val="bottom"/>
            <w:tcBorders>
              <w:bottom w:val="single" w:sz="8" w:color="BFBFBF"/>
              <w:right w:val="single" w:sz="8" w:color="auto"/>
            </w:tcBorders>
            <w:gridSpan w:val="2"/>
            <w:shd w:val="clear" w:color="auto" w:fill="BFBFBF"/>
          </w:tcPr>
          <w:p>
            <w:pPr>
              <w:jc w:val="right"/>
              <w:ind w:right="60"/>
              <w:spacing w:after="0"/>
              <w:rPr>
                <w:sz w:val="20"/>
                <w:szCs w:val="20"/>
                <w:color w:val="auto"/>
              </w:rPr>
            </w:pPr>
            <w:r>
              <w:rPr>
                <w:rFonts w:ascii="Arial" w:cs="Arial" w:eastAsia="Arial" w:hAnsi="Arial"/>
                <w:sz w:val="10"/>
                <w:szCs w:val="10"/>
                <w:color w:val="auto"/>
                <w:w w:val="92"/>
              </w:rPr>
              <w:t>Pop-Up Rider</w:t>
            </w:r>
          </w:p>
        </w:tc>
        <w:tc>
          <w:tcPr>
            <w:tcW w:w="20" w:type="dxa"/>
            <w:vAlign w:val="bottom"/>
            <w:tcBorders>
              <w:bottom w:val="single" w:sz="8" w:color="BFBFBF"/>
            </w:tcBorders>
            <w:shd w:val="clear" w:color="auto" w:fill="BFBFBF"/>
          </w:tcPr>
          <w:p>
            <w:pPr>
              <w:spacing w:after="0"/>
              <w:rPr>
                <w:sz w:val="12"/>
                <w:szCs w:val="12"/>
                <w:color w:val="auto"/>
              </w:rPr>
            </w:pPr>
          </w:p>
        </w:tc>
        <w:tc>
          <w:tcPr>
            <w:tcW w:w="1280" w:type="dxa"/>
            <w:vAlign w:val="bottom"/>
            <w:tcBorders>
              <w:bottom w:val="single" w:sz="8" w:color="BFBFBF"/>
              <w:right w:val="single" w:sz="8" w:color="auto"/>
            </w:tcBorders>
            <w:gridSpan w:val="2"/>
            <w:shd w:val="clear" w:color="auto" w:fill="BFBFBF"/>
          </w:tcPr>
          <w:p>
            <w:pPr>
              <w:jc w:val="right"/>
              <w:ind w:right="40"/>
              <w:spacing w:after="0"/>
              <w:rPr>
                <w:sz w:val="20"/>
                <w:szCs w:val="20"/>
                <w:color w:val="auto"/>
              </w:rPr>
            </w:pPr>
            <w:r>
              <w:rPr>
                <w:rFonts w:ascii="Arial" w:cs="Arial" w:eastAsia="Arial" w:hAnsi="Arial"/>
                <w:sz w:val="10"/>
                <w:szCs w:val="10"/>
                <w:color w:val="auto"/>
                <w:w w:val="96"/>
              </w:rPr>
              <w:t>Refund Rider Eligibility (Y/N)</w:t>
            </w:r>
          </w:p>
        </w:tc>
        <w:tc>
          <w:tcPr>
            <w:tcW w:w="0" w:type="dxa"/>
            <w:vAlign w:val="bottom"/>
          </w:tcPr>
          <w:p>
            <w:pPr>
              <w:spacing w:after="0"/>
              <w:rPr>
                <w:sz w:val="1"/>
                <w:szCs w:val="1"/>
                <w:color w:val="auto"/>
              </w:rPr>
            </w:pPr>
          </w:p>
        </w:tc>
      </w:tr>
      <w:tr>
        <w:trPr>
          <w:trHeight w:val="343"/>
        </w:trPr>
        <w:tc>
          <w:tcPr>
            <w:tcW w:w="8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440" w:type="dxa"/>
            <w:vAlign w:val="bottom"/>
            <w:gridSpan w:val="3"/>
          </w:tcPr>
          <w:p>
            <w:pPr>
              <w:spacing w:after="0"/>
              <w:rPr>
                <w:sz w:val="20"/>
                <w:szCs w:val="20"/>
                <w:color w:val="auto"/>
              </w:rPr>
            </w:pPr>
            <w:r>
              <w:rPr>
                <w:rFonts w:ascii="Arial" w:cs="Arial" w:eastAsia="Arial" w:hAnsi="Arial"/>
                <w:sz w:val="10"/>
                <w:szCs w:val="10"/>
                <w:color w:val="auto"/>
                <w:w w:val="92"/>
              </w:rPr>
              <w:t>Post 62+1</w:t>
            </w:r>
          </w:p>
        </w:tc>
        <w:tc>
          <w:tcPr>
            <w:tcW w:w="160" w:type="dxa"/>
            <w:vAlign w:val="bottom"/>
          </w:tcPr>
          <w:p>
            <w:pPr>
              <w:spacing w:after="0"/>
              <w:rPr>
                <w:sz w:val="24"/>
                <w:szCs w:val="24"/>
                <w:color w:val="auto"/>
              </w:rPr>
            </w:pPr>
          </w:p>
        </w:tc>
        <w:tc>
          <w:tcPr>
            <w:tcW w:w="760" w:type="dxa"/>
            <w:vAlign w:val="bottom"/>
            <w:gridSpan w:val="4"/>
            <w:vMerge w:val="restart"/>
          </w:tcPr>
          <w:p>
            <w:pPr>
              <w:ind w:left="80"/>
              <w:spacing w:after="0"/>
              <w:rPr>
                <w:sz w:val="20"/>
                <w:szCs w:val="20"/>
                <w:color w:val="auto"/>
              </w:rPr>
            </w:pPr>
            <w:r>
              <w:rPr>
                <w:rFonts w:ascii="Arial" w:cs="Arial" w:eastAsia="Arial" w:hAnsi="Arial"/>
                <w:sz w:val="10"/>
                <w:szCs w:val="10"/>
                <w:color w:val="auto"/>
              </w:rPr>
              <w:t>Covered Life</w:t>
            </w:r>
          </w:p>
        </w:tc>
        <w:tc>
          <w:tcPr>
            <w:tcW w:w="600" w:type="dxa"/>
            <w:vAlign w:val="bottom"/>
            <w:gridSpan w:val="3"/>
            <w:vMerge w:val="restart"/>
          </w:tcPr>
          <w:p>
            <w:pPr>
              <w:jc w:val="right"/>
              <w:ind w:right="160"/>
              <w:spacing w:after="0"/>
              <w:rPr>
                <w:sz w:val="20"/>
                <w:szCs w:val="20"/>
                <w:color w:val="auto"/>
              </w:rPr>
            </w:pPr>
            <w:r>
              <w:rPr>
                <w:rFonts w:ascii="Arial" w:cs="Arial" w:eastAsia="Arial" w:hAnsi="Arial"/>
                <w:sz w:val="10"/>
                <w:szCs w:val="10"/>
                <w:color w:val="auto"/>
                <w:w w:val="86"/>
              </w:rPr>
              <w:t>Contingent</w:t>
            </w:r>
          </w:p>
        </w:tc>
        <w:tc>
          <w:tcPr>
            <w:tcW w:w="740" w:type="dxa"/>
            <w:vAlign w:val="bottom"/>
            <w:gridSpan w:val="4"/>
            <w:vMerge w:val="restart"/>
          </w:tcPr>
          <w:p>
            <w:pPr>
              <w:ind w:left="60"/>
              <w:spacing w:after="0"/>
              <w:rPr>
                <w:sz w:val="20"/>
                <w:szCs w:val="20"/>
                <w:color w:val="auto"/>
              </w:rPr>
            </w:pPr>
            <w:r>
              <w:rPr>
                <w:rFonts w:ascii="Arial" w:cs="Arial" w:eastAsia="Arial" w:hAnsi="Arial"/>
                <w:sz w:val="10"/>
                <w:szCs w:val="10"/>
                <w:color w:val="auto"/>
                <w:w w:val="98"/>
              </w:rPr>
              <w:t>Special Benefit</w:t>
            </w:r>
          </w:p>
        </w:tc>
        <w:tc>
          <w:tcPr>
            <w:tcW w:w="680" w:type="dxa"/>
            <w:vAlign w:val="bottom"/>
            <w:gridSpan w:val="3"/>
            <w:vMerge w:val="restart"/>
          </w:tcPr>
          <w:p>
            <w:pPr>
              <w:spacing w:after="0"/>
              <w:rPr>
                <w:sz w:val="20"/>
                <w:szCs w:val="20"/>
                <w:color w:val="auto"/>
              </w:rPr>
            </w:pPr>
            <w:r>
              <w:rPr>
                <w:rFonts w:ascii="Arial" w:cs="Arial" w:eastAsia="Arial" w:hAnsi="Arial"/>
                <w:sz w:val="10"/>
                <w:szCs w:val="10"/>
                <w:color w:val="auto"/>
              </w:rPr>
              <w:t>Level Benefit</w:t>
            </w:r>
          </w:p>
        </w:tc>
        <w:tc>
          <w:tcPr>
            <w:tcW w:w="5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3"/>
        </w:trPr>
        <w:tc>
          <w:tcPr>
            <w:tcW w:w="2660" w:type="dxa"/>
            <w:vAlign w:val="bottom"/>
            <w:gridSpan w:val="2"/>
            <w:vMerge w:val="restart"/>
          </w:tcPr>
          <w:p>
            <w:pPr>
              <w:spacing w:after="0"/>
              <w:rPr>
                <w:sz w:val="20"/>
                <w:szCs w:val="20"/>
                <w:color w:val="auto"/>
              </w:rPr>
            </w:pPr>
            <w:r>
              <w:rPr>
                <w:rFonts w:ascii="Arial" w:cs="Arial" w:eastAsia="Arial" w:hAnsi="Arial"/>
                <w:sz w:val="10"/>
                <w:szCs w:val="10"/>
                <w:color w:val="auto"/>
              </w:rPr>
              <w:t>Covered Life Name</w:t>
            </w:r>
          </w:p>
        </w:tc>
        <w:tc>
          <w:tcPr>
            <w:tcW w:w="400" w:type="dxa"/>
            <w:vAlign w:val="bottom"/>
            <w:tcBorders>
              <w:top w:val="single" w:sz="8" w:color="auto"/>
            </w:tcBorders>
            <w:gridSpan w:val="2"/>
          </w:tcPr>
          <w:p>
            <w:pPr>
              <w:spacing w:after="0" w:line="93" w:lineRule="exact"/>
              <w:rPr>
                <w:sz w:val="20"/>
                <w:szCs w:val="20"/>
                <w:color w:val="auto"/>
              </w:rPr>
            </w:pPr>
            <w:r>
              <w:rPr>
                <w:rFonts w:ascii="Arial" w:cs="Arial" w:eastAsia="Arial" w:hAnsi="Arial"/>
                <w:sz w:val="10"/>
                <w:szCs w:val="10"/>
                <w:color w:val="auto"/>
              </w:rPr>
              <w:t>Pension</w:t>
            </w: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gridSpan w:val="4"/>
            <w:vMerge w:val="continue"/>
          </w:tcPr>
          <w:p>
            <w:pPr>
              <w:spacing w:after="0"/>
              <w:rPr>
                <w:sz w:val="8"/>
                <w:szCs w:val="8"/>
                <w:color w:val="auto"/>
              </w:rPr>
            </w:pPr>
          </w:p>
        </w:tc>
        <w:tc>
          <w:tcPr>
            <w:tcW w:w="600" w:type="dxa"/>
            <w:vAlign w:val="bottom"/>
            <w:gridSpan w:val="3"/>
            <w:vMerge w:val="continue"/>
          </w:tcPr>
          <w:p>
            <w:pPr>
              <w:spacing w:after="0"/>
              <w:rPr>
                <w:sz w:val="8"/>
                <w:szCs w:val="8"/>
                <w:color w:val="auto"/>
              </w:rPr>
            </w:pPr>
          </w:p>
        </w:tc>
        <w:tc>
          <w:tcPr>
            <w:tcW w:w="740" w:type="dxa"/>
            <w:vAlign w:val="bottom"/>
            <w:gridSpan w:val="4"/>
            <w:vMerge w:val="continue"/>
          </w:tcPr>
          <w:p>
            <w:pPr>
              <w:spacing w:after="0"/>
              <w:rPr>
                <w:sz w:val="8"/>
                <w:szCs w:val="8"/>
                <w:color w:val="auto"/>
              </w:rPr>
            </w:pPr>
          </w:p>
        </w:tc>
        <w:tc>
          <w:tcPr>
            <w:tcW w:w="680" w:type="dxa"/>
            <w:vAlign w:val="bottom"/>
            <w:gridSpan w:val="3"/>
            <w:vMerge w:val="continue"/>
          </w:tcPr>
          <w:p>
            <w:pPr>
              <w:spacing w:after="0"/>
              <w:rPr>
                <w:sz w:val="8"/>
                <w:szCs w:val="8"/>
                <w:color w:val="auto"/>
              </w:rPr>
            </w:pPr>
          </w:p>
        </w:tc>
        <w:tc>
          <w:tcPr>
            <w:tcW w:w="640" w:type="dxa"/>
            <w:vAlign w:val="bottom"/>
            <w:gridSpan w:val="2"/>
            <w:vMerge w:val="restart"/>
          </w:tcPr>
          <w:p>
            <w:pPr>
              <w:jc w:val="right"/>
              <w:ind w:right="120"/>
              <w:spacing w:after="0"/>
              <w:rPr>
                <w:sz w:val="20"/>
                <w:szCs w:val="20"/>
                <w:color w:val="auto"/>
              </w:rPr>
            </w:pPr>
            <w:r>
              <w:rPr>
                <w:rFonts w:ascii="Arial" w:cs="Arial" w:eastAsia="Arial" w:hAnsi="Arial"/>
                <w:sz w:val="10"/>
                <w:szCs w:val="10"/>
                <w:color w:val="auto"/>
                <w:w w:val="88"/>
              </w:rPr>
              <w:t>Covered Life</w:t>
            </w:r>
          </w:p>
        </w:tc>
        <w:tc>
          <w:tcPr>
            <w:tcW w:w="900" w:type="dxa"/>
            <w:vAlign w:val="bottom"/>
            <w:gridSpan w:val="3"/>
            <w:vMerge w:val="restart"/>
          </w:tcPr>
          <w:p>
            <w:pPr>
              <w:jc w:val="right"/>
              <w:ind w:right="120"/>
              <w:spacing w:after="0"/>
              <w:rPr>
                <w:sz w:val="20"/>
                <w:szCs w:val="20"/>
                <w:color w:val="auto"/>
              </w:rPr>
            </w:pPr>
            <w:r>
              <w:rPr>
                <w:rFonts w:ascii="Arial" w:cs="Arial" w:eastAsia="Arial" w:hAnsi="Arial"/>
                <w:sz w:val="10"/>
                <w:szCs w:val="10"/>
                <w:color w:val="auto"/>
              </w:rPr>
              <w:t>Contingent Life</w:t>
            </w:r>
          </w:p>
        </w:tc>
        <w:tc>
          <w:tcPr>
            <w:tcW w:w="620" w:type="dxa"/>
            <w:vAlign w:val="bottom"/>
            <w:gridSpan w:val="2"/>
            <w:vMerge w:val="restart"/>
          </w:tcPr>
          <w:p>
            <w:pPr>
              <w:jc w:val="right"/>
              <w:ind w:right="100"/>
              <w:spacing w:after="0"/>
              <w:rPr>
                <w:sz w:val="20"/>
                <w:szCs w:val="20"/>
                <w:color w:val="auto"/>
              </w:rPr>
            </w:pPr>
            <w:r>
              <w:rPr>
                <w:rFonts w:ascii="Arial" w:cs="Arial" w:eastAsia="Arial" w:hAnsi="Arial"/>
                <w:sz w:val="10"/>
                <w:szCs w:val="10"/>
                <w:color w:val="auto"/>
                <w:w w:val="88"/>
              </w:rPr>
              <w:t>Covered Life</w:t>
            </w:r>
          </w:p>
        </w:tc>
        <w:tc>
          <w:tcPr>
            <w:tcW w:w="120" w:type="dxa"/>
            <w:vAlign w:val="bottom"/>
          </w:tcPr>
          <w:p>
            <w:pPr>
              <w:spacing w:after="0"/>
              <w:rPr>
                <w:sz w:val="8"/>
                <w:szCs w:val="8"/>
                <w:color w:val="auto"/>
              </w:rPr>
            </w:pPr>
          </w:p>
        </w:tc>
        <w:tc>
          <w:tcPr>
            <w:tcW w:w="760" w:type="dxa"/>
            <w:vAlign w:val="bottom"/>
            <w:gridSpan w:val="2"/>
            <w:vMerge w:val="restart"/>
          </w:tcPr>
          <w:p>
            <w:pPr>
              <w:spacing w:after="0"/>
              <w:rPr>
                <w:sz w:val="20"/>
                <w:szCs w:val="20"/>
                <w:color w:val="auto"/>
              </w:rPr>
            </w:pPr>
            <w:r>
              <w:rPr>
                <w:rFonts w:ascii="Arial" w:cs="Arial" w:eastAsia="Arial" w:hAnsi="Arial"/>
                <w:sz w:val="10"/>
                <w:szCs w:val="10"/>
                <w:color w:val="auto"/>
              </w:rPr>
              <w:t>Contingent Life</w:t>
            </w:r>
          </w:p>
        </w:tc>
        <w:tc>
          <w:tcPr>
            <w:tcW w:w="640" w:type="dxa"/>
            <w:vAlign w:val="bottom"/>
            <w:gridSpan w:val="2"/>
            <w:vMerge w:val="restart"/>
          </w:tcPr>
          <w:p>
            <w:pPr>
              <w:jc w:val="right"/>
              <w:ind w:right="320"/>
              <w:spacing w:after="0"/>
              <w:rPr>
                <w:sz w:val="20"/>
                <w:szCs w:val="20"/>
                <w:color w:val="auto"/>
              </w:rPr>
            </w:pPr>
            <w:r>
              <w:rPr>
                <w:rFonts w:ascii="Arial" w:cs="Arial" w:eastAsia="Arial" w:hAnsi="Arial"/>
                <w:sz w:val="10"/>
                <w:szCs w:val="10"/>
                <w:color w:val="auto"/>
                <w:w w:val="88"/>
              </w:rPr>
              <w:t>Pop-Up</w:t>
            </w:r>
          </w:p>
        </w:tc>
        <w:tc>
          <w:tcPr>
            <w:tcW w:w="1300" w:type="dxa"/>
            <w:vAlign w:val="bottom"/>
            <w:gridSpan w:val="3"/>
            <w:vMerge w:val="restart"/>
          </w:tcPr>
          <w:p>
            <w:pPr>
              <w:jc w:val="right"/>
              <w:ind w:right="420"/>
              <w:spacing w:after="0"/>
              <w:rPr>
                <w:sz w:val="20"/>
                <w:szCs w:val="20"/>
                <w:color w:val="auto"/>
              </w:rPr>
            </w:pPr>
            <w:r>
              <w:rPr>
                <w:rFonts w:ascii="Arial" w:cs="Arial" w:eastAsia="Arial" w:hAnsi="Arial"/>
                <w:sz w:val="10"/>
                <w:szCs w:val="10"/>
                <w:color w:val="auto"/>
                <w:w w:val="89"/>
              </w:rPr>
              <w:t>Refund Death Benefit</w:t>
            </w:r>
          </w:p>
        </w:tc>
        <w:tc>
          <w:tcPr>
            <w:tcW w:w="0" w:type="dxa"/>
            <w:vAlign w:val="bottom"/>
          </w:tcPr>
          <w:p>
            <w:pPr>
              <w:spacing w:after="0"/>
              <w:rPr>
                <w:sz w:val="1"/>
                <w:szCs w:val="1"/>
                <w:color w:val="auto"/>
              </w:rPr>
            </w:pPr>
          </w:p>
        </w:tc>
      </w:tr>
      <w:tr>
        <w:trPr>
          <w:trHeight w:val="93"/>
        </w:trPr>
        <w:tc>
          <w:tcPr>
            <w:tcW w:w="2660" w:type="dxa"/>
            <w:vAlign w:val="bottom"/>
            <w:gridSpan w:val="2"/>
            <w:vMerge w:val="continue"/>
          </w:tcPr>
          <w:p>
            <w:pPr>
              <w:spacing w:after="0"/>
              <w:rPr>
                <w:sz w:val="8"/>
                <w:szCs w:val="8"/>
                <w:color w:val="auto"/>
              </w:rPr>
            </w:pPr>
          </w:p>
        </w:tc>
        <w:tc>
          <w:tcPr>
            <w:tcW w:w="340" w:type="dxa"/>
            <w:vAlign w:val="bottom"/>
            <w:tcBorders>
              <w:top w:val="single" w:sz="8" w:color="auto"/>
            </w:tcBorders>
          </w:tcPr>
          <w:p>
            <w:pPr>
              <w:spacing w:after="0" w:line="93" w:lineRule="exact"/>
              <w:rPr>
                <w:sz w:val="20"/>
                <w:szCs w:val="20"/>
                <w:color w:val="auto"/>
              </w:rPr>
            </w:pPr>
            <w:r>
              <w:rPr>
                <w:rFonts w:ascii="Arial" w:cs="Arial" w:eastAsia="Arial" w:hAnsi="Arial"/>
                <w:sz w:val="10"/>
                <w:szCs w:val="10"/>
                <w:color w:val="auto"/>
                <w:w w:val="86"/>
              </w:rPr>
              <w:t>Amount</w:t>
            </w:r>
          </w:p>
        </w:tc>
        <w:tc>
          <w:tcPr>
            <w:tcW w:w="100" w:type="dxa"/>
            <w:vAlign w:val="bottom"/>
            <w:gridSpan w:val="2"/>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Borders>
              <w:top w:val="single" w:sz="8" w:color="auto"/>
            </w:tcBorders>
            <w:gridSpan w:val="2"/>
          </w:tcPr>
          <w:p>
            <w:pPr>
              <w:spacing w:after="0" w:line="93" w:lineRule="exact"/>
              <w:rPr>
                <w:sz w:val="20"/>
                <w:szCs w:val="20"/>
                <w:color w:val="auto"/>
              </w:rPr>
            </w:pPr>
            <w:r>
              <w:rPr>
                <w:rFonts w:ascii="Arial" w:cs="Arial" w:eastAsia="Arial" w:hAnsi="Arial"/>
                <w:sz w:val="10"/>
                <w:szCs w:val="10"/>
                <w:color w:val="auto"/>
              </w:rPr>
              <w:t>Amount</w:t>
            </w:r>
          </w:p>
        </w:tc>
        <w:tc>
          <w:tcPr>
            <w:tcW w:w="160" w:type="dxa"/>
            <w:vAlign w:val="bottom"/>
          </w:tcPr>
          <w:p>
            <w:pPr>
              <w:spacing w:after="0"/>
              <w:rPr>
                <w:sz w:val="8"/>
                <w:szCs w:val="8"/>
                <w:color w:val="auto"/>
              </w:rPr>
            </w:pPr>
          </w:p>
        </w:tc>
        <w:tc>
          <w:tcPr>
            <w:tcW w:w="440" w:type="dxa"/>
            <w:vAlign w:val="bottom"/>
            <w:tcBorders>
              <w:top w:val="single" w:sz="8" w:color="auto"/>
            </w:tcBorders>
          </w:tcPr>
          <w:p>
            <w:pPr>
              <w:jc w:val="right"/>
              <w:spacing w:after="0" w:line="93" w:lineRule="exact"/>
              <w:rPr>
                <w:sz w:val="20"/>
                <w:szCs w:val="20"/>
                <w:color w:val="auto"/>
              </w:rPr>
            </w:pPr>
            <w:r>
              <w:rPr>
                <w:rFonts w:ascii="Arial" w:cs="Arial" w:eastAsia="Arial" w:hAnsi="Arial"/>
                <w:sz w:val="10"/>
                <w:szCs w:val="10"/>
                <w:color w:val="auto"/>
                <w:w w:val="78"/>
              </w:rPr>
              <w:t>Life Amount</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Borders>
              <w:top w:val="single" w:sz="8" w:color="auto"/>
            </w:tcBorders>
            <w:gridSpan w:val="2"/>
          </w:tcPr>
          <w:p>
            <w:pPr>
              <w:spacing w:after="0" w:line="93" w:lineRule="exact"/>
              <w:rPr>
                <w:sz w:val="20"/>
                <w:szCs w:val="20"/>
                <w:color w:val="auto"/>
              </w:rPr>
            </w:pPr>
            <w:r>
              <w:rPr>
                <w:rFonts w:ascii="Arial" w:cs="Arial" w:eastAsia="Arial" w:hAnsi="Arial"/>
                <w:sz w:val="10"/>
                <w:szCs w:val="10"/>
                <w:color w:val="auto"/>
              </w:rPr>
              <w:t>Amount</w:t>
            </w:r>
          </w:p>
        </w:tc>
        <w:tc>
          <w:tcPr>
            <w:tcW w:w="60" w:type="dxa"/>
            <w:vAlign w:val="bottom"/>
          </w:tcPr>
          <w:p>
            <w:pPr>
              <w:spacing w:after="0"/>
              <w:rPr>
                <w:sz w:val="8"/>
                <w:szCs w:val="8"/>
                <w:color w:val="auto"/>
              </w:rPr>
            </w:pPr>
          </w:p>
        </w:tc>
        <w:tc>
          <w:tcPr>
            <w:tcW w:w="540" w:type="dxa"/>
            <w:vAlign w:val="bottom"/>
            <w:tcBorders>
              <w:top w:val="single" w:sz="8" w:color="auto"/>
            </w:tcBorders>
            <w:gridSpan w:val="2"/>
          </w:tcPr>
          <w:p>
            <w:pPr>
              <w:spacing w:after="0" w:line="93" w:lineRule="exact"/>
              <w:rPr>
                <w:sz w:val="20"/>
                <w:szCs w:val="20"/>
                <w:color w:val="auto"/>
              </w:rPr>
            </w:pPr>
            <w:r>
              <w:rPr>
                <w:rFonts w:ascii="Arial" w:cs="Arial" w:eastAsia="Arial" w:hAnsi="Arial"/>
                <w:sz w:val="10"/>
                <w:szCs w:val="10"/>
                <w:color w:val="auto"/>
              </w:rPr>
              <w:t>Amount</w:t>
            </w:r>
          </w:p>
        </w:tc>
        <w:tc>
          <w:tcPr>
            <w:tcW w:w="140" w:type="dxa"/>
            <w:vAlign w:val="bottom"/>
          </w:tcPr>
          <w:p>
            <w:pPr>
              <w:spacing w:after="0"/>
              <w:rPr>
                <w:sz w:val="8"/>
                <w:szCs w:val="8"/>
                <w:color w:val="auto"/>
              </w:rPr>
            </w:pPr>
          </w:p>
        </w:tc>
        <w:tc>
          <w:tcPr>
            <w:tcW w:w="640" w:type="dxa"/>
            <w:vAlign w:val="bottom"/>
            <w:gridSpan w:val="2"/>
            <w:vMerge w:val="continue"/>
          </w:tcPr>
          <w:p>
            <w:pPr>
              <w:spacing w:after="0"/>
              <w:rPr>
                <w:sz w:val="8"/>
                <w:szCs w:val="8"/>
                <w:color w:val="auto"/>
              </w:rPr>
            </w:pPr>
          </w:p>
        </w:tc>
        <w:tc>
          <w:tcPr>
            <w:tcW w:w="900" w:type="dxa"/>
            <w:vAlign w:val="bottom"/>
            <w:gridSpan w:val="3"/>
            <w:vMerge w:val="continue"/>
          </w:tcPr>
          <w:p>
            <w:pPr>
              <w:spacing w:after="0"/>
              <w:rPr>
                <w:sz w:val="8"/>
                <w:szCs w:val="8"/>
                <w:color w:val="auto"/>
              </w:rPr>
            </w:pPr>
          </w:p>
        </w:tc>
        <w:tc>
          <w:tcPr>
            <w:tcW w:w="6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640" w:type="dxa"/>
            <w:vAlign w:val="bottom"/>
            <w:gridSpan w:val="2"/>
            <w:vMerge w:val="continue"/>
          </w:tcPr>
          <w:p>
            <w:pPr>
              <w:spacing w:after="0"/>
              <w:rPr>
                <w:sz w:val="8"/>
                <w:szCs w:val="8"/>
                <w:color w:val="auto"/>
              </w:rPr>
            </w:pPr>
          </w:p>
        </w:tc>
        <w:tc>
          <w:tcPr>
            <w:tcW w:w="130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86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40"/>
          </w:cols>
          <w:pgMar w:left="240" w:top="549" w:right="619" w:bottom="1440" w:gutter="0" w:footer="0" w:header="0"/>
        </w:sectPr>
      </w:pPr>
    </w:p>
    <w:bookmarkStart w:id="173" w:name="page174"/>
    <w:bookmarkEnd w:id="173"/>
    <w:p>
      <w:pPr>
        <w:spacing w:after="0"/>
        <w:rPr>
          <w:sz w:val="20"/>
          <w:szCs w:val="20"/>
          <w:color w:val="auto"/>
        </w:rPr>
      </w:pPr>
      <w:r>
        <w:rPr>
          <w:rFonts w:ascii="Arial" w:cs="Arial" w:eastAsia="Arial" w:hAnsi="Arial"/>
          <w:sz w:val="17"/>
          <w:szCs w:val="17"/>
          <w:b w:val="1"/>
          <w:bCs w:val="1"/>
          <w:u w:val="single" w:color="auto"/>
          <w:color w:val="auto"/>
        </w:rPr>
        <w:t>Schedule 1 to Appendix 2.7</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ANNUITY EXHIBIT SAMPLE</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GA-XXXX</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Vita</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Annuitants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Annuity Commencement Date is Month 1, 20XX</w:t>
      </w:r>
    </w:p>
    <w:p>
      <w:pPr>
        <w:spacing w:after="0" w:line="248" w:lineRule="exact"/>
        <w:rPr>
          <w:sz w:val="20"/>
          <w:szCs w:val="20"/>
          <w:color w:val="auto"/>
        </w:rPr>
      </w:pPr>
    </w:p>
    <w:p>
      <w:pPr>
        <w:ind w:left="20"/>
        <w:spacing w:after="0"/>
        <w:rPr>
          <w:sz w:val="20"/>
          <w:szCs w:val="20"/>
          <w:color w:val="auto"/>
        </w:rPr>
      </w:pPr>
      <w:r>
        <w:rPr>
          <w:rFonts w:ascii="Arial" w:cs="Arial" w:eastAsia="Arial" w:hAnsi="Arial"/>
          <w:sz w:val="10"/>
          <w:szCs w:val="10"/>
          <w:b w:val="1"/>
          <w:bCs w:val="1"/>
          <w:color w:val="auto"/>
        </w:rPr>
        <w:t xml:space="preserve">Indicator if field is applicable to each annuity form. </w:t>
      </w:r>
      <w:r>
        <w:rPr>
          <w:rFonts w:ascii="Arial" w:cs="Arial" w:eastAsia="Arial" w:hAnsi="Arial"/>
          <w:sz w:val="10"/>
          <w:szCs w:val="10"/>
          <w:b w:val="1"/>
          <w:bCs w:val="1"/>
          <w:color w:val="FF0000"/>
        </w:rPr>
        <w:t>This is linked to the Exhibit</w:t>
      </w:r>
      <w:r>
        <w:rPr>
          <w:rFonts w:ascii="Arial" w:cs="Arial" w:eastAsia="Arial" w:hAnsi="Arial"/>
          <w:sz w:val="10"/>
          <w:szCs w:val="10"/>
          <w:b w:val="1"/>
          <w:bCs w:val="1"/>
          <w:color w:val="auto"/>
        </w:rPr>
        <w:t xml:space="preserve"> </w:t>
      </w:r>
      <w:r>
        <w:rPr>
          <w:rFonts w:ascii="Arial" w:cs="Arial" w:eastAsia="Arial" w:hAnsi="Arial"/>
          <w:sz w:val="10"/>
          <w:szCs w:val="10"/>
          <w:color w:val="auto"/>
        </w:rPr>
        <w:t>(1=Yes)</w:t>
      </w:r>
    </w:p>
    <w:p>
      <w:pPr>
        <w:spacing w:after="0" w:line="91" w:lineRule="exact"/>
        <w:rPr>
          <w:sz w:val="20"/>
          <w:szCs w:val="20"/>
          <w:color w:val="auto"/>
        </w:rPr>
      </w:pPr>
    </w:p>
    <w:tbl>
      <w:tblPr>
        <w:tblLayout w:type="fixed"/>
        <w:tblInd w:w="20" w:type="dxa"/>
        <w:tblCellMar>
          <w:top w:w="0" w:type="dxa"/>
          <w:left w:w="0" w:type="dxa"/>
          <w:bottom w:w="0" w:type="dxa"/>
          <w:right w:w="0" w:type="dxa"/>
        </w:tblCellMar>
      </w:tblPr>
      <w:tr>
        <w:trPr>
          <w:trHeight w:val="127"/>
        </w:trPr>
        <w:tc>
          <w:tcPr>
            <w:tcW w:w="2320" w:type="dxa"/>
            <w:vAlign w:val="bottom"/>
            <w:gridSpan w:val="2"/>
          </w:tcPr>
          <w:p>
            <w:pPr>
              <w:spacing w:after="0"/>
              <w:rPr>
                <w:sz w:val="20"/>
                <w:szCs w:val="20"/>
                <w:color w:val="auto"/>
              </w:rPr>
            </w:pPr>
            <w:r>
              <w:rPr>
                <w:rFonts w:ascii="Arial" w:cs="Arial" w:eastAsia="Arial" w:hAnsi="Arial"/>
                <w:sz w:val="10"/>
                <w:szCs w:val="10"/>
                <w:color w:val="auto"/>
              </w:rPr>
              <w:t>Spousal Joint and Survivor Life Annuity</w:t>
            </w:r>
          </w:p>
        </w:tc>
        <w:tc>
          <w:tcPr>
            <w:tcW w:w="680" w:type="dxa"/>
            <w:vAlign w:val="bottom"/>
          </w:tcPr>
          <w:p>
            <w:pPr>
              <w:jc w:val="right"/>
              <w:spacing w:after="0"/>
              <w:rPr>
                <w:sz w:val="20"/>
                <w:szCs w:val="20"/>
                <w:color w:val="auto"/>
              </w:rPr>
            </w:pPr>
            <w:r>
              <w:rPr>
                <w:rFonts w:ascii="Arial" w:cs="Arial" w:eastAsia="Arial" w:hAnsi="Arial"/>
                <w:sz w:val="10"/>
                <w:szCs w:val="10"/>
                <w:color w:val="auto"/>
              </w:rPr>
              <w:t>1</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jc w:val="right"/>
              <w:ind w:right="90"/>
              <w:spacing w:after="0"/>
              <w:rPr>
                <w:sz w:val="20"/>
                <w:szCs w:val="20"/>
                <w:color w:val="auto"/>
              </w:rPr>
            </w:pPr>
            <w:r>
              <w:rPr>
                <w:rFonts w:ascii="Arial" w:cs="Arial" w:eastAsia="Arial" w:hAnsi="Arial"/>
                <w:sz w:val="10"/>
                <w:szCs w:val="10"/>
                <w:color w:val="auto"/>
              </w:rPr>
              <w:t>1</w:t>
            </w: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rPr>
              <w:t>0</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jc w:val="right"/>
              <w:ind w:right="90"/>
              <w:spacing w:after="0"/>
              <w:rPr>
                <w:sz w:val="20"/>
                <w:szCs w:val="20"/>
                <w:color w:val="auto"/>
              </w:rPr>
            </w:pPr>
            <w:r>
              <w:rPr>
                <w:rFonts w:ascii="Arial" w:cs="Arial" w:eastAsia="Arial" w:hAnsi="Arial"/>
                <w:sz w:val="10"/>
                <w:szCs w:val="10"/>
                <w:color w:val="auto"/>
              </w:rPr>
              <w:t>1</w:t>
            </w:r>
          </w:p>
        </w:tc>
        <w:tc>
          <w:tcPr>
            <w:tcW w:w="620" w:type="dxa"/>
            <w:vAlign w:val="bottom"/>
            <w:gridSpan w:val="3"/>
          </w:tcPr>
          <w:p>
            <w:pPr>
              <w:jc w:val="right"/>
              <w:ind w:right="80"/>
              <w:spacing w:after="0"/>
              <w:rPr>
                <w:sz w:val="20"/>
                <w:szCs w:val="20"/>
                <w:color w:val="auto"/>
              </w:rPr>
            </w:pPr>
            <w:r>
              <w:rPr>
                <w:rFonts w:ascii="Arial" w:cs="Arial" w:eastAsia="Arial" w:hAnsi="Arial"/>
                <w:sz w:val="10"/>
                <w:szCs w:val="10"/>
                <w:color w:val="auto"/>
              </w:rPr>
              <w:t>1</w:t>
            </w:r>
          </w:p>
        </w:tc>
        <w:tc>
          <w:tcPr>
            <w:tcW w:w="880" w:type="dxa"/>
            <w:vAlign w:val="bottom"/>
            <w:gridSpan w:val="4"/>
          </w:tcPr>
          <w:p>
            <w:pPr>
              <w:jc w:val="right"/>
              <w:ind w:right="60"/>
              <w:spacing w:after="0"/>
              <w:rPr>
                <w:sz w:val="20"/>
                <w:szCs w:val="20"/>
                <w:color w:val="auto"/>
              </w:rPr>
            </w:pPr>
            <w:r>
              <w:rPr>
                <w:rFonts w:ascii="Arial" w:cs="Arial" w:eastAsia="Arial" w:hAnsi="Arial"/>
                <w:sz w:val="10"/>
                <w:szCs w:val="10"/>
                <w:color w:val="auto"/>
              </w:rPr>
              <w:t>0</w:t>
            </w:r>
          </w:p>
        </w:tc>
        <w:tc>
          <w:tcPr>
            <w:tcW w:w="60" w:type="dxa"/>
            <w:vAlign w:val="bottom"/>
          </w:tcPr>
          <w:p>
            <w:pPr>
              <w:spacing w:after="0"/>
              <w:rPr>
                <w:sz w:val="11"/>
                <w:szCs w:val="11"/>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0"/>
                <w:szCs w:val="10"/>
                <w:color w:val="auto"/>
              </w:rPr>
              <w:t>1</w:t>
            </w:r>
          </w:p>
        </w:tc>
        <w:tc>
          <w:tcPr>
            <w:tcW w:w="760" w:type="dxa"/>
            <w:vAlign w:val="bottom"/>
            <w:gridSpan w:val="2"/>
          </w:tcPr>
          <w:p>
            <w:pPr>
              <w:jc w:val="right"/>
              <w:ind w:right="120"/>
              <w:spacing w:after="0"/>
              <w:rPr>
                <w:sz w:val="20"/>
                <w:szCs w:val="20"/>
                <w:color w:val="auto"/>
              </w:rPr>
            </w:pPr>
            <w:r>
              <w:rPr>
                <w:rFonts w:ascii="Arial" w:cs="Arial" w:eastAsia="Arial" w:hAnsi="Arial"/>
                <w:sz w:val="10"/>
                <w:szCs w:val="10"/>
                <w:color w:val="auto"/>
              </w:rPr>
              <w:t>1</w:t>
            </w:r>
          </w:p>
        </w:tc>
        <w:tc>
          <w:tcPr>
            <w:tcW w:w="700" w:type="dxa"/>
            <w:vAlign w:val="bottom"/>
            <w:gridSpan w:val="2"/>
          </w:tcPr>
          <w:p>
            <w:pPr>
              <w:jc w:val="right"/>
              <w:ind w:right="60"/>
              <w:spacing w:after="0"/>
              <w:rPr>
                <w:sz w:val="20"/>
                <w:szCs w:val="20"/>
                <w:color w:val="auto"/>
              </w:rPr>
            </w:pPr>
            <w:r>
              <w:rPr>
                <w:rFonts w:ascii="Arial" w:cs="Arial" w:eastAsia="Arial" w:hAnsi="Arial"/>
                <w:sz w:val="10"/>
                <w:szCs w:val="10"/>
                <w:color w:val="auto"/>
              </w:rPr>
              <w:t>1</w:t>
            </w:r>
          </w:p>
        </w:tc>
        <w:tc>
          <w:tcPr>
            <w:tcW w:w="700" w:type="dxa"/>
            <w:vAlign w:val="bottom"/>
            <w:gridSpan w:val="2"/>
          </w:tcPr>
          <w:p>
            <w:pPr>
              <w:jc w:val="right"/>
              <w:ind w:right="20"/>
              <w:spacing w:after="0"/>
              <w:rPr>
                <w:sz w:val="20"/>
                <w:szCs w:val="20"/>
                <w:color w:val="auto"/>
              </w:rPr>
            </w:pPr>
            <w:r>
              <w:rPr>
                <w:rFonts w:ascii="Arial" w:cs="Arial" w:eastAsia="Arial" w:hAnsi="Arial"/>
                <w:sz w:val="10"/>
                <w:szCs w:val="10"/>
                <w:color w:val="auto"/>
              </w:rPr>
              <w:t>1</w:t>
            </w:r>
          </w:p>
        </w:tc>
        <w:tc>
          <w:tcPr>
            <w:tcW w:w="100" w:type="dxa"/>
            <w:vAlign w:val="bottom"/>
          </w:tcPr>
          <w:p>
            <w:pPr>
              <w:spacing w:after="0"/>
              <w:rPr>
                <w:sz w:val="11"/>
                <w:szCs w:val="11"/>
                <w:color w:val="auto"/>
              </w:rPr>
            </w:pPr>
          </w:p>
        </w:tc>
        <w:tc>
          <w:tcPr>
            <w:tcW w:w="980" w:type="dxa"/>
            <w:vAlign w:val="bottom"/>
            <w:gridSpan w:val="3"/>
          </w:tcPr>
          <w:p>
            <w:pPr>
              <w:jc w:val="right"/>
              <w:spacing w:after="0"/>
              <w:rPr>
                <w:sz w:val="20"/>
                <w:szCs w:val="20"/>
                <w:color w:val="auto"/>
              </w:rPr>
            </w:pPr>
            <w:r>
              <w:rPr>
                <w:rFonts w:ascii="Arial" w:cs="Arial" w:eastAsia="Arial" w:hAnsi="Arial"/>
                <w:sz w:val="10"/>
                <w:szCs w:val="10"/>
                <w:color w:val="auto"/>
              </w:rPr>
              <w:t>0</w:t>
            </w:r>
          </w:p>
        </w:tc>
        <w:tc>
          <w:tcPr>
            <w:tcW w:w="0" w:type="dxa"/>
            <w:vAlign w:val="bottom"/>
          </w:tcPr>
          <w:p>
            <w:pPr>
              <w:spacing w:after="0"/>
              <w:rPr>
                <w:sz w:val="1"/>
                <w:szCs w:val="1"/>
                <w:color w:val="auto"/>
              </w:rPr>
            </w:pPr>
          </w:p>
        </w:tc>
      </w:tr>
      <w:tr>
        <w:trPr>
          <w:trHeight w:val="200"/>
        </w:trPr>
        <w:tc>
          <w:tcPr>
            <w:tcW w:w="2320" w:type="dxa"/>
            <w:vAlign w:val="bottom"/>
            <w:gridSpan w:val="2"/>
          </w:tcPr>
          <w:p>
            <w:pPr>
              <w:spacing w:after="0"/>
              <w:rPr>
                <w:sz w:val="20"/>
                <w:szCs w:val="20"/>
                <w:color w:val="auto"/>
              </w:rPr>
            </w:pPr>
            <w:r>
              <w:rPr>
                <w:rFonts w:ascii="Arial" w:cs="Arial" w:eastAsia="Arial" w:hAnsi="Arial"/>
                <w:sz w:val="10"/>
                <w:szCs w:val="10"/>
                <w:color w:val="auto"/>
              </w:rPr>
              <w:t>Contingent Joint and Survivor Life Annuity</w:t>
            </w:r>
          </w:p>
        </w:tc>
        <w:tc>
          <w:tcPr>
            <w:tcW w:w="680" w:type="dxa"/>
            <w:vAlign w:val="bottom"/>
          </w:tcPr>
          <w:p>
            <w:pPr>
              <w:jc w:val="right"/>
              <w:spacing w:after="0"/>
              <w:rPr>
                <w:sz w:val="20"/>
                <w:szCs w:val="20"/>
                <w:color w:val="auto"/>
              </w:rPr>
            </w:pPr>
            <w:r>
              <w:rPr>
                <w:rFonts w:ascii="Arial" w:cs="Arial" w:eastAsia="Arial" w:hAnsi="Arial"/>
                <w:sz w:val="10"/>
                <w:szCs w:val="10"/>
                <w:color w:val="auto"/>
              </w:rPr>
              <w:t>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jc w:val="right"/>
              <w:ind w:right="90"/>
              <w:spacing w:after="0"/>
              <w:rPr>
                <w:sz w:val="20"/>
                <w:szCs w:val="20"/>
                <w:color w:val="auto"/>
              </w:rPr>
            </w:pPr>
            <w:r>
              <w:rPr>
                <w:rFonts w:ascii="Arial" w:cs="Arial" w:eastAsia="Arial" w:hAnsi="Arial"/>
                <w:sz w:val="10"/>
                <w:szCs w:val="10"/>
                <w:color w:val="auto"/>
              </w:rPr>
              <w:t>1</w:t>
            </w: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rPr>
              <w:t>0</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jc w:val="right"/>
              <w:ind w:right="90"/>
              <w:spacing w:after="0"/>
              <w:rPr>
                <w:sz w:val="20"/>
                <w:szCs w:val="20"/>
                <w:color w:val="auto"/>
              </w:rPr>
            </w:pPr>
            <w:r>
              <w:rPr>
                <w:rFonts w:ascii="Arial" w:cs="Arial" w:eastAsia="Arial" w:hAnsi="Arial"/>
                <w:sz w:val="10"/>
                <w:szCs w:val="10"/>
                <w:color w:val="auto"/>
              </w:rPr>
              <w:t>1</w:t>
            </w:r>
          </w:p>
        </w:tc>
        <w:tc>
          <w:tcPr>
            <w:tcW w:w="620" w:type="dxa"/>
            <w:vAlign w:val="bottom"/>
            <w:gridSpan w:val="3"/>
          </w:tcPr>
          <w:p>
            <w:pPr>
              <w:jc w:val="right"/>
              <w:ind w:right="80"/>
              <w:spacing w:after="0"/>
              <w:rPr>
                <w:sz w:val="20"/>
                <w:szCs w:val="20"/>
                <w:color w:val="auto"/>
              </w:rPr>
            </w:pPr>
            <w:r>
              <w:rPr>
                <w:rFonts w:ascii="Arial" w:cs="Arial" w:eastAsia="Arial" w:hAnsi="Arial"/>
                <w:sz w:val="10"/>
                <w:szCs w:val="10"/>
                <w:color w:val="auto"/>
              </w:rPr>
              <w:t>1</w:t>
            </w:r>
          </w:p>
        </w:tc>
        <w:tc>
          <w:tcPr>
            <w:tcW w:w="880" w:type="dxa"/>
            <w:vAlign w:val="bottom"/>
            <w:gridSpan w:val="4"/>
          </w:tcPr>
          <w:p>
            <w:pPr>
              <w:jc w:val="right"/>
              <w:ind w:right="60"/>
              <w:spacing w:after="0"/>
              <w:rPr>
                <w:sz w:val="20"/>
                <w:szCs w:val="20"/>
                <w:color w:val="auto"/>
              </w:rPr>
            </w:pPr>
            <w:r>
              <w:rPr>
                <w:rFonts w:ascii="Arial" w:cs="Arial" w:eastAsia="Arial" w:hAnsi="Arial"/>
                <w:sz w:val="10"/>
                <w:szCs w:val="10"/>
                <w:color w:val="auto"/>
              </w:rPr>
              <w:t>0</w:t>
            </w:r>
          </w:p>
        </w:tc>
        <w:tc>
          <w:tcPr>
            <w:tcW w:w="6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0"/>
                <w:szCs w:val="10"/>
                <w:color w:val="auto"/>
              </w:rPr>
              <w:t>1</w:t>
            </w:r>
          </w:p>
        </w:tc>
        <w:tc>
          <w:tcPr>
            <w:tcW w:w="760" w:type="dxa"/>
            <w:vAlign w:val="bottom"/>
            <w:gridSpan w:val="2"/>
          </w:tcPr>
          <w:p>
            <w:pPr>
              <w:jc w:val="right"/>
              <w:ind w:right="120"/>
              <w:spacing w:after="0"/>
              <w:rPr>
                <w:sz w:val="20"/>
                <w:szCs w:val="20"/>
                <w:color w:val="auto"/>
              </w:rPr>
            </w:pPr>
            <w:r>
              <w:rPr>
                <w:rFonts w:ascii="Arial" w:cs="Arial" w:eastAsia="Arial" w:hAnsi="Arial"/>
                <w:sz w:val="10"/>
                <w:szCs w:val="10"/>
                <w:color w:val="auto"/>
              </w:rPr>
              <w:t>1</w:t>
            </w:r>
          </w:p>
        </w:tc>
        <w:tc>
          <w:tcPr>
            <w:tcW w:w="700" w:type="dxa"/>
            <w:vAlign w:val="bottom"/>
            <w:gridSpan w:val="2"/>
          </w:tcPr>
          <w:p>
            <w:pPr>
              <w:jc w:val="right"/>
              <w:ind w:right="60"/>
              <w:spacing w:after="0"/>
              <w:rPr>
                <w:sz w:val="20"/>
                <w:szCs w:val="20"/>
                <w:color w:val="auto"/>
              </w:rPr>
            </w:pPr>
            <w:r>
              <w:rPr>
                <w:rFonts w:ascii="Arial" w:cs="Arial" w:eastAsia="Arial" w:hAnsi="Arial"/>
                <w:sz w:val="10"/>
                <w:szCs w:val="10"/>
                <w:color w:val="auto"/>
              </w:rPr>
              <w:t>1</w:t>
            </w:r>
          </w:p>
        </w:tc>
        <w:tc>
          <w:tcPr>
            <w:tcW w:w="700" w:type="dxa"/>
            <w:vAlign w:val="bottom"/>
            <w:gridSpan w:val="2"/>
          </w:tcPr>
          <w:p>
            <w:pPr>
              <w:jc w:val="right"/>
              <w:ind w:right="20"/>
              <w:spacing w:after="0"/>
              <w:rPr>
                <w:sz w:val="20"/>
                <w:szCs w:val="20"/>
                <w:color w:val="auto"/>
              </w:rPr>
            </w:pPr>
            <w:r>
              <w:rPr>
                <w:rFonts w:ascii="Arial" w:cs="Arial" w:eastAsia="Arial" w:hAnsi="Arial"/>
                <w:sz w:val="10"/>
                <w:szCs w:val="10"/>
                <w:color w:val="auto"/>
              </w:rPr>
              <w:t>1</w:t>
            </w:r>
          </w:p>
        </w:tc>
        <w:tc>
          <w:tcPr>
            <w:tcW w:w="100" w:type="dxa"/>
            <w:vAlign w:val="bottom"/>
          </w:tcPr>
          <w:p>
            <w:pPr>
              <w:spacing w:after="0"/>
              <w:rPr>
                <w:sz w:val="17"/>
                <w:szCs w:val="17"/>
                <w:color w:val="auto"/>
              </w:rPr>
            </w:pPr>
          </w:p>
        </w:tc>
        <w:tc>
          <w:tcPr>
            <w:tcW w:w="980" w:type="dxa"/>
            <w:vAlign w:val="bottom"/>
            <w:gridSpan w:val="3"/>
          </w:tcPr>
          <w:p>
            <w:pPr>
              <w:jc w:val="right"/>
              <w:spacing w:after="0"/>
              <w:rPr>
                <w:sz w:val="20"/>
                <w:szCs w:val="20"/>
                <w:color w:val="auto"/>
              </w:rPr>
            </w:pPr>
            <w:r>
              <w:rPr>
                <w:rFonts w:ascii="Arial" w:cs="Arial" w:eastAsia="Arial" w:hAnsi="Arial"/>
                <w:sz w:val="10"/>
                <w:szCs w:val="10"/>
                <w:color w:val="auto"/>
              </w:rPr>
              <w:t>0</w:t>
            </w:r>
          </w:p>
        </w:tc>
        <w:tc>
          <w:tcPr>
            <w:tcW w:w="0" w:type="dxa"/>
            <w:vAlign w:val="bottom"/>
          </w:tcPr>
          <w:p>
            <w:pPr>
              <w:spacing w:after="0"/>
              <w:rPr>
                <w:sz w:val="1"/>
                <w:szCs w:val="1"/>
                <w:color w:val="auto"/>
              </w:rPr>
            </w:pPr>
          </w:p>
        </w:tc>
      </w:tr>
      <w:tr>
        <w:trPr>
          <w:trHeight w:val="200"/>
        </w:trPr>
        <w:tc>
          <w:tcPr>
            <w:tcW w:w="2320" w:type="dxa"/>
            <w:vAlign w:val="bottom"/>
            <w:gridSpan w:val="2"/>
          </w:tcPr>
          <w:p>
            <w:pPr>
              <w:spacing w:after="0"/>
              <w:rPr>
                <w:sz w:val="20"/>
                <w:szCs w:val="20"/>
                <w:color w:val="auto"/>
              </w:rPr>
            </w:pPr>
            <w:r>
              <w:rPr>
                <w:rFonts w:ascii="Arial" w:cs="Arial" w:eastAsia="Arial" w:hAnsi="Arial"/>
                <w:sz w:val="10"/>
                <w:szCs w:val="10"/>
                <w:color w:val="auto"/>
              </w:rPr>
              <w:t>Single Life Annuity</w:t>
            </w:r>
          </w:p>
        </w:tc>
        <w:tc>
          <w:tcPr>
            <w:tcW w:w="680" w:type="dxa"/>
            <w:vAlign w:val="bottom"/>
          </w:tcPr>
          <w:p>
            <w:pPr>
              <w:jc w:val="right"/>
              <w:spacing w:after="0"/>
              <w:rPr>
                <w:sz w:val="20"/>
                <w:szCs w:val="20"/>
                <w:color w:val="auto"/>
              </w:rPr>
            </w:pPr>
            <w:r>
              <w:rPr>
                <w:rFonts w:ascii="Arial" w:cs="Arial" w:eastAsia="Arial" w:hAnsi="Arial"/>
                <w:sz w:val="10"/>
                <w:szCs w:val="10"/>
                <w:color w:val="auto"/>
              </w:rPr>
              <w:t>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jc w:val="right"/>
              <w:ind w:right="90"/>
              <w:spacing w:after="0"/>
              <w:rPr>
                <w:sz w:val="20"/>
                <w:szCs w:val="20"/>
                <w:color w:val="auto"/>
              </w:rPr>
            </w:pPr>
            <w:r>
              <w:rPr>
                <w:rFonts w:ascii="Arial" w:cs="Arial" w:eastAsia="Arial" w:hAnsi="Arial"/>
                <w:sz w:val="10"/>
                <w:szCs w:val="10"/>
                <w:color w:val="auto"/>
              </w:rPr>
              <w:t>0</w:t>
            </w: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rPr>
              <w:t>1</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jc w:val="right"/>
              <w:ind w:right="90"/>
              <w:spacing w:after="0"/>
              <w:rPr>
                <w:sz w:val="20"/>
                <w:szCs w:val="20"/>
                <w:color w:val="auto"/>
              </w:rPr>
            </w:pPr>
            <w:r>
              <w:rPr>
                <w:rFonts w:ascii="Arial" w:cs="Arial" w:eastAsia="Arial" w:hAnsi="Arial"/>
                <w:sz w:val="10"/>
                <w:szCs w:val="10"/>
                <w:color w:val="auto"/>
              </w:rPr>
              <w:t>0</w:t>
            </w:r>
          </w:p>
        </w:tc>
        <w:tc>
          <w:tcPr>
            <w:tcW w:w="620" w:type="dxa"/>
            <w:vAlign w:val="bottom"/>
            <w:gridSpan w:val="3"/>
          </w:tcPr>
          <w:p>
            <w:pPr>
              <w:jc w:val="right"/>
              <w:ind w:right="80"/>
              <w:spacing w:after="0"/>
              <w:rPr>
                <w:sz w:val="20"/>
                <w:szCs w:val="20"/>
                <w:color w:val="auto"/>
              </w:rPr>
            </w:pPr>
            <w:r>
              <w:rPr>
                <w:rFonts w:ascii="Arial" w:cs="Arial" w:eastAsia="Arial" w:hAnsi="Arial"/>
                <w:sz w:val="10"/>
                <w:szCs w:val="10"/>
                <w:color w:val="auto"/>
              </w:rPr>
              <w:t>1</w:t>
            </w:r>
          </w:p>
        </w:tc>
        <w:tc>
          <w:tcPr>
            <w:tcW w:w="880" w:type="dxa"/>
            <w:vAlign w:val="bottom"/>
            <w:gridSpan w:val="4"/>
          </w:tcPr>
          <w:p>
            <w:pPr>
              <w:jc w:val="right"/>
              <w:ind w:right="60"/>
              <w:spacing w:after="0"/>
              <w:rPr>
                <w:sz w:val="20"/>
                <w:szCs w:val="20"/>
                <w:color w:val="auto"/>
              </w:rPr>
            </w:pPr>
            <w:r>
              <w:rPr>
                <w:rFonts w:ascii="Arial" w:cs="Arial" w:eastAsia="Arial" w:hAnsi="Arial"/>
                <w:sz w:val="10"/>
                <w:szCs w:val="10"/>
                <w:color w:val="auto"/>
              </w:rPr>
              <w:t>0</w:t>
            </w:r>
          </w:p>
        </w:tc>
        <w:tc>
          <w:tcPr>
            <w:tcW w:w="6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0"/>
                <w:szCs w:val="10"/>
                <w:color w:val="auto"/>
              </w:rPr>
              <w:t>1</w:t>
            </w:r>
          </w:p>
        </w:tc>
        <w:tc>
          <w:tcPr>
            <w:tcW w:w="760" w:type="dxa"/>
            <w:vAlign w:val="bottom"/>
            <w:gridSpan w:val="2"/>
          </w:tcPr>
          <w:p>
            <w:pPr>
              <w:jc w:val="right"/>
              <w:ind w:right="120"/>
              <w:spacing w:after="0"/>
              <w:rPr>
                <w:sz w:val="20"/>
                <w:szCs w:val="20"/>
                <w:color w:val="auto"/>
              </w:rPr>
            </w:pPr>
            <w:r>
              <w:rPr>
                <w:rFonts w:ascii="Arial" w:cs="Arial" w:eastAsia="Arial" w:hAnsi="Arial"/>
                <w:sz w:val="10"/>
                <w:szCs w:val="10"/>
                <w:color w:val="auto"/>
              </w:rPr>
              <w:t>0</w:t>
            </w:r>
          </w:p>
        </w:tc>
        <w:tc>
          <w:tcPr>
            <w:tcW w:w="700" w:type="dxa"/>
            <w:vAlign w:val="bottom"/>
            <w:gridSpan w:val="2"/>
          </w:tcPr>
          <w:p>
            <w:pPr>
              <w:jc w:val="right"/>
              <w:ind w:right="60"/>
              <w:spacing w:after="0"/>
              <w:rPr>
                <w:sz w:val="20"/>
                <w:szCs w:val="20"/>
                <w:color w:val="auto"/>
              </w:rPr>
            </w:pPr>
            <w:r>
              <w:rPr>
                <w:rFonts w:ascii="Arial" w:cs="Arial" w:eastAsia="Arial" w:hAnsi="Arial"/>
                <w:sz w:val="10"/>
                <w:szCs w:val="10"/>
                <w:color w:val="auto"/>
              </w:rPr>
              <w:t>1</w:t>
            </w:r>
          </w:p>
        </w:tc>
        <w:tc>
          <w:tcPr>
            <w:tcW w:w="700" w:type="dxa"/>
            <w:vAlign w:val="bottom"/>
            <w:gridSpan w:val="2"/>
          </w:tcPr>
          <w:p>
            <w:pPr>
              <w:jc w:val="right"/>
              <w:ind w:right="20"/>
              <w:spacing w:after="0"/>
              <w:rPr>
                <w:sz w:val="20"/>
                <w:szCs w:val="20"/>
                <w:color w:val="auto"/>
              </w:rPr>
            </w:pPr>
            <w:r>
              <w:rPr>
                <w:rFonts w:ascii="Arial" w:cs="Arial" w:eastAsia="Arial" w:hAnsi="Arial"/>
                <w:sz w:val="10"/>
                <w:szCs w:val="10"/>
                <w:color w:val="auto"/>
              </w:rPr>
              <w:t>0</w:t>
            </w:r>
          </w:p>
        </w:tc>
        <w:tc>
          <w:tcPr>
            <w:tcW w:w="100" w:type="dxa"/>
            <w:vAlign w:val="bottom"/>
          </w:tcPr>
          <w:p>
            <w:pPr>
              <w:spacing w:after="0"/>
              <w:rPr>
                <w:sz w:val="17"/>
                <w:szCs w:val="17"/>
                <w:color w:val="auto"/>
              </w:rPr>
            </w:pPr>
          </w:p>
        </w:tc>
        <w:tc>
          <w:tcPr>
            <w:tcW w:w="980" w:type="dxa"/>
            <w:vAlign w:val="bottom"/>
            <w:gridSpan w:val="3"/>
          </w:tcPr>
          <w:p>
            <w:pPr>
              <w:jc w:val="right"/>
              <w:spacing w:after="0"/>
              <w:rPr>
                <w:sz w:val="20"/>
                <w:szCs w:val="20"/>
                <w:color w:val="auto"/>
              </w:rPr>
            </w:pPr>
            <w:r>
              <w:rPr>
                <w:rFonts w:ascii="Arial" w:cs="Arial" w:eastAsia="Arial" w:hAnsi="Arial"/>
                <w:sz w:val="10"/>
                <w:szCs w:val="10"/>
                <w:color w:val="auto"/>
              </w:rPr>
              <w:t>0</w:t>
            </w:r>
          </w:p>
        </w:tc>
        <w:tc>
          <w:tcPr>
            <w:tcW w:w="0" w:type="dxa"/>
            <w:vAlign w:val="bottom"/>
          </w:tcPr>
          <w:p>
            <w:pPr>
              <w:spacing w:after="0"/>
              <w:rPr>
                <w:sz w:val="1"/>
                <w:szCs w:val="1"/>
                <w:color w:val="auto"/>
              </w:rPr>
            </w:pPr>
          </w:p>
        </w:tc>
      </w:tr>
      <w:tr>
        <w:trPr>
          <w:trHeight w:val="200"/>
        </w:trPr>
        <w:tc>
          <w:tcPr>
            <w:tcW w:w="2320" w:type="dxa"/>
            <w:vAlign w:val="bottom"/>
            <w:gridSpan w:val="2"/>
          </w:tcPr>
          <w:p>
            <w:pPr>
              <w:spacing w:after="0"/>
              <w:rPr>
                <w:sz w:val="20"/>
                <w:szCs w:val="20"/>
                <w:color w:val="auto"/>
              </w:rPr>
            </w:pPr>
            <w:r>
              <w:rPr>
                <w:rFonts w:ascii="Arial" w:cs="Arial" w:eastAsia="Arial" w:hAnsi="Arial"/>
                <w:sz w:val="10"/>
                <w:szCs w:val="10"/>
                <w:color w:val="auto"/>
              </w:rPr>
              <w:t>Single Life and Period Certain Annuity</w:t>
            </w:r>
          </w:p>
        </w:tc>
        <w:tc>
          <w:tcPr>
            <w:tcW w:w="680" w:type="dxa"/>
            <w:vAlign w:val="bottom"/>
          </w:tcPr>
          <w:p>
            <w:pPr>
              <w:jc w:val="right"/>
              <w:spacing w:after="0"/>
              <w:rPr>
                <w:sz w:val="20"/>
                <w:szCs w:val="20"/>
                <w:color w:val="auto"/>
              </w:rPr>
            </w:pPr>
            <w:r>
              <w:rPr>
                <w:rFonts w:ascii="Arial" w:cs="Arial" w:eastAsia="Arial" w:hAnsi="Arial"/>
                <w:sz w:val="10"/>
                <w:szCs w:val="10"/>
                <w:color w:val="auto"/>
              </w:rPr>
              <w:t>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jc w:val="right"/>
              <w:ind w:right="90"/>
              <w:spacing w:after="0"/>
              <w:rPr>
                <w:sz w:val="20"/>
                <w:szCs w:val="20"/>
                <w:color w:val="auto"/>
              </w:rPr>
            </w:pPr>
            <w:r>
              <w:rPr>
                <w:rFonts w:ascii="Arial" w:cs="Arial" w:eastAsia="Arial" w:hAnsi="Arial"/>
                <w:sz w:val="10"/>
                <w:szCs w:val="10"/>
                <w:color w:val="auto"/>
              </w:rPr>
              <w:t>0</w:t>
            </w: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rPr>
              <w:t>0</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jc w:val="right"/>
              <w:ind w:right="90"/>
              <w:spacing w:after="0"/>
              <w:rPr>
                <w:sz w:val="20"/>
                <w:szCs w:val="20"/>
                <w:color w:val="auto"/>
              </w:rPr>
            </w:pPr>
            <w:r>
              <w:rPr>
                <w:rFonts w:ascii="Arial" w:cs="Arial" w:eastAsia="Arial" w:hAnsi="Arial"/>
                <w:sz w:val="10"/>
                <w:szCs w:val="10"/>
                <w:color w:val="auto"/>
              </w:rPr>
              <w:t>0</w:t>
            </w:r>
          </w:p>
        </w:tc>
        <w:tc>
          <w:tcPr>
            <w:tcW w:w="620" w:type="dxa"/>
            <w:vAlign w:val="bottom"/>
            <w:gridSpan w:val="3"/>
          </w:tcPr>
          <w:p>
            <w:pPr>
              <w:jc w:val="right"/>
              <w:ind w:right="80"/>
              <w:spacing w:after="0"/>
              <w:rPr>
                <w:sz w:val="20"/>
                <w:szCs w:val="20"/>
                <w:color w:val="auto"/>
              </w:rPr>
            </w:pPr>
            <w:r>
              <w:rPr>
                <w:rFonts w:ascii="Arial" w:cs="Arial" w:eastAsia="Arial" w:hAnsi="Arial"/>
                <w:sz w:val="10"/>
                <w:szCs w:val="10"/>
                <w:color w:val="auto"/>
              </w:rPr>
              <w:t>0</w:t>
            </w:r>
          </w:p>
        </w:tc>
        <w:tc>
          <w:tcPr>
            <w:tcW w:w="880" w:type="dxa"/>
            <w:vAlign w:val="bottom"/>
            <w:gridSpan w:val="4"/>
          </w:tcPr>
          <w:p>
            <w:pPr>
              <w:jc w:val="right"/>
              <w:ind w:right="60"/>
              <w:spacing w:after="0"/>
              <w:rPr>
                <w:sz w:val="20"/>
                <w:szCs w:val="20"/>
                <w:color w:val="auto"/>
              </w:rPr>
            </w:pPr>
            <w:r>
              <w:rPr>
                <w:rFonts w:ascii="Arial" w:cs="Arial" w:eastAsia="Arial" w:hAnsi="Arial"/>
                <w:sz w:val="10"/>
                <w:szCs w:val="10"/>
                <w:color w:val="auto"/>
              </w:rPr>
              <w:t>0</w:t>
            </w:r>
          </w:p>
        </w:tc>
        <w:tc>
          <w:tcPr>
            <w:tcW w:w="6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0"/>
                <w:szCs w:val="10"/>
                <w:color w:val="auto"/>
              </w:rPr>
              <w:t>0</w:t>
            </w:r>
          </w:p>
        </w:tc>
        <w:tc>
          <w:tcPr>
            <w:tcW w:w="760" w:type="dxa"/>
            <w:vAlign w:val="bottom"/>
            <w:gridSpan w:val="2"/>
          </w:tcPr>
          <w:p>
            <w:pPr>
              <w:jc w:val="right"/>
              <w:ind w:right="120"/>
              <w:spacing w:after="0"/>
              <w:rPr>
                <w:sz w:val="20"/>
                <w:szCs w:val="20"/>
                <w:color w:val="auto"/>
              </w:rPr>
            </w:pPr>
            <w:r>
              <w:rPr>
                <w:rFonts w:ascii="Arial" w:cs="Arial" w:eastAsia="Arial" w:hAnsi="Arial"/>
                <w:sz w:val="10"/>
                <w:szCs w:val="10"/>
                <w:color w:val="auto"/>
              </w:rPr>
              <w:t>0</w:t>
            </w:r>
          </w:p>
        </w:tc>
        <w:tc>
          <w:tcPr>
            <w:tcW w:w="700" w:type="dxa"/>
            <w:vAlign w:val="bottom"/>
            <w:gridSpan w:val="2"/>
          </w:tcPr>
          <w:p>
            <w:pPr>
              <w:jc w:val="right"/>
              <w:ind w:right="60"/>
              <w:spacing w:after="0"/>
              <w:rPr>
                <w:sz w:val="20"/>
                <w:szCs w:val="20"/>
                <w:color w:val="auto"/>
              </w:rPr>
            </w:pPr>
            <w:r>
              <w:rPr>
                <w:rFonts w:ascii="Arial" w:cs="Arial" w:eastAsia="Arial" w:hAnsi="Arial"/>
                <w:sz w:val="10"/>
                <w:szCs w:val="10"/>
                <w:color w:val="auto"/>
              </w:rPr>
              <w:t>0</w:t>
            </w:r>
          </w:p>
        </w:tc>
        <w:tc>
          <w:tcPr>
            <w:tcW w:w="700" w:type="dxa"/>
            <w:vAlign w:val="bottom"/>
            <w:gridSpan w:val="2"/>
          </w:tcPr>
          <w:p>
            <w:pPr>
              <w:jc w:val="right"/>
              <w:ind w:right="20"/>
              <w:spacing w:after="0"/>
              <w:rPr>
                <w:sz w:val="20"/>
                <w:szCs w:val="20"/>
                <w:color w:val="auto"/>
              </w:rPr>
            </w:pPr>
            <w:r>
              <w:rPr>
                <w:rFonts w:ascii="Arial" w:cs="Arial" w:eastAsia="Arial" w:hAnsi="Arial"/>
                <w:sz w:val="10"/>
                <w:szCs w:val="10"/>
                <w:color w:val="auto"/>
              </w:rPr>
              <w:t>0</w:t>
            </w:r>
          </w:p>
        </w:tc>
        <w:tc>
          <w:tcPr>
            <w:tcW w:w="100" w:type="dxa"/>
            <w:vAlign w:val="bottom"/>
          </w:tcPr>
          <w:p>
            <w:pPr>
              <w:spacing w:after="0"/>
              <w:rPr>
                <w:sz w:val="17"/>
                <w:szCs w:val="17"/>
                <w:color w:val="auto"/>
              </w:rPr>
            </w:pPr>
          </w:p>
        </w:tc>
        <w:tc>
          <w:tcPr>
            <w:tcW w:w="980" w:type="dxa"/>
            <w:vAlign w:val="bottom"/>
            <w:gridSpan w:val="3"/>
          </w:tcPr>
          <w:p>
            <w:pPr>
              <w:jc w:val="right"/>
              <w:spacing w:after="0"/>
              <w:rPr>
                <w:sz w:val="20"/>
                <w:szCs w:val="20"/>
                <w:color w:val="auto"/>
              </w:rPr>
            </w:pPr>
            <w:r>
              <w:rPr>
                <w:rFonts w:ascii="Arial" w:cs="Arial" w:eastAsia="Arial" w:hAnsi="Arial"/>
                <w:sz w:val="10"/>
                <w:szCs w:val="10"/>
                <w:color w:val="auto"/>
              </w:rPr>
              <w:t>0</w:t>
            </w:r>
          </w:p>
        </w:tc>
        <w:tc>
          <w:tcPr>
            <w:tcW w:w="0" w:type="dxa"/>
            <w:vAlign w:val="bottom"/>
          </w:tcPr>
          <w:p>
            <w:pPr>
              <w:spacing w:after="0"/>
              <w:rPr>
                <w:sz w:val="1"/>
                <w:szCs w:val="1"/>
                <w:color w:val="auto"/>
              </w:rPr>
            </w:pPr>
          </w:p>
        </w:tc>
      </w:tr>
      <w:tr>
        <w:trPr>
          <w:trHeight w:val="200"/>
        </w:trPr>
        <w:tc>
          <w:tcPr>
            <w:tcW w:w="2320" w:type="dxa"/>
            <w:vAlign w:val="bottom"/>
            <w:gridSpan w:val="2"/>
          </w:tcPr>
          <w:p>
            <w:pPr>
              <w:spacing w:after="0"/>
              <w:rPr>
                <w:sz w:val="20"/>
                <w:szCs w:val="20"/>
                <w:color w:val="auto"/>
              </w:rPr>
            </w:pPr>
            <w:r>
              <w:rPr>
                <w:rFonts w:ascii="Arial" w:cs="Arial" w:eastAsia="Arial" w:hAnsi="Arial"/>
                <w:sz w:val="10"/>
                <w:szCs w:val="10"/>
                <w:color w:val="auto"/>
              </w:rPr>
              <w:t>Period Certain Annuity</w:t>
            </w:r>
          </w:p>
        </w:tc>
        <w:tc>
          <w:tcPr>
            <w:tcW w:w="680" w:type="dxa"/>
            <w:vAlign w:val="bottom"/>
          </w:tcPr>
          <w:p>
            <w:pPr>
              <w:jc w:val="right"/>
              <w:spacing w:after="0"/>
              <w:rPr>
                <w:sz w:val="20"/>
                <w:szCs w:val="20"/>
                <w:color w:val="auto"/>
              </w:rPr>
            </w:pPr>
            <w:r>
              <w:rPr>
                <w:rFonts w:ascii="Arial" w:cs="Arial" w:eastAsia="Arial" w:hAnsi="Arial"/>
                <w:sz w:val="10"/>
                <w:szCs w:val="10"/>
                <w:color w:val="auto"/>
              </w:rPr>
              <w:t>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jc w:val="right"/>
              <w:ind w:right="90"/>
              <w:spacing w:after="0"/>
              <w:rPr>
                <w:sz w:val="20"/>
                <w:szCs w:val="20"/>
                <w:color w:val="auto"/>
              </w:rPr>
            </w:pPr>
            <w:r>
              <w:rPr>
                <w:rFonts w:ascii="Arial" w:cs="Arial" w:eastAsia="Arial" w:hAnsi="Arial"/>
                <w:sz w:val="10"/>
                <w:szCs w:val="10"/>
                <w:color w:val="auto"/>
              </w:rPr>
              <w:t>0</w:t>
            </w: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rPr>
              <w:t>0</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jc w:val="right"/>
              <w:ind w:right="90"/>
              <w:spacing w:after="0"/>
              <w:rPr>
                <w:sz w:val="20"/>
                <w:szCs w:val="20"/>
                <w:color w:val="auto"/>
              </w:rPr>
            </w:pPr>
            <w:r>
              <w:rPr>
                <w:rFonts w:ascii="Arial" w:cs="Arial" w:eastAsia="Arial" w:hAnsi="Arial"/>
                <w:sz w:val="10"/>
                <w:szCs w:val="10"/>
                <w:color w:val="auto"/>
              </w:rPr>
              <w:t>0</w:t>
            </w:r>
          </w:p>
        </w:tc>
        <w:tc>
          <w:tcPr>
            <w:tcW w:w="620" w:type="dxa"/>
            <w:vAlign w:val="bottom"/>
            <w:gridSpan w:val="3"/>
          </w:tcPr>
          <w:p>
            <w:pPr>
              <w:jc w:val="right"/>
              <w:ind w:right="80"/>
              <w:spacing w:after="0"/>
              <w:rPr>
                <w:sz w:val="20"/>
                <w:szCs w:val="20"/>
                <w:color w:val="auto"/>
              </w:rPr>
            </w:pPr>
            <w:r>
              <w:rPr>
                <w:rFonts w:ascii="Arial" w:cs="Arial" w:eastAsia="Arial" w:hAnsi="Arial"/>
                <w:sz w:val="10"/>
                <w:szCs w:val="10"/>
                <w:color w:val="auto"/>
              </w:rPr>
              <w:t>0</w:t>
            </w:r>
          </w:p>
        </w:tc>
        <w:tc>
          <w:tcPr>
            <w:tcW w:w="880" w:type="dxa"/>
            <w:vAlign w:val="bottom"/>
            <w:gridSpan w:val="4"/>
          </w:tcPr>
          <w:p>
            <w:pPr>
              <w:jc w:val="right"/>
              <w:ind w:right="60"/>
              <w:spacing w:after="0"/>
              <w:rPr>
                <w:sz w:val="20"/>
                <w:szCs w:val="20"/>
                <w:color w:val="auto"/>
              </w:rPr>
            </w:pPr>
            <w:r>
              <w:rPr>
                <w:rFonts w:ascii="Arial" w:cs="Arial" w:eastAsia="Arial" w:hAnsi="Arial"/>
                <w:sz w:val="10"/>
                <w:szCs w:val="10"/>
                <w:color w:val="auto"/>
              </w:rPr>
              <w:t>0</w:t>
            </w:r>
          </w:p>
        </w:tc>
        <w:tc>
          <w:tcPr>
            <w:tcW w:w="6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0"/>
                <w:szCs w:val="10"/>
                <w:color w:val="auto"/>
              </w:rPr>
              <w:t>0</w:t>
            </w:r>
          </w:p>
        </w:tc>
        <w:tc>
          <w:tcPr>
            <w:tcW w:w="760" w:type="dxa"/>
            <w:vAlign w:val="bottom"/>
            <w:gridSpan w:val="2"/>
          </w:tcPr>
          <w:p>
            <w:pPr>
              <w:jc w:val="right"/>
              <w:ind w:right="120"/>
              <w:spacing w:after="0"/>
              <w:rPr>
                <w:sz w:val="20"/>
                <w:szCs w:val="20"/>
                <w:color w:val="auto"/>
              </w:rPr>
            </w:pPr>
            <w:r>
              <w:rPr>
                <w:rFonts w:ascii="Arial" w:cs="Arial" w:eastAsia="Arial" w:hAnsi="Arial"/>
                <w:sz w:val="10"/>
                <w:szCs w:val="10"/>
                <w:color w:val="auto"/>
              </w:rPr>
              <w:t>0</w:t>
            </w:r>
          </w:p>
        </w:tc>
        <w:tc>
          <w:tcPr>
            <w:tcW w:w="700" w:type="dxa"/>
            <w:vAlign w:val="bottom"/>
            <w:gridSpan w:val="2"/>
          </w:tcPr>
          <w:p>
            <w:pPr>
              <w:jc w:val="right"/>
              <w:ind w:right="60"/>
              <w:spacing w:after="0"/>
              <w:rPr>
                <w:sz w:val="20"/>
                <w:szCs w:val="20"/>
                <w:color w:val="auto"/>
              </w:rPr>
            </w:pPr>
            <w:r>
              <w:rPr>
                <w:rFonts w:ascii="Arial" w:cs="Arial" w:eastAsia="Arial" w:hAnsi="Arial"/>
                <w:sz w:val="10"/>
                <w:szCs w:val="10"/>
                <w:color w:val="auto"/>
              </w:rPr>
              <w:t>0</w:t>
            </w:r>
          </w:p>
        </w:tc>
        <w:tc>
          <w:tcPr>
            <w:tcW w:w="700" w:type="dxa"/>
            <w:vAlign w:val="bottom"/>
            <w:gridSpan w:val="2"/>
          </w:tcPr>
          <w:p>
            <w:pPr>
              <w:jc w:val="right"/>
              <w:ind w:right="20"/>
              <w:spacing w:after="0"/>
              <w:rPr>
                <w:sz w:val="20"/>
                <w:szCs w:val="20"/>
                <w:color w:val="auto"/>
              </w:rPr>
            </w:pPr>
            <w:r>
              <w:rPr>
                <w:rFonts w:ascii="Arial" w:cs="Arial" w:eastAsia="Arial" w:hAnsi="Arial"/>
                <w:sz w:val="10"/>
                <w:szCs w:val="10"/>
                <w:color w:val="auto"/>
              </w:rPr>
              <w:t>0</w:t>
            </w:r>
          </w:p>
        </w:tc>
        <w:tc>
          <w:tcPr>
            <w:tcW w:w="100" w:type="dxa"/>
            <w:vAlign w:val="bottom"/>
          </w:tcPr>
          <w:p>
            <w:pPr>
              <w:spacing w:after="0"/>
              <w:rPr>
                <w:sz w:val="17"/>
                <w:szCs w:val="17"/>
                <w:color w:val="auto"/>
              </w:rPr>
            </w:pPr>
          </w:p>
        </w:tc>
        <w:tc>
          <w:tcPr>
            <w:tcW w:w="980" w:type="dxa"/>
            <w:vAlign w:val="bottom"/>
            <w:gridSpan w:val="3"/>
          </w:tcPr>
          <w:p>
            <w:pPr>
              <w:jc w:val="right"/>
              <w:spacing w:after="0"/>
              <w:rPr>
                <w:sz w:val="20"/>
                <w:szCs w:val="20"/>
                <w:color w:val="auto"/>
              </w:rPr>
            </w:pPr>
            <w:r>
              <w:rPr>
                <w:rFonts w:ascii="Arial" w:cs="Arial" w:eastAsia="Arial" w:hAnsi="Arial"/>
                <w:sz w:val="10"/>
                <w:szCs w:val="10"/>
                <w:color w:val="auto"/>
              </w:rPr>
              <w:t>0</w:t>
            </w:r>
          </w:p>
        </w:tc>
        <w:tc>
          <w:tcPr>
            <w:tcW w:w="0" w:type="dxa"/>
            <w:vAlign w:val="bottom"/>
          </w:tcPr>
          <w:p>
            <w:pPr>
              <w:spacing w:after="0"/>
              <w:rPr>
                <w:sz w:val="1"/>
                <w:szCs w:val="1"/>
                <w:color w:val="auto"/>
              </w:rPr>
            </w:pPr>
          </w:p>
        </w:tc>
      </w:tr>
      <w:tr>
        <w:trPr>
          <w:trHeight w:val="200"/>
        </w:trPr>
        <w:tc>
          <w:tcPr>
            <w:tcW w:w="2320" w:type="dxa"/>
            <w:vAlign w:val="bottom"/>
            <w:gridSpan w:val="2"/>
          </w:tcPr>
          <w:p>
            <w:pPr>
              <w:spacing w:after="0"/>
              <w:rPr>
                <w:sz w:val="20"/>
                <w:szCs w:val="20"/>
                <w:color w:val="auto"/>
              </w:rPr>
            </w:pPr>
            <w:r>
              <w:rPr>
                <w:rFonts w:ascii="Arial" w:cs="Arial" w:eastAsia="Arial" w:hAnsi="Arial"/>
                <w:sz w:val="10"/>
                <w:szCs w:val="10"/>
                <w:color w:val="auto"/>
              </w:rPr>
              <w:t>Window Contingent Joint and Survivor Life Annuity</w:t>
            </w:r>
          </w:p>
        </w:tc>
        <w:tc>
          <w:tcPr>
            <w:tcW w:w="680" w:type="dxa"/>
            <w:vAlign w:val="bottom"/>
          </w:tcPr>
          <w:p>
            <w:pPr>
              <w:jc w:val="right"/>
              <w:spacing w:after="0"/>
              <w:rPr>
                <w:sz w:val="20"/>
                <w:szCs w:val="20"/>
                <w:color w:val="auto"/>
              </w:rPr>
            </w:pPr>
            <w:r>
              <w:rPr>
                <w:rFonts w:ascii="Arial" w:cs="Arial" w:eastAsia="Arial" w:hAnsi="Arial"/>
                <w:sz w:val="10"/>
                <w:szCs w:val="10"/>
                <w:color w:val="auto"/>
              </w:rPr>
              <w:t>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jc w:val="right"/>
              <w:ind w:right="90"/>
              <w:spacing w:after="0"/>
              <w:rPr>
                <w:sz w:val="20"/>
                <w:szCs w:val="20"/>
                <w:color w:val="auto"/>
              </w:rPr>
            </w:pPr>
            <w:r>
              <w:rPr>
                <w:rFonts w:ascii="Arial" w:cs="Arial" w:eastAsia="Arial" w:hAnsi="Arial"/>
                <w:sz w:val="10"/>
                <w:szCs w:val="10"/>
                <w:color w:val="auto"/>
              </w:rPr>
              <w:t>0</w:t>
            </w: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rPr>
              <w:t>0</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jc w:val="right"/>
              <w:ind w:right="90"/>
              <w:spacing w:after="0"/>
              <w:rPr>
                <w:sz w:val="20"/>
                <w:szCs w:val="20"/>
                <w:color w:val="auto"/>
              </w:rPr>
            </w:pPr>
            <w:r>
              <w:rPr>
                <w:rFonts w:ascii="Arial" w:cs="Arial" w:eastAsia="Arial" w:hAnsi="Arial"/>
                <w:sz w:val="10"/>
                <w:szCs w:val="10"/>
                <w:color w:val="auto"/>
              </w:rPr>
              <w:t>0</w:t>
            </w:r>
          </w:p>
        </w:tc>
        <w:tc>
          <w:tcPr>
            <w:tcW w:w="620" w:type="dxa"/>
            <w:vAlign w:val="bottom"/>
            <w:gridSpan w:val="3"/>
          </w:tcPr>
          <w:p>
            <w:pPr>
              <w:jc w:val="right"/>
              <w:ind w:right="80"/>
              <w:spacing w:after="0"/>
              <w:rPr>
                <w:sz w:val="20"/>
                <w:szCs w:val="20"/>
                <w:color w:val="auto"/>
              </w:rPr>
            </w:pPr>
            <w:r>
              <w:rPr>
                <w:rFonts w:ascii="Arial" w:cs="Arial" w:eastAsia="Arial" w:hAnsi="Arial"/>
                <w:sz w:val="10"/>
                <w:szCs w:val="10"/>
                <w:color w:val="auto"/>
              </w:rPr>
              <w:t>0</w:t>
            </w:r>
          </w:p>
        </w:tc>
        <w:tc>
          <w:tcPr>
            <w:tcW w:w="880" w:type="dxa"/>
            <w:vAlign w:val="bottom"/>
            <w:gridSpan w:val="4"/>
          </w:tcPr>
          <w:p>
            <w:pPr>
              <w:jc w:val="right"/>
              <w:ind w:right="60"/>
              <w:spacing w:after="0"/>
              <w:rPr>
                <w:sz w:val="20"/>
                <w:szCs w:val="20"/>
                <w:color w:val="auto"/>
              </w:rPr>
            </w:pPr>
            <w:r>
              <w:rPr>
                <w:rFonts w:ascii="Arial" w:cs="Arial" w:eastAsia="Arial" w:hAnsi="Arial"/>
                <w:sz w:val="10"/>
                <w:szCs w:val="10"/>
                <w:color w:val="auto"/>
              </w:rPr>
              <w:t>0</w:t>
            </w:r>
          </w:p>
        </w:tc>
        <w:tc>
          <w:tcPr>
            <w:tcW w:w="6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0"/>
                <w:szCs w:val="10"/>
                <w:color w:val="auto"/>
              </w:rPr>
              <w:t>1</w:t>
            </w:r>
          </w:p>
        </w:tc>
        <w:tc>
          <w:tcPr>
            <w:tcW w:w="760" w:type="dxa"/>
            <w:vAlign w:val="bottom"/>
            <w:gridSpan w:val="2"/>
          </w:tcPr>
          <w:p>
            <w:pPr>
              <w:jc w:val="right"/>
              <w:ind w:right="120"/>
              <w:spacing w:after="0"/>
              <w:rPr>
                <w:sz w:val="20"/>
                <w:szCs w:val="20"/>
                <w:color w:val="auto"/>
              </w:rPr>
            </w:pPr>
            <w:r>
              <w:rPr>
                <w:rFonts w:ascii="Arial" w:cs="Arial" w:eastAsia="Arial" w:hAnsi="Arial"/>
                <w:sz w:val="10"/>
                <w:szCs w:val="10"/>
                <w:color w:val="auto"/>
              </w:rPr>
              <w:t>1</w:t>
            </w:r>
          </w:p>
        </w:tc>
        <w:tc>
          <w:tcPr>
            <w:tcW w:w="700" w:type="dxa"/>
            <w:vAlign w:val="bottom"/>
            <w:gridSpan w:val="2"/>
          </w:tcPr>
          <w:p>
            <w:pPr>
              <w:jc w:val="right"/>
              <w:ind w:right="60"/>
              <w:spacing w:after="0"/>
              <w:rPr>
                <w:sz w:val="20"/>
                <w:szCs w:val="20"/>
                <w:color w:val="auto"/>
              </w:rPr>
            </w:pPr>
            <w:r>
              <w:rPr>
                <w:rFonts w:ascii="Arial" w:cs="Arial" w:eastAsia="Arial" w:hAnsi="Arial"/>
                <w:sz w:val="10"/>
                <w:szCs w:val="10"/>
                <w:color w:val="auto"/>
              </w:rPr>
              <w:t>1</w:t>
            </w:r>
          </w:p>
        </w:tc>
        <w:tc>
          <w:tcPr>
            <w:tcW w:w="700" w:type="dxa"/>
            <w:vAlign w:val="bottom"/>
            <w:gridSpan w:val="2"/>
          </w:tcPr>
          <w:p>
            <w:pPr>
              <w:jc w:val="right"/>
              <w:ind w:right="20"/>
              <w:spacing w:after="0"/>
              <w:rPr>
                <w:sz w:val="20"/>
                <w:szCs w:val="20"/>
                <w:color w:val="auto"/>
              </w:rPr>
            </w:pPr>
            <w:r>
              <w:rPr>
                <w:rFonts w:ascii="Arial" w:cs="Arial" w:eastAsia="Arial" w:hAnsi="Arial"/>
                <w:sz w:val="10"/>
                <w:szCs w:val="10"/>
                <w:color w:val="auto"/>
              </w:rPr>
              <w:t>1</w:t>
            </w:r>
          </w:p>
        </w:tc>
        <w:tc>
          <w:tcPr>
            <w:tcW w:w="100" w:type="dxa"/>
            <w:vAlign w:val="bottom"/>
          </w:tcPr>
          <w:p>
            <w:pPr>
              <w:spacing w:after="0"/>
              <w:rPr>
                <w:sz w:val="17"/>
                <w:szCs w:val="17"/>
                <w:color w:val="auto"/>
              </w:rPr>
            </w:pPr>
          </w:p>
        </w:tc>
        <w:tc>
          <w:tcPr>
            <w:tcW w:w="980" w:type="dxa"/>
            <w:vAlign w:val="bottom"/>
            <w:gridSpan w:val="3"/>
          </w:tcPr>
          <w:p>
            <w:pPr>
              <w:jc w:val="right"/>
              <w:spacing w:after="0"/>
              <w:rPr>
                <w:sz w:val="20"/>
                <w:szCs w:val="20"/>
                <w:color w:val="auto"/>
              </w:rPr>
            </w:pPr>
            <w:r>
              <w:rPr>
                <w:rFonts w:ascii="Arial" w:cs="Arial" w:eastAsia="Arial" w:hAnsi="Arial"/>
                <w:sz w:val="10"/>
                <w:szCs w:val="10"/>
                <w:color w:val="auto"/>
              </w:rPr>
              <w:t>0</w:t>
            </w:r>
          </w:p>
        </w:tc>
        <w:tc>
          <w:tcPr>
            <w:tcW w:w="0" w:type="dxa"/>
            <w:vAlign w:val="bottom"/>
          </w:tcPr>
          <w:p>
            <w:pPr>
              <w:spacing w:after="0"/>
              <w:rPr>
                <w:sz w:val="1"/>
                <w:szCs w:val="1"/>
                <w:color w:val="auto"/>
              </w:rPr>
            </w:pPr>
          </w:p>
        </w:tc>
      </w:tr>
      <w:tr>
        <w:trPr>
          <w:trHeight w:val="200"/>
        </w:trPr>
        <w:tc>
          <w:tcPr>
            <w:tcW w:w="2320" w:type="dxa"/>
            <w:vAlign w:val="bottom"/>
            <w:gridSpan w:val="2"/>
          </w:tcPr>
          <w:p>
            <w:pPr>
              <w:spacing w:after="0"/>
              <w:rPr>
                <w:sz w:val="20"/>
                <w:szCs w:val="20"/>
                <w:color w:val="auto"/>
              </w:rPr>
            </w:pPr>
            <w:r>
              <w:rPr>
                <w:rFonts w:ascii="Arial" w:cs="Arial" w:eastAsia="Arial" w:hAnsi="Arial"/>
                <w:sz w:val="10"/>
                <w:szCs w:val="10"/>
                <w:color w:val="auto"/>
              </w:rPr>
              <w:t>Window Single Life Annuity</w:t>
            </w:r>
          </w:p>
        </w:tc>
        <w:tc>
          <w:tcPr>
            <w:tcW w:w="680" w:type="dxa"/>
            <w:vAlign w:val="bottom"/>
          </w:tcPr>
          <w:p>
            <w:pPr>
              <w:jc w:val="right"/>
              <w:spacing w:after="0"/>
              <w:rPr>
                <w:sz w:val="20"/>
                <w:szCs w:val="20"/>
                <w:color w:val="auto"/>
              </w:rPr>
            </w:pPr>
            <w:r>
              <w:rPr>
                <w:rFonts w:ascii="Arial" w:cs="Arial" w:eastAsia="Arial" w:hAnsi="Arial"/>
                <w:sz w:val="10"/>
                <w:szCs w:val="10"/>
                <w:color w:val="auto"/>
              </w:rPr>
              <w:t>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jc w:val="right"/>
              <w:ind w:right="90"/>
              <w:spacing w:after="0"/>
              <w:rPr>
                <w:sz w:val="20"/>
                <w:szCs w:val="20"/>
                <w:color w:val="auto"/>
              </w:rPr>
            </w:pPr>
            <w:r>
              <w:rPr>
                <w:rFonts w:ascii="Arial" w:cs="Arial" w:eastAsia="Arial" w:hAnsi="Arial"/>
                <w:sz w:val="10"/>
                <w:szCs w:val="10"/>
                <w:color w:val="auto"/>
              </w:rPr>
              <w:t>0</w:t>
            </w: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rPr>
              <w:t>0</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jc w:val="right"/>
              <w:ind w:right="90"/>
              <w:spacing w:after="0"/>
              <w:rPr>
                <w:sz w:val="20"/>
                <w:szCs w:val="20"/>
                <w:color w:val="auto"/>
              </w:rPr>
            </w:pPr>
            <w:r>
              <w:rPr>
                <w:rFonts w:ascii="Arial" w:cs="Arial" w:eastAsia="Arial" w:hAnsi="Arial"/>
                <w:sz w:val="10"/>
                <w:szCs w:val="10"/>
                <w:color w:val="auto"/>
              </w:rPr>
              <w:t>0</w:t>
            </w:r>
          </w:p>
        </w:tc>
        <w:tc>
          <w:tcPr>
            <w:tcW w:w="620" w:type="dxa"/>
            <w:vAlign w:val="bottom"/>
            <w:gridSpan w:val="3"/>
          </w:tcPr>
          <w:p>
            <w:pPr>
              <w:jc w:val="right"/>
              <w:ind w:right="80"/>
              <w:spacing w:after="0"/>
              <w:rPr>
                <w:sz w:val="20"/>
                <w:szCs w:val="20"/>
                <w:color w:val="auto"/>
              </w:rPr>
            </w:pPr>
            <w:r>
              <w:rPr>
                <w:rFonts w:ascii="Arial" w:cs="Arial" w:eastAsia="Arial" w:hAnsi="Arial"/>
                <w:sz w:val="10"/>
                <w:szCs w:val="10"/>
                <w:color w:val="auto"/>
              </w:rPr>
              <w:t>0</w:t>
            </w:r>
          </w:p>
        </w:tc>
        <w:tc>
          <w:tcPr>
            <w:tcW w:w="880" w:type="dxa"/>
            <w:vAlign w:val="bottom"/>
            <w:gridSpan w:val="4"/>
          </w:tcPr>
          <w:p>
            <w:pPr>
              <w:jc w:val="right"/>
              <w:ind w:right="60"/>
              <w:spacing w:after="0"/>
              <w:rPr>
                <w:sz w:val="20"/>
                <w:szCs w:val="20"/>
                <w:color w:val="auto"/>
              </w:rPr>
            </w:pPr>
            <w:r>
              <w:rPr>
                <w:rFonts w:ascii="Arial" w:cs="Arial" w:eastAsia="Arial" w:hAnsi="Arial"/>
                <w:sz w:val="10"/>
                <w:szCs w:val="10"/>
                <w:color w:val="auto"/>
              </w:rPr>
              <w:t>0</w:t>
            </w:r>
          </w:p>
        </w:tc>
        <w:tc>
          <w:tcPr>
            <w:tcW w:w="6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0"/>
                <w:szCs w:val="10"/>
                <w:color w:val="auto"/>
              </w:rPr>
              <w:t>1</w:t>
            </w:r>
          </w:p>
        </w:tc>
        <w:tc>
          <w:tcPr>
            <w:tcW w:w="760" w:type="dxa"/>
            <w:vAlign w:val="bottom"/>
            <w:gridSpan w:val="2"/>
          </w:tcPr>
          <w:p>
            <w:pPr>
              <w:jc w:val="right"/>
              <w:ind w:right="120"/>
              <w:spacing w:after="0"/>
              <w:rPr>
                <w:sz w:val="20"/>
                <w:szCs w:val="20"/>
                <w:color w:val="auto"/>
              </w:rPr>
            </w:pPr>
            <w:r>
              <w:rPr>
                <w:rFonts w:ascii="Arial" w:cs="Arial" w:eastAsia="Arial" w:hAnsi="Arial"/>
                <w:sz w:val="10"/>
                <w:szCs w:val="10"/>
                <w:color w:val="auto"/>
              </w:rPr>
              <w:t>1</w:t>
            </w:r>
          </w:p>
        </w:tc>
        <w:tc>
          <w:tcPr>
            <w:tcW w:w="700" w:type="dxa"/>
            <w:vAlign w:val="bottom"/>
            <w:gridSpan w:val="2"/>
          </w:tcPr>
          <w:p>
            <w:pPr>
              <w:jc w:val="right"/>
              <w:ind w:right="60"/>
              <w:spacing w:after="0"/>
              <w:rPr>
                <w:sz w:val="20"/>
                <w:szCs w:val="20"/>
                <w:color w:val="auto"/>
              </w:rPr>
            </w:pPr>
            <w:r>
              <w:rPr>
                <w:rFonts w:ascii="Arial" w:cs="Arial" w:eastAsia="Arial" w:hAnsi="Arial"/>
                <w:sz w:val="10"/>
                <w:szCs w:val="10"/>
                <w:color w:val="auto"/>
              </w:rPr>
              <w:t>1</w:t>
            </w:r>
          </w:p>
        </w:tc>
        <w:tc>
          <w:tcPr>
            <w:tcW w:w="700" w:type="dxa"/>
            <w:vAlign w:val="bottom"/>
            <w:gridSpan w:val="2"/>
          </w:tcPr>
          <w:p>
            <w:pPr>
              <w:jc w:val="right"/>
              <w:ind w:right="20"/>
              <w:spacing w:after="0"/>
              <w:rPr>
                <w:sz w:val="20"/>
                <w:szCs w:val="20"/>
                <w:color w:val="auto"/>
              </w:rPr>
            </w:pPr>
            <w:r>
              <w:rPr>
                <w:rFonts w:ascii="Arial" w:cs="Arial" w:eastAsia="Arial" w:hAnsi="Arial"/>
                <w:sz w:val="10"/>
                <w:szCs w:val="10"/>
                <w:color w:val="auto"/>
              </w:rPr>
              <w:t>1</w:t>
            </w:r>
          </w:p>
        </w:tc>
        <w:tc>
          <w:tcPr>
            <w:tcW w:w="100" w:type="dxa"/>
            <w:vAlign w:val="bottom"/>
          </w:tcPr>
          <w:p>
            <w:pPr>
              <w:spacing w:after="0"/>
              <w:rPr>
                <w:sz w:val="17"/>
                <w:szCs w:val="17"/>
                <w:color w:val="auto"/>
              </w:rPr>
            </w:pPr>
          </w:p>
        </w:tc>
        <w:tc>
          <w:tcPr>
            <w:tcW w:w="980" w:type="dxa"/>
            <w:vAlign w:val="bottom"/>
            <w:gridSpan w:val="3"/>
          </w:tcPr>
          <w:p>
            <w:pPr>
              <w:jc w:val="right"/>
              <w:spacing w:after="0"/>
              <w:rPr>
                <w:sz w:val="20"/>
                <w:szCs w:val="20"/>
                <w:color w:val="auto"/>
              </w:rPr>
            </w:pPr>
            <w:r>
              <w:rPr>
                <w:rFonts w:ascii="Arial" w:cs="Arial" w:eastAsia="Arial" w:hAnsi="Arial"/>
                <w:sz w:val="10"/>
                <w:szCs w:val="10"/>
                <w:color w:val="auto"/>
              </w:rPr>
              <w:t>0</w:t>
            </w:r>
          </w:p>
        </w:tc>
        <w:tc>
          <w:tcPr>
            <w:tcW w:w="0" w:type="dxa"/>
            <w:vAlign w:val="bottom"/>
          </w:tcPr>
          <w:p>
            <w:pPr>
              <w:spacing w:after="0"/>
              <w:rPr>
                <w:sz w:val="1"/>
                <w:szCs w:val="1"/>
                <w:color w:val="auto"/>
              </w:rPr>
            </w:pPr>
          </w:p>
        </w:tc>
      </w:tr>
      <w:tr>
        <w:trPr>
          <w:trHeight w:val="200"/>
        </w:trPr>
        <w:tc>
          <w:tcPr>
            <w:tcW w:w="2320" w:type="dxa"/>
            <w:vAlign w:val="bottom"/>
            <w:gridSpan w:val="2"/>
          </w:tcPr>
          <w:p>
            <w:pPr>
              <w:spacing w:after="0"/>
              <w:rPr>
                <w:sz w:val="20"/>
                <w:szCs w:val="20"/>
                <w:color w:val="auto"/>
              </w:rPr>
            </w:pPr>
            <w:r>
              <w:rPr>
                <w:rFonts w:ascii="Arial" w:cs="Arial" w:eastAsia="Arial" w:hAnsi="Arial"/>
                <w:sz w:val="10"/>
                <w:szCs w:val="10"/>
                <w:color w:val="auto"/>
              </w:rPr>
              <w:t>Alternate Payee (QDRO)</w:t>
            </w:r>
          </w:p>
        </w:tc>
        <w:tc>
          <w:tcPr>
            <w:tcW w:w="680" w:type="dxa"/>
            <w:vAlign w:val="bottom"/>
          </w:tcPr>
          <w:p>
            <w:pPr>
              <w:jc w:val="right"/>
              <w:spacing w:after="0"/>
              <w:rPr>
                <w:sz w:val="20"/>
                <w:szCs w:val="20"/>
                <w:color w:val="auto"/>
              </w:rPr>
            </w:pPr>
            <w:r>
              <w:rPr>
                <w:rFonts w:ascii="Arial" w:cs="Arial" w:eastAsia="Arial" w:hAnsi="Arial"/>
                <w:sz w:val="10"/>
                <w:szCs w:val="10"/>
                <w:color w:val="auto"/>
              </w:rPr>
              <w:t>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jc w:val="right"/>
              <w:ind w:right="90"/>
              <w:spacing w:after="0"/>
              <w:rPr>
                <w:sz w:val="20"/>
                <w:szCs w:val="20"/>
                <w:color w:val="auto"/>
              </w:rPr>
            </w:pPr>
            <w:r>
              <w:rPr>
                <w:rFonts w:ascii="Arial" w:cs="Arial" w:eastAsia="Arial" w:hAnsi="Arial"/>
                <w:sz w:val="10"/>
                <w:szCs w:val="10"/>
                <w:color w:val="auto"/>
              </w:rPr>
              <w:t>0</w:t>
            </w: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rPr>
              <w:t>0</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jc w:val="right"/>
              <w:ind w:right="90"/>
              <w:spacing w:after="0"/>
              <w:rPr>
                <w:sz w:val="20"/>
                <w:szCs w:val="20"/>
                <w:color w:val="auto"/>
              </w:rPr>
            </w:pPr>
            <w:r>
              <w:rPr>
                <w:rFonts w:ascii="Arial" w:cs="Arial" w:eastAsia="Arial" w:hAnsi="Arial"/>
                <w:sz w:val="10"/>
                <w:szCs w:val="10"/>
                <w:color w:val="auto"/>
              </w:rPr>
              <w:t>0</w:t>
            </w:r>
          </w:p>
        </w:tc>
        <w:tc>
          <w:tcPr>
            <w:tcW w:w="620" w:type="dxa"/>
            <w:vAlign w:val="bottom"/>
            <w:gridSpan w:val="3"/>
          </w:tcPr>
          <w:p>
            <w:pPr>
              <w:jc w:val="right"/>
              <w:ind w:right="80"/>
              <w:spacing w:after="0"/>
              <w:rPr>
                <w:sz w:val="20"/>
                <w:szCs w:val="20"/>
                <w:color w:val="auto"/>
              </w:rPr>
            </w:pPr>
            <w:r>
              <w:rPr>
                <w:rFonts w:ascii="Arial" w:cs="Arial" w:eastAsia="Arial" w:hAnsi="Arial"/>
                <w:sz w:val="10"/>
                <w:szCs w:val="10"/>
                <w:color w:val="auto"/>
              </w:rPr>
              <w:t>1</w:t>
            </w:r>
          </w:p>
        </w:tc>
        <w:tc>
          <w:tcPr>
            <w:tcW w:w="880" w:type="dxa"/>
            <w:vAlign w:val="bottom"/>
            <w:gridSpan w:val="4"/>
          </w:tcPr>
          <w:p>
            <w:pPr>
              <w:jc w:val="right"/>
              <w:ind w:right="60"/>
              <w:spacing w:after="0"/>
              <w:rPr>
                <w:sz w:val="20"/>
                <w:szCs w:val="20"/>
                <w:color w:val="auto"/>
              </w:rPr>
            </w:pPr>
            <w:r>
              <w:rPr>
                <w:rFonts w:ascii="Arial" w:cs="Arial" w:eastAsia="Arial" w:hAnsi="Arial"/>
                <w:sz w:val="10"/>
                <w:szCs w:val="10"/>
                <w:color w:val="auto"/>
              </w:rPr>
              <w:t>0</w:t>
            </w:r>
          </w:p>
        </w:tc>
        <w:tc>
          <w:tcPr>
            <w:tcW w:w="6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0"/>
                <w:szCs w:val="10"/>
                <w:color w:val="auto"/>
              </w:rPr>
              <w:t>1</w:t>
            </w:r>
          </w:p>
        </w:tc>
        <w:tc>
          <w:tcPr>
            <w:tcW w:w="760" w:type="dxa"/>
            <w:vAlign w:val="bottom"/>
            <w:gridSpan w:val="2"/>
          </w:tcPr>
          <w:p>
            <w:pPr>
              <w:jc w:val="right"/>
              <w:ind w:right="120"/>
              <w:spacing w:after="0"/>
              <w:rPr>
                <w:sz w:val="20"/>
                <w:szCs w:val="20"/>
                <w:color w:val="auto"/>
              </w:rPr>
            </w:pPr>
            <w:r>
              <w:rPr>
                <w:rFonts w:ascii="Arial" w:cs="Arial" w:eastAsia="Arial" w:hAnsi="Arial"/>
                <w:sz w:val="10"/>
                <w:szCs w:val="10"/>
                <w:color w:val="auto"/>
              </w:rPr>
              <w:t>0</w:t>
            </w:r>
          </w:p>
        </w:tc>
        <w:tc>
          <w:tcPr>
            <w:tcW w:w="700" w:type="dxa"/>
            <w:vAlign w:val="bottom"/>
            <w:gridSpan w:val="2"/>
          </w:tcPr>
          <w:p>
            <w:pPr>
              <w:jc w:val="right"/>
              <w:ind w:right="60"/>
              <w:spacing w:after="0"/>
              <w:rPr>
                <w:sz w:val="20"/>
                <w:szCs w:val="20"/>
                <w:color w:val="auto"/>
              </w:rPr>
            </w:pPr>
            <w:r>
              <w:rPr>
                <w:rFonts w:ascii="Arial" w:cs="Arial" w:eastAsia="Arial" w:hAnsi="Arial"/>
                <w:sz w:val="10"/>
                <w:szCs w:val="10"/>
                <w:color w:val="auto"/>
              </w:rPr>
              <w:t>1</w:t>
            </w:r>
          </w:p>
        </w:tc>
        <w:tc>
          <w:tcPr>
            <w:tcW w:w="700" w:type="dxa"/>
            <w:vAlign w:val="bottom"/>
            <w:gridSpan w:val="2"/>
          </w:tcPr>
          <w:p>
            <w:pPr>
              <w:jc w:val="right"/>
              <w:ind w:right="20"/>
              <w:spacing w:after="0"/>
              <w:rPr>
                <w:sz w:val="20"/>
                <w:szCs w:val="20"/>
                <w:color w:val="auto"/>
              </w:rPr>
            </w:pPr>
            <w:r>
              <w:rPr>
                <w:rFonts w:ascii="Arial" w:cs="Arial" w:eastAsia="Arial" w:hAnsi="Arial"/>
                <w:sz w:val="10"/>
                <w:szCs w:val="10"/>
                <w:color w:val="auto"/>
              </w:rPr>
              <w:t>0</w:t>
            </w:r>
          </w:p>
        </w:tc>
        <w:tc>
          <w:tcPr>
            <w:tcW w:w="100" w:type="dxa"/>
            <w:vAlign w:val="bottom"/>
          </w:tcPr>
          <w:p>
            <w:pPr>
              <w:spacing w:after="0"/>
              <w:rPr>
                <w:sz w:val="17"/>
                <w:szCs w:val="17"/>
                <w:color w:val="auto"/>
              </w:rPr>
            </w:pPr>
          </w:p>
        </w:tc>
        <w:tc>
          <w:tcPr>
            <w:tcW w:w="980" w:type="dxa"/>
            <w:vAlign w:val="bottom"/>
            <w:gridSpan w:val="3"/>
          </w:tcPr>
          <w:p>
            <w:pPr>
              <w:jc w:val="right"/>
              <w:spacing w:after="0"/>
              <w:rPr>
                <w:sz w:val="20"/>
                <w:szCs w:val="20"/>
                <w:color w:val="auto"/>
              </w:rPr>
            </w:pPr>
            <w:r>
              <w:rPr>
                <w:rFonts w:ascii="Arial" w:cs="Arial" w:eastAsia="Arial" w:hAnsi="Arial"/>
                <w:sz w:val="10"/>
                <w:szCs w:val="10"/>
                <w:color w:val="auto"/>
              </w:rPr>
              <w:t>0</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gridSpan w:val="2"/>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gridSpan w:val="2"/>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860" w:type="dxa"/>
            <w:vAlign w:val="bottom"/>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2120" w:type="dxa"/>
            <w:vAlign w:val="bottom"/>
            <w:tcBorders>
              <w:bottom w:val="single" w:sz="8" w:color="BFBFBF"/>
            </w:tcBorders>
            <w:gridSpan w:val="7"/>
            <w:shd w:val="clear" w:color="auto" w:fill="BFBFBF"/>
          </w:tcPr>
          <w:p>
            <w:pPr>
              <w:ind w:left="220"/>
              <w:spacing w:after="0"/>
              <w:rPr>
                <w:sz w:val="20"/>
                <w:szCs w:val="20"/>
                <w:color w:val="auto"/>
              </w:rPr>
            </w:pPr>
            <w:r>
              <w:rPr>
                <w:rFonts w:ascii="Arial" w:cs="Arial" w:eastAsia="Arial" w:hAnsi="Arial"/>
                <w:sz w:val="10"/>
                <w:szCs w:val="10"/>
                <w:color w:val="auto"/>
                <w:w w:val="95"/>
              </w:rPr>
              <w:t>Conversion Option Eligibility Indicators (Y/N)</w:t>
            </w:r>
          </w:p>
        </w:tc>
        <w:tc>
          <w:tcPr>
            <w:tcW w:w="80" w:type="dxa"/>
            <w:vAlign w:val="bottom"/>
            <w:tcBorders>
              <w:bottom w:val="single" w:sz="8" w:color="BFBFBF"/>
            </w:tcBorders>
            <w:shd w:val="clear" w:color="auto" w:fill="BFBFBF"/>
          </w:tcPr>
          <w:p>
            <w:pPr>
              <w:spacing w:after="0"/>
              <w:rPr>
                <w:sz w:val="18"/>
                <w:szCs w:val="18"/>
                <w:color w:val="auto"/>
              </w:rPr>
            </w:pPr>
          </w:p>
        </w:tc>
        <w:tc>
          <w:tcPr>
            <w:tcW w:w="120" w:type="dxa"/>
            <w:vAlign w:val="bottom"/>
            <w:tcBorders>
              <w:bottom w:val="single" w:sz="8" w:color="BFBFBF"/>
              <w:right w:val="single" w:sz="8" w:color="auto"/>
            </w:tcBorders>
            <w:shd w:val="clear" w:color="auto" w:fill="BFBFBF"/>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Borders>
              <w:right w:val="single" w:sz="8" w:color="auto"/>
            </w:tcBorders>
            <w:gridSpan w:val="5"/>
          </w:tcPr>
          <w:p>
            <w:pPr>
              <w:jc w:val="center"/>
              <w:spacing w:after="0"/>
              <w:rPr>
                <w:sz w:val="20"/>
                <w:szCs w:val="20"/>
                <w:color w:val="auto"/>
              </w:rPr>
            </w:pPr>
            <w:r>
              <w:rPr>
                <w:rFonts w:ascii="Arial" w:cs="Arial" w:eastAsia="Arial" w:hAnsi="Arial"/>
                <w:sz w:val="10"/>
                <w:szCs w:val="10"/>
                <w:color w:val="auto"/>
                <w:w w:val="94"/>
              </w:rPr>
              <w:t>Currently Not Used</w:t>
            </w:r>
          </w:p>
        </w:tc>
        <w:tc>
          <w:tcPr>
            <w:tcW w:w="1540" w:type="dxa"/>
            <w:vAlign w:val="bottom"/>
            <w:tcBorders>
              <w:bottom w:val="single" w:sz="8" w:color="BFBFBF"/>
              <w:right w:val="single" w:sz="8" w:color="auto"/>
            </w:tcBorders>
            <w:gridSpan w:val="4"/>
            <w:shd w:val="clear" w:color="auto" w:fill="BFBFBF"/>
          </w:tcPr>
          <w:p>
            <w:pPr>
              <w:jc w:val="right"/>
              <w:ind w:right="100"/>
              <w:spacing w:after="0"/>
              <w:rPr>
                <w:sz w:val="20"/>
                <w:szCs w:val="20"/>
                <w:color w:val="auto"/>
              </w:rPr>
            </w:pPr>
            <w:r>
              <w:rPr>
                <w:rFonts w:ascii="Arial" w:cs="Arial" w:eastAsia="Arial" w:hAnsi="Arial"/>
                <w:sz w:val="10"/>
                <w:szCs w:val="10"/>
                <w:color w:val="auto"/>
                <w:w w:val="97"/>
              </w:rPr>
              <w:t>Pre 1985 Part B Primary Amount</w:t>
            </w:r>
          </w:p>
        </w:tc>
        <w:tc>
          <w:tcPr>
            <w:tcW w:w="1500" w:type="dxa"/>
            <w:vAlign w:val="bottom"/>
            <w:tcBorders>
              <w:bottom w:val="single" w:sz="8" w:color="BFBFBF"/>
              <w:right w:val="single" w:sz="8" w:color="auto"/>
            </w:tcBorders>
            <w:gridSpan w:val="5"/>
            <w:shd w:val="clear" w:color="auto" w:fill="BFBFBF"/>
          </w:tcPr>
          <w:p>
            <w:pPr>
              <w:ind w:left="60"/>
              <w:spacing w:after="0"/>
              <w:rPr>
                <w:sz w:val="20"/>
                <w:szCs w:val="20"/>
                <w:color w:val="auto"/>
              </w:rPr>
            </w:pPr>
            <w:r>
              <w:rPr>
                <w:rFonts w:ascii="Arial" w:cs="Arial" w:eastAsia="Arial" w:hAnsi="Arial"/>
                <w:sz w:val="10"/>
                <w:szCs w:val="10"/>
                <w:color w:val="auto"/>
                <w:w w:val="93"/>
              </w:rPr>
              <w:t>Post 1985 Part B Primary Amount</w:t>
            </w:r>
          </w:p>
        </w:tc>
        <w:tc>
          <w:tcPr>
            <w:tcW w:w="120" w:type="dxa"/>
            <w:vAlign w:val="bottom"/>
          </w:tcPr>
          <w:p>
            <w:pPr>
              <w:spacing w:after="0"/>
              <w:rPr>
                <w:sz w:val="18"/>
                <w:szCs w:val="18"/>
                <w:color w:val="auto"/>
              </w:rPr>
            </w:pPr>
          </w:p>
        </w:tc>
        <w:tc>
          <w:tcPr>
            <w:tcW w:w="860" w:type="dxa"/>
            <w:vAlign w:val="bottom"/>
            <w:gridSpan w:val="2"/>
          </w:tcPr>
          <w:p>
            <w:pPr>
              <w:jc w:val="center"/>
              <w:ind w:right="20"/>
              <w:spacing w:after="0"/>
              <w:rPr>
                <w:sz w:val="20"/>
                <w:szCs w:val="20"/>
                <w:color w:val="auto"/>
              </w:rPr>
            </w:pPr>
            <w:r>
              <w:rPr>
                <w:rFonts w:ascii="Arial" w:cs="Arial" w:eastAsia="Arial" w:hAnsi="Arial"/>
                <w:sz w:val="10"/>
                <w:szCs w:val="10"/>
                <w:color w:val="auto"/>
                <w:w w:val="94"/>
              </w:rPr>
              <w:t>Currently Not Used</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46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3"/>
        </w:trPr>
        <w:tc>
          <w:tcPr>
            <w:tcW w:w="2320" w:type="dxa"/>
            <w:vAlign w:val="bottom"/>
            <w:gridSpan w:val="2"/>
            <w:vMerge w:val="restart"/>
          </w:tcPr>
          <w:p>
            <w:pPr>
              <w:spacing w:after="0"/>
              <w:rPr>
                <w:sz w:val="20"/>
                <w:szCs w:val="20"/>
                <w:color w:val="auto"/>
              </w:rPr>
            </w:pPr>
            <w:r>
              <w:rPr>
                <w:rFonts w:ascii="Arial" w:cs="Arial" w:eastAsia="Arial" w:hAnsi="Arial"/>
                <w:sz w:val="10"/>
                <w:szCs w:val="10"/>
                <w:color w:val="auto"/>
              </w:rPr>
              <w:t>Covered Life Name</w:t>
            </w:r>
          </w:p>
        </w:tc>
        <w:tc>
          <w:tcPr>
            <w:tcW w:w="1220" w:type="dxa"/>
            <w:vAlign w:val="bottom"/>
            <w:gridSpan w:val="4"/>
            <w:vMerge w:val="restart"/>
          </w:tcPr>
          <w:p>
            <w:pPr>
              <w:spacing w:after="0"/>
              <w:rPr>
                <w:sz w:val="20"/>
                <w:szCs w:val="20"/>
                <w:color w:val="auto"/>
              </w:rPr>
            </w:pPr>
            <w:r>
              <w:rPr>
                <w:rFonts w:ascii="Arial" w:cs="Arial" w:eastAsia="Arial" w:hAnsi="Arial"/>
                <w:sz w:val="10"/>
                <w:szCs w:val="10"/>
                <w:color w:val="auto"/>
              </w:rPr>
              <w:t>Disabled Age 55  General</w:t>
            </w:r>
          </w:p>
        </w:tc>
        <w:tc>
          <w:tcPr>
            <w:tcW w:w="340" w:type="dxa"/>
            <w:vAlign w:val="bottom"/>
          </w:tcPr>
          <w:p>
            <w:pPr>
              <w:spacing w:after="0"/>
              <w:rPr>
                <w:sz w:val="24"/>
                <w:szCs w:val="24"/>
                <w:color w:val="auto"/>
              </w:rPr>
            </w:pPr>
          </w:p>
        </w:tc>
        <w:tc>
          <w:tcPr>
            <w:tcW w:w="1100" w:type="dxa"/>
            <w:vAlign w:val="bottom"/>
            <w:gridSpan w:val="5"/>
          </w:tcPr>
          <w:p>
            <w:pPr>
              <w:spacing w:after="0"/>
              <w:rPr>
                <w:sz w:val="20"/>
                <w:szCs w:val="20"/>
                <w:color w:val="auto"/>
              </w:rPr>
            </w:pPr>
            <w:r>
              <w:rPr>
                <w:rFonts w:ascii="Arial" w:cs="Arial" w:eastAsia="Arial" w:hAnsi="Arial"/>
                <w:sz w:val="10"/>
                <w:szCs w:val="10"/>
                <w:color w:val="auto"/>
                <w:w w:val="92"/>
              </w:rPr>
              <w:t>Post-Retirement   Pop-Up</w:t>
            </w:r>
          </w:p>
        </w:tc>
        <w:tc>
          <w:tcPr>
            <w:tcW w:w="340" w:type="dxa"/>
            <w:vAlign w:val="bottom"/>
          </w:tcPr>
          <w:p>
            <w:pPr>
              <w:spacing w:after="0"/>
              <w:rPr>
                <w:sz w:val="24"/>
                <w:szCs w:val="24"/>
                <w:color w:val="auto"/>
              </w:rPr>
            </w:pPr>
          </w:p>
        </w:tc>
        <w:tc>
          <w:tcPr>
            <w:tcW w:w="620" w:type="dxa"/>
            <w:vAlign w:val="bottom"/>
            <w:gridSpan w:val="3"/>
          </w:tcPr>
          <w:p>
            <w:pPr>
              <w:spacing w:after="0"/>
              <w:rPr>
                <w:sz w:val="20"/>
                <w:szCs w:val="20"/>
                <w:color w:val="auto"/>
              </w:rPr>
            </w:pPr>
            <w:r>
              <w:rPr>
                <w:rFonts w:ascii="Arial" w:cs="Arial" w:eastAsia="Arial" w:hAnsi="Arial"/>
                <w:sz w:val="10"/>
                <w:szCs w:val="10"/>
                <w:color w:val="auto"/>
              </w:rPr>
              <w:t>Part A Basic</w:t>
            </w:r>
          </w:p>
        </w:tc>
        <w:tc>
          <w:tcPr>
            <w:tcW w:w="940" w:type="dxa"/>
            <w:vAlign w:val="bottom"/>
            <w:gridSpan w:val="5"/>
          </w:tcPr>
          <w:p>
            <w:pPr>
              <w:jc w:val="center"/>
              <w:spacing w:after="0"/>
              <w:rPr>
                <w:sz w:val="20"/>
                <w:szCs w:val="20"/>
                <w:color w:val="auto"/>
              </w:rPr>
            </w:pPr>
            <w:r>
              <w:rPr>
                <w:rFonts w:ascii="Arial" w:cs="Arial" w:eastAsia="Arial" w:hAnsi="Arial"/>
                <w:sz w:val="10"/>
                <w:szCs w:val="10"/>
                <w:color w:val="auto"/>
                <w:w w:val="91"/>
              </w:rPr>
              <w:t>Prudential Payment</w:t>
            </w:r>
          </w:p>
        </w:tc>
        <w:tc>
          <w:tcPr>
            <w:tcW w:w="780" w:type="dxa"/>
            <w:vAlign w:val="bottom"/>
            <w:gridSpan w:val="2"/>
            <w:vMerge w:val="restart"/>
          </w:tcPr>
          <w:p>
            <w:pPr>
              <w:jc w:val="right"/>
              <w:ind w:right="240"/>
              <w:spacing w:after="0"/>
              <w:rPr>
                <w:sz w:val="20"/>
                <w:szCs w:val="20"/>
                <w:color w:val="auto"/>
              </w:rPr>
            </w:pPr>
            <w:r>
              <w:rPr>
                <w:rFonts w:ascii="Arial" w:cs="Arial" w:eastAsia="Arial" w:hAnsi="Arial"/>
                <w:sz w:val="10"/>
                <w:szCs w:val="10"/>
                <w:color w:val="auto"/>
                <w:w w:val="91"/>
              </w:rPr>
              <w:t>Covered Life</w:t>
            </w:r>
          </w:p>
        </w:tc>
        <w:tc>
          <w:tcPr>
            <w:tcW w:w="760" w:type="dxa"/>
            <w:vAlign w:val="bottom"/>
            <w:gridSpan w:val="2"/>
            <w:vMerge w:val="restart"/>
          </w:tcPr>
          <w:p>
            <w:pPr>
              <w:jc w:val="right"/>
              <w:ind w:right="120"/>
              <w:spacing w:after="0"/>
              <w:rPr>
                <w:sz w:val="20"/>
                <w:szCs w:val="20"/>
                <w:color w:val="auto"/>
              </w:rPr>
            </w:pPr>
            <w:r>
              <w:rPr>
                <w:rFonts w:ascii="Arial" w:cs="Arial" w:eastAsia="Arial" w:hAnsi="Arial"/>
                <w:sz w:val="10"/>
                <w:szCs w:val="10"/>
                <w:color w:val="auto"/>
                <w:w w:val="92"/>
              </w:rPr>
              <w:t>Contingent Life</w:t>
            </w: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w w:val="91"/>
              </w:rPr>
              <w:t>Covered Life</w:t>
            </w:r>
          </w:p>
        </w:tc>
        <w:tc>
          <w:tcPr>
            <w:tcW w:w="800" w:type="dxa"/>
            <w:vAlign w:val="bottom"/>
            <w:gridSpan w:val="3"/>
            <w:vMerge w:val="restart"/>
          </w:tcPr>
          <w:p>
            <w:pPr>
              <w:ind w:left="60"/>
              <w:spacing w:after="0"/>
              <w:rPr>
                <w:sz w:val="20"/>
                <w:szCs w:val="20"/>
                <w:color w:val="auto"/>
              </w:rPr>
            </w:pPr>
            <w:r>
              <w:rPr>
                <w:rFonts w:ascii="Arial" w:cs="Arial" w:eastAsia="Arial" w:hAnsi="Arial"/>
                <w:sz w:val="10"/>
                <w:szCs w:val="10"/>
                <w:color w:val="auto"/>
              </w:rPr>
              <w:t>Contingent Life</w:t>
            </w:r>
          </w:p>
        </w:tc>
        <w:tc>
          <w:tcPr>
            <w:tcW w:w="120" w:type="dxa"/>
            <w:vAlign w:val="bottom"/>
          </w:tcPr>
          <w:p>
            <w:pPr>
              <w:spacing w:after="0"/>
              <w:rPr>
                <w:sz w:val="24"/>
                <w:szCs w:val="24"/>
                <w:color w:val="auto"/>
              </w:rPr>
            </w:pPr>
          </w:p>
        </w:tc>
        <w:tc>
          <w:tcPr>
            <w:tcW w:w="860" w:type="dxa"/>
            <w:vAlign w:val="bottom"/>
            <w:gridSpan w:val="2"/>
          </w:tcPr>
          <w:p>
            <w:pPr>
              <w:jc w:val="center"/>
              <w:ind w:right="40"/>
              <w:spacing w:after="0"/>
              <w:rPr>
                <w:sz w:val="20"/>
                <w:szCs w:val="20"/>
                <w:color w:val="auto"/>
              </w:rPr>
            </w:pPr>
            <w:r>
              <w:rPr>
                <w:rFonts w:ascii="Arial" w:cs="Arial" w:eastAsia="Arial" w:hAnsi="Arial"/>
                <w:sz w:val="10"/>
                <w:szCs w:val="10"/>
                <w:color w:val="auto"/>
                <w:w w:val="94"/>
              </w:rPr>
              <w:t>Pre 1985 Maximum</w:t>
            </w:r>
          </w:p>
        </w:tc>
        <w:tc>
          <w:tcPr>
            <w:tcW w:w="0" w:type="dxa"/>
            <w:vAlign w:val="bottom"/>
          </w:tcPr>
          <w:p>
            <w:pPr>
              <w:spacing w:after="0"/>
              <w:rPr>
                <w:sz w:val="1"/>
                <w:szCs w:val="1"/>
                <w:color w:val="auto"/>
              </w:rPr>
            </w:pPr>
          </w:p>
        </w:tc>
      </w:tr>
      <w:tr>
        <w:trPr>
          <w:trHeight w:val="93"/>
        </w:trPr>
        <w:tc>
          <w:tcPr>
            <w:tcW w:w="2320" w:type="dxa"/>
            <w:vAlign w:val="bottom"/>
            <w:gridSpan w:val="2"/>
            <w:vMerge w:val="continue"/>
          </w:tcPr>
          <w:p>
            <w:pPr>
              <w:spacing w:after="0"/>
              <w:rPr>
                <w:sz w:val="8"/>
                <w:szCs w:val="8"/>
                <w:color w:val="auto"/>
              </w:rPr>
            </w:pPr>
          </w:p>
        </w:tc>
        <w:tc>
          <w:tcPr>
            <w:tcW w:w="1220" w:type="dxa"/>
            <w:vAlign w:val="bottom"/>
            <w:gridSpan w:val="4"/>
            <w:vMerge w:val="continue"/>
          </w:tcPr>
          <w:p>
            <w:pPr>
              <w:spacing w:after="0"/>
              <w:rPr>
                <w:sz w:val="8"/>
                <w:szCs w:val="8"/>
                <w:color w:val="auto"/>
              </w:rPr>
            </w:pPr>
          </w:p>
        </w:tc>
        <w:tc>
          <w:tcPr>
            <w:tcW w:w="340" w:type="dxa"/>
            <w:vAlign w:val="bottom"/>
          </w:tcPr>
          <w:p>
            <w:pPr>
              <w:spacing w:after="0"/>
              <w:rPr>
                <w:sz w:val="8"/>
                <w:szCs w:val="8"/>
                <w:color w:val="auto"/>
              </w:rPr>
            </w:pPr>
          </w:p>
        </w:tc>
        <w:tc>
          <w:tcPr>
            <w:tcW w:w="560" w:type="dxa"/>
            <w:vAlign w:val="bottom"/>
            <w:tcBorders>
              <w:top w:val="single" w:sz="8" w:color="auto"/>
            </w:tcBorders>
            <w:gridSpan w:val="2"/>
          </w:tcPr>
          <w:p>
            <w:pPr>
              <w:spacing w:after="0" w:line="93" w:lineRule="exact"/>
              <w:rPr>
                <w:sz w:val="20"/>
                <w:szCs w:val="20"/>
                <w:color w:val="auto"/>
              </w:rPr>
            </w:pPr>
            <w:r>
              <w:rPr>
                <w:rFonts w:ascii="Arial" w:cs="Arial" w:eastAsia="Arial" w:hAnsi="Arial"/>
                <w:sz w:val="10"/>
                <w:szCs w:val="10"/>
                <w:color w:val="auto"/>
              </w:rPr>
              <w:t>Marriage</w:t>
            </w:r>
          </w:p>
        </w:tc>
        <w:tc>
          <w:tcPr>
            <w:tcW w:w="8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Borders>
              <w:top w:val="single" w:sz="8" w:color="auto"/>
            </w:tcBorders>
          </w:tcPr>
          <w:p>
            <w:pPr>
              <w:spacing w:after="0" w:line="93" w:lineRule="exact"/>
              <w:rPr>
                <w:sz w:val="20"/>
                <w:szCs w:val="20"/>
                <w:color w:val="auto"/>
              </w:rPr>
            </w:pPr>
            <w:r>
              <w:rPr>
                <w:rFonts w:ascii="Arial" w:cs="Arial" w:eastAsia="Arial" w:hAnsi="Arial"/>
                <w:sz w:val="10"/>
                <w:szCs w:val="10"/>
                <w:color w:val="auto"/>
                <w:w w:val="86"/>
              </w:rPr>
              <w:t>Amount</w:t>
            </w:r>
          </w:p>
        </w:tc>
        <w:tc>
          <w:tcPr>
            <w:tcW w:w="340" w:type="dxa"/>
            <w:vAlign w:val="bottom"/>
          </w:tcPr>
          <w:p>
            <w:pPr>
              <w:spacing w:after="0"/>
              <w:rPr>
                <w:sz w:val="8"/>
                <w:szCs w:val="8"/>
                <w:color w:val="auto"/>
              </w:rPr>
            </w:pPr>
          </w:p>
        </w:tc>
        <w:tc>
          <w:tcPr>
            <w:tcW w:w="520" w:type="dxa"/>
            <w:vAlign w:val="bottom"/>
            <w:tcBorders>
              <w:top w:val="single" w:sz="8" w:color="auto"/>
            </w:tcBorders>
            <w:gridSpan w:val="2"/>
          </w:tcPr>
          <w:p>
            <w:pPr>
              <w:spacing w:after="0" w:line="93" w:lineRule="exact"/>
              <w:rPr>
                <w:sz w:val="20"/>
                <w:szCs w:val="20"/>
                <w:color w:val="auto"/>
              </w:rPr>
            </w:pPr>
            <w:r>
              <w:rPr>
                <w:rFonts w:ascii="Arial" w:cs="Arial" w:eastAsia="Arial" w:hAnsi="Arial"/>
                <w:sz w:val="10"/>
                <w:szCs w:val="10"/>
                <w:color w:val="auto"/>
              </w:rPr>
              <w:t>Benefit</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620" w:type="dxa"/>
            <w:vAlign w:val="bottom"/>
            <w:tcBorders>
              <w:top w:val="single" w:sz="8" w:color="auto"/>
            </w:tcBorders>
            <w:gridSpan w:val="2"/>
          </w:tcPr>
          <w:p>
            <w:pPr>
              <w:jc w:val="center"/>
              <w:ind w:right="180"/>
              <w:spacing w:after="0" w:line="93" w:lineRule="exact"/>
              <w:rPr>
                <w:sz w:val="20"/>
                <w:szCs w:val="20"/>
                <w:color w:val="auto"/>
              </w:rPr>
            </w:pPr>
            <w:r>
              <w:rPr>
                <w:rFonts w:ascii="Arial" w:cs="Arial" w:eastAsia="Arial" w:hAnsi="Arial"/>
                <w:sz w:val="10"/>
                <w:szCs w:val="10"/>
                <w:color w:val="auto"/>
                <w:w w:val="85"/>
              </w:rPr>
              <w:t>Percentage</w:t>
            </w:r>
          </w:p>
        </w:tc>
        <w:tc>
          <w:tcPr>
            <w:tcW w:w="6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700" w:type="dxa"/>
            <w:vAlign w:val="bottom"/>
            <w:gridSpan w:val="2"/>
            <w:vMerge w:val="continue"/>
          </w:tcPr>
          <w:p>
            <w:pPr>
              <w:spacing w:after="0"/>
              <w:rPr>
                <w:sz w:val="8"/>
                <w:szCs w:val="8"/>
                <w:color w:val="auto"/>
              </w:rPr>
            </w:pPr>
          </w:p>
        </w:tc>
        <w:tc>
          <w:tcPr>
            <w:tcW w:w="80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Borders>
              <w:top w:val="single" w:sz="8" w:color="auto"/>
            </w:tcBorders>
          </w:tcPr>
          <w:p>
            <w:pPr>
              <w:jc w:val="center"/>
              <w:spacing w:after="0" w:line="93" w:lineRule="exact"/>
              <w:rPr>
                <w:sz w:val="20"/>
                <w:szCs w:val="20"/>
                <w:color w:val="auto"/>
              </w:rPr>
            </w:pPr>
            <w:r>
              <w:rPr>
                <w:rFonts w:ascii="Arial" w:cs="Arial" w:eastAsia="Arial" w:hAnsi="Arial"/>
                <w:sz w:val="10"/>
                <w:szCs w:val="10"/>
                <w:color w:val="auto"/>
                <w:w w:val="85"/>
              </w:rPr>
              <w:t>Refund Death Benefit</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86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920"/>
          </w:cols>
          <w:pgMar w:left="240" w:top="549" w:right="739" w:bottom="1440" w:gutter="0" w:footer="0" w:header="0"/>
        </w:sectPr>
      </w:pPr>
    </w:p>
    <w:bookmarkStart w:id="174" w:name="page175"/>
    <w:bookmarkEnd w:id="174"/>
    <w:p>
      <w:pPr>
        <w:spacing w:after="0"/>
        <w:rPr>
          <w:sz w:val="20"/>
          <w:szCs w:val="20"/>
          <w:color w:val="auto"/>
        </w:rPr>
      </w:pPr>
      <w:r>
        <w:rPr>
          <w:rFonts w:ascii="Arial" w:cs="Arial" w:eastAsia="Arial" w:hAnsi="Arial"/>
          <w:sz w:val="17"/>
          <w:szCs w:val="17"/>
          <w:b w:val="1"/>
          <w:bCs w:val="1"/>
          <w:u w:val="single" w:color="auto"/>
          <w:color w:val="auto"/>
        </w:rPr>
        <w:t>Schedule 1 to Appendix 2.7</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ANNUITY EXHIBIT SAMPLE</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GA-XXXX</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Vita</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Annuitants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Annuity Commencement Date is Month 1, 20XX</w:t>
      </w:r>
    </w:p>
    <w:p>
      <w:pPr>
        <w:spacing w:after="0" w:line="248" w:lineRule="exact"/>
        <w:rPr>
          <w:sz w:val="20"/>
          <w:szCs w:val="20"/>
          <w:color w:val="auto"/>
        </w:rPr>
      </w:pPr>
    </w:p>
    <w:p>
      <w:pPr>
        <w:ind w:left="20"/>
        <w:spacing w:after="0"/>
        <w:rPr>
          <w:sz w:val="20"/>
          <w:szCs w:val="20"/>
          <w:color w:val="auto"/>
        </w:rPr>
      </w:pPr>
      <w:r>
        <w:rPr>
          <w:rFonts w:ascii="Arial" w:cs="Arial" w:eastAsia="Arial" w:hAnsi="Arial"/>
          <w:sz w:val="10"/>
          <w:szCs w:val="10"/>
          <w:b w:val="1"/>
          <w:bCs w:val="1"/>
          <w:color w:val="auto"/>
        </w:rPr>
        <w:t xml:space="preserve">Indicator if field is applicable to each annuity form. </w:t>
      </w:r>
      <w:r>
        <w:rPr>
          <w:rFonts w:ascii="Arial" w:cs="Arial" w:eastAsia="Arial" w:hAnsi="Arial"/>
          <w:sz w:val="10"/>
          <w:szCs w:val="10"/>
          <w:b w:val="1"/>
          <w:bCs w:val="1"/>
          <w:color w:val="FF0000"/>
        </w:rPr>
        <w:t>This is linked to the Exhibit</w:t>
      </w:r>
      <w:r>
        <w:rPr>
          <w:rFonts w:ascii="Arial" w:cs="Arial" w:eastAsia="Arial" w:hAnsi="Arial"/>
          <w:sz w:val="10"/>
          <w:szCs w:val="10"/>
          <w:b w:val="1"/>
          <w:bCs w:val="1"/>
          <w:color w:val="auto"/>
        </w:rPr>
        <w:t xml:space="preserve"> </w:t>
      </w:r>
      <w:r>
        <w:rPr>
          <w:rFonts w:ascii="Arial" w:cs="Arial" w:eastAsia="Arial" w:hAnsi="Arial"/>
          <w:sz w:val="10"/>
          <w:szCs w:val="10"/>
          <w:color w:val="auto"/>
        </w:rPr>
        <w:t>(1=Yes)</w:t>
      </w:r>
    </w:p>
    <w:p>
      <w:pPr>
        <w:spacing w:after="0" w:line="91" w:lineRule="exact"/>
        <w:rPr>
          <w:sz w:val="20"/>
          <w:szCs w:val="20"/>
          <w:color w:val="auto"/>
        </w:rPr>
      </w:pPr>
    </w:p>
    <w:tbl>
      <w:tblPr>
        <w:tblLayout w:type="fixed"/>
        <w:tblInd w:w="20" w:type="dxa"/>
        <w:tblCellMar>
          <w:top w:w="0" w:type="dxa"/>
          <w:left w:w="0" w:type="dxa"/>
          <w:bottom w:w="0" w:type="dxa"/>
          <w:right w:w="0" w:type="dxa"/>
        </w:tblCellMar>
      </w:tblPr>
      <w:tr>
        <w:trPr>
          <w:trHeight w:val="127"/>
        </w:trPr>
        <w:tc>
          <w:tcPr>
            <w:tcW w:w="2220" w:type="dxa"/>
            <w:vAlign w:val="bottom"/>
            <w:gridSpan w:val="2"/>
          </w:tcPr>
          <w:p>
            <w:pPr>
              <w:spacing w:after="0"/>
              <w:rPr>
                <w:sz w:val="20"/>
                <w:szCs w:val="20"/>
                <w:color w:val="auto"/>
              </w:rPr>
            </w:pPr>
            <w:r>
              <w:rPr>
                <w:rFonts w:ascii="Arial" w:cs="Arial" w:eastAsia="Arial" w:hAnsi="Arial"/>
                <w:sz w:val="10"/>
                <w:szCs w:val="10"/>
                <w:color w:val="auto"/>
              </w:rPr>
              <w:t>Spousal Joint and Survivor Life Annuity</w:t>
            </w:r>
          </w:p>
        </w:tc>
        <w:tc>
          <w:tcPr>
            <w:tcW w:w="8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0</w:t>
            </w:r>
          </w:p>
        </w:tc>
        <w:tc>
          <w:tcPr>
            <w:tcW w:w="1080" w:type="dxa"/>
            <w:vAlign w:val="bottom"/>
            <w:gridSpan w:val="3"/>
          </w:tcPr>
          <w:p>
            <w:pPr>
              <w:jc w:val="right"/>
              <w:ind w:right="20"/>
              <w:spacing w:after="0"/>
              <w:rPr>
                <w:sz w:val="20"/>
                <w:szCs w:val="20"/>
                <w:color w:val="auto"/>
              </w:rPr>
            </w:pPr>
            <w:r>
              <w:rPr>
                <w:rFonts w:ascii="Arial" w:cs="Arial" w:eastAsia="Arial" w:hAnsi="Arial"/>
                <w:sz w:val="10"/>
                <w:szCs w:val="10"/>
                <w:color w:val="auto"/>
              </w:rPr>
              <w:t>1</w:t>
            </w:r>
          </w:p>
        </w:tc>
        <w:tc>
          <w:tcPr>
            <w:tcW w:w="100" w:type="dxa"/>
            <w:vAlign w:val="bottom"/>
          </w:tcPr>
          <w:p>
            <w:pPr>
              <w:spacing w:after="0"/>
              <w:rPr>
                <w:sz w:val="11"/>
                <w:szCs w:val="11"/>
                <w:color w:val="auto"/>
              </w:rPr>
            </w:pPr>
          </w:p>
        </w:tc>
        <w:tc>
          <w:tcPr>
            <w:tcW w:w="1120" w:type="dxa"/>
            <w:vAlign w:val="bottom"/>
            <w:gridSpan w:val="3"/>
          </w:tcPr>
          <w:p>
            <w:pPr>
              <w:jc w:val="right"/>
              <w:ind w:right="140"/>
              <w:spacing w:after="0"/>
              <w:rPr>
                <w:sz w:val="20"/>
                <w:szCs w:val="20"/>
                <w:color w:val="auto"/>
              </w:rPr>
            </w:pPr>
            <w:r>
              <w:rPr>
                <w:rFonts w:ascii="Arial" w:cs="Arial" w:eastAsia="Arial" w:hAnsi="Arial"/>
                <w:sz w:val="10"/>
                <w:szCs w:val="10"/>
                <w:color w:val="auto"/>
              </w:rPr>
              <w:t>1</w:t>
            </w:r>
          </w:p>
        </w:tc>
        <w:tc>
          <w:tcPr>
            <w:tcW w:w="1120" w:type="dxa"/>
            <w:vAlign w:val="bottom"/>
            <w:gridSpan w:val="2"/>
          </w:tcPr>
          <w:p>
            <w:pPr>
              <w:jc w:val="right"/>
              <w:ind w:right="140"/>
              <w:spacing w:after="0"/>
              <w:rPr>
                <w:sz w:val="20"/>
                <w:szCs w:val="20"/>
                <w:color w:val="auto"/>
              </w:rPr>
            </w:pPr>
            <w:r>
              <w:rPr>
                <w:rFonts w:ascii="Arial" w:cs="Arial" w:eastAsia="Arial" w:hAnsi="Arial"/>
                <w:sz w:val="10"/>
                <w:szCs w:val="10"/>
                <w:color w:val="auto"/>
              </w:rPr>
              <w:t>1</w:t>
            </w:r>
          </w:p>
        </w:tc>
        <w:tc>
          <w:tcPr>
            <w:tcW w:w="1140" w:type="dxa"/>
            <w:vAlign w:val="bottom"/>
            <w:gridSpan w:val="2"/>
          </w:tcPr>
          <w:p>
            <w:pPr>
              <w:jc w:val="right"/>
              <w:ind w:right="180"/>
              <w:spacing w:after="0"/>
              <w:rPr>
                <w:sz w:val="20"/>
                <w:szCs w:val="20"/>
                <w:color w:val="auto"/>
              </w:rPr>
            </w:pPr>
            <w:r>
              <w:rPr>
                <w:rFonts w:ascii="Arial" w:cs="Arial" w:eastAsia="Arial" w:hAnsi="Arial"/>
                <w:sz w:val="10"/>
                <w:szCs w:val="10"/>
                <w:color w:val="auto"/>
              </w:rPr>
              <w:t>1</w:t>
            </w:r>
          </w:p>
        </w:tc>
        <w:tc>
          <w:tcPr>
            <w:tcW w:w="500" w:type="dxa"/>
            <w:vAlign w:val="bottom"/>
          </w:tcPr>
          <w:p>
            <w:pPr>
              <w:jc w:val="right"/>
              <w:spacing w:after="0"/>
              <w:rPr>
                <w:sz w:val="20"/>
                <w:szCs w:val="20"/>
                <w:color w:val="auto"/>
              </w:rPr>
            </w:pPr>
            <w:r>
              <w:rPr>
                <w:rFonts w:ascii="Arial" w:cs="Arial" w:eastAsia="Arial" w:hAnsi="Arial"/>
                <w:sz w:val="10"/>
                <w:szCs w:val="10"/>
                <w:color w:val="auto"/>
              </w:rPr>
              <w:t>0</w:t>
            </w:r>
          </w:p>
        </w:tc>
        <w:tc>
          <w:tcPr>
            <w:tcW w:w="14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0</w:t>
            </w:r>
          </w:p>
        </w:tc>
        <w:tc>
          <w:tcPr>
            <w:tcW w:w="80" w:type="dxa"/>
            <w:vAlign w:val="bottom"/>
          </w:tcPr>
          <w:p>
            <w:pPr>
              <w:spacing w:after="0"/>
              <w:rPr>
                <w:sz w:val="11"/>
                <w:szCs w:val="11"/>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0"/>
                <w:szCs w:val="10"/>
                <w:color w:val="auto"/>
              </w:rPr>
              <w:t>0</w:t>
            </w:r>
          </w:p>
        </w:tc>
        <w:tc>
          <w:tcPr>
            <w:tcW w:w="16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0</w:t>
            </w:r>
          </w:p>
        </w:tc>
        <w:tc>
          <w:tcPr>
            <w:tcW w:w="16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0</w:t>
            </w:r>
          </w:p>
        </w:tc>
        <w:tc>
          <w:tcPr>
            <w:tcW w:w="0" w:type="dxa"/>
            <w:vAlign w:val="bottom"/>
          </w:tcPr>
          <w:p>
            <w:pPr>
              <w:spacing w:after="0"/>
              <w:rPr>
                <w:sz w:val="1"/>
                <w:szCs w:val="1"/>
                <w:color w:val="auto"/>
              </w:rPr>
            </w:pPr>
          </w:p>
        </w:tc>
      </w:tr>
      <w:tr>
        <w:trPr>
          <w:trHeight w:val="200"/>
        </w:trPr>
        <w:tc>
          <w:tcPr>
            <w:tcW w:w="2220" w:type="dxa"/>
            <w:vAlign w:val="bottom"/>
            <w:gridSpan w:val="2"/>
          </w:tcPr>
          <w:p>
            <w:pPr>
              <w:spacing w:after="0"/>
              <w:rPr>
                <w:sz w:val="20"/>
                <w:szCs w:val="20"/>
                <w:color w:val="auto"/>
              </w:rPr>
            </w:pPr>
            <w:r>
              <w:rPr>
                <w:rFonts w:ascii="Arial" w:cs="Arial" w:eastAsia="Arial" w:hAnsi="Arial"/>
                <w:sz w:val="10"/>
                <w:szCs w:val="10"/>
                <w:color w:val="auto"/>
              </w:rPr>
              <w:t>Contingent Joint and Survivor Life Annuity</w:t>
            </w: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0</w:t>
            </w:r>
          </w:p>
        </w:tc>
        <w:tc>
          <w:tcPr>
            <w:tcW w:w="1080" w:type="dxa"/>
            <w:vAlign w:val="bottom"/>
            <w:gridSpan w:val="3"/>
          </w:tcPr>
          <w:p>
            <w:pPr>
              <w:jc w:val="right"/>
              <w:ind w:right="20"/>
              <w:spacing w:after="0"/>
              <w:rPr>
                <w:sz w:val="20"/>
                <w:szCs w:val="20"/>
                <w:color w:val="auto"/>
              </w:rPr>
            </w:pPr>
            <w:r>
              <w:rPr>
                <w:rFonts w:ascii="Arial" w:cs="Arial" w:eastAsia="Arial" w:hAnsi="Arial"/>
                <w:sz w:val="10"/>
                <w:szCs w:val="10"/>
                <w:color w:val="auto"/>
              </w:rPr>
              <w:t>1</w:t>
            </w:r>
          </w:p>
        </w:tc>
        <w:tc>
          <w:tcPr>
            <w:tcW w:w="100" w:type="dxa"/>
            <w:vAlign w:val="bottom"/>
          </w:tcPr>
          <w:p>
            <w:pPr>
              <w:spacing w:after="0"/>
              <w:rPr>
                <w:sz w:val="17"/>
                <w:szCs w:val="17"/>
                <w:color w:val="auto"/>
              </w:rPr>
            </w:pPr>
          </w:p>
        </w:tc>
        <w:tc>
          <w:tcPr>
            <w:tcW w:w="1120" w:type="dxa"/>
            <w:vAlign w:val="bottom"/>
            <w:gridSpan w:val="3"/>
          </w:tcPr>
          <w:p>
            <w:pPr>
              <w:jc w:val="right"/>
              <w:ind w:right="140"/>
              <w:spacing w:after="0"/>
              <w:rPr>
                <w:sz w:val="20"/>
                <w:szCs w:val="20"/>
                <w:color w:val="auto"/>
              </w:rPr>
            </w:pPr>
            <w:r>
              <w:rPr>
                <w:rFonts w:ascii="Arial" w:cs="Arial" w:eastAsia="Arial" w:hAnsi="Arial"/>
                <w:sz w:val="10"/>
                <w:szCs w:val="10"/>
                <w:color w:val="auto"/>
              </w:rPr>
              <w:t>0</w:t>
            </w:r>
          </w:p>
        </w:tc>
        <w:tc>
          <w:tcPr>
            <w:tcW w:w="1120" w:type="dxa"/>
            <w:vAlign w:val="bottom"/>
            <w:gridSpan w:val="2"/>
          </w:tcPr>
          <w:p>
            <w:pPr>
              <w:jc w:val="right"/>
              <w:ind w:right="140"/>
              <w:spacing w:after="0"/>
              <w:rPr>
                <w:sz w:val="20"/>
                <w:szCs w:val="20"/>
                <w:color w:val="auto"/>
              </w:rPr>
            </w:pPr>
            <w:r>
              <w:rPr>
                <w:rFonts w:ascii="Arial" w:cs="Arial" w:eastAsia="Arial" w:hAnsi="Arial"/>
                <w:sz w:val="10"/>
                <w:szCs w:val="10"/>
                <w:color w:val="auto"/>
              </w:rPr>
              <w:t>0</w:t>
            </w:r>
          </w:p>
        </w:tc>
        <w:tc>
          <w:tcPr>
            <w:tcW w:w="1140" w:type="dxa"/>
            <w:vAlign w:val="bottom"/>
            <w:gridSpan w:val="2"/>
          </w:tcPr>
          <w:p>
            <w:pPr>
              <w:jc w:val="right"/>
              <w:ind w:right="180"/>
              <w:spacing w:after="0"/>
              <w:rPr>
                <w:sz w:val="20"/>
                <w:szCs w:val="20"/>
                <w:color w:val="auto"/>
              </w:rPr>
            </w:pPr>
            <w:r>
              <w:rPr>
                <w:rFonts w:ascii="Arial" w:cs="Arial" w:eastAsia="Arial" w:hAnsi="Arial"/>
                <w:sz w:val="10"/>
                <w:szCs w:val="10"/>
                <w:color w:val="auto"/>
              </w:rPr>
              <w:t>0</w:t>
            </w:r>
          </w:p>
        </w:tc>
        <w:tc>
          <w:tcPr>
            <w:tcW w:w="500" w:type="dxa"/>
            <w:vAlign w:val="bottom"/>
          </w:tcPr>
          <w:p>
            <w:pPr>
              <w:jc w:val="right"/>
              <w:spacing w:after="0"/>
              <w:rPr>
                <w:sz w:val="20"/>
                <w:szCs w:val="20"/>
                <w:color w:val="auto"/>
              </w:rPr>
            </w:pPr>
            <w:r>
              <w:rPr>
                <w:rFonts w:ascii="Arial" w:cs="Arial" w:eastAsia="Arial" w:hAnsi="Arial"/>
                <w:sz w:val="10"/>
                <w:szCs w:val="10"/>
                <w:color w:val="auto"/>
              </w:rPr>
              <w:t>0</w:t>
            </w:r>
          </w:p>
        </w:tc>
        <w:tc>
          <w:tcPr>
            <w:tcW w:w="1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0</w:t>
            </w:r>
          </w:p>
        </w:tc>
        <w:tc>
          <w:tcPr>
            <w:tcW w:w="80" w:type="dxa"/>
            <w:vAlign w:val="bottom"/>
          </w:tcPr>
          <w:p>
            <w:pPr>
              <w:spacing w:after="0"/>
              <w:rPr>
                <w:sz w:val="17"/>
                <w:szCs w:val="17"/>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0"/>
                <w:szCs w:val="10"/>
                <w:color w:val="auto"/>
              </w:rPr>
              <w:t>0</w:t>
            </w:r>
          </w:p>
        </w:tc>
        <w:tc>
          <w:tcPr>
            <w:tcW w:w="16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0</w:t>
            </w:r>
          </w:p>
        </w:tc>
        <w:tc>
          <w:tcPr>
            <w:tcW w:w="1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0</w:t>
            </w:r>
          </w:p>
        </w:tc>
        <w:tc>
          <w:tcPr>
            <w:tcW w:w="0" w:type="dxa"/>
            <w:vAlign w:val="bottom"/>
          </w:tcPr>
          <w:p>
            <w:pPr>
              <w:spacing w:after="0"/>
              <w:rPr>
                <w:sz w:val="1"/>
                <w:szCs w:val="1"/>
                <w:color w:val="auto"/>
              </w:rPr>
            </w:pPr>
          </w:p>
        </w:tc>
      </w:tr>
      <w:tr>
        <w:trPr>
          <w:trHeight w:val="200"/>
        </w:trPr>
        <w:tc>
          <w:tcPr>
            <w:tcW w:w="2220" w:type="dxa"/>
            <w:vAlign w:val="bottom"/>
            <w:gridSpan w:val="2"/>
          </w:tcPr>
          <w:p>
            <w:pPr>
              <w:spacing w:after="0"/>
              <w:rPr>
                <w:sz w:val="20"/>
                <w:szCs w:val="20"/>
                <w:color w:val="auto"/>
              </w:rPr>
            </w:pPr>
            <w:r>
              <w:rPr>
                <w:rFonts w:ascii="Arial" w:cs="Arial" w:eastAsia="Arial" w:hAnsi="Arial"/>
                <w:sz w:val="10"/>
                <w:szCs w:val="10"/>
                <w:color w:val="auto"/>
              </w:rPr>
              <w:t>Single Life Annuity</w:t>
            </w: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0</w:t>
            </w:r>
          </w:p>
        </w:tc>
        <w:tc>
          <w:tcPr>
            <w:tcW w:w="1080" w:type="dxa"/>
            <w:vAlign w:val="bottom"/>
            <w:gridSpan w:val="3"/>
          </w:tcPr>
          <w:p>
            <w:pPr>
              <w:jc w:val="right"/>
              <w:ind w:right="20"/>
              <w:spacing w:after="0"/>
              <w:rPr>
                <w:sz w:val="20"/>
                <w:szCs w:val="20"/>
                <w:color w:val="auto"/>
              </w:rPr>
            </w:pPr>
            <w:r>
              <w:rPr>
                <w:rFonts w:ascii="Arial" w:cs="Arial" w:eastAsia="Arial" w:hAnsi="Arial"/>
                <w:sz w:val="10"/>
                <w:szCs w:val="10"/>
                <w:color w:val="auto"/>
              </w:rPr>
              <w:t>1</w:t>
            </w:r>
          </w:p>
        </w:tc>
        <w:tc>
          <w:tcPr>
            <w:tcW w:w="100" w:type="dxa"/>
            <w:vAlign w:val="bottom"/>
          </w:tcPr>
          <w:p>
            <w:pPr>
              <w:spacing w:after="0"/>
              <w:rPr>
                <w:sz w:val="17"/>
                <w:szCs w:val="17"/>
                <w:color w:val="auto"/>
              </w:rPr>
            </w:pPr>
          </w:p>
        </w:tc>
        <w:tc>
          <w:tcPr>
            <w:tcW w:w="1120" w:type="dxa"/>
            <w:vAlign w:val="bottom"/>
            <w:gridSpan w:val="3"/>
          </w:tcPr>
          <w:p>
            <w:pPr>
              <w:jc w:val="right"/>
              <w:ind w:right="140"/>
              <w:spacing w:after="0"/>
              <w:rPr>
                <w:sz w:val="20"/>
                <w:szCs w:val="20"/>
                <w:color w:val="auto"/>
              </w:rPr>
            </w:pPr>
            <w:r>
              <w:rPr>
                <w:rFonts w:ascii="Arial" w:cs="Arial" w:eastAsia="Arial" w:hAnsi="Arial"/>
                <w:sz w:val="10"/>
                <w:szCs w:val="10"/>
                <w:color w:val="auto"/>
              </w:rPr>
              <w:t>1</w:t>
            </w:r>
          </w:p>
        </w:tc>
        <w:tc>
          <w:tcPr>
            <w:tcW w:w="1120" w:type="dxa"/>
            <w:vAlign w:val="bottom"/>
            <w:gridSpan w:val="2"/>
          </w:tcPr>
          <w:p>
            <w:pPr>
              <w:jc w:val="right"/>
              <w:ind w:right="140"/>
              <w:spacing w:after="0"/>
              <w:rPr>
                <w:sz w:val="20"/>
                <w:szCs w:val="20"/>
                <w:color w:val="auto"/>
              </w:rPr>
            </w:pPr>
            <w:r>
              <w:rPr>
                <w:rFonts w:ascii="Arial" w:cs="Arial" w:eastAsia="Arial" w:hAnsi="Arial"/>
                <w:sz w:val="10"/>
                <w:szCs w:val="10"/>
                <w:color w:val="auto"/>
              </w:rPr>
              <w:t>1</w:t>
            </w:r>
          </w:p>
        </w:tc>
        <w:tc>
          <w:tcPr>
            <w:tcW w:w="1140" w:type="dxa"/>
            <w:vAlign w:val="bottom"/>
            <w:gridSpan w:val="2"/>
          </w:tcPr>
          <w:p>
            <w:pPr>
              <w:jc w:val="right"/>
              <w:ind w:right="180"/>
              <w:spacing w:after="0"/>
              <w:rPr>
                <w:sz w:val="20"/>
                <w:szCs w:val="20"/>
                <w:color w:val="auto"/>
              </w:rPr>
            </w:pPr>
            <w:r>
              <w:rPr>
                <w:rFonts w:ascii="Arial" w:cs="Arial" w:eastAsia="Arial" w:hAnsi="Arial"/>
                <w:sz w:val="10"/>
                <w:szCs w:val="10"/>
                <w:color w:val="auto"/>
              </w:rPr>
              <w:t>1</w:t>
            </w:r>
          </w:p>
        </w:tc>
        <w:tc>
          <w:tcPr>
            <w:tcW w:w="500" w:type="dxa"/>
            <w:vAlign w:val="bottom"/>
          </w:tcPr>
          <w:p>
            <w:pPr>
              <w:jc w:val="right"/>
              <w:spacing w:after="0"/>
              <w:rPr>
                <w:sz w:val="20"/>
                <w:szCs w:val="20"/>
                <w:color w:val="auto"/>
              </w:rPr>
            </w:pPr>
            <w:r>
              <w:rPr>
                <w:rFonts w:ascii="Arial" w:cs="Arial" w:eastAsia="Arial" w:hAnsi="Arial"/>
                <w:sz w:val="10"/>
                <w:szCs w:val="10"/>
                <w:color w:val="auto"/>
              </w:rPr>
              <w:t>0</w:t>
            </w:r>
          </w:p>
        </w:tc>
        <w:tc>
          <w:tcPr>
            <w:tcW w:w="1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0</w:t>
            </w:r>
          </w:p>
        </w:tc>
        <w:tc>
          <w:tcPr>
            <w:tcW w:w="80" w:type="dxa"/>
            <w:vAlign w:val="bottom"/>
          </w:tcPr>
          <w:p>
            <w:pPr>
              <w:spacing w:after="0"/>
              <w:rPr>
                <w:sz w:val="17"/>
                <w:szCs w:val="17"/>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0"/>
                <w:szCs w:val="10"/>
                <w:color w:val="auto"/>
              </w:rPr>
              <w:t>0</w:t>
            </w:r>
          </w:p>
        </w:tc>
        <w:tc>
          <w:tcPr>
            <w:tcW w:w="16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0</w:t>
            </w:r>
          </w:p>
        </w:tc>
        <w:tc>
          <w:tcPr>
            <w:tcW w:w="1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0</w:t>
            </w:r>
          </w:p>
        </w:tc>
        <w:tc>
          <w:tcPr>
            <w:tcW w:w="0" w:type="dxa"/>
            <w:vAlign w:val="bottom"/>
          </w:tcPr>
          <w:p>
            <w:pPr>
              <w:spacing w:after="0"/>
              <w:rPr>
                <w:sz w:val="1"/>
                <w:szCs w:val="1"/>
                <w:color w:val="auto"/>
              </w:rPr>
            </w:pPr>
          </w:p>
        </w:tc>
      </w:tr>
      <w:tr>
        <w:trPr>
          <w:trHeight w:val="200"/>
        </w:trPr>
        <w:tc>
          <w:tcPr>
            <w:tcW w:w="2220" w:type="dxa"/>
            <w:vAlign w:val="bottom"/>
            <w:gridSpan w:val="2"/>
          </w:tcPr>
          <w:p>
            <w:pPr>
              <w:spacing w:after="0"/>
              <w:rPr>
                <w:sz w:val="20"/>
                <w:szCs w:val="20"/>
                <w:color w:val="auto"/>
              </w:rPr>
            </w:pPr>
            <w:r>
              <w:rPr>
                <w:rFonts w:ascii="Arial" w:cs="Arial" w:eastAsia="Arial" w:hAnsi="Arial"/>
                <w:sz w:val="10"/>
                <w:szCs w:val="10"/>
                <w:color w:val="auto"/>
              </w:rPr>
              <w:t>Single Life and Period Certain Annuity</w:t>
            </w: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0</w:t>
            </w:r>
          </w:p>
        </w:tc>
        <w:tc>
          <w:tcPr>
            <w:tcW w:w="1080" w:type="dxa"/>
            <w:vAlign w:val="bottom"/>
            <w:gridSpan w:val="3"/>
          </w:tcPr>
          <w:p>
            <w:pPr>
              <w:jc w:val="right"/>
              <w:ind w:right="20"/>
              <w:spacing w:after="0"/>
              <w:rPr>
                <w:sz w:val="20"/>
                <w:szCs w:val="20"/>
                <w:color w:val="auto"/>
              </w:rPr>
            </w:pPr>
            <w:r>
              <w:rPr>
                <w:rFonts w:ascii="Arial" w:cs="Arial" w:eastAsia="Arial" w:hAnsi="Arial"/>
                <w:sz w:val="10"/>
                <w:szCs w:val="10"/>
                <w:color w:val="auto"/>
              </w:rPr>
              <w:t>0</w:t>
            </w:r>
          </w:p>
        </w:tc>
        <w:tc>
          <w:tcPr>
            <w:tcW w:w="100" w:type="dxa"/>
            <w:vAlign w:val="bottom"/>
          </w:tcPr>
          <w:p>
            <w:pPr>
              <w:spacing w:after="0"/>
              <w:rPr>
                <w:sz w:val="17"/>
                <w:szCs w:val="17"/>
                <w:color w:val="auto"/>
              </w:rPr>
            </w:pPr>
          </w:p>
        </w:tc>
        <w:tc>
          <w:tcPr>
            <w:tcW w:w="1120" w:type="dxa"/>
            <w:vAlign w:val="bottom"/>
            <w:gridSpan w:val="3"/>
          </w:tcPr>
          <w:p>
            <w:pPr>
              <w:jc w:val="right"/>
              <w:ind w:right="140"/>
              <w:spacing w:after="0"/>
              <w:rPr>
                <w:sz w:val="20"/>
                <w:szCs w:val="20"/>
                <w:color w:val="auto"/>
              </w:rPr>
            </w:pPr>
            <w:r>
              <w:rPr>
                <w:rFonts w:ascii="Arial" w:cs="Arial" w:eastAsia="Arial" w:hAnsi="Arial"/>
                <w:sz w:val="10"/>
                <w:szCs w:val="10"/>
                <w:color w:val="auto"/>
              </w:rPr>
              <w:t>0</w:t>
            </w:r>
          </w:p>
        </w:tc>
        <w:tc>
          <w:tcPr>
            <w:tcW w:w="1120" w:type="dxa"/>
            <w:vAlign w:val="bottom"/>
            <w:gridSpan w:val="2"/>
          </w:tcPr>
          <w:p>
            <w:pPr>
              <w:jc w:val="right"/>
              <w:ind w:right="140"/>
              <w:spacing w:after="0"/>
              <w:rPr>
                <w:sz w:val="20"/>
                <w:szCs w:val="20"/>
                <w:color w:val="auto"/>
              </w:rPr>
            </w:pPr>
            <w:r>
              <w:rPr>
                <w:rFonts w:ascii="Arial" w:cs="Arial" w:eastAsia="Arial" w:hAnsi="Arial"/>
                <w:sz w:val="10"/>
                <w:szCs w:val="10"/>
                <w:color w:val="auto"/>
              </w:rPr>
              <w:t>0</w:t>
            </w:r>
          </w:p>
        </w:tc>
        <w:tc>
          <w:tcPr>
            <w:tcW w:w="1140" w:type="dxa"/>
            <w:vAlign w:val="bottom"/>
            <w:gridSpan w:val="2"/>
          </w:tcPr>
          <w:p>
            <w:pPr>
              <w:jc w:val="right"/>
              <w:ind w:right="180"/>
              <w:spacing w:after="0"/>
              <w:rPr>
                <w:sz w:val="20"/>
                <w:szCs w:val="20"/>
                <w:color w:val="auto"/>
              </w:rPr>
            </w:pPr>
            <w:r>
              <w:rPr>
                <w:rFonts w:ascii="Arial" w:cs="Arial" w:eastAsia="Arial" w:hAnsi="Arial"/>
                <w:sz w:val="10"/>
                <w:szCs w:val="10"/>
                <w:color w:val="auto"/>
              </w:rPr>
              <w:t>0</w:t>
            </w:r>
          </w:p>
        </w:tc>
        <w:tc>
          <w:tcPr>
            <w:tcW w:w="500" w:type="dxa"/>
            <w:vAlign w:val="bottom"/>
          </w:tcPr>
          <w:p>
            <w:pPr>
              <w:jc w:val="right"/>
              <w:spacing w:after="0"/>
              <w:rPr>
                <w:sz w:val="20"/>
                <w:szCs w:val="20"/>
                <w:color w:val="auto"/>
              </w:rPr>
            </w:pPr>
            <w:r>
              <w:rPr>
                <w:rFonts w:ascii="Arial" w:cs="Arial" w:eastAsia="Arial" w:hAnsi="Arial"/>
                <w:sz w:val="10"/>
                <w:szCs w:val="10"/>
                <w:color w:val="auto"/>
              </w:rPr>
              <w:t>0</w:t>
            </w:r>
          </w:p>
        </w:tc>
        <w:tc>
          <w:tcPr>
            <w:tcW w:w="1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0</w:t>
            </w:r>
          </w:p>
        </w:tc>
        <w:tc>
          <w:tcPr>
            <w:tcW w:w="80" w:type="dxa"/>
            <w:vAlign w:val="bottom"/>
          </w:tcPr>
          <w:p>
            <w:pPr>
              <w:spacing w:after="0"/>
              <w:rPr>
                <w:sz w:val="17"/>
                <w:szCs w:val="17"/>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0"/>
                <w:szCs w:val="10"/>
                <w:color w:val="auto"/>
              </w:rPr>
              <w:t>0</w:t>
            </w:r>
          </w:p>
        </w:tc>
        <w:tc>
          <w:tcPr>
            <w:tcW w:w="16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0</w:t>
            </w:r>
          </w:p>
        </w:tc>
        <w:tc>
          <w:tcPr>
            <w:tcW w:w="1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0</w:t>
            </w:r>
          </w:p>
        </w:tc>
        <w:tc>
          <w:tcPr>
            <w:tcW w:w="0" w:type="dxa"/>
            <w:vAlign w:val="bottom"/>
          </w:tcPr>
          <w:p>
            <w:pPr>
              <w:spacing w:after="0"/>
              <w:rPr>
                <w:sz w:val="1"/>
                <w:szCs w:val="1"/>
                <w:color w:val="auto"/>
              </w:rPr>
            </w:pPr>
          </w:p>
        </w:tc>
      </w:tr>
      <w:tr>
        <w:trPr>
          <w:trHeight w:val="200"/>
        </w:trPr>
        <w:tc>
          <w:tcPr>
            <w:tcW w:w="2220" w:type="dxa"/>
            <w:vAlign w:val="bottom"/>
            <w:gridSpan w:val="2"/>
          </w:tcPr>
          <w:p>
            <w:pPr>
              <w:spacing w:after="0"/>
              <w:rPr>
                <w:sz w:val="20"/>
                <w:szCs w:val="20"/>
                <w:color w:val="auto"/>
              </w:rPr>
            </w:pPr>
            <w:r>
              <w:rPr>
                <w:rFonts w:ascii="Arial" w:cs="Arial" w:eastAsia="Arial" w:hAnsi="Arial"/>
                <w:sz w:val="10"/>
                <w:szCs w:val="10"/>
                <w:color w:val="auto"/>
              </w:rPr>
              <w:t>Period Certain Annuity</w:t>
            </w: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0</w:t>
            </w:r>
          </w:p>
        </w:tc>
        <w:tc>
          <w:tcPr>
            <w:tcW w:w="1080" w:type="dxa"/>
            <w:vAlign w:val="bottom"/>
            <w:gridSpan w:val="3"/>
          </w:tcPr>
          <w:p>
            <w:pPr>
              <w:jc w:val="right"/>
              <w:ind w:right="20"/>
              <w:spacing w:after="0"/>
              <w:rPr>
                <w:sz w:val="20"/>
                <w:szCs w:val="20"/>
                <w:color w:val="auto"/>
              </w:rPr>
            </w:pPr>
            <w:r>
              <w:rPr>
                <w:rFonts w:ascii="Arial" w:cs="Arial" w:eastAsia="Arial" w:hAnsi="Arial"/>
                <w:sz w:val="10"/>
                <w:szCs w:val="10"/>
                <w:color w:val="auto"/>
              </w:rPr>
              <w:t>0</w:t>
            </w:r>
          </w:p>
        </w:tc>
        <w:tc>
          <w:tcPr>
            <w:tcW w:w="100" w:type="dxa"/>
            <w:vAlign w:val="bottom"/>
          </w:tcPr>
          <w:p>
            <w:pPr>
              <w:spacing w:after="0"/>
              <w:rPr>
                <w:sz w:val="17"/>
                <w:szCs w:val="17"/>
                <w:color w:val="auto"/>
              </w:rPr>
            </w:pPr>
          </w:p>
        </w:tc>
        <w:tc>
          <w:tcPr>
            <w:tcW w:w="1120" w:type="dxa"/>
            <w:vAlign w:val="bottom"/>
            <w:gridSpan w:val="3"/>
          </w:tcPr>
          <w:p>
            <w:pPr>
              <w:jc w:val="right"/>
              <w:ind w:right="140"/>
              <w:spacing w:after="0"/>
              <w:rPr>
                <w:sz w:val="20"/>
                <w:szCs w:val="20"/>
                <w:color w:val="auto"/>
              </w:rPr>
            </w:pPr>
            <w:r>
              <w:rPr>
                <w:rFonts w:ascii="Arial" w:cs="Arial" w:eastAsia="Arial" w:hAnsi="Arial"/>
                <w:sz w:val="10"/>
                <w:szCs w:val="10"/>
                <w:color w:val="auto"/>
              </w:rPr>
              <w:t>0</w:t>
            </w:r>
          </w:p>
        </w:tc>
        <w:tc>
          <w:tcPr>
            <w:tcW w:w="1120" w:type="dxa"/>
            <w:vAlign w:val="bottom"/>
            <w:gridSpan w:val="2"/>
          </w:tcPr>
          <w:p>
            <w:pPr>
              <w:jc w:val="right"/>
              <w:ind w:right="140"/>
              <w:spacing w:after="0"/>
              <w:rPr>
                <w:sz w:val="20"/>
                <w:szCs w:val="20"/>
                <w:color w:val="auto"/>
              </w:rPr>
            </w:pPr>
            <w:r>
              <w:rPr>
                <w:rFonts w:ascii="Arial" w:cs="Arial" w:eastAsia="Arial" w:hAnsi="Arial"/>
                <w:sz w:val="10"/>
                <w:szCs w:val="10"/>
                <w:color w:val="auto"/>
              </w:rPr>
              <w:t>0</w:t>
            </w:r>
          </w:p>
        </w:tc>
        <w:tc>
          <w:tcPr>
            <w:tcW w:w="1140" w:type="dxa"/>
            <w:vAlign w:val="bottom"/>
            <w:gridSpan w:val="2"/>
          </w:tcPr>
          <w:p>
            <w:pPr>
              <w:jc w:val="right"/>
              <w:ind w:right="180"/>
              <w:spacing w:after="0"/>
              <w:rPr>
                <w:sz w:val="20"/>
                <w:szCs w:val="20"/>
                <w:color w:val="auto"/>
              </w:rPr>
            </w:pPr>
            <w:r>
              <w:rPr>
                <w:rFonts w:ascii="Arial" w:cs="Arial" w:eastAsia="Arial" w:hAnsi="Arial"/>
                <w:sz w:val="10"/>
                <w:szCs w:val="10"/>
                <w:color w:val="auto"/>
              </w:rPr>
              <w:t>0</w:t>
            </w:r>
          </w:p>
        </w:tc>
        <w:tc>
          <w:tcPr>
            <w:tcW w:w="500" w:type="dxa"/>
            <w:vAlign w:val="bottom"/>
          </w:tcPr>
          <w:p>
            <w:pPr>
              <w:jc w:val="right"/>
              <w:spacing w:after="0"/>
              <w:rPr>
                <w:sz w:val="20"/>
                <w:szCs w:val="20"/>
                <w:color w:val="auto"/>
              </w:rPr>
            </w:pPr>
            <w:r>
              <w:rPr>
                <w:rFonts w:ascii="Arial" w:cs="Arial" w:eastAsia="Arial" w:hAnsi="Arial"/>
                <w:sz w:val="10"/>
                <w:szCs w:val="10"/>
                <w:color w:val="auto"/>
              </w:rPr>
              <w:t>0</w:t>
            </w:r>
          </w:p>
        </w:tc>
        <w:tc>
          <w:tcPr>
            <w:tcW w:w="1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0</w:t>
            </w:r>
          </w:p>
        </w:tc>
        <w:tc>
          <w:tcPr>
            <w:tcW w:w="80" w:type="dxa"/>
            <w:vAlign w:val="bottom"/>
          </w:tcPr>
          <w:p>
            <w:pPr>
              <w:spacing w:after="0"/>
              <w:rPr>
                <w:sz w:val="17"/>
                <w:szCs w:val="17"/>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0"/>
                <w:szCs w:val="10"/>
                <w:color w:val="auto"/>
              </w:rPr>
              <w:t>0</w:t>
            </w:r>
          </w:p>
        </w:tc>
        <w:tc>
          <w:tcPr>
            <w:tcW w:w="16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0</w:t>
            </w:r>
          </w:p>
        </w:tc>
        <w:tc>
          <w:tcPr>
            <w:tcW w:w="1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0</w:t>
            </w:r>
          </w:p>
        </w:tc>
        <w:tc>
          <w:tcPr>
            <w:tcW w:w="0" w:type="dxa"/>
            <w:vAlign w:val="bottom"/>
          </w:tcPr>
          <w:p>
            <w:pPr>
              <w:spacing w:after="0"/>
              <w:rPr>
                <w:sz w:val="1"/>
                <w:szCs w:val="1"/>
                <w:color w:val="auto"/>
              </w:rPr>
            </w:pPr>
          </w:p>
        </w:tc>
      </w:tr>
      <w:tr>
        <w:trPr>
          <w:trHeight w:val="155"/>
        </w:trPr>
        <w:tc>
          <w:tcPr>
            <w:tcW w:w="2220" w:type="dxa"/>
            <w:vAlign w:val="bottom"/>
            <w:gridSpan w:val="2"/>
          </w:tcPr>
          <w:p>
            <w:pPr>
              <w:spacing w:after="0"/>
              <w:rPr>
                <w:sz w:val="20"/>
                <w:szCs w:val="20"/>
                <w:color w:val="auto"/>
              </w:rPr>
            </w:pPr>
            <w:r>
              <w:rPr>
                <w:rFonts w:ascii="Arial" w:cs="Arial" w:eastAsia="Arial" w:hAnsi="Arial"/>
                <w:sz w:val="10"/>
                <w:szCs w:val="10"/>
                <w:color w:val="auto"/>
              </w:rPr>
              <w:t>Window Contingent Joint and Survivor Life</w:t>
            </w:r>
          </w:p>
        </w:tc>
        <w:tc>
          <w:tcPr>
            <w:tcW w:w="8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vMerge w:val="restart"/>
          </w:tcPr>
          <w:p>
            <w:pPr>
              <w:jc w:val="right"/>
              <w:ind w:right="10"/>
              <w:spacing w:after="0"/>
              <w:rPr>
                <w:sz w:val="20"/>
                <w:szCs w:val="20"/>
                <w:color w:val="auto"/>
              </w:rPr>
            </w:pPr>
            <w:r>
              <w:rPr>
                <w:rFonts w:ascii="Arial" w:cs="Arial" w:eastAsia="Arial" w:hAnsi="Arial"/>
                <w:sz w:val="10"/>
                <w:szCs w:val="10"/>
                <w:color w:val="auto"/>
                <w:w w:val="71"/>
              </w:rPr>
              <w:t>0</w:t>
            </w:r>
          </w:p>
        </w:tc>
        <w:tc>
          <w:tcPr>
            <w:tcW w:w="1080" w:type="dxa"/>
            <w:vAlign w:val="bottom"/>
            <w:gridSpan w:val="3"/>
            <w:vMerge w:val="restart"/>
          </w:tcPr>
          <w:p>
            <w:pPr>
              <w:jc w:val="right"/>
              <w:ind w:right="20"/>
              <w:spacing w:after="0"/>
              <w:rPr>
                <w:sz w:val="20"/>
                <w:szCs w:val="20"/>
                <w:color w:val="auto"/>
              </w:rPr>
            </w:pPr>
            <w:r>
              <w:rPr>
                <w:rFonts w:ascii="Arial" w:cs="Arial" w:eastAsia="Arial" w:hAnsi="Arial"/>
                <w:sz w:val="10"/>
                <w:szCs w:val="10"/>
                <w:color w:val="auto"/>
              </w:rPr>
              <w:t>1</w:t>
            </w:r>
          </w:p>
        </w:tc>
        <w:tc>
          <w:tcPr>
            <w:tcW w:w="100" w:type="dxa"/>
            <w:vAlign w:val="bottom"/>
          </w:tcPr>
          <w:p>
            <w:pPr>
              <w:spacing w:after="0"/>
              <w:rPr>
                <w:sz w:val="13"/>
                <w:szCs w:val="13"/>
                <w:color w:val="auto"/>
              </w:rPr>
            </w:pPr>
          </w:p>
        </w:tc>
        <w:tc>
          <w:tcPr>
            <w:tcW w:w="1120" w:type="dxa"/>
            <w:vAlign w:val="bottom"/>
            <w:gridSpan w:val="3"/>
            <w:vMerge w:val="restart"/>
          </w:tcPr>
          <w:p>
            <w:pPr>
              <w:jc w:val="right"/>
              <w:ind w:right="140"/>
              <w:spacing w:after="0"/>
              <w:rPr>
                <w:sz w:val="20"/>
                <w:szCs w:val="20"/>
                <w:color w:val="auto"/>
              </w:rPr>
            </w:pPr>
            <w:r>
              <w:rPr>
                <w:rFonts w:ascii="Arial" w:cs="Arial" w:eastAsia="Arial" w:hAnsi="Arial"/>
                <w:sz w:val="10"/>
                <w:szCs w:val="10"/>
                <w:color w:val="auto"/>
              </w:rPr>
              <w:t>0</w:t>
            </w:r>
          </w:p>
        </w:tc>
        <w:tc>
          <w:tcPr>
            <w:tcW w:w="112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0</w:t>
            </w:r>
          </w:p>
        </w:tc>
        <w:tc>
          <w:tcPr>
            <w:tcW w:w="1140" w:type="dxa"/>
            <w:vAlign w:val="bottom"/>
            <w:gridSpan w:val="2"/>
            <w:vMerge w:val="restart"/>
          </w:tcPr>
          <w:p>
            <w:pPr>
              <w:jc w:val="right"/>
              <w:ind w:right="180"/>
              <w:spacing w:after="0"/>
              <w:rPr>
                <w:sz w:val="20"/>
                <w:szCs w:val="20"/>
                <w:color w:val="auto"/>
              </w:rPr>
            </w:pPr>
            <w:r>
              <w:rPr>
                <w:rFonts w:ascii="Arial" w:cs="Arial" w:eastAsia="Arial" w:hAnsi="Arial"/>
                <w:sz w:val="10"/>
                <w:szCs w:val="10"/>
                <w:color w:val="auto"/>
              </w:rPr>
              <w:t>0</w:t>
            </w:r>
          </w:p>
        </w:tc>
        <w:tc>
          <w:tcPr>
            <w:tcW w:w="500" w:type="dxa"/>
            <w:vAlign w:val="bottom"/>
            <w:vMerge w:val="restart"/>
          </w:tcPr>
          <w:p>
            <w:pPr>
              <w:jc w:val="right"/>
              <w:spacing w:after="0"/>
              <w:rPr>
                <w:sz w:val="20"/>
                <w:szCs w:val="20"/>
                <w:color w:val="auto"/>
              </w:rPr>
            </w:pPr>
            <w:r>
              <w:rPr>
                <w:rFonts w:ascii="Arial" w:cs="Arial" w:eastAsia="Arial" w:hAnsi="Arial"/>
                <w:sz w:val="10"/>
                <w:szCs w:val="10"/>
                <w:color w:val="auto"/>
              </w:rPr>
              <w:t>0</w:t>
            </w:r>
          </w:p>
        </w:tc>
        <w:tc>
          <w:tcPr>
            <w:tcW w:w="140" w:type="dxa"/>
            <w:vAlign w:val="bottom"/>
          </w:tcPr>
          <w:p>
            <w:pPr>
              <w:spacing w:after="0"/>
              <w:rPr>
                <w:sz w:val="13"/>
                <w:szCs w:val="13"/>
                <w:color w:val="auto"/>
              </w:rPr>
            </w:pPr>
          </w:p>
        </w:tc>
        <w:tc>
          <w:tcPr>
            <w:tcW w:w="500" w:type="dxa"/>
            <w:vAlign w:val="bottom"/>
            <w:vMerge w:val="restart"/>
          </w:tcPr>
          <w:p>
            <w:pPr>
              <w:jc w:val="right"/>
              <w:spacing w:after="0"/>
              <w:rPr>
                <w:sz w:val="20"/>
                <w:szCs w:val="20"/>
                <w:color w:val="auto"/>
              </w:rPr>
            </w:pPr>
            <w:r>
              <w:rPr>
                <w:rFonts w:ascii="Arial" w:cs="Arial" w:eastAsia="Arial" w:hAnsi="Arial"/>
                <w:sz w:val="10"/>
                <w:szCs w:val="10"/>
                <w:color w:val="auto"/>
              </w:rPr>
              <w:t>0</w:t>
            </w:r>
          </w:p>
        </w:tc>
        <w:tc>
          <w:tcPr>
            <w:tcW w:w="80" w:type="dxa"/>
            <w:vAlign w:val="bottom"/>
          </w:tcPr>
          <w:p>
            <w:pPr>
              <w:spacing w:after="0"/>
              <w:rPr>
                <w:sz w:val="13"/>
                <w:szCs w:val="13"/>
                <w:color w:val="auto"/>
              </w:rPr>
            </w:pPr>
          </w:p>
        </w:tc>
        <w:tc>
          <w:tcPr>
            <w:tcW w:w="580" w:type="dxa"/>
            <w:vAlign w:val="bottom"/>
            <w:gridSpan w:val="2"/>
            <w:vMerge w:val="restart"/>
          </w:tcPr>
          <w:p>
            <w:pPr>
              <w:jc w:val="right"/>
              <w:ind w:right="20"/>
              <w:spacing w:after="0"/>
              <w:rPr>
                <w:sz w:val="20"/>
                <w:szCs w:val="20"/>
                <w:color w:val="auto"/>
              </w:rPr>
            </w:pPr>
            <w:r>
              <w:rPr>
                <w:rFonts w:ascii="Arial" w:cs="Arial" w:eastAsia="Arial" w:hAnsi="Arial"/>
                <w:sz w:val="10"/>
                <w:szCs w:val="10"/>
                <w:color w:val="auto"/>
              </w:rPr>
              <w:t>0</w:t>
            </w:r>
          </w:p>
        </w:tc>
        <w:tc>
          <w:tcPr>
            <w:tcW w:w="160" w:type="dxa"/>
            <w:vAlign w:val="bottom"/>
          </w:tcPr>
          <w:p>
            <w:pPr>
              <w:spacing w:after="0"/>
              <w:rPr>
                <w:sz w:val="13"/>
                <w:szCs w:val="13"/>
                <w:color w:val="auto"/>
              </w:rPr>
            </w:pPr>
          </w:p>
        </w:tc>
        <w:tc>
          <w:tcPr>
            <w:tcW w:w="480" w:type="dxa"/>
            <w:vAlign w:val="bottom"/>
            <w:vMerge w:val="restart"/>
          </w:tcPr>
          <w:p>
            <w:pPr>
              <w:jc w:val="right"/>
              <w:spacing w:after="0"/>
              <w:rPr>
                <w:sz w:val="20"/>
                <w:szCs w:val="20"/>
                <w:color w:val="auto"/>
              </w:rPr>
            </w:pPr>
            <w:r>
              <w:rPr>
                <w:rFonts w:ascii="Arial" w:cs="Arial" w:eastAsia="Arial" w:hAnsi="Arial"/>
                <w:sz w:val="10"/>
                <w:szCs w:val="10"/>
                <w:color w:val="auto"/>
              </w:rPr>
              <w:t>0</w:t>
            </w:r>
          </w:p>
        </w:tc>
        <w:tc>
          <w:tcPr>
            <w:tcW w:w="160" w:type="dxa"/>
            <w:vAlign w:val="bottom"/>
          </w:tcPr>
          <w:p>
            <w:pPr>
              <w:spacing w:after="0"/>
              <w:rPr>
                <w:sz w:val="13"/>
                <w:szCs w:val="13"/>
                <w:color w:val="auto"/>
              </w:rPr>
            </w:pPr>
          </w:p>
        </w:tc>
        <w:tc>
          <w:tcPr>
            <w:tcW w:w="500" w:type="dxa"/>
            <w:vAlign w:val="bottom"/>
            <w:vMerge w:val="restart"/>
          </w:tcPr>
          <w:p>
            <w:pPr>
              <w:jc w:val="right"/>
              <w:spacing w:after="0"/>
              <w:rPr>
                <w:sz w:val="20"/>
                <w:szCs w:val="20"/>
                <w:color w:val="auto"/>
              </w:rPr>
            </w:pPr>
            <w:r>
              <w:rPr>
                <w:rFonts w:ascii="Arial" w:cs="Arial" w:eastAsia="Arial" w:hAnsi="Arial"/>
                <w:sz w:val="10"/>
                <w:szCs w:val="10"/>
                <w:color w:val="auto"/>
              </w:rPr>
              <w:t>0</w:t>
            </w:r>
          </w:p>
        </w:tc>
        <w:tc>
          <w:tcPr>
            <w:tcW w:w="0" w:type="dxa"/>
            <w:vAlign w:val="bottom"/>
          </w:tcPr>
          <w:p>
            <w:pPr>
              <w:spacing w:after="0"/>
              <w:rPr>
                <w:sz w:val="1"/>
                <w:szCs w:val="1"/>
                <w:color w:val="auto"/>
              </w:rPr>
            </w:pPr>
          </w:p>
        </w:tc>
      </w:tr>
      <w:tr>
        <w:trPr>
          <w:trHeight w:val="121"/>
        </w:trPr>
        <w:tc>
          <w:tcPr>
            <w:tcW w:w="2220" w:type="dxa"/>
            <w:vAlign w:val="bottom"/>
            <w:gridSpan w:val="2"/>
          </w:tcPr>
          <w:p>
            <w:pPr>
              <w:spacing w:after="0"/>
              <w:rPr>
                <w:sz w:val="20"/>
                <w:szCs w:val="20"/>
                <w:color w:val="auto"/>
              </w:rPr>
            </w:pPr>
            <w:r>
              <w:rPr>
                <w:rFonts w:ascii="Arial" w:cs="Arial" w:eastAsia="Arial" w:hAnsi="Arial"/>
                <w:sz w:val="10"/>
                <w:szCs w:val="10"/>
                <w:color w:val="auto"/>
              </w:rPr>
              <w:t>Annuity</w:t>
            </w:r>
          </w:p>
        </w:tc>
        <w:tc>
          <w:tcPr>
            <w:tcW w:w="8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vMerge w:val="continue"/>
          </w:tcPr>
          <w:p>
            <w:pPr>
              <w:spacing w:after="0"/>
              <w:rPr>
                <w:sz w:val="10"/>
                <w:szCs w:val="10"/>
                <w:color w:val="auto"/>
              </w:rPr>
            </w:pPr>
          </w:p>
        </w:tc>
        <w:tc>
          <w:tcPr>
            <w:tcW w:w="108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3"/>
            <w:vMerge w:val="continue"/>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50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2220" w:type="dxa"/>
            <w:vAlign w:val="bottom"/>
            <w:gridSpan w:val="2"/>
          </w:tcPr>
          <w:p>
            <w:pPr>
              <w:spacing w:after="0"/>
              <w:rPr>
                <w:sz w:val="20"/>
                <w:szCs w:val="20"/>
                <w:color w:val="auto"/>
              </w:rPr>
            </w:pPr>
            <w:r>
              <w:rPr>
                <w:rFonts w:ascii="Arial" w:cs="Arial" w:eastAsia="Arial" w:hAnsi="Arial"/>
                <w:sz w:val="10"/>
                <w:szCs w:val="10"/>
                <w:color w:val="auto"/>
              </w:rPr>
              <w:t>Window Single Life Annuity</w:t>
            </w: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0</w:t>
            </w:r>
          </w:p>
        </w:tc>
        <w:tc>
          <w:tcPr>
            <w:tcW w:w="1080" w:type="dxa"/>
            <w:vAlign w:val="bottom"/>
            <w:gridSpan w:val="3"/>
          </w:tcPr>
          <w:p>
            <w:pPr>
              <w:jc w:val="right"/>
              <w:ind w:right="20"/>
              <w:spacing w:after="0"/>
              <w:rPr>
                <w:sz w:val="20"/>
                <w:szCs w:val="20"/>
                <w:color w:val="auto"/>
              </w:rPr>
            </w:pPr>
            <w:r>
              <w:rPr>
                <w:rFonts w:ascii="Arial" w:cs="Arial" w:eastAsia="Arial" w:hAnsi="Arial"/>
                <w:sz w:val="10"/>
                <w:szCs w:val="10"/>
                <w:color w:val="auto"/>
              </w:rPr>
              <w:t>1</w:t>
            </w:r>
          </w:p>
        </w:tc>
        <w:tc>
          <w:tcPr>
            <w:tcW w:w="100" w:type="dxa"/>
            <w:vAlign w:val="bottom"/>
          </w:tcPr>
          <w:p>
            <w:pPr>
              <w:spacing w:after="0"/>
              <w:rPr>
                <w:sz w:val="17"/>
                <w:szCs w:val="17"/>
                <w:color w:val="auto"/>
              </w:rPr>
            </w:pPr>
          </w:p>
        </w:tc>
        <w:tc>
          <w:tcPr>
            <w:tcW w:w="1120" w:type="dxa"/>
            <w:vAlign w:val="bottom"/>
            <w:gridSpan w:val="3"/>
          </w:tcPr>
          <w:p>
            <w:pPr>
              <w:jc w:val="right"/>
              <w:ind w:right="140"/>
              <w:spacing w:after="0"/>
              <w:rPr>
                <w:sz w:val="20"/>
                <w:szCs w:val="20"/>
                <w:color w:val="auto"/>
              </w:rPr>
            </w:pPr>
            <w:r>
              <w:rPr>
                <w:rFonts w:ascii="Arial" w:cs="Arial" w:eastAsia="Arial" w:hAnsi="Arial"/>
                <w:sz w:val="10"/>
                <w:szCs w:val="10"/>
                <w:color w:val="auto"/>
              </w:rPr>
              <w:t>0</w:t>
            </w:r>
          </w:p>
        </w:tc>
        <w:tc>
          <w:tcPr>
            <w:tcW w:w="1120" w:type="dxa"/>
            <w:vAlign w:val="bottom"/>
            <w:gridSpan w:val="2"/>
          </w:tcPr>
          <w:p>
            <w:pPr>
              <w:jc w:val="right"/>
              <w:ind w:right="140"/>
              <w:spacing w:after="0"/>
              <w:rPr>
                <w:sz w:val="20"/>
                <w:szCs w:val="20"/>
                <w:color w:val="auto"/>
              </w:rPr>
            </w:pPr>
            <w:r>
              <w:rPr>
                <w:rFonts w:ascii="Arial" w:cs="Arial" w:eastAsia="Arial" w:hAnsi="Arial"/>
                <w:sz w:val="10"/>
                <w:szCs w:val="10"/>
                <w:color w:val="auto"/>
              </w:rPr>
              <w:t>0</w:t>
            </w:r>
          </w:p>
        </w:tc>
        <w:tc>
          <w:tcPr>
            <w:tcW w:w="1140" w:type="dxa"/>
            <w:vAlign w:val="bottom"/>
            <w:gridSpan w:val="2"/>
          </w:tcPr>
          <w:p>
            <w:pPr>
              <w:jc w:val="right"/>
              <w:ind w:right="180"/>
              <w:spacing w:after="0"/>
              <w:rPr>
                <w:sz w:val="20"/>
                <w:szCs w:val="20"/>
                <w:color w:val="auto"/>
              </w:rPr>
            </w:pPr>
            <w:r>
              <w:rPr>
                <w:rFonts w:ascii="Arial" w:cs="Arial" w:eastAsia="Arial" w:hAnsi="Arial"/>
                <w:sz w:val="10"/>
                <w:szCs w:val="10"/>
                <w:color w:val="auto"/>
              </w:rPr>
              <w:t>0</w:t>
            </w:r>
          </w:p>
        </w:tc>
        <w:tc>
          <w:tcPr>
            <w:tcW w:w="500" w:type="dxa"/>
            <w:vAlign w:val="bottom"/>
          </w:tcPr>
          <w:p>
            <w:pPr>
              <w:jc w:val="right"/>
              <w:spacing w:after="0"/>
              <w:rPr>
                <w:sz w:val="20"/>
                <w:szCs w:val="20"/>
                <w:color w:val="auto"/>
              </w:rPr>
            </w:pPr>
            <w:r>
              <w:rPr>
                <w:rFonts w:ascii="Arial" w:cs="Arial" w:eastAsia="Arial" w:hAnsi="Arial"/>
                <w:sz w:val="10"/>
                <w:szCs w:val="10"/>
                <w:color w:val="auto"/>
              </w:rPr>
              <w:t>0</w:t>
            </w:r>
          </w:p>
        </w:tc>
        <w:tc>
          <w:tcPr>
            <w:tcW w:w="1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0</w:t>
            </w:r>
          </w:p>
        </w:tc>
        <w:tc>
          <w:tcPr>
            <w:tcW w:w="80" w:type="dxa"/>
            <w:vAlign w:val="bottom"/>
          </w:tcPr>
          <w:p>
            <w:pPr>
              <w:spacing w:after="0"/>
              <w:rPr>
                <w:sz w:val="17"/>
                <w:szCs w:val="17"/>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0"/>
                <w:szCs w:val="10"/>
                <w:color w:val="auto"/>
              </w:rPr>
              <w:t>0</w:t>
            </w:r>
          </w:p>
        </w:tc>
        <w:tc>
          <w:tcPr>
            <w:tcW w:w="16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0</w:t>
            </w:r>
          </w:p>
        </w:tc>
        <w:tc>
          <w:tcPr>
            <w:tcW w:w="1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0</w:t>
            </w:r>
          </w:p>
        </w:tc>
        <w:tc>
          <w:tcPr>
            <w:tcW w:w="0" w:type="dxa"/>
            <w:vAlign w:val="bottom"/>
          </w:tcPr>
          <w:p>
            <w:pPr>
              <w:spacing w:after="0"/>
              <w:rPr>
                <w:sz w:val="1"/>
                <w:szCs w:val="1"/>
                <w:color w:val="auto"/>
              </w:rPr>
            </w:pPr>
          </w:p>
        </w:tc>
      </w:tr>
      <w:tr>
        <w:trPr>
          <w:trHeight w:val="200"/>
        </w:trPr>
        <w:tc>
          <w:tcPr>
            <w:tcW w:w="2220" w:type="dxa"/>
            <w:vAlign w:val="bottom"/>
            <w:gridSpan w:val="2"/>
          </w:tcPr>
          <w:p>
            <w:pPr>
              <w:spacing w:after="0"/>
              <w:rPr>
                <w:sz w:val="20"/>
                <w:szCs w:val="20"/>
                <w:color w:val="auto"/>
              </w:rPr>
            </w:pPr>
            <w:r>
              <w:rPr>
                <w:rFonts w:ascii="Arial" w:cs="Arial" w:eastAsia="Arial" w:hAnsi="Arial"/>
                <w:sz w:val="10"/>
                <w:szCs w:val="10"/>
                <w:color w:val="auto"/>
              </w:rPr>
              <w:t>Alternate Payee (QDRO)</w:t>
            </w: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0</w:t>
            </w:r>
          </w:p>
        </w:tc>
        <w:tc>
          <w:tcPr>
            <w:tcW w:w="1080" w:type="dxa"/>
            <w:vAlign w:val="bottom"/>
            <w:gridSpan w:val="3"/>
          </w:tcPr>
          <w:p>
            <w:pPr>
              <w:jc w:val="right"/>
              <w:ind w:right="20"/>
              <w:spacing w:after="0"/>
              <w:rPr>
                <w:sz w:val="20"/>
                <w:szCs w:val="20"/>
                <w:color w:val="auto"/>
              </w:rPr>
            </w:pPr>
            <w:r>
              <w:rPr>
                <w:rFonts w:ascii="Arial" w:cs="Arial" w:eastAsia="Arial" w:hAnsi="Arial"/>
                <w:sz w:val="10"/>
                <w:szCs w:val="10"/>
                <w:color w:val="auto"/>
              </w:rPr>
              <w:t>1</w:t>
            </w:r>
          </w:p>
        </w:tc>
        <w:tc>
          <w:tcPr>
            <w:tcW w:w="100" w:type="dxa"/>
            <w:vAlign w:val="bottom"/>
          </w:tcPr>
          <w:p>
            <w:pPr>
              <w:spacing w:after="0"/>
              <w:rPr>
                <w:sz w:val="17"/>
                <w:szCs w:val="17"/>
                <w:color w:val="auto"/>
              </w:rPr>
            </w:pPr>
          </w:p>
        </w:tc>
        <w:tc>
          <w:tcPr>
            <w:tcW w:w="1120" w:type="dxa"/>
            <w:vAlign w:val="bottom"/>
            <w:gridSpan w:val="3"/>
          </w:tcPr>
          <w:p>
            <w:pPr>
              <w:jc w:val="right"/>
              <w:ind w:right="140"/>
              <w:spacing w:after="0"/>
              <w:rPr>
                <w:sz w:val="20"/>
                <w:szCs w:val="20"/>
                <w:color w:val="auto"/>
              </w:rPr>
            </w:pPr>
            <w:r>
              <w:rPr>
                <w:rFonts w:ascii="Arial" w:cs="Arial" w:eastAsia="Arial" w:hAnsi="Arial"/>
                <w:sz w:val="10"/>
                <w:szCs w:val="10"/>
                <w:color w:val="auto"/>
              </w:rPr>
              <w:t>0</w:t>
            </w:r>
          </w:p>
        </w:tc>
        <w:tc>
          <w:tcPr>
            <w:tcW w:w="1120" w:type="dxa"/>
            <w:vAlign w:val="bottom"/>
            <w:gridSpan w:val="2"/>
          </w:tcPr>
          <w:p>
            <w:pPr>
              <w:jc w:val="right"/>
              <w:ind w:right="140"/>
              <w:spacing w:after="0"/>
              <w:rPr>
                <w:sz w:val="20"/>
                <w:szCs w:val="20"/>
                <w:color w:val="auto"/>
              </w:rPr>
            </w:pPr>
            <w:r>
              <w:rPr>
                <w:rFonts w:ascii="Arial" w:cs="Arial" w:eastAsia="Arial" w:hAnsi="Arial"/>
                <w:sz w:val="10"/>
                <w:szCs w:val="10"/>
                <w:color w:val="auto"/>
              </w:rPr>
              <w:t>0</w:t>
            </w:r>
          </w:p>
        </w:tc>
        <w:tc>
          <w:tcPr>
            <w:tcW w:w="1140" w:type="dxa"/>
            <w:vAlign w:val="bottom"/>
            <w:gridSpan w:val="2"/>
          </w:tcPr>
          <w:p>
            <w:pPr>
              <w:jc w:val="right"/>
              <w:ind w:right="180"/>
              <w:spacing w:after="0"/>
              <w:rPr>
                <w:sz w:val="20"/>
                <w:szCs w:val="20"/>
                <w:color w:val="auto"/>
              </w:rPr>
            </w:pPr>
            <w:r>
              <w:rPr>
                <w:rFonts w:ascii="Arial" w:cs="Arial" w:eastAsia="Arial" w:hAnsi="Arial"/>
                <w:sz w:val="10"/>
                <w:szCs w:val="10"/>
                <w:color w:val="auto"/>
              </w:rPr>
              <w:t>0</w:t>
            </w:r>
          </w:p>
        </w:tc>
        <w:tc>
          <w:tcPr>
            <w:tcW w:w="500" w:type="dxa"/>
            <w:vAlign w:val="bottom"/>
          </w:tcPr>
          <w:p>
            <w:pPr>
              <w:jc w:val="right"/>
              <w:spacing w:after="0"/>
              <w:rPr>
                <w:sz w:val="20"/>
                <w:szCs w:val="20"/>
                <w:color w:val="auto"/>
              </w:rPr>
            </w:pPr>
            <w:r>
              <w:rPr>
                <w:rFonts w:ascii="Arial" w:cs="Arial" w:eastAsia="Arial" w:hAnsi="Arial"/>
                <w:sz w:val="10"/>
                <w:szCs w:val="10"/>
                <w:color w:val="auto"/>
              </w:rPr>
              <w:t>0</w:t>
            </w:r>
          </w:p>
        </w:tc>
        <w:tc>
          <w:tcPr>
            <w:tcW w:w="1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0</w:t>
            </w:r>
          </w:p>
        </w:tc>
        <w:tc>
          <w:tcPr>
            <w:tcW w:w="80" w:type="dxa"/>
            <w:vAlign w:val="bottom"/>
          </w:tcPr>
          <w:p>
            <w:pPr>
              <w:spacing w:after="0"/>
              <w:rPr>
                <w:sz w:val="17"/>
                <w:szCs w:val="17"/>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0"/>
                <w:szCs w:val="10"/>
                <w:color w:val="auto"/>
              </w:rPr>
              <w:t>0</w:t>
            </w:r>
          </w:p>
        </w:tc>
        <w:tc>
          <w:tcPr>
            <w:tcW w:w="16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0</w:t>
            </w:r>
          </w:p>
        </w:tc>
        <w:tc>
          <w:tcPr>
            <w:tcW w:w="1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0</w:t>
            </w:r>
          </w:p>
        </w:tc>
        <w:tc>
          <w:tcPr>
            <w:tcW w:w="0" w:type="dxa"/>
            <w:vAlign w:val="bottom"/>
          </w:tcPr>
          <w:p>
            <w:pPr>
              <w:spacing w:after="0"/>
              <w:rPr>
                <w:sz w:val="1"/>
                <w:szCs w:val="1"/>
                <w:color w:val="auto"/>
              </w:rPr>
            </w:pPr>
          </w:p>
        </w:tc>
      </w:tr>
      <w:tr>
        <w:trPr>
          <w:trHeight w:val="250"/>
        </w:trPr>
        <w:tc>
          <w:tcPr>
            <w:tcW w:w="8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920" w:type="dxa"/>
            <w:vAlign w:val="bottom"/>
            <w:gridSpan w:val="2"/>
          </w:tcPr>
          <w:p>
            <w:pPr>
              <w:ind w:left="140"/>
              <w:spacing w:after="0"/>
              <w:rPr>
                <w:sz w:val="20"/>
                <w:szCs w:val="20"/>
                <w:color w:val="auto"/>
              </w:rPr>
            </w:pPr>
            <w:r>
              <w:rPr>
                <w:rFonts w:ascii="Arial" w:cs="Arial" w:eastAsia="Arial" w:hAnsi="Arial"/>
                <w:sz w:val="10"/>
                <w:szCs w:val="10"/>
                <w:color w:val="auto"/>
                <w:w w:val="89"/>
              </w:rPr>
              <w:t>Currently Not Used</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1"/>
        </w:trPr>
        <w:tc>
          <w:tcPr>
            <w:tcW w:w="2220" w:type="dxa"/>
            <w:vAlign w:val="bottom"/>
            <w:gridSpan w:val="2"/>
            <w:vMerge w:val="restart"/>
          </w:tcPr>
          <w:p>
            <w:pPr>
              <w:spacing w:after="0"/>
              <w:rPr>
                <w:sz w:val="20"/>
                <w:szCs w:val="20"/>
                <w:color w:val="auto"/>
              </w:rPr>
            </w:pPr>
            <w:r>
              <w:rPr>
                <w:rFonts w:ascii="Arial" w:cs="Arial" w:eastAsia="Arial" w:hAnsi="Arial"/>
                <w:sz w:val="10"/>
                <w:szCs w:val="10"/>
                <w:color w:val="auto"/>
              </w:rPr>
              <w:t>Covered Life Name</w:t>
            </w:r>
          </w:p>
        </w:tc>
        <w:tc>
          <w:tcPr>
            <w:tcW w:w="920" w:type="dxa"/>
            <w:vAlign w:val="bottom"/>
            <w:gridSpan w:val="2"/>
          </w:tcPr>
          <w:p>
            <w:pPr>
              <w:spacing w:after="0"/>
              <w:rPr>
                <w:sz w:val="20"/>
                <w:szCs w:val="20"/>
                <w:color w:val="auto"/>
              </w:rPr>
            </w:pPr>
            <w:r>
              <w:rPr>
                <w:rFonts w:ascii="Arial" w:cs="Arial" w:eastAsia="Arial" w:hAnsi="Arial"/>
                <w:sz w:val="10"/>
                <w:szCs w:val="10"/>
                <w:color w:val="auto"/>
                <w:w w:val="98"/>
              </w:rPr>
              <w:t>Post 1985 Maximum</w:t>
            </w:r>
          </w:p>
        </w:tc>
        <w:tc>
          <w:tcPr>
            <w:tcW w:w="120" w:type="dxa"/>
            <w:vAlign w:val="bottom"/>
          </w:tcPr>
          <w:p>
            <w:pPr>
              <w:spacing w:after="0"/>
              <w:rPr>
                <w:sz w:val="24"/>
                <w:szCs w:val="24"/>
                <w:color w:val="auto"/>
              </w:rPr>
            </w:pPr>
          </w:p>
        </w:tc>
        <w:tc>
          <w:tcPr>
            <w:tcW w:w="1180" w:type="dxa"/>
            <w:vAlign w:val="bottom"/>
            <w:gridSpan w:val="4"/>
          </w:tcPr>
          <w:p>
            <w:pPr>
              <w:ind w:left="80"/>
              <w:spacing w:after="0"/>
              <w:rPr>
                <w:sz w:val="20"/>
                <w:szCs w:val="20"/>
                <w:color w:val="auto"/>
              </w:rPr>
            </w:pPr>
            <w:r>
              <w:rPr>
                <w:rFonts w:ascii="Arial" w:cs="Arial" w:eastAsia="Arial" w:hAnsi="Arial"/>
                <w:sz w:val="10"/>
                <w:szCs w:val="10"/>
                <w:color w:val="auto"/>
              </w:rPr>
              <w:t>Maximum Refund Death</w:t>
            </w:r>
          </w:p>
        </w:tc>
        <w:tc>
          <w:tcPr>
            <w:tcW w:w="1120" w:type="dxa"/>
            <w:vAlign w:val="bottom"/>
            <w:gridSpan w:val="3"/>
          </w:tcPr>
          <w:p>
            <w:pPr>
              <w:spacing w:after="0"/>
              <w:rPr>
                <w:sz w:val="20"/>
                <w:szCs w:val="20"/>
                <w:color w:val="auto"/>
              </w:rPr>
            </w:pPr>
            <w:r>
              <w:rPr>
                <w:rFonts w:ascii="Arial" w:cs="Arial" w:eastAsia="Arial" w:hAnsi="Arial"/>
                <w:sz w:val="10"/>
                <w:szCs w:val="10"/>
                <w:color w:val="auto"/>
              </w:rPr>
              <w:t>Disability Temporary</w:t>
            </w:r>
          </w:p>
        </w:tc>
        <w:tc>
          <w:tcPr>
            <w:tcW w:w="1120" w:type="dxa"/>
            <w:vAlign w:val="bottom"/>
            <w:gridSpan w:val="2"/>
          </w:tcPr>
          <w:p>
            <w:pPr>
              <w:spacing w:after="0"/>
              <w:rPr>
                <w:sz w:val="20"/>
                <w:szCs w:val="20"/>
                <w:color w:val="auto"/>
              </w:rPr>
            </w:pPr>
            <w:r>
              <w:rPr>
                <w:rFonts w:ascii="Arial" w:cs="Arial" w:eastAsia="Arial" w:hAnsi="Arial"/>
                <w:sz w:val="10"/>
                <w:szCs w:val="10"/>
                <w:color w:val="auto"/>
              </w:rPr>
              <w:t>Disability Age 55 Pre</w:t>
            </w:r>
          </w:p>
        </w:tc>
        <w:tc>
          <w:tcPr>
            <w:tcW w:w="1140" w:type="dxa"/>
            <w:vAlign w:val="bottom"/>
            <w:gridSpan w:val="2"/>
          </w:tcPr>
          <w:p>
            <w:pPr>
              <w:spacing w:after="0"/>
              <w:rPr>
                <w:sz w:val="20"/>
                <w:szCs w:val="20"/>
                <w:color w:val="auto"/>
              </w:rPr>
            </w:pPr>
            <w:r>
              <w:rPr>
                <w:rFonts w:ascii="Arial" w:cs="Arial" w:eastAsia="Arial" w:hAnsi="Arial"/>
                <w:sz w:val="10"/>
                <w:szCs w:val="10"/>
                <w:color w:val="auto"/>
              </w:rPr>
              <w:t>Disability Age 55 Post</w:t>
            </w:r>
          </w:p>
        </w:tc>
        <w:tc>
          <w:tcPr>
            <w:tcW w:w="640" w:type="dxa"/>
            <w:vAlign w:val="bottom"/>
            <w:gridSpan w:val="2"/>
            <w:vMerge w:val="restart"/>
          </w:tcPr>
          <w:p>
            <w:pPr>
              <w:spacing w:after="0"/>
              <w:rPr>
                <w:sz w:val="20"/>
                <w:szCs w:val="20"/>
                <w:color w:val="auto"/>
              </w:rPr>
            </w:pPr>
            <w:r>
              <w:rPr>
                <w:rFonts w:ascii="Arial" w:cs="Arial" w:eastAsia="Arial" w:hAnsi="Arial"/>
                <w:sz w:val="10"/>
                <w:szCs w:val="10"/>
                <w:color w:val="auto"/>
              </w:rPr>
              <w:t>New Field 1</w:t>
            </w:r>
          </w:p>
        </w:tc>
        <w:tc>
          <w:tcPr>
            <w:tcW w:w="580" w:type="dxa"/>
            <w:vAlign w:val="bottom"/>
            <w:gridSpan w:val="2"/>
            <w:vMerge w:val="restart"/>
          </w:tcPr>
          <w:p>
            <w:pPr>
              <w:spacing w:after="0"/>
              <w:rPr>
                <w:sz w:val="20"/>
                <w:szCs w:val="20"/>
                <w:color w:val="auto"/>
              </w:rPr>
            </w:pPr>
            <w:r>
              <w:rPr>
                <w:rFonts w:ascii="Arial" w:cs="Arial" w:eastAsia="Arial" w:hAnsi="Arial"/>
                <w:sz w:val="10"/>
                <w:szCs w:val="10"/>
                <w:color w:val="auto"/>
              </w:rPr>
              <w:t>New Field 2</w:t>
            </w:r>
          </w:p>
        </w:tc>
        <w:tc>
          <w:tcPr>
            <w:tcW w:w="740" w:type="dxa"/>
            <w:vAlign w:val="bottom"/>
            <w:gridSpan w:val="3"/>
            <w:vMerge w:val="restart"/>
          </w:tcPr>
          <w:p>
            <w:pPr>
              <w:ind w:left="80"/>
              <w:spacing w:after="0"/>
              <w:rPr>
                <w:sz w:val="20"/>
                <w:szCs w:val="20"/>
                <w:color w:val="auto"/>
              </w:rPr>
            </w:pPr>
            <w:r>
              <w:rPr>
                <w:rFonts w:ascii="Arial" w:cs="Arial" w:eastAsia="Arial" w:hAnsi="Arial"/>
                <w:sz w:val="10"/>
                <w:szCs w:val="10"/>
                <w:color w:val="auto"/>
              </w:rPr>
              <w:t>New Field 3</w:t>
            </w:r>
          </w:p>
        </w:tc>
        <w:tc>
          <w:tcPr>
            <w:tcW w:w="640" w:type="dxa"/>
            <w:vAlign w:val="bottom"/>
            <w:gridSpan w:val="2"/>
            <w:vMerge w:val="restart"/>
          </w:tcPr>
          <w:p>
            <w:pPr>
              <w:spacing w:after="0"/>
              <w:rPr>
                <w:sz w:val="20"/>
                <w:szCs w:val="20"/>
                <w:color w:val="auto"/>
              </w:rPr>
            </w:pPr>
            <w:r>
              <w:rPr>
                <w:rFonts w:ascii="Arial" w:cs="Arial" w:eastAsia="Arial" w:hAnsi="Arial"/>
                <w:sz w:val="10"/>
                <w:szCs w:val="10"/>
                <w:color w:val="auto"/>
              </w:rPr>
              <w:t>New Field 4</w:t>
            </w:r>
          </w:p>
        </w:tc>
        <w:tc>
          <w:tcPr>
            <w:tcW w:w="500" w:type="dxa"/>
            <w:vAlign w:val="bottom"/>
            <w:vMerge w:val="restart"/>
          </w:tcPr>
          <w:p>
            <w:pPr>
              <w:jc w:val="right"/>
              <w:spacing w:after="0"/>
              <w:rPr>
                <w:sz w:val="20"/>
                <w:szCs w:val="20"/>
                <w:color w:val="auto"/>
              </w:rPr>
            </w:pPr>
            <w:r>
              <w:rPr>
                <w:rFonts w:ascii="Arial" w:cs="Arial" w:eastAsia="Arial" w:hAnsi="Arial"/>
                <w:sz w:val="10"/>
                <w:szCs w:val="10"/>
                <w:color w:val="auto"/>
                <w:w w:val="90"/>
              </w:rPr>
              <w:t>New Field 5</w:t>
            </w:r>
          </w:p>
        </w:tc>
        <w:tc>
          <w:tcPr>
            <w:tcW w:w="0" w:type="dxa"/>
            <w:vAlign w:val="bottom"/>
          </w:tcPr>
          <w:p>
            <w:pPr>
              <w:spacing w:after="0"/>
              <w:rPr>
                <w:sz w:val="1"/>
                <w:szCs w:val="1"/>
                <w:color w:val="auto"/>
              </w:rPr>
            </w:pPr>
          </w:p>
        </w:tc>
      </w:tr>
      <w:tr>
        <w:trPr>
          <w:trHeight w:val="93"/>
        </w:trPr>
        <w:tc>
          <w:tcPr>
            <w:tcW w:w="2220" w:type="dxa"/>
            <w:vAlign w:val="bottom"/>
            <w:gridSpan w:val="2"/>
            <w:vMerge w:val="continue"/>
          </w:tcPr>
          <w:p>
            <w:pPr>
              <w:spacing w:after="0"/>
              <w:rPr>
                <w:sz w:val="8"/>
                <w:szCs w:val="8"/>
                <w:color w:val="auto"/>
              </w:rPr>
            </w:pPr>
          </w:p>
        </w:tc>
        <w:tc>
          <w:tcPr>
            <w:tcW w:w="880" w:type="dxa"/>
            <w:vAlign w:val="bottom"/>
            <w:tcBorders>
              <w:top w:val="single" w:sz="8" w:color="auto"/>
            </w:tcBorders>
          </w:tcPr>
          <w:p>
            <w:pPr>
              <w:spacing w:after="0" w:line="93" w:lineRule="exact"/>
              <w:rPr>
                <w:sz w:val="20"/>
                <w:szCs w:val="20"/>
                <w:color w:val="auto"/>
              </w:rPr>
            </w:pPr>
            <w:r>
              <w:rPr>
                <w:rFonts w:ascii="Arial" w:cs="Arial" w:eastAsia="Arial" w:hAnsi="Arial"/>
                <w:sz w:val="10"/>
                <w:szCs w:val="10"/>
                <w:color w:val="auto"/>
                <w:w w:val="87"/>
              </w:rPr>
              <w:t>Refund Death Benefit</w:t>
            </w: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tcBorders>
              <w:top w:val="single" w:sz="8" w:color="auto"/>
            </w:tcBorders>
            <w:gridSpan w:val="2"/>
          </w:tcPr>
          <w:p>
            <w:pPr>
              <w:spacing w:after="0" w:line="93" w:lineRule="exact"/>
              <w:rPr>
                <w:sz w:val="20"/>
                <w:szCs w:val="20"/>
                <w:color w:val="auto"/>
              </w:rPr>
            </w:pPr>
            <w:r>
              <w:rPr>
                <w:rFonts w:ascii="Arial" w:cs="Arial" w:eastAsia="Arial" w:hAnsi="Arial"/>
                <w:sz w:val="10"/>
                <w:szCs w:val="10"/>
                <w:color w:val="auto"/>
              </w:rPr>
              <w:t>Benefit</w:t>
            </w:r>
          </w:p>
        </w:tc>
        <w:tc>
          <w:tcPr>
            <w:tcW w:w="100" w:type="dxa"/>
            <w:vAlign w:val="bottom"/>
          </w:tcPr>
          <w:p>
            <w:pPr>
              <w:spacing w:after="0"/>
              <w:rPr>
                <w:sz w:val="8"/>
                <w:szCs w:val="8"/>
                <w:color w:val="auto"/>
              </w:rPr>
            </w:pPr>
          </w:p>
        </w:tc>
        <w:tc>
          <w:tcPr>
            <w:tcW w:w="860" w:type="dxa"/>
            <w:vAlign w:val="bottom"/>
            <w:tcBorders>
              <w:top w:val="single" w:sz="8" w:color="auto"/>
            </w:tcBorders>
            <w:gridSpan w:val="2"/>
          </w:tcPr>
          <w:p>
            <w:pPr>
              <w:spacing w:after="0" w:line="93" w:lineRule="exact"/>
              <w:rPr>
                <w:sz w:val="20"/>
                <w:szCs w:val="20"/>
                <w:color w:val="auto"/>
              </w:rPr>
            </w:pPr>
            <w:r>
              <w:rPr>
                <w:rFonts w:ascii="Arial" w:cs="Arial" w:eastAsia="Arial" w:hAnsi="Arial"/>
                <w:sz w:val="10"/>
                <w:szCs w:val="10"/>
                <w:color w:val="auto"/>
              </w:rPr>
              <w:t>Benefit</w:t>
            </w:r>
          </w:p>
        </w:tc>
        <w:tc>
          <w:tcPr>
            <w:tcW w:w="260" w:type="dxa"/>
            <w:vAlign w:val="bottom"/>
          </w:tcPr>
          <w:p>
            <w:pPr>
              <w:spacing w:after="0"/>
              <w:rPr>
                <w:sz w:val="8"/>
                <w:szCs w:val="8"/>
                <w:color w:val="auto"/>
              </w:rPr>
            </w:pPr>
          </w:p>
        </w:tc>
        <w:tc>
          <w:tcPr>
            <w:tcW w:w="900" w:type="dxa"/>
            <w:vAlign w:val="bottom"/>
            <w:tcBorders>
              <w:top w:val="single" w:sz="8" w:color="auto"/>
            </w:tcBorders>
          </w:tcPr>
          <w:p>
            <w:pPr>
              <w:spacing w:after="0" w:line="93" w:lineRule="exact"/>
              <w:rPr>
                <w:sz w:val="20"/>
                <w:szCs w:val="20"/>
                <w:color w:val="auto"/>
              </w:rPr>
            </w:pPr>
            <w:r>
              <w:rPr>
                <w:rFonts w:ascii="Arial" w:cs="Arial" w:eastAsia="Arial" w:hAnsi="Arial"/>
                <w:sz w:val="10"/>
                <w:szCs w:val="10"/>
                <w:color w:val="auto"/>
                <w:w w:val="87"/>
              </w:rPr>
              <w:t>62+1 Pension Amount</w:t>
            </w:r>
          </w:p>
        </w:tc>
        <w:tc>
          <w:tcPr>
            <w:tcW w:w="220" w:type="dxa"/>
            <w:vAlign w:val="bottom"/>
          </w:tcPr>
          <w:p>
            <w:pPr>
              <w:spacing w:after="0"/>
              <w:rPr>
                <w:sz w:val="8"/>
                <w:szCs w:val="8"/>
                <w:color w:val="auto"/>
              </w:rPr>
            </w:pPr>
          </w:p>
        </w:tc>
        <w:tc>
          <w:tcPr>
            <w:tcW w:w="900" w:type="dxa"/>
            <w:vAlign w:val="bottom"/>
            <w:tcBorders>
              <w:top w:val="single" w:sz="8" w:color="auto"/>
            </w:tcBorders>
          </w:tcPr>
          <w:p>
            <w:pPr>
              <w:spacing w:after="0" w:line="93" w:lineRule="exact"/>
              <w:rPr>
                <w:sz w:val="20"/>
                <w:szCs w:val="20"/>
                <w:color w:val="auto"/>
              </w:rPr>
            </w:pPr>
            <w:r>
              <w:rPr>
                <w:rFonts w:ascii="Arial" w:cs="Arial" w:eastAsia="Arial" w:hAnsi="Arial"/>
                <w:sz w:val="10"/>
                <w:szCs w:val="10"/>
                <w:color w:val="auto"/>
                <w:w w:val="89"/>
              </w:rPr>
              <w:t>62+1 Pension Amount</w:t>
            </w:r>
          </w:p>
        </w:tc>
        <w:tc>
          <w:tcPr>
            <w:tcW w:w="240" w:type="dxa"/>
            <w:vAlign w:val="bottom"/>
          </w:tcPr>
          <w:p>
            <w:pPr>
              <w:spacing w:after="0"/>
              <w:rPr>
                <w:sz w:val="8"/>
                <w:szCs w:val="8"/>
                <w:color w:val="auto"/>
              </w:rPr>
            </w:pPr>
          </w:p>
        </w:tc>
        <w:tc>
          <w:tcPr>
            <w:tcW w:w="640" w:type="dxa"/>
            <w:vAlign w:val="bottom"/>
            <w:gridSpan w:val="2"/>
            <w:vMerge w:val="continue"/>
          </w:tcPr>
          <w:p>
            <w:pPr>
              <w:spacing w:after="0"/>
              <w:rPr>
                <w:sz w:val="8"/>
                <w:szCs w:val="8"/>
                <w:color w:val="auto"/>
              </w:rPr>
            </w:pPr>
          </w:p>
        </w:tc>
        <w:tc>
          <w:tcPr>
            <w:tcW w:w="580" w:type="dxa"/>
            <w:vAlign w:val="bottom"/>
            <w:gridSpan w:val="2"/>
            <w:vMerge w:val="continue"/>
          </w:tcPr>
          <w:p>
            <w:pPr>
              <w:spacing w:after="0"/>
              <w:rPr>
                <w:sz w:val="8"/>
                <w:szCs w:val="8"/>
                <w:color w:val="auto"/>
              </w:rPr>
            </w:pPr>
          </w:p>
        </w:tc>
        <w:tc>
          <w:tcPr>
            <w:tcW w:w="740" w:type="dxa"/>
            <w:vAlign w:val="bottom"/>
            <w:gridSpan w:val="3"/>
            <w:vMerge w:val="continue"/>
          </w:tcPr>
          <w:p>
            <w:pPr>
              <w:spacing w:after="0"/>
              <w:rPr>
                <w:sz w:val="8"/>
                <w:szCs w:val="8"/>
                <w:color w:val="auto"/>
              </w:rPr>
            </w:pPr>
          </w:p>
        </w:tc>
        <w:tc>
          <w:tcPr>
            <w:tcW w:w="640" w:type="dxa"/>
            <w:vAlign w:val="bottom"/>
            <w:gridSpan w:val="2"/>
            <w:vMerge w:val="continue"/>
          </w:tcPr>
          <w:p>
            <w:pPr>
              <w:spacing w:after="0"/>
              <w:rPr>
                <w:sz w:val="8"/>
                <w:szCs w:val="8"/>
                <w:color w:val="auto"/>
              </w:rPr>
            </w:pPr>
          </w:p>
        </w:tc>
        <w:tc>
          <w:tcPr>
            <w:tcW w:w="5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86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8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940"/>
          </w:cols>
          <w:pgMar w:left="240" w:top="549" w:right="719" w:bottom="1440" w:gutter="0" w:footer="0" w:header="0"/>
        </w:sectPr>
      </w:pPr>
    </w:p>
    <w:bookmarkStart w:id="175" w:name="page176"/>
    <w:bookmarkEnd w:id="175"/>
    <w:p>
      <w:pPr>
        <w:spacing w:after="0"/>
        <w:rPr>
          <w:sz w:val="20"/>
          <w:szCs w:val="20"/>
          <w:color w:val="auto"/>
        </w:rPr>
      </w:pPr>
      <w:r>
        <w:rPr>
          <w:rFonts w:ascii="Arial" w:cs="Arial" w:eastAsia="Arial" w:hAnsi="Arial"/>
          <w:sz w:val="17"/>
          <w:szCs w:val="17"/>
          <w:b w:val="1"/>
          <w:bCs w:val="1"/>
          <w:color w:val="auto"/>
        </w:rPr>
        <w:t>ANNUITY EXHIBIT SAMPLE</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GA-XXXX</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Vita</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Annuitants</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Spousal Joint and Survivor Life Annuity</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Annuity Commencement Date is Month 1, 20XX</w:t>
      </w:r>
    </w:p>
    <w:p>
      <w:pPr>
        <w:spacing w:after="0" w:line="141"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860" w:type="dxa"/>
            <w:vAlign w:val="bottom"/>
            <w:vMerge w:val="restart"/>
          </w:tcPr>
          <w:p>
            <w:pPr>
              <w:spacing w:after="0"/>
              <w:rPr>
                <w:sz w:val="20"/>
                <w:szCs w:val="20"/>
                <w:color w:val="auto"/>
              </w:rPr>
            </w:pPr>
            <w:r>
              <w:rPr>
                <w:rFonts w:ascii="Arial" w:cs="Arial" w:eastAsia="Arial" w:hAnsi="Arial"/>
                <w:sz w:val="10"/>
                <w:szCs w:val="10"/>
                <w:color w:val="auto"/>
                <w:w w:val="97"/>
              </w:rPr>
              <w:t>Covered Life Name</w:t>
            </w:r>
          </w:p>
        </w:tc>
        <w:tc>
          <w:tcPr>
            <w:tcW w:w="1520" w:type="dxa"/>
            <w:vAlign w:val="bottom"/>
          </w:tcPr>
          <w:p>
            <w:pPr>
              <w:spacing w:after="0"/>
              <w:rPr>
                <w:sz w:val="10"/>
                <w:szCs w:val="10"/>
                <w:color w:val="auto"/>
              </w:rPr>
            </w:pPr>
          </w:p>
        </w:tc>
        <w:tc>
          <w:tcPr>
            <w:tcW w:w="600" w:type="dxa"/>
            <w:vAlign w:val="bottom"/>
            <w:gridSpan w:val="2"/>
          </w:tcPr>
          <w:p>
            <w:pPr>
              <w:spacing w:after="0"/>
              <w:rPr>
                <w:sz w:val="20"/>
                <w:szCs w:val="20"/>
                <w:color w:val="auto"/>
              </w:rPr>
            </w:pPr>
            <w:r>
              <w:rPr>
                <w:rFonts w:ascii="Arial" w:cs="Arial" w:eastAsia="Arial" w:hAnsi="Arial"/>
                <w:sz w:val="10"/>
                <w:szCs w:val="10"/>
                <w:color w:val="auto"/>
                <w:w w:val="87"/>
              </w:rPr>
              <w:t>Social Security</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gridSpan w:val="3"/>
          </w:tcPr>
          <w:p>
            <w:pPr>
              <w:spacing w:after="0"/>
              <w:rPr>
                <w:sz w:val="20"/>
                <w:szCs w:val="20"/>
                <w:color w:val="auto"/>
              </w:rPr>
            </w:pPr>
            <w:r>
              <w:rPr>
                <w:rFonts w:ascii="Arial" w:cs="Arial" w:eastAsia="Arial" w:hAnsi="Arial"/>
                <w:sz w:val="10"/>
                <w:szCs w:val="10"/>
                <w:color w:val="auto"/>
              </w:rPr>
              <w:t>Retirement</w:t>
            </w:r>
          </w:p>
        </w:tc>
        <w:tc>
          <w:tcPr>
            <w:tcW w:w="180" w:type="dxa"/>
            <w:vAlign w:val="bottom"/>
            <w:vMerge w:val="restart"/>
          </w:tcPr>
          <w:p>
            <w:pPr>
              <w:spacing w:after="0"/>
              <w:rPr>
                <w:sz w:val="20"/>
                <w:szCs w:val="20"/>
                <w:color w:val="auto"/>
              </w:rPr>
            </w:pPr>
            <w:r>
              <w:rPr>
                <w:rFonts w:ascii="Arial" w:cs="Arial" w:eastAsia="Arial" w:hAnsi="Arial"/>
                <w:sz w:val="10"/>
                <w:szCs w:val="10"/>
                <w:color w:val="auto"/>
                <w:w w:val="79"/>
              </w:rPr>
              <w:t>Plan</w:t>
            </w:r>
          </w:p>
        </w:tc>
        <w:tc>
          <w:tcPr>
            <w:tcW w:w="260" w:type="dxa"/>
            <w:vAlign w:val="bottom"/>
            <w:vMerge w:val="restart"/>
          </w:tcPr>
          <w:p>
            <w:pPr>
              <w:spacing w:after="0"/>
              <w:rPr>
                <w:sz w:val="10"/>
                <w:szCs w:val="10"/>
                <w:color w:val="auto"/>
              </w:rPr>
            </w:pPr>
          </w:p>
        </w:tc>
        <w:tc>
          <w:tcPr>
            <w:tcW w:w="300" w:type="dxa"/>
            <w:vAlign w:val="bottom"/>
            <w:vMerge w:val="restart"/>
          </w:tcPr>
          <w:p>
            <w:pPr>
              <w:spacing w:after="0"/>
              <w:rPr>
                <w:sz w:val="20"/>
                <w:szCs w:val="20"/>
                <w:color w:val="auto"/>
              </w:rPr>
            </w:pPr>
            <w:r>
              <w:rPr>
                <w:rFonts w:ascii="Arial" w:cs="Arial" w:eastAsia="Arial" w:hAnsi="Arial"/>
                <w:sz w:val="10"/>
                <w:szCs w:val="10"/>
                <w:color w:val="auto"/>
                <w:w w:val="83"/>
              </w:rPr>
              <w:t>Gender</w:t>
            </w:r>
          </w:p>
        </w:tc>
        <w:tc>
          <w:tcPr>
            <w:tcW w:w="160" w:type="dxa"/>
            <w:vAlign w:val="bottom"/>
            <w:vMerge w:val="restart"/>
          </w:tcPr>
          <w:p>
            <w:pPr>
              <w:spacing w:after="0"/>
              <w:rPr>
                <w:sz w:val="10"/>
                <w:szCs w:val="10"/>
                <w:color w:val="auto"/>
              </w:rPr>
            </w:pPr>
          </w:p>
        </w:tc>
        <w:tc>
          <w:tcPr>
            <w:tcW w:w="300" w:type="dxa"/>
            <w:vAlign w:val="bottom"/>
            <w:gridSpan w:val="2"/>
          </w:tcPr>
          <w:p>
            <w:pPr>
              <w:spacing w:after="0"/>
              <w:rPr>
                <w:sz w:val="20"/>
                <w:szCs w:val="20"/>
                <w:color w:val="auto"/>
              </w:rPr>
            </w:pPr>
            <w:r>
              <w:rPr>
                <w:rFonts w:ascii="Arial" w:cs="Arial" w:eastAsia="Arial" w:hAnsi="Arial"/>
                <w:sz w:val="10"/>
                <w:szCs w:val="10"/>
                <w:color w:val="auto"/>
                <w:w w:val="86"/>
              </w:rPr>
              <w:t>Date of</w:t>
            </w:r>
          </w:p>
        </w:tc>
        <w:tc>
          <w:tcPr>
            <w:tcW w:w="940" w:type="dxa"/>
            <w:vAlign w:val="bottom"/>
            <w:gridSpan w:val="4"/>
          </w:tcPr>
          <w:p>
            <w:pPr>
              <w:ind w:left="140"/>
              <w:spacing w:after="0"/>
              <w:rPr>
                <w:sz w:val="20"/>
                <w:szCs w:val="20"/>
                <w:color w:val="auto"/>
              </w:rPr>
            </w:pPr>
            <w:r>
              <w:rPr>
                <w:rFonts w:ascii="Arial" w:cs="Arial" w:eastAsia="Arial" w:hAnsi="Arial"/>
                <w:sz w:val="10"/>
                <w:szCs w:val="10"/>
                <w:color w:val="auto"/>
              </w:rPr>
              <w:t>Original</w:t>
            </w:r>
          </w:p>
        </w:tc>
        <w:tc>
          <w:tcPr>
            <w:tcW w:w="660" w:type="dxa"/>
            <w:vAlign w:val="bottom"/>
            <w:gridSpan w:val="3"/>
          </w:tcPr>
          <w:p>
            <w:pPr>
              <w:spacing w:after="0"/>
              <w:rPr>
                <w:sz w:val="20"/>
                <w:szCs w:val="20"/>
                <w:color w:val="auto"/>
              </w:rPr>
            </w:pPr>
            <w:r>
              <w:rPr>
                <w:rFonts w:ascii="Arial" w:cs="Arial" w:eastAsia="Arial" w:hAnsi="Arial"/>
                <w:sz w:val="10"/>
                <w:szCs w:val="10"/>
                <w:color w:val="auto"/>
                <w:w w:val="95"/>
              </w:rPr>
              <w:t>Contingent Life</w:t>
            </w:r>
          </w:p>
        </w:tc>
        <w:tc>
          <w:tcPr>
            <w:tcW w:w="1280" w:type="dxa"/>
            <w:vAlign w:val="bottom"/>
            <w:gridSpan w:val="4"/>
          </w:tcPr>
          <w:p>
            <w:pPr>
              <w:ind w:left="40"/>
              <w:spacing w:after="0"/>
              <w:rPr>
                <w:sz w:val="20"/>
                <w:szCs w:val="20"/>
                <w:color w:val="auto"/>
              </w:rPr>
            </w:pPr>
            <w:r>
              <w:rPr>
                <w:rFonts w:ascii="Arial" w:cs="Arial" w:eastAsia="Arial" w:hAnsi="Arial"/>
                <w:sz w:val="10"/>
                <w:szCs w:val="10"/>
                <w:color w:val="auto"/>
              </w:rPr>
              <w:t>Contingent Life Social</w:t>
            </w:r>
          </w:p>
        </w:tc>
        <w:tc>
          <w:tcPr>
            <w:tcW w:w="760" w:type="dxa"/>
            <w:vAlign w:val="bottom"/>
            <w:gridSpan w:val="3"/>
          </w:tcPr>
          <w:p>
            <w:pPr>
              <w:spacing w:after="0"/>
              <w:rPr>
                <w:sz w:val="20"/>
                <w:szCs w:val="20"/>
                <w:color w:val="auto"/>
              </w:rPr>
            </w:pPr>
            <w:r>
              <w:rPr>
                <w:rFonts w:ascii="Arial" w:cs="Arial" w:eastAsia="Arial" w:hAnsi="Arial"/>
                <w:sz w:val="10"/>
                <w:szCs w:val="10"/>
                <w:color w:val="auto"/>
              </w:rPr>
              <w:t>Contingent Life</w:t>
            </w:r>
          </w:p>
        </w:tc>
        <w:tc>
          <w:tcPr>
            <w:tcW w:w="900" w:type="dxa"/>
            <w:vAlign w:val="bottom"/>
            <w:gridSpan w:val="3"/>
          </w:tcPr>
          <w:p>
            <w:pPr>
              <w:spacing w:after="0"/>
              <w:rPr>
                <w:sz w:val="20"/>
                <w:szCs w:val="20"/>
                <w:color w:val="auto"/>
              </w:rPr>
            </w:pPr>
            <w:r>
              <w:rPr>
                <w:rFonts w:ascii="Arial" w:cs="Arial" w:eastAsia="Arial" w:hAnsi="Arial"/>
                <w:sz w:val="10"/>
                <w:szCs w:val="10"/>
                <w:color w:val="auto"/>
                <w:w w:val="96"/>
              </w:rPr>
              <w:t>Contingent Life Date</w:t>
            </w:r>
          </w:p>
        </w:tc>
        <w:tc>
          <w:tcPr>
            <w:tcW w:w="860" w:type="dxa"/>
            <w:vAlign w:val="bottom"/>
            <w:gridSpan w:val="4"/>
          </w:tcPr>
          <w:p>
            <w:pPr>
              <w:ind w:left="40"/>
              <w:spacing w:after="0"/>
              <w:rPr>
                <w:sz w:val="20"/>
                <w:szCs w:val="20"/>
                <w:color w:val="auto"/>
              </w:rPr>
            </w:pPr>
            <w:r>
              <w:rPr>
                <w:rFonts w:ascii="Arial" w:cs="Arial" w:eastAsia="Arial" w:hAnsi="Arial"/>
                <w:sz w:val="10"/>
                <w:szCs w:val="10"/>
                <w:color w:val="auto"/>
              </w:rPr>
              <w:t>Pre 62+1 Pension</w:t>
            </w:r>
          </w:p>
        </w:tc>
        <w:tc>
          <w:tcPr>
            <w:tcW w:w="760" w:type="dxa"/>
            <w:vAlign w:val="bottom"/>
            <w:gridSpan w:val="3"/>
          </w:tcPr>
          <w:p>
            <w:pPr>
              <w:spacing w:after="0"/>
              <w:rPr>
                <w:sz w:val="20"/>
                <w:szCs w:val="20"/>
                <w:color w:val="auto"/>
              </w:rPr>
            </w:pPr>
            <w:r>
              <w:rPr>
                <w:rFonts w:ascii="Arial" w:cs="Arial" w:eastAsia="Arial" w:hAnsi="Arial"/>
                <w:sz w:val="10"/>
                <w:szCs w:val="10"/>
                <w:color w:val="auto"/>
                <w:w w:val="87"/>
              </w:rPr>
              <w:t>Post 62+1 Pension</w:t>
            </w:r>
          </w:p>
        </w:tc>
        <w:tc>
          <w:tcPr>
            <w:tcW w:w="0" w:type="dxa"/>
            <w:vAlign w:val="bottom"/>
          </w:tcPr>
          <w:p>
            <w:pPr>
              <w:spacing w:after="0"/>
              <w:rPr>
                <w:sz w:val="1"/>
                <w:szCs w:val="1"/>
                <w:color w:val="auto"/>
              </w:rPr>
            </w:pPr>
          </w:p>
        </w:tc>
      </w:tr>
      <w:tr>
        <w:trPr>
          <w:trHeight w:val="20"/>
        </w:trPr>
        <w:tc>
          <w:tcPr>
            <w:tcW w:w="860" w:type="dxa"/>
            <w:vAlign w:val="bottom"/>
            <w:vMerge w:val="continue"/>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260" w:type="dxa"/>
            <w:vAlign w:val="bottom"/>
            <w:vMerge w:val="continue"/>
          </w:tcPr>
          <w:p>
            <w:pPr>
              <w:spacing w:after="0" w:line="20" w:lineRule="exact"/>
              <w:rPr>
                <w:sz w:val="1"/>
                <w:szCs w:val="1"/>
                <w:color w:val="auto"/>
              </w:rPr>
            </w:pPr>
          </w:p>
        </w:tc>
        <w:tc>
          <w:tcPr>
            <w:tcW w:w="300" w:type="dxa"/>
            <w:vAlign w:val="bottom"/>
            <w:vMerge w:val="continue"/>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860" w:type="dxa"/>
            <w:vAlign w:val="bottom"/>
            <w:vMerge w:val="continue"/>
          </w:tcPr>
          <w:p>
            <w:pPr>
              <w:spacing w:after="0"/>
              <w:rPr>
                <w:sz w:val="8"/>
                <w:szCs w:val="8"/>
                <w:color w:val="auto"/>
              </w:rPr>
            </w:pPr>
          </w:p>
        </w:tc>
        <w:tc>
          <w:tcPr>
            <w:tcW w:w="1520" w:type="dxa"/>
            <w:vAlign w:val="bottom"/>
          </w:tcPr>
          <w:p>
            <w:pPr>
              <w:spacing w:after="0"/>
              <w:rPr>
                <w:sz w:val="8"/>
                <w:szCs w:val="8"/>
                <w:color w:val="auto"/>
              </w:rPr>
            </w:pPr>
          </w:p>
        </w:tc>
        <w:tc>
          <w:tcPr>
            <w:tcW w:w="320" w:type="dxa"/>
            <w:vAlign w:val="bottom"/>
          </w:tcPr>
          <w:p>
            <w:pPr>
              <w:spacing w:after="0" w:line="93" w:lineRule="exact"/>
              <w:rPr>
                <w:sz w:val="20"/>
                <w:szCs w:val="20"/>
                <w:color w:val="auto"/>
              </w:rPr>
            </w:pPr>
            <w:r>
              <w:rPr>
                <w:rFonts w:ascii="Arial" w:cs="Arial" w:eastAsia="Arial" w:hAnsi="Arial"/>
                <w:sz w:val="10"/>
                <w:szCs w:val="10"/>
                <w:color w:val="auto"/>
                <w:w w:val="84"/>
              </w:rPr>
              <w:t>Number</w:t>
            </w:r>
          </w:p>
        </w:tc>
        <w:tc>
          <w:tcPr>
            <w:tcW w:w="280" w:type="dxa"/>
            <w:vAlign w:val="bottom"/>
          </w:tcPr>
          <w:p>
            <w:pPr>
              <w:spacing w:after="0"/>
              <w:rPr>
                <w:sz w:val="8"/>
                <w:szCs w:val="8"/>
                <w:color w:val="auto"/>
              </w:rPr>
            </w:pPr>
          </w:p>
        </w:tc>
        <w:tc>
          <w:tcPr>
            <w:tcW w:w="80" w:type="dxa"/>
            <w:vAlign w:val="bottom"/>
            <w:vMerge w:val="continue"/>
          </w:tcPr>
          <w:p>
            <w:pPr>
              <w:spacing w:after="0"/>
              <w:rPr>
                <w:sz w:val="8"/>
                <w:szCs w:val="8"/>
                <w:color w:val="auto"/>
              </w:rPr>
            </w:pPr>
          </w:p>
        </w:tc>
        <w:tc>
          <w:tcPr>
            <w:tcW w:w="60" w:type="dxa"/>
            <w:vAlign w:val="bottom"/>
            <w:vMerge w:val="continue"/>
          </w:tcPr>
          <w:p>
            <w:pPr>
              <w:spacing w:after="0"/>
              <w:rPr>
                <w:sz w:val="8"/>
                <w:szCs w:val="8"/>
                <w:color w:val="auto"/>
              </w:rPr>
            </w:pPr>
          </w:p>
        </w:tc>
        <w:tc>
          <w:tcPr>
            <w:tcW w:w="220" w:type="dxa"/>
            <w:vAlign w:val="bottom"/>
          </w:tcPr>
          <w:p>
            <w:pPr>
              <w:spacing w:after="0" w:line="93" w:lineRule="exact"/>
              <w:rPr>
                <w:sz w:val="20"/>
                <w:szCs w:val="20"/>
                <w:color w:val="auto"/>
              </w:rPr>
            </w:pPr>
            <w:r>
              <w:rPr>
                <w:rFonts w:ascii="Arial" w:cs="Arial" w:eastAsia="Arial" w:hAnsi="Arial"/>
                <w:sz w:val="10"/>
                <w:szCs w:val="10"/>
                <w:color w:val="auto"/>
                <w:w w:val="83"/>
              </w:rPr>
              <w:t>Code</w:t>
            </w:r>
          </w:p>
        </w:tc>
        <w:tc>
          <w:tcPr>
            <w:tcW w:w="220" w:type="dxa"/>
            <w:vAlign w:val="bottom"/>
          </w:tcPr>
          <w:p>
            <w:pPr>
              <w:spacing w:after="0"/>
              <w:rPr>
                <w:sz w:val="8"/>
                <w:szCs w:val="8"/>
                <w:color w:val="auto"/>
              </w:rPr>
            </w:pPr>
          </w:p>
        </w:tc>
        <w:tc>
          <w:tcPr>
            <w:tcW w:w="120" w:type="dxa"/>
            <w:vAlign w:val="bottom"/>
            <w:vMerge w:val="continue"/>
          </w:tcPr>
          <w:p>
            <w:pPr>
              <w:spacing w:after="0"/>
              <w:rPr>
                <w:sz w:val="8"/>
                <w:szCs w:val="8"/>
                <w:color w:val="auto"/>
              </w:rPr>
            </w:pPr>
          </w:p>
        </w:tc>
        <w:tc>
          <w:tcPr>
            <w:tcW w:w="180" w:type="dxa"/>
            <w:vAlign w:val="bottom"/>
            <w:vMerge w:val="continue"/>
          </w:tcPr>
          <w:p>
            <w:pPr>
              <w:spacing w:after="0"/>
              <w:rPr>
                <w:sz w:val="8"/>
                <w:szCs w:val="8"/>
                <w:color w:val="auto"/>
              </w:rPr>
            </w:pPr>
          </w:p>
        </w:tc>
        <w:tc>
          <w:tcPr>
            <w:tcW w:w="260" w:type="dxa"/>
            <w:vAlign w:val="bottom"/>
            <w:vMerge w:val="continue"/>
          </w:tcPr>
          <w:p>
            <w:pPr>
              <w:spacing w:after="0"/>
              <w:rPr>
                <w:sz w:val="8"/>
                <w:szCs w:val="8"/>
                <w:color w:val="auto"/>
              </w:rPr>
            </w:pPr>
          </w:p>
        </w:tc>
        <w:tc>
          <w:tcPr>
            <w:tcW w:w="300" w:type="dxa"/>
            <w:vAlign w:val="bottom"/>
            <w:vMerge w:val="continue"/>
          </w:tcPr>
          <w:p>
            <w:pPr>
              <w:spacing w:after="0"/>
              <w:rPr>
                <w:sz w:val="8"/>
                <w:szCs w:val="8"/>
                <w:color w:val="auto"/>
              </w:rPr>
            </w:pPr>
          </w:p>
        </w:tc>
        <w:tc>
          <w:tcPr>
            <w:tcW w:w="160" w:type="dxa"/>
            <w:vAlign w:val="bottom"/>
            <w:vMerge w:val="continue"/>
          </w:tcPr>
          <w:p>
            <w:pPr>
              <w:spacing w:after="0"/>
              <w:rPr>
                <w:sz w:val="8"/>
                <w:szCs w:val="8"/>
                <w:color w:val="auto"/>
              </w:rPr>
            </w:pPr>
          </w:p>
        </w:tc>
        <w:tc>
          <w:tcPr>
            <w:tcW w:w="200" w:type="dxa"/>
            <w:vAlign w:val="bottom"/>
          </w:tcPr>
          <w:p>
            <w:pPr>
              <w:spacing w:after="0" w:line="93" w:lineRule="exact"/>
              <w:rPr>
                <w:sz w:val="20"/>
                <w:szCs w:val="20"/>
                <w:color w:val="auto"/>
              </w:rPr>
            </w:pPr>
            <w:r>
              <w:rPr>
                <w:rFonts w:ascii="Arial" w:cs="Arial" w:eastAsia="Arial" w:hAnsi="Arial"/>
                <w:sz w:val="10"/>
                <w:szCs w:val="10"/>
                <w:color w:val="auto"/>
                <w:w w:val="87"/>
              </w:rPr>
              <w:t>Birth</w:t>
            </w:r>
          </w:p>
        </w:tc>
        <w:tc>
          <w:tcPr>
            <w:tcW w:w="100" w:type="dxa"/>
            <w:vAlign w:val="bottom"/>
          </w:tcPr>
          <w:p>
            <w:pPr>
              <w:spacing w:after="0"/>
              <w:rPr>
                <w:sz w:val="8"/>
                <w:szCs w:val="8"/>
                <w:color w:val="auto"/>
              </w:rPr>
            </w:pPr>
          </w:p>
        </w:tc>
        <w:tc>
          <w:tcPr>
            <w:tcW w:w="140" w:type="dxa"/>
            <w:vAlign w:val="bottom"/>
            <w:vMerge w:val="continue"/>
          </w:tcPr>
          <w:p>
            <w:pPr>
              <w:spacing w:after="0"/>
              <w:rPr>
                <w:sz w:val="8"/>
                <w:szCs w:val="8"/>
                <w:color w:val="auto"/>
              </w:rPr>
            </w:pPr>
          </w:p>
        </w:tc>
        <w:tc>
          <w:tcPr>
            <w:tcW w:w="660" w:type="dxa"/>
            <w:vAlign w:val="bottom"/>
            <w:gridSpan w:val="2"/>
          </w:tcPr>
          <w:p>
            <w:pPr>
              <w:spacing w:after="0" w:line="93" w:lineRule="exact"/>
              <w:rPr>
                <w:sz w:val="20"/>
                <w:szCs w:val="20"/>
                <w:color w:val="auto"/>
              </w:rPr>
            </w:pPr>
            <w:r>
              <w:rPr>
                <w:rFonts w:ascii="Arial" w:cs="Arial" w:eastAsia="Arial" w:hAnsi="Arial"/>
                <w:sz w:val="10"/>
                <w:szCs w:val="10"/>
                <w:color w:val="auto"/>
                <w:w w:val="87"/>
              </w:rPr>
              <w:t>Retirement Date</w:t>
            </w:r>
          </w:p>
        </w:tc>
        <w:tc>
          <w:tcPr>
            <w:tcW w:w="140" w:type="dxa"/>
            <w:vAlign w:val="bottom"/>
          </w:tcPr>
          <w:p>
            <w:pPr>
              <w:spacing w:after="0"/>
              <w:rPr>
                <w:sz w:val="8"/>
                <w:szCs w:val="8"/>
                <w:color w:val="auto"/>
              </w:rPr>
            </w:pPr>
          </w:p>
        </w:tc>
        <w:tc>
          <w:tcPr>
            <w:tcW w:w="240" w:type="dxa"/>
            <w:vAlign w:val="bottom"/>
          </w:tcPr>
          <w:p>
            <w:pPr>
              <w:spacing w:after="0" w:line="93" w:lineRule="exact"/>
              <w:rPr>
                <w:sz w:val="20"/>
                <w:szCs w:val="20"/>
                <w:color w:val="auto"/>
              </w:rPr>
            </w:pPr>
            <w:r>
              <w:rPr>
                <w:rFonts w:ascii="Arial" w:cs="Arial" w:eastAsia="Arial" w:hAnsi="Arial"/>
                <w:sz w:val="10"/>
                <w:szCs w:val="10"/>
                <w:color w:val="auto"/>
                <w:w w:val="82"/>
              </w:rPr>
              <w:t>Name</w:t>
            </w:r>
          </w:p>
        </w:tc>
        <w:tc>
          <w:tcPr>
            <w:tcW w:w="380" w:type="dxa"/>
            <w:vAlign w:val="bottom"/>
          </w:tcPr>
          <w:p>
            <w:pPr>
              <w:spacing w:after="0"/>
              <w:rPr>
                <w:sz w:val="8"/>
                <w:szCs w:val="8"/>
                <w:color w:val="auto"/>
              </w:rPr>
            </w:pPr>
          </w:p>
        </w:tc>
        <w:tc>
          <w:tcPr>
            <w:tcW w:w="40" w:type="dxa"/>
            <w:vAlign w:val="bottom"/>
            <w:vMerge w:val="continue"/>
          </w:tcPr>
          <w:p>
            <w:pPr>
              <w:spacing w:after="0"/>
              <w:rPr>
                <w:sz w:val="8"/>
                <w:szCs w:val="8"/>
                <w:color w:val="auto"/>
              </w:rPr>
            </w:pPr>
          </w:p>
        </w:tc>
        <w:tc>
          <w:tcPr>
            <w:tcW w:w="40" w:type="dxa"/>
            <w:vAlign w:val="bottom"/>
            <w:vMerge w:val="continue"/>
          </w:tcPr>
          <w:p>
            <w:pPr>
              <w:spacing w:after="0"/>
              <w:rPr>
                <w:sz w:val="8"/>
                <w:szCs w:val="8"/>
                <w:color w:val="auto"/>
              </w:rPr>
            </w:pPr>
          </w:p>
        </w:tc>
        <w:tc>
          <w:tcPr>
            <w:tcW w:w="900" w:type="dxa"/>
            <w:vAlign w:val="bottom"/>
            <w:gridSpan w:val="2"/>
          </w:tcPr>
          <w:p>
            <w:pPr>
              <w:spacing w:after="0" w:line="93" w:lineRule="exact"/>
              <w:rPr>
                <w:sz w:val="20"/>
                <w:szCs w:val="20"/>
                <w:color w:val="auto"/>
              </w:rPr>
            </w:pPr>
            <w:r>
              <w:rPr>
                <w:rFonts w:ascii="Arial" w:cs="Arial" w:eastAsia="Arial" w:hAnsi="Arial"/>
                <w:sz w:val="10"/>
                <w:szCs w:val="10"/>
                <w:color w:val="auto"/>
              </w:rPr>
              <w:t>Security Number</w:t>
            </w:r>
          </w:p>
        </w:tc>
        <w:tc>
          <w:tcPr>
            <w:tcW w:w="340" w:type="dxa"/>
            <w:vAlign w:val="bottom"/>
            <w:vMerge w:val="continue"/>
          </w:tcPr>
          <w:p>
            <w:pPr>
              <w:spacing w:after="0"/>
              <w:rPr>
                <w:sz w:val="8"/>
                <w:szCs w:val="8"/>
                <w:color w:val="auto"/>
              </w:rPr>
            </w:pPr>
          </w:p>
        </w:tc>
        <w:tc>
          <w:tcPr>
            <w:tcW w:w="640" w:type="dxa"/>
            <w:vAlign w:val="bottom"/>
            <w:gridSpan w:val="2"/>
          </w:tcPr>
          <w:p>
            <w:pPr>
              <w:spacing w:after="0" w:line="93" w:lineRule="exact"/>
              <w:rPr>
                <w:sz w:val="20"/>
                <w:szCs w:val="20"/>
                <w:color w:val="auto"/>
              </w:rPr>
            </w:pPr>
            <w:r>
              <w:rPr>
                <w:rFonts w:ascii="Arial" w:cs="Arial" w:eastAsia="Arial" w:hAnsi="Arial"/>
                <w:sz w:val="10"/>
                <w:szCs w:val="10"/>
                <w:color w:val="auto"/>
              </w:rPr>
              <w:t>Gender</w:t>
            </w:r>
          </w:p>
        </w:tc>
        <w:tc>
          <w:tcPr>
            <w:tcW w:w="120" w:type="dxa"/>
            <w:vAlign w:val="bottom"/>
            <w:vMerge w:val="continue"/>
          </w:tcPr>
          <w:p>
            <w:pPr>
              <w:spacing w:after="0"/>
              <w:rPr>
                <w:sz w:val="8"/>
                <w:szCs w:val="8"/>
                <w:color w:val="auto"/>
              </w:rPr>
            </w:pPr>
          </w:p>
        </w:tc>
        <w:tc>
          <w:tcPr>
            <w:tcW w:w="840" w:type="dxa"/>
            <w:vAlign w:val="bottom"/>
            <w:gridSpan w:val="2"/>
          </w:tcPr>
          <w:p>
            <w:pPr>
              <w:spacing w:after="0" w:line="93" w:lineRule="exact"/>
              <w:rPr>
                <w:sz w:val="20"/>
                <w:szCs w:val="20"/>
                <w:color w:val="auto"/>
              </w:rPr>
            </w:pPr>
            <w:r>
              <w:rPr>
                <w:rFonts w:ascii="Arial" w:cs="Arial" w:eastAsia="Arial" w:hAnsi="Arial"/>
                <w:sz w:val="10"/>
                <w:szCs w:val="10"/>
                <w:color w:val="auto"/>
              </w:rPr>
              <w:t>of Birth</w:t>
            </w:r>
          </w:p>
        </w:tc>
        <w:tc>
          <w:tcPr>
            <w:tcW w:w="60" w:type="dxa"/>
            <w:vAlign w:val="bottom"/>
            <w:vMerge w:val="continue"/>
          </w:tcPr>
          <w:p>
            <w:pPr>
              <w:spacing w:after="0"/>
              <w:rPr>
                <w:sz w:val="8"/>
                <w:szCs w:val="8"/>
                <w:color w:val="auto"/>
              </w:rPr>
            </w:pPr>
          </w:p>
        </w:tc>
        <w:tc>
          <w:tcPr>
            <w:tcW w:w="40" w:type="dxa"/>
            <w:vAlign w:val="bottom"/>
            <w:vMerge w:val="continue"/>
          </w:tcPr>
          <w:p>
            <w:pPr>
              <w:spacing w:after="0"/>
              <w:rPr>
                <w:sz w:val="8"/>
                <w:szCs w:val="8"/>
                <w:color w:val="auto"/>
              </w:rPr>
            </w:pPr>
          </w:p>
        </w:tc>
        <w:tc>
          <w:tcPr>
            <w:tcW w:w="700" w:type="dxa"/>
            <w:vAlign w:val="bottom"/>
            <w:gridSpan w:val="2"/>
          </w:tcPr>
          <w:p>
            <w:pPr>
              <w:spacing w:after="0" w:line="93" w:lineRule="exact"/>
              <w:rPr>
                <w:sz w:val="20"/>
                <w:szCs w:val="20"/>
                <w:color w:val="auto"/>
              </w:rPr>
            </w:pPr>
            <w:r>
              <w:rPr>
                <w:rFonts w:ascii="Arial" w:cs="Arial" w:eastAsia="Arial" w:hAnsi="Arial"/>
                <w:sz w:val="10"/>
                <w:szCs w:val="10"/>
                <w:color w:val="auto"/>
              </w:rPr>
              <w:t>Amount</w:t>
            </w:r>
          </w:p>
        </w:tc>
        <w:tc>
          <w:tcPr>
            <w:tcW w:w="120" w:type="dxa"/>
            <w:vAlign w:val="bottom"/>
            <w:vMerge w:val="continue"/>
          </w:tcPr>
          <w:p>
            <w:pPr>
              <w:spacing w:after="0"/>
              <w:rPr>
                <w:sz w:val="8"/>
                <w:szCs w:val="8"/>
                <w:color w:val="auto"/>
              </w:rPr>
            </w:pPr>
          </w:p>
        </w:tc>
        <w:tc>
          <w:tcPr>
            <w:tcW w:w="740" w:type="dxa"/>
            <w:vAlign w:val="bottom"/>
            <w:gridSpan w:val="2"/>
          </w:tcPr>
          <w:p>
            <w:pPr>
              <w:spacing w:after="0" w:line="93" w:lineRule="exact"/>
              <w:rPr>
                <w:sz w:val="20"/>
                <w:szCs w:val="20"/>
                <w:color w:val="auto"/>
              </w:rPr>
            </w:pPr>
            <w:r>
              <w:rPr>
                <w:rFonts w:ascii="Arial" w:cs="Arial" w:eastAsia="Arial" w:hAnsi="Arial"/>
                <w:sz w:val="10"/>
                <w:szCs w:val="10"/>
                <w:color w:val="auto"/>
              </w:rPr>
              <w:t>Amount</w:t>
            </w:r>
          </w:p>
        </w:tc>
        <w:tc>
          <w:tcPr>
            <w:tcW w:w="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86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40"/>
          </w:cols>
          <w:pgMar w:left="240" w:top="545" w:right="619" w:bottom="1440" w:gutter="0" w:footer="0" w:header="0"/>
        </w:sectPr>
      </w:pPr>
    </w:p>
    <w:bookmarkStart w:id="176" w:name="page177"/>
    <w:bookmarkEnd w:id="176"/>
    <w:p>
      <w:pPr>
        <w:spacing w:after="0"/>
        <w:rPr>
          <w:sz w:val="20"/>
          <w:szCs w:val="20"/>
          <w:color w:val="auto"/>
        </w:rPr>
      </w:pPr>
      <w:r>
        <w:rPr>
          <w:rFonts w:ascii="Arial" w:cs="Arial" w:eastAsia="Arial" w:hAnsi="Arial"/>
          <w:sz w:val="17"/>
          <w:szCs w:val="17"/>
          <w:b w:val="1"/>
          <w:bCs w:val="1"/>
          <w:color w:val="auto"/>
        </w:rPr>
        <w:t>ANNUITY EXHIBIT SAMPLE</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GA-XXXX</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Vita</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Annuitants</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Spousal Joint and Survivor Life Annuity</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Annuity Commencement Date is Month 1, 20XX</w:t>
      </w:r>
    </w:p>
    <w:p>
      <w:pPr>
        <w:spacing w:after="0" w:line="111" w:lineRule="exact"/>
        <w:rPr>
          <w:sz w:val="20"/>
          <w:szCs w:val="20"/>
          <w:color w:val="auto"/>
        </w:rPr>
      </w:pPr>
    </w:p>
    <w:tbl>
      <w:tblPr>
        <w:tblLayout w:type="fixed"/>
        <w:tblInd w:w="20" w:type="dxa"/>
        <w:tblCellMar>
          <w:top w:w="0" w:type="dxa"/>
          <w:left w:w="0" w:type="dxa"/>
          <w:bottom w:w="0" w:type="dxa"/>
          <w:right w:w="0" w:type="dxa"/>
        </w:tblCellMar>
      </w:tblPr>
      <w:tr>
        <w:trPr>
          <w:trHeight w:val="255"/>
        </w:trPr>
        <w:tc>
          <w:tcPr>
            <w:tcW w:w="8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Borders>
              <w:right w:val="single" w:sz="8" w:color="auto"/>
            </w:tcBorders>
          </w:tcPr>
          <w:p>
            <w:pPr>
              <w:spacing w:after="0"/>
              <w:rPr>
                <w:sz w:val="21"/>
                <w:szCs w:val="21"/>
                <w:color w:val="auto"/>
              </w:rPr>
            </w:pPr>
          </w:p>
        </w:tc>
        <w:tc>
          <w:tcPr>
            <w:tcW w:w="1640" w:type="dxa"/>
            <w:vAlign w:val="bottom"/>
            <w:tcBorders>
              <w:top w:val="single" w:sz="8" w:color="auto"/>
              <w:bottom w:val="single" w:sz="8" w:color="BFBFBF"/>
              <w:right w:val="single" w:sz="8" w:color="auto"/>
            </w:tcBorders>
            <w:gridSpan w:val="5"/>
            <w:shd w:val="clear" w:color="auto" w:fill="BFBFBF"/>
          </w:tcPr>
          <w:p>
            <w:pPr>
              <w:ind w:left="20"/>
              <w:spacing w:after="0"/>
              <w:rPr>
                <w:sz w:val="20"/>
                <w:szCs w:val="20"/>
                <w:color w:val="auto"/>
              </w:rPr>
            </w:pPr>
            <w:r>
              <w:rPr>
                <w:rFonts w:ascii="Arial" w:cs="Arial" w:eastAsia="Arial" w:hAnsi="Arial"/>
                <w:sz w:val="10"/>
                <w:szCs w:val="10"/>
                <w:color w:val="auto"/>
                <w:w w:val="98"/>
              </w:rPr>
              <w:t>Special Benefit Rider Eligibility (Y/N)</w:t>
            </w:r>
          </w:p>
        </w:tc>
        <w:tc>
          <w:tcPr>
            <w:tcW w:w="1660" w:type="dxa"/>
            <w:vAlign w:val="bottom"/>
            <w:tcBorders>
              <w:top w:val="single" w:sz="8" w:color="auto"/>
              <w:bottom w:val="single" w:sz="8" w:color="BFBFBF"/>
              <w:right w:val="single" w:sz="8" w:color="auto"/>
            </w:tcBorders>
            <w:gridSpan w:val="5"/>
            <w:shd w:val="clear" w:color="auto" w:fill="BFBFBF"/>
          </w:tcPr>
          <w:p>
            <w:pPr>
              <w:ind w:left="60"/>
              <w:spacing w:after="0"/>
              <w:rPr>
                <w:sz w:val="20"/>
                <w:szCs w:val="20"/>
                <w:color w:val="auto"/>
              </w:rPr>
            </w:pPr>
            <w:r>
              <w:rPr>
                <w:rFonts w:ascii="Arial" w:cs="Arial" w:eastAsia="Arial" w:hAnsi="Arial"/>
                <w:sz w:val="10"/>
                <w:szCs w:val="10"/>
                <w:color w:val="auto"/>
              </w:rPr>
              <w:t>Level Benefit Rider Eligibility (Y/N)</w:t>
            </w:r>
          </w:p>
        </w:tc>
        <w:tc>
          <w:tcPr>
            <w:tcW w:w="1360" w:type="dxa"/>
            <w:vAlign w:val="bottom"/>
            <w:tcBorders>
              <w:top w:val="single" w:sz="8" w:color="auto"/>
              <w:bottom w:val="single" w:sz="8" w:color="BFBFBF"/>
              <w:right w:val="single" w:sz="8" w:color="auto"/>
            </w:tcBorders>
            <w:gridSpan w:val="2"/>
            <w:shd w:val="clear" w:color="auto" w:fill="BFBFBF"/>
          </w:tcPr>
          <w:p>
            <w:pPr>
              <w:ind w:left="40"/>
              <w:spacing w:after="0"/>
              <w:rPr>
                <w:sz w:val="20"/>
                <w:szCs w:val="20"/>
                <w:color w:val="auto"/>
              </w:rPr>
            </w:pPr>
            <w:r>
              <w:rPr>
                <w:rFonts w:ascii="Arial" w:cs="Arial" w:eastAsia="Arial" w:hAnsi="Arial"/>
                <w:sz w:val="10"/>
                <w:szCs w:val="10"/>
                <w:color w:val="auto"/>
                <w:w w:val="99"/>
              </w:rPr>
              <w:t>Pop-Up Rider Eligibility (Y/N)</w:t>
            </w:r>
          </w:p>
        </w:tc>
        <w:tc>
          <w:tcPr>
            <w:tcW w:w="1380" w:type="dxa"/>
            <w:vAlign w:val="bottom"/>
            <w:tcBorders>
              <w:top w:val="single" w:sz="8" w:color="auto"/>
              <w:bottom w:val="single" w:sz="8" w:color="BFBFBF"/>
              <w:right w:val="single" w:sz="8" w:color="auto"/>
            </w:tcBorders>
            <w:gridSpan w:val="2"/>
            <w:shd w:val="clear" w:color="auto" w:fill="BFBFBF"/>
          </w:tcPr>
          <w:p>
            <w:pPr>
              <w:ind w:left="20"/>
              <w:spacing w:after="0"/>
              <w:rPr>
                <w:sz w:val="20"/>
                <w:szCs w:val="20"/>
                <w:color w:val="auto"/>
              </w:rPr>
            </w:pPr>
            <w:r>
              <w:rPr>
                <w:rFonts w:ascii="Arial" w:cs="Arial" w:eastAsia="Arial" w:hAnsi="Arial"/>
                <w:sz w:val="10"/>
                <w:szCs w:val="10"/>
                <w:color w:val="auto"/>
              </w:rPr>
              <w:t>Refund Rider Eligibility (Y/N)</w:t>
            </w:r>
          </w:p>
        </w:tc>
        <w:tc>
          <w:tcPr>
            <w:tcW w:w="880" w:type="dxa"/>
            <w:vAlign w:val="bottom"/>
            <w:tcBorders>
              <w:top w:val="single" w:sz="8" w:color="auto"/>
              <w:bottom w:val="single" w:sz="8" w:color="BFBFBF"/>
              <w:right w:val="single" w:sz="8" w:color="auto"/>
            </w:tcBorders>
            <w:gridSpan w:val="2"/>
            <w:shd w:val="clear" w:color="auto" w:fill="BFBFBF"/>
          </w:tcPr>
          <w:p>
            <w:pPr>
              <w:ind w:left="20"/>
              <w:spacing w:after="0"/>
              <w:rPr>
                <w:sz w:val="20"/>
                <w:szCs w:val="20"/>
                <w:color w:val="auto"/>
              </w:rPr>
            </w:pPr>
            <w:r>
              <w:rPr>
                <w:rFonts w:ascii="Arial" w:cs="Arial" w:eastAsia="Arial" w:hAnsi="Arial"/>
                <w:sz w:val="10"/>
                <w:szCs w:val="10"/>
                <w:color w:val="auto"/>
                <w:w w:val="98"/>
              </w:rPr>
              <w:t>Conversion Option</w:t>
            </w:r>
          </w:p>
        </w:tc>
        <w:tc>
          <w:tcPr>
            <w:tcW w:w="0" w:type="dxa"/>
            <w:vAlign w:val="bottom"/>
          </w:tcPr>
          <w:p>
            <w:pPr>
              <w:spacing w:after="0"/>
              <w:rPr>
                <w:sz w:val="1"/>
                <w:szCs w:val="1"/>
                <w:color w:val="auto"/>
              </w:rPr>
            </w:pPr>
          </w:p>
        </w:tc>
      </w:tr>
      <w:tr>
        <w:trPr>
          <w:trHeight w:val="343"/>
        </w:trPr>
        <w:tc>
          <w:tcPr>
            <w:tcW w:w="860" w:type="dxa"/>
            <w:vAlign w:val="bottom"/>
            <w:vMerge w:val="restart"/>
          </w:tcPr>
          <w:p>
            <w:pPr>
              <w:spacing w:after="0"/>
              <w:rPr>
                <w:sz w:val="20"/>
                <w:szCs w:val="20"/>
                <w:color w:val="auto"/>
              </w:rPr>
            </w:pPr>
            <w:r>
              <w:rPr>
                <w:rFonts w:ascii="Arial" w:cs="Arial" w:eastAsia="Arial" w:hAnsi="Arial"/>
                <w:sz w:val="10"/>
                <w:szCs w:val="10"/>
                <w:color w:val="auto"/>
                <w:w w:val="97"/>
              </w:rPr>
              <w:t>Covered Life Name</w:t>
            </w:r>
          </w:p>
        </w:tc>
        <w:tc>
          <w:tcPr>
            <w:tcW w:w="580" w:type="dxa"/>
            <w:vAlign w:val="bottom"/>
          </w:tcPr>
          <w:p>
            <w:pPr>
              <w:spacing w:after="0"/>
              <w:rPr>
                <w:sz w:val="24"/>
                <w:szCs w:val="24"/>
                <w:color w:val="auto"/>
              </w:rPr>
            </w:pPr>
          </w:p>
        </w:tc>
        <w:tc>
          <w:tcPr>
            <w:tcW w:w="760" w:type="dxa"/>
            <w:vAlign w:val="bottom"/>
            <w:gridSpan w:val="3"/>
          </w:tcPr>
          <w:p>
            <w:pPr>
              <w:spacing w:after="0"/>
              <w:rPr>
                <w:sz w:val="20"/>
                <w:szCs w:val="20"/>
                <w:color w:val="auto"/>
              </w:rPr>
            </w:pPr>
            <w:r>
              <w:rPr>
                <w:rFonts w:ascii="Arial" w:cs="Arial" w:eastAsia="Arial" w:hAnsi="Arial"/>
                <w:sz w:val="10"/>
                <w:szCs w:val="10"/>
                <w:color w:val="auto"/>
              </w:rPr>
              <w:t>Contingent Life</w:t>
            </w:r>
          </w:p>
        </w:tc>
        <w:tc>
          <w:tcPr>
            <w:tcW w:w="880" w:type="dxa"/>
            <w:vAlign w:val="bottom"/>
            <w:gridSpan w:val="4"/>
          </w:tcPr>
          <w:p>
            <w:pPr>
              <w:ind w:left="140"/>
              <w:spacing w:after="0"/>
              <w:rPr>
                <w:sz w:val="20"/>
                <w:szCs w:val="20"/>
                <w:color w:val="auto"/>
              </w:rPr>
            </w:pPr>
            <w:r>
              <w:rPr>
                <w:rFonts w:ascii="Arial" w:cs="Arial" w:eastAsia="Arial" w:hAnsi="Arial"/>
                <w:sz w:val="10"/>
                <w:szCs w:val="10"/>
                <w:color w:val="auto"/>
              </w:rPr>
              <w:t>Special Benefit</w:t>
            </w:r>
          </w:p>
        </w:tc>
        <w:tc>
          <w:tcPr>
            <w:tcW w:w="960" w:type="dxa"/>
            <w:vAlign w:val="bottom"/>
            <w:gridSpan w:val="4"/>
          </w:tcPr>
          <w:p>
            <w:pPr>
              <w:ind w:left="120"/>
              <w:spacing w:after="0"/>
              <w:rPr>
                <w:sz w:val="20"/>
                <w:szCs w:val="20"/>
                <w:color w:val="auto"/>
              </w:rPr>
            </w:pPr>
            <w:r>
              <w:rPr>
                <w:rFonts w:ascii="Arial" w:cs="Arial" w:eastAsia="Arial" w:hAnsi="Arial"/>
                <w:sz w:val="10"/>
                <w:szCs w:val="10"/>
                <w:color w:val="auto"/>
              </w:rPr>
              <w:t>Level Benefit</w:t>
            </w:r>
          </w:p>
        </w:tc>
        <w:tc>
          <w:tcPr>
            <w:tcW w:w="680" w:type="dxa"/>
            <w:vAlign w:val="bottom"/>
            <w:tcBorders>
              <w:top w:val="single" w:sz="8" w:color="auto"/>
            </w:tcBorders>
            <w:gridSpan w:val="2"/>
            <w:vMerge w:val="restart"/>
          </w:tcPr>
          <w:p>
            <w:pPr>
              <w:spacing w:after="0"/>
              <w:rPr>
                <w:sz w:val="20"/>
                <w:szCs w:val="20"/>
                <w:color w:val="auto"/>
              </w:rPr>
            </w:pPr>
            <w:r>
              <w:rPr>
                <w:rFonts w:ascii="Arial" w:cs="Arial" w:eastAsia="Arial" w:hAnsi="Arial"/>
                <w:sz w:val="10"/>
                <w:szCs w:val="10"/>
                <w:color w:val="auto"/>
              </w:rPr>
              <w:t>Covered Life</w:t>
            </w:r>
          </w:p>
        </w:tc>
        <w:tc>
          <w:tcPr>
            <w:tcW w:w="960" w:type="dxa"/>
            <w:vAlign w:val="bottom"/>
            <w:tcBorders>
              <w:top w:val="single" w:sz="8" w:color="auto"/>
            </w:tcBorders>
            <w:gridSpan w:val="3"/>
            <w:vMerge w:val="restart"/>
          </w:tcPr>
          <w:p>
            <w:pPr>
              <w:ind w:left="140"/>
              <w:spacing w:after="0"/>
              <w:rPr>
                <w:sz w:val="20"/>
                <w:szCs w:val="20"/>
                <w:color w:val="auto"/>
              </w:rPr>
            </w:pPr>
            <w:r>
              <w:rPr>
                <w:rFonts w:ascii="Arial" w:cs="Arial" w:eastAsia="Arial" w:hAnsi="Arial"/>
                <w:sz w:val="10"/>
                <w:szCs w:val="10"/>
                <w:color w:val="auto"/>
              </w:rPr>
              <w:t>Contingent Life</w:t>
            </w:r>
          </w:p>
        </w:tc>
        <w:tc>
          <w:tcPr>
            <w:tcW w:w="680" w:type="dxa"/>
            <w:vAlign w:val="bottom"/>
            <w:tcBorders>
              <w:top w:val="single" w:sz="8" w:color="auto"/>
            </w:tcBorders>
            <w:gridSpan w:val="2"/>
            <w:vMerge w:val="restart"/>
          </w:tcPr>
          <w:p>
            <w:pPr>
              <w:spacing w:after="0"/>
              <w:rPr>
                <w:sz w:val="20"/>
                <w:szCs w:val="20"/>
                <w:color w:val="auto"/>
              </w:rPr>
            </w:pPr>
            <w:r>
              <w:rPr>
                <w:rFonts w:ascii="Arial" w:cs="Arial" w:eastAsia="Arial" w:hAnsi="Arial"/>
                <w:sz w:val="10"/>
                <w:szCs w:val="10"/>
                <w:color w:val="auto"/>
              </w:rPr>
              <w:t>Covered Life</w:t>
            </w:r>
          </w:p>
        </w:tc>
        <w:tc>
          <w:tcPr>
            <w:tcW w:w="980" w:type="dxa"/>
            <w:vAlign w:val="bottom"/>
            <w:tcBorders>
              <w:top w:val="single" w:sz="8" w:color="auto"/>
            </w:tcBorders>
            <w:gridSpan w:val="3"/>
            <w:vMerge w:val="restart"/>
          </w:tcPr>
          <w:p>
            <w:pPr>
              <w:ind w:left="160"/>
              <w:spacing w:after="0"/>
              <w:rPr>
                <w:sz w:val="20"/>
                <w:szCs w:val="20"/>
                <w:color w:val="auto"/>
              </w:rPr>
            </w:pPr>
            <w:r>
              <w:rPr>
                <w:rFonts w:ascii="Arial" w:cs="Arial" w:eastAsia="Arial" w:hAnsi="Arial"/>
                <w:sz w:val="10"/>
                <w:szCs w:val="10"/>
                <w:color w:val="auto"/>
              </w:rPr>
              <w:t>Contingent Life</w:t>
            </w:r>
          </w:p>
        </w:tc>
        <w:tc>
          <w:tcPr>
            <w:tcW w:w="1360" w:type="dxa"/>
            <w:vAlign w:val="bottom"/>
            <w:tcBorders>
              <w:top w:val="single" w:sz="8" w:color="auto"/>
            </w:tcBorders>
            <w:gridSpan w:val="2"/>
            <w:vMerge w:val="restart"/>
          </w:tcPr>
          <w:p>
            <w:pPr>
              <w:spacing w:after="0"/>
              <w:rPr>
                <w:sz w:val="20"/>
                <w:szCs w:val="20"/>
                <w:color w:val="auto"/>
              </w:rPr>
            </w:pPr>
            <w:r>
              <w:rPr>
                <w:rFonts w:ascii="Arial" w:cs="Arial" w:eastAsia="Arial" w:hAnsi="Arial"/>
                <w:sz w:val="10"/>
                <w:szCs w:val="10"/>
                <w:color w:val="auto"/>
              </w:rPr>
              <w:t>Pop-Up</w:t>
            </w:r>
          </w:p>
        </w:tc>
        <w:tc>
          <w:tcPr>
            <w:tcW w:w="1380" w:type="dxa"/>
            <w:vAlign w:val="bottom"/>
            <w:tcBorders>
              <w:top w:val="single" w:sz="8" w:color="auto"/>
            </w:tcBorders>
            <w:gridSpan w:val="2"/>
            <w:vMerge w:val="restart"/>
          </w:tcPr>
          <w:p>
            <w:pPr>
              <w:spacing w:after="0"/>
              <w:rPr>
                <w:sz w:val="20"/>
                <w:szCs w:val="20"/>
                <w:color w:val="auto"/>
              </w:rPr>
            </w:pPr>
            <w:r>
              <w:rPr>
                <w:rFonts w:ascii="Arial" w:cs="Arial" w:eastAsia="Arial" w:hAnsi="Arial"/>
                <w:sz w:val="10"/>
                <w:szCs w:val="10"/>
                <w:color w:val="auto"/>
              </w:rPr>
              <w:t>Refund Death Benefit</w:t>
            </w:r>
          </w:p>
        </w:tc>
        <w:tc>
          <w:tcPr>
            <w:tcW w:w="880" w:type="dxa"/>
            <w:vAlign w:val="bottom"/>
            <w:tcBorders>
              <w:top w:val="single" w:sz="8" w:color="auto"/>
            </w:tcBorders>
            <w:gridSpan w:val="2"/>
            <w:vMerge w:val="restart"/>
          </w:tcPr>
          <w:p>
            <w:pPr>
              <w:spacing w:after="0"/>
              <w:rPr>
                <w:sz w:val="20"/>
                <w:szCs w:val="20"/>
                <w:color w:val="auto"/>
              </w:rPr>
            </w:pPr>
            <w:r>
              <w:rPr>
                <w:rFonts w:ascii="Arial" w:cs="Arial" w:eastAsia="Arial" w:hAnsi="Arial"/>
                <w:sz w:val="10"/>
                <w:szCs w:val="10"/>
                <w:color w:val="auto"/>
              </w:rPr>
              <w:t>Disabled Age 55</w:t>
            </w:r>
          </w:p>
        </w:tc>
        <w:tc>
          <w:tcPr>
            <w:tcW w:w="0" w:type="dxa"/>
            <w:vAlign w:val="bottom"/>
          </w:tcPr>
          <w:p>
            <w:pPr>
              <w:spacing w:after="0"/>
              <w:rPr>
                <w:sz w:val="1"/>
                <w:szCs w:val="1"/>
                <w:color w:val="auto"/>
              </w:rPr>
            </w:pPr>
          </w:p>
        </w:tc>
      </w:tr>
      <w:tr>
        <w:trPr>
          <w:trHeight w:val="93"/>
        </w:trPr>
        <w:tc>
          <w:tcPr>
            <w:tcW w:w="860" w:type="dxa"/>
            <w:vAlign w:val="bottom"/>
            <w:vMerge w:val="continue"/>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Borders>
              <w:top w:val="single" w:sz="8" w:color="auto"/>
            </w:tcBorders>
            <w:gridSpan w:val="2"/>
          </w:tcPr>
          <w:p>
            <w:pPr>
              <w:spacing w:after="0" w:line="93" w:lineRule="exact"/>
              <w:rPr>
                <w:sz w:val="20"/>
                <w:szCs w:val="20"/>
                <w:color w:val="auto"/>
              </w:rPr>
            </w:pPr>
            <w:r>
              <w:rPr>
                <w:rFonts w:ascii="Arial" w:cs="Arial" w:eastAsia="Arial" w:hAnsi="Arial"/>
                <w:sz w:val="10"/>
                <w:szCs w:val="10"/>
                <w:color w:val="auto"/>
              </w:rPr>
              <w:t>Amount</w:t>
            </w: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Borders>
              <w:top w:val="single" w:sz="8" w:color="auto"/>
            </w:tcBorders>
            <w:gridSpan w:val="2"/>
          </w:tcPr>
          <w:p>
            <w:pPr>
              <w:spacing w:after="0" w:line="93" w:lineRule="exact"/>
              <w:rPr>
                <w:sz w:val="20"/>
                <w:szCs w:val="20"/>
                <w:color w:val="auto"/>
              </w:rPr>
            </w:pPr>
            <w:r>
              <w:rPr>
                <w:rFonts w:ascii="Arial" w:cs="Arial" w:eastAsia="Arial" w:hAnsi="Arial"/>
                <w:sz w:val="10"/>
                <w:szCs w:val="10"/>
                <w:color w:val="auto"/>
              </w:rPr>
              <w:t>Amount</w:t>
            </w: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Borders>
              <w:top w:val="single" w:sz="8" w:color="auto"/>
            </w:tcBorders>
            <w:gridSpan w:val="2"/>
          </w:tcPr>
          <w:p>
            <w:pPr>
              <w:spacing w:after="0" w:line="93" w:lineRule="exact"/>
              <w:rPr>
                <w:sz w:val="20"/>
                <w:szCs w:val="20"/>
                <w:color w:val="auto"/>
              </w:rPr>
            </w:pPr>
            <w:r>
              <w:rPr>
                <w:rFonts w:ascii="Arial" w:cs="Arial" w:eastAsia="Arial" w:hAnsi="Arial"/>
                <w:sz w:val="10"/>
                <w:szCs w:val="10"/>
                <w:color w:val="auto"/>
              </w:rPr>
              <w:t>Amount</w:t>
            </w:r>
          </w:p>
        </w:tc>
        <w:tc>
          <w:tcPr>
            <w:tcW w:w="280" w:type="dxa"/>
            <w:vAlign w:val="bottom"/>
          </w:tcPr>
          <w:p>
            <w:pPr>
              <w:spacing w:after="0"/>
              <w:rPr>
                <w:sz w:val="8"/>
                <w:szCs w:val="8"/>
                <w:color w:val="auto"/>
              </w:rPr>
            </w:pPr>
          </w:p>
        </w:tc>
        <w:tc>
          <w:tcPr>
            <w:tcW w:w="680" w:type="dxa"/>
            <w:vAlign w:val="bottom"/>
            <w:tcBorders>
              <w:top w:val="single" w:sz="8" w:color="auto"/>
            </w:tcBorders>
            <w:gridSpan w:val="2"/>
            <w:vMerge w:val="continue"/>
          </w:tcPr>
          <w:p>
            <w:pPr>
              <w:spacing w:after="0"/>
              <w:rPr>
                <w:sz w:val="8"/>
                <w:szCs w:val="8"/>
                <w:color w:val="auto"/>
              </w:rPr>
            </w:pPr>
          </w:p>
        </w:tc>
        <w:tc>
          <w:tcPr>
            <w:tcW w:w="960" w:type="dxa"/>
            <w:vAlign w:val="bottom"/>
            <w:tcBorders>
              <w:top w:val="single" w:sz="8" w:color="auto"/>
            </w:tcBorders>
            <w:gridSpan w:val="3"/>
            <w:vMerge w:val="continue"/>
          </w:tcPr>
          <w:p>
            <w:pPr>
              <w:spacing w:after="0"/>
              <w:rPr>
                <w:sz w:val="8"/>
                <w:szCs w:val="8"/>
                <w:color w:val="auto"/>
              </w:rPr>
            </w:pPr>
          </w:p>
        </w:tc>
        <w:tc>
          <w:tcPr>
            <w:tcW w:w="680" w:type="dxa"/>
            <w:vAlign w:val="bottom"/>
            <w:tcBorders>
              <w:top w:val="single" w:sz="8" w:color="auto"/>
            </w:tcBorders>
            <w:gridSpan w:val="2"/>
            <w:vMerge w:val="continue"/>
          </w:tcPr>
          <w:p>
            <w:pPr>
              <w:spacing w:after="0"/>
              <w:rPr>
                <w:sz w:val="8"/>
                <w:szCs w:val="8"/>
                <w:color w:val="auto"/>
              </w:rPr>
            </w:pPr>
          </w:p>
        </w:tc>
        <w:tc>
          <w:tcPr>
            <w:tcW w:w="980" w:type="dxa"/>
            <w:vAlign w:val="bottom"/>
            <w:tcBorders>
              <w:top w:val="single" w:sz="8" w:color="auto"/>
            </w:tcBorders>
            <w:gridSpan w:val="3"/>
            <w:vMerge w:val="continue"/>
          </w:tcPr>
          <w:p>
            <w:pPr>
              <w:spacing w:after="0"/>
              <w:rPr>
                <w:sz w:val="8"/>
                <w:szCs w:val="8"/>
                <w:color w:val="auto"/>
              </w:rPr>
            </w:pPr>
          </w:p>
        </w:tc>
        <w:tc>
          <w:tcPr>
            <w:tcW w:w="1360" w:type="dxa"/>
            <w:vAlign w:val="bottom"/>
            <w:tcBorders>
              <w:top w:val="single" w:sz="8" w:color="auto"/>
            </w:tcBorders>
            <w:gridSpan w:val="2"/>
            <w:vMerge w:val="continue"/>
          </w:tcPr>
          <w:p>
            <w:pPr>
              <w:spacing w:after="0"/>
              <w:rPr>
                <w:sz w:val="8"/>
                <w:szCs w:val="8"/>
                <w:color w:val="auto"/>
              </w:rPr>
            </w:pPr>
          </w:p>
        </w:tc>
        <w:tc>
          <w:tcPr>
            <w:tcW w:w="1380" w:type="dxa"/>
            <w:vAlign w:val="bottom"/>
            <w:tcBorders>
              <w:top w:val="single" w:sz="8" w:color="auto"/>
            </w:tcBorders>
            <w:gridSpan w:val="2"/>
            <w:vMerge w:val="continue"/>
          </w:tcPr>
          <w:p>
            <w:pPr>
              <w:spacing w:after="0"/>
              <w:rPr>
                <w:sz w:val="8"/>
                <w:szCs w:val="8"/>
                <w:color w:val="auto"/>
              </w:rPr>
            </w:pPr>
          </w:p>
        </w:tc>
        <w:tc>
          <w:tcPr>
            <w:tcW w:w="880" w:type="dxa"/>
            <w:vAlign w:val="bottom"/>
            <w:tcBorders>
              <w:top w:val="single" w:sz="8" w:color="auto"/>
            </w:tcBorders>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8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960"/>
          </w:cols>
          <w:pgMar w:left="240" w:top="544" w:right="699" w:bottom="1440" w:gutter="0" w:footer="0" w:header="0"/>
        </w:sectPr>
      </w:pPr>
    </w:p>
    <w:bookmarkStart w:id="177" w:name="page178"/>
    <w:bookmarkEnd w:id="177"/>
    <w:p>
      <w:pPr>
        <w:spacing w:after="0"/>
        <w:rPr>
          <w:sz w:val="20"/>
          <w:szCs w:val="20"/>
          <w:color w:val="auto"/>
        </w:rPr>
      </w:pPr>
      <w:r>
        <w:rPr>
          <w:rFonts w:ascii="Arial" w:cs="Arial" w:eastAsia="Arial" w:hAnsi="Arial"/>
          <w:sz w:val="17"/>
          <w:szCs w:val="17"/>
          <w:b w:val="1"/>
          <w:bCs w:val="1"/>
          <w:color w:val="auto"/>
        </w:rPr>
        <w:t>ANNUITY EXHIBIT SAMPLE</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GA-XXXX</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Vita</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Annuitants</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Spousal Joint and Survivor Life Annuity</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Annuity Commencement Date is Month 1, 20XX</w:t>
      </w:r>
    </w:p>
    <w:p>
      <w:pPr>
        <w:spacing w:after="0" w:line="111" w:lineRule="exact"/>
        <w:rPr>
          <w:sz w:val="20"/>
          <w:szCs w:val="20"/>
          <w:color w:val="auto"/>
        </w:rPr>
      </w:pPr>
    </w:p>
    <w:tbl>
      <w:tblPr>
        <w:tblLayout w:type="fixed"/>
        <w:tblInd w:w="20" w:type="dxa"/>
        <w:tblCellMar>
          <w:top w:w="0" w:type="dxa"/>
          <w:left w:w="0" w:type="dxa"/>
          <w:bottom w:w="0" w:type="dxa"/>
          <w:right w:w="0" w:type="dxa"/>
        </w:tblCellMar>
      </w:tblPr>
      <w:tr>
        <w:trPr>
          <w:trHeight w:val="255"/>
        </w:trPr>
        <w:tc>
          <w:tcPr>
            <w:tcW w:w="860" w:type="dxa"/>
            <w:vAlign w:val="bottom"/>
          </w:tcPr>
          <w:p>
            <w:pPr>
              <w:spacing w:after="0"/>
              <w:rPr>
                <w:sz w:val="21"/>
                <w:szCs w:val="21"/>
                <w:color w:val="auto"/>
              </w:rPr>
            </w:pPr>
          </w:p>
        </w:tc>
        <w:tc>
          <w:tcPr>
            <w:tcW w:w="1320" w:type="dxa"/>
            <w:vAlign w:val="bottom"/>
            <w:tcBorders>
              <w:right w:val="single" w:sz="8" w:color="auto"/>
            </w:tcBorders>
          </w:tcPr>
          <w:p>
            <w:pPr>
              <w:spacing w:after="0"/>
              <w:rPr>
                <w:sz w:val="21"/>
                <w:szCs w:val="21"/>
                <w:color w:val="auto"/>
              </w:rPr>
            </w:pPr>
          </w:p>
        </w:tc>
        <w:tc>
          <w:tcPr>
            <w:tcW w:w="1220" w:type="dxa"/>
            <w:vAlign w:val="bottom"/>
            <w:tcBorders>
              <w:top w:val="single" w:sz="8" w:color="auto"/>
              <w:bottom w:val="single" w:sz="8" w:color="BFBFBF"/>
              <w:right w:val="single" w:sz="8" w:color="auto"/>
            </w:tcBorders>
            <w:gridSpan w:val="2"/>
            <w:shd w:val="clear" w:color="auto" w:fill="BFBFBF"/>
          </w:tcPr>
          <w:p>
            <w:pPr>
              <w:ind w:left="20"/>
              <w:spacing w:after="0"/>
              <w:rPr>
                <w:sz w:val="20"/>
                <w:szCs w:val="20"/>
                <w:color w:val="auto"/>
              </w:rPr>
            </w:pPr>
            <w:r>
              <w:rPr>
                <w:rFonts w:ascii="Arial" w:cs="Arial" w:eastAsia="Arial" w:hAnsi="Arial"/>
                <w:sz w:val="10"/>
                <w:szCs w:val="10"/>
                <w:color w:val="auto"/>
              </w:rPr>
              <w:t>Eligibility Indicators (Y/N)</w:t>
            </w:r>
          </w:p>
        </w:tc>
        <w:tc>
          <w:tcPr>
            <w:tcW w:w="6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tcBorders>
              <w:right w:val="single" w:sz="8" w:color="auto"/>
            </w:tcBorders>
          </w:tcPr>
          <w:p>
            <w:pPr>
              <w:spacing w:after="0"/>
              <w:rPr>
                <w:sz w:val="21"/>
                <w:szCs w:val="21"/>
                <w:color w:val="auto"/>
              </w:rPr>
            </w:pPr>
          </w:p>
        </w:tc>
        <w:tc>
          <w:tcPr>
            <w:tcW w:w="2100" w:type="dxa"/>
            <w:vAlign w:val="bottom"/>
            <w:tcBorders>
              <w:top w:val="single" w:sz="8" w:color="auto"/>
              <w:bottom w:val="single" w:sz="8" w:color="BFBFBF"/>
              <w:right w:val="single" w:sz="8" w:color="auto"/>
            </w:tcBorders>
            <w:gridSpan w:val="4"/>
            <w:shd w:val="clear" w:color="auto" w:fill="BFBFBF"/>
          </w:tcPr>
          <w:p>
            <w:pPr>
              <w:ind w:left="380"/>
              <w:spacing w:after="0"/>
              <w:rPr>
                <w:sz w:val="20"/>
                <w:szCs w:val="20"/>
                <w:color w:val="auto"/>
              </w:rPr>
            </w:pPr>
            <w:r>
              <w:rPr>
                <w:rFonts w:ascii="Arial" w:cs="Arial" w:eastAsia="Arial" w:hAnsi="Arial"/>
                <w:sz w:val="10"/>
                <w:szCs w:val="10"/>
                <w:color w:val="auto"/>
              </w:rPr>
              <w:t>Pre 1985 Part B Primary Amount</w:t>
            </w:r>
          </w:p>
        </w:tc>
        <w:tc>
          <w:tcPr>
            <w:tcW w:w="20" w:type="dxa"/>
            <w:vAlign w:val="bottom"/>
            <w:tcBorders>
              <w:top w:val="single" w:sz="8" w:color="auto"/>
              <w:bottom w:val="single" w:sz="8" w:color="BFBFBF"/>
            </w:tcBorders>
            <w:shd w:val="clear" w:color="auto" w:fill="BFBFBF"/>
          </w:tcPr>
          <w:p>
            <w:pPr>
              <w:spacing w:after="0"/>
              <w:rPr>
                <w:sz w:val="21"/>
                <w:szCs w:val="21"/>
                <w:color w:val="auto"/>
              </w:rPr>
            </w:pPr>
          </w:p>
        </w:tc>
        <w:tc>
          <w:tcPr>
            <w:tcW w:w="2100" w:type="dxa"/>
            <w:vAlign w:val="bottom"/>
            <w:tcBorders>
              <w:top w:val="single" w:sz="8" w:color="auto"/>
              <w:bottom w:val="single" w:sz="8" w:color="BFBFBF"/>
              <w:right w:val="single" w:sz="8" w:color="auto"/>
            </w:tcBorders>
            <w:gridSpan w:val="4"/>
            <w:shd w:val="clear" w:color="auto" w:fill="BFBFBF"/>
          </w:tcPr>
          <w:p>
            <w:pPr>
              <w:ind w:left="340"/>
              <w:spacing w:after="0"/>
              <w:rPr>
                <w:sz w:val="20"/>
                <w:szCs w:val="20"/>
                <w:color w:val="auto"/>
              </w:rPr>
            </w:pPr>
            <w:r>
              <w:rPr>
                <w:rFonts w:ascii="Arial" w:cs="Arial" w:eastAsia="Arial" w:hAnsi="Arial"/>
                <w:sz w:val="10"/>
                <w:szCs w:val="10"/>
                <w:color w:val="auto"/>
              </w:rPr>
              <w:t>Post 1985 Part B Primary Amount</w:t>
            </w:r>
          </w:p>
        </w:tc>
        <w:tc>
          <w:tcPr>
            <w:tcW w:w="1320" w:type="dxa"/>
            <w:vAlign w:val="bottom"/>
          </w:tcPr>
          <w:p>
            <w:pPr>
              <w:spacing w:after="0"/>
              <w:rPr>
                <w:sz w:val="21"/>
                <w:szCs w:val="21"/>
                <w:color w:val="auto"/>
              </w:rPr>
            </w:pPr>
          </w:p>
        </w:tc>
      </w:tr>
      <w:tr>
        <w:trPr>
          <w:trHeight w:val="343"/>
        </w:trPr>
        <w:tc>
          <w:tcPr>
            <w:tcW w:w="2180" w:type="dxa"/>
            <w:vAlign w:val="bottom"/>
            <w:gridSpan w:val="2"/>
          </w:tcPr>
          <w:p>
            <w:pPr>
              <w:spacing w:after="0"/>
              <w:rPr>
                <w:sz w:val="20"/>
                <w:szCs w:val="20"/>
                <w:color w:val="auto"/>
              </w:rPr>
            </w:pPr>
            <w:r>
              <w:rPr>
                <w:rFonts w:ascii="Arial" w:cs="Arial" w:eastAsia="Arial" w:hAnsi="Arial"/>
                <w:sz w:val="10"/>
                <w:szCs w:val="10"/>
                <w:color w:val="auto"/>
              </w:rPr>
              <w:t>Covered Life Name</w:t>
            </w:r>
          </w:p>
        </w:tc>
        <w:tc>
          <w:tcPr>
            <w:tcW w:w="1220" w:type="dxa"/>
            <w:vAlign w:val="bottom"/>
            <w:tcBorders>
              <w:top w:val="single" w:sz="8" w:color="auto"/>
            </w:tcBorders>
            <w:gridSpan w:val="2"/>
          </w:tcPr>
          <w:p>
            <w:pPr>
              <w:spacing w:after="0"/>
              <w:rPr>
                <w:sz w:val="20"/>
                <w:szCs w:val="20"/>
                <w:color w:val="auto"/>
              </w:rPr>
            </w:pPr>
            <w:r>
              <w:rPr>
                <w:rFonts w:ascii="Arial" w:cs="Arial" w:eastAsia="Arial" w:hAnsi="Arial"/>
                <w:sz w:val="10"/>
                <w:szCs w:val="10"/>
                <w:color w:val="auto"/>
              </w:rPr>
              <w:t>General</w:t>
            </w:r>
          </w:p>
        </w:tc>
        <w:tc>
          <w:tcPr>
            <w:tcW w:w="1020" w:type="dxa"/>
            <w:vAlign w:val="bottom"/>
            <w:gridSpan w:val="2"/>
          </w:tcPr>
          <w:p>
            <w:pPr>
              <w:spacing w:after="0"/>
              <w:rPr>
                <w:sz w:val="20"/>
                <w:szCs w:val="20"/>
                <w:color w:val="auto"/>
              </w:rPr>
            </w:pPr>
            <w:r>
              <w:rPr>
                <w:rFonts w:ascii="Arial" w:cs="Arial" w:eastAsia="Arial" w:hAnsi="Arial"/>
                <w:sz w:val="10"/>
                <w:szCs w:val="10"/>
                <w:color w:val="auto"/>
              </w:rPr>
              <w:t>Pop-Up Amount</w:t>
            </w:r>
          </w:p>
        </w:tc>
        <w:tc>
          <w:tcPr>
            <w:tcW w:w="1020" w:type="dxa"/>
            <w:vAlign w:val="bottom"/>
            <w:gridSpan w:val="2"/>
          </w:tcPr>
          <w:p>
            <w:pPr>
              <w:spacing w:after="0"/>
              <w:rPr>
                <w:sz w:val="20"/>
                <w:szCs w:val="20"/>
                <w:color w:val="auto"/>
              </w:rPr>
            </w:pPr>
            <w:r>
              <w:rPr>
                <w:rFonts w:ascii="Arial" w:cs="Arial" w:eastAsia="Arial" w:hAnsi="Arial"/>
                <w:sz w:val="10"/>
                <w:szCs w:val="10"/>
                <w:color w:val="auto"/>
              </w:rPr>
              <w:t>Part A Basic Benefit</w:t>
            </w:r>
          </w:p>
        </w:tc>
        <w:tc>
          <w:tcPr>
            <w:tcW w:w="1060" w:type="dxa"/>
            <w:vAlign w:val="bottom"/>
            <w:tcBorders>
              <w:top w:val="single" w:sz="8" w:color="auto"/>
            </w:tcBorders>
            <w:gridSpan w:val="2"/>
          </w:tcPr>
          <w:p>
            <w:pPr>
              <w:ind w:left="20"/>
              <w:spacing w:after="0"/>
              <w:rPr>
                <w:sz w:val="20"/>
                <w:szCs w:val="20"/>
                <w:color w:val="auto"/>
              </w:rPr>
            </w:pPr>
            <w:r>
              <w:rPr>
                <w:rFonts w:ascii="Arial" w:cs="Arial" w:eastAsia="Arial" w:hAnsi="Arial"/>
                <w:sz w:val="10"/>
                <w:szCs w:val="10"/>
                <w:color w:val="auto"/>
              </w:rPr>
              <w:t>Covered Life</w:t>
            </w:r>
          </w:p>
        </w:tc>
        <w:tc>
          <w:tcPr>
            <w:tcW w:w="1040" w:type="dxa"/>
            <w:vAlign w:val="bottom"/>
            <w:tcBorders>
              <w:top w:val="single" w:sz="8" w:color="auto"/>
            </w:tcBorders>
            <w:gridSpan w:val="2"/>
          </w:tcPr>
          <w:p>
            <w:pPr>
              <w:spacing w:after="0"/>
              <w:rPr>
                <w:sz w:val="20"/>
                <w:szCs w:val="20"/>
                <w:color w:val="auto"/>
              </w:rPr>
            </w:pPr>
            <w:r>
              <w:rPr>
                <w:rFonts w:ascii="Arial" w:cs="Arial" w:eastAsia="Arial" w:hAnsi="Arial"/>
                <w:sz w:val="10"/>
                <w:szCs w:val="10"/>
                <w:color w:val="auto"/>
              </w:rPr>
              <w:t>Contingent Life</w:t>
            </w:r>
          </w:p>
        </w:tc>
        <w:tc>
          <w:tcPr>
            <w:tcW w:w="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gridSpan w:val="2"/>
          </w:tcPr>
          <w:p>
            <w:pPr>
              <w:spacing w:after="0"/>
              <w:rPr>
                <w:sz w:val="20"/>
                <w:szCs w:val="20"/>
                <w:color w:val="auto"/>
              </w:rPr>
            </w:pPr>
            <w:r>
              <w:rPr>
                <w:rFonts w:ascii="Arial" w:cs="Arial" w:eastAsia="Arial" w:hAnsi="Arial"/>
                <w:sz w:val="10"/>
                <w:szCs w:val="10"/>
                <w:color w:val="auto"/>
              </w:rPr>
              <w:t>Covered Life</w:t>
            </w:r>
          </w:p>
        </w:tc>
        <w:tc>
          <w:tcPr>
            <w:tcW w:w="1060" w:type="dxa"/>
            <w:vAlign w:val="bottom"/>
            <w:tcBorders>
              <w:top w:val="single" w:sz="8" w:color="auto"/>
            </w:tcBorders>
            <w:gridSpan w:val="2"/>
          </w:tcPr>
          <w:p>
            <w:pPr>
              <w:spacing w:after="0"/>
              <w:rPr>
                <w:sz w:val="20"/>
                <w:szCs w:val="20"/>
                <w:color w:val="auto"/>
              </w:rPr>
            </w:pPr>
            <w:r>
              <w:rPr>
                <w:rFonts w:ascii="Arial" w:cs="Arial" w:eastAsia="Arial" w:hAnsi="Arial"/>
                <w:sz w:val="10"/>
                <w:szCs w:val="10"/>
                <w:color w:val="auto"/>
              </w:rPr>
              <w:t>Contingent Life</w:t>
            </w:r>
          </w:p>
        </w:tc>
        <w:tc>
          <w:tcPr>
            <w:tcW w:w="1320" w:type="dxa"/>
            <w:vAlign w:val="bottom"/>
          </w:tcPr>
          <w:p>
            <w:pPr>
              <w:spacing w:after="0"/>
              <w:rPr>
                <w:sz w:val="20"/>
                <w:szCs w:val="20"/>
                <w:color w:val="auto"/>
              </w:rPr>
            </w:pPr>
            <w:r>
              <w:rPr>
                <w:rFonts w:ascii="Arial" w:cs="Arial" w:eastAsia="Arial" w:hAnsi="Arial"/>
                <w:sz w:val="10"/>
                <w:szCs w:val="10"/>
                <w:color w:val="auto"/>
                <w:w w:val="91"/>
              </w:rPr>
              <w:t>Maximum Refund Death Benefit</w:t>
            </w:r>
          </w:p>
        </w:tc>
      </w:tr>
      <w:tr>
        <w:trPr>
          <w:trHeight w:val="20"/>
        </w:trPr>
        <w:tc>
          <w:tcPr>
            <w:tcW w:w="86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r>
    </w:tbl>
    <w:p>
      <w:pPr>
        <w:sectPr>
          <w:pgSz w:w="11900" w:h="16838" w:orient="portrait"/>
          <w:cols w:equalWidth="0" w:num="1">
            <w:col w:w="11000"/>
          </w:cols>
          <w:pgMar w:left="240" w:top="545" w:right="659" w:bottom="1440" w:gutter="0" w:footer="0" w:header="0"/>
        </w:sectPr>
      </w:pPr>
    </w:p>
    <w:bookmarkStart w:id="178" w:name="page179"/>
    <w:bookmarkEnd w:id="178"/>
    <w:p>
      <w:pPr>
        <w:spacing w:after="0"/>
        <w:rPr>
          <w:sz w:val="20"/>
          <w:szCs w:val="20"/>
          <w:color w:val="auto"/>
        </w:rPr>
      </w:pPr>
      <w:r>
        <w:rPr>
          <w:rFonts w:ascii="Arial" w:cs="Arial" w:eastAsia="Arial" w:hAnsi="Arial"/>
          <w:sz w:val="17"/>
          <w:szCs w:val="17"/>
          <w:b w:val="1"/>
          <w:bCs w:val="1"/>
          <w:color w:val="auto"/>
        </w:rPr>
        <w:t>ANNUITY EXHIBIT SAMPLE</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GA-XXXX</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Vita</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Annuitants</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Spousal Joint and Survivor Life Annuity</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Annuity Commencement Date is Month 1, 20XX</w:t>
      </w:r>
    </w:p>
    <w:p>
      <w:pPr>
        <w:spacing w:after="0" w:line="146" w:lineRule="exact"/>
        <w:rPr>
          <w:sz w:val="20"/>
          <w:szCs w:val="20"/>
          <w:color w:val="auto"/>
        </w:rPr>
      </w:pPr>
    </w:p>
    <w:p>
      <w:pPr>
        <w:ind w:left="20"/>
        <w:spacing w:after="0"/>
        <w:tabs>
          <w:tab w:leader="none" w:pos="2180" w:val="left"/>
          <w:tab w:leader="none" w:pos="4400" w:val="left"/>
          <w:tab w:leader="none" w:pos="6620" w:val="left"/>
        </w:tabs>
        <w:rPr>
          <w:sz w:val="20"/>
          <w:szCs w:val="20"/>
          <w:color w:val="auto"/>
        </w:rPr>
      </w:pPr>
      <w:r>
        <w:rPr>
          <w:rFonts w:ascii="Arial" w:cs="Arial" w:eastAsia="Arial" w:hAnsi="Arial"/>
          <w:sz w:val="10"/>
          <w:szCs w:val="10"/>
          <w:u w:val="single" w:color="auto"/>
          <w:color w:val="auto"/>
        </w:rPr>
        <w:t>Covered Life Name</w:t>
      </w:r>
      <w:r>
        <w:rPr>
          <w:sz w:val="20"/>
          <w:szCs w:val="20"/>
          <w:color w:val="auto"/>
        </w:rPr>
        <w:tab/>
      </w:r>
      <w:r>
        <w:rPr>
          <w:rFonts w:ascii="Arial" w:cs="Arial" w:eastAsia="Arial" w:hAnsi="Arial"/>
          <w:sz w:val="10"/>
          <w:szCs w:val="10"/>
          <w:u w:val="single" w:color="auto"/>
          <w:color w:val="auto"/>
        </w:rPr>
        <w:t>Disability Temporary Benefit</w:t>
      </w:r>
      <w:r>
        <w:rPr>
          <w:sz w:val="20"/>
          <w:szCs w:val="20"/>
          <w:color w:val="auto"/>
        </w:rPr>
        <w:tab/>
      </w:r>
      <w:r>
        <w:rPr>
          <w:rFonts w:ascii="Arial" w:cs="Arial" w:eastAsia="Arial" w:hAnsi="Arial"/>
          <w:sz w:val="10"/>
          <w:szCs w:val="10"/>
          <w:u w:val="single" w:color="auto"/>
          <w:color w:val="auto"/>
        </w:rPr>
        <w:t>Disability Age 55 Pre 62+1 Pension Amount</w:t>
      </w:r>
      <w:r>
        <w:rPr>
          <w:sz w:val="20"/>
          <w:szCs w:val="20"/>
          <w:color w:val="auto"/>
        </w:rPr>
        <w:tab/>
      </w:r>
      <w:r>
        <w:rPr>
          <w:rFonts w:ascii="Arial" w:cs="Arial" w:eastAsia="Arial" w:hAnsi="Arial"/>
          <w:sz w:val="9"/>
          <w:szCs w:val="9"/>
          <w:u w:val="single" w:color="auto"/>
          <w:color w:val="auto"/>
        </w:rPr>
        <w:t>Disability Age 55 Post 62+1 Pension Amount</w:t>
      </w:r>
    </w:p>
    <w:p>
      <w:pPr>
        <w:sectPr>
          <w:pgSz w:w="11900" w:h="16838" w:orient="portrait"/>
          <w:cols w:equalWidth="0" w:num="1">
            <w:col w:w="10219"/>
          </w:cols>
          <w:pgMar w:left="240" w:top="545" w:right="1440" w:bottom="1440" w:gutter="0" w:footer="0" w:header="0"/>
        </w:sectPr>
      </w:pPr>
    </w:p>
    <w:bookmarkStart w:id="179" w:name="page180"/>
    <w:bookmarkEnd w:id="179"/>
    <w:p>
      <w:pPr>
        <w:spacing w:after="0"/>
        <w:rPr>
          <w:sz w:val="20"/>
          <w:szCs w:val="20"/>
          <w:color w:val="auto"/>
        </w:rPr>
      </w:pPr>
      <w:r>
        <w:rPr>
          <w:rFonts w:ascii="Arial" w:cs="Arial" w:eastAsia="Arial" w:hAnsi="Arial"/>
          <w:sz w:val="17"/>
          <w:szCs w:val="17"/>
          <w:b w:val="1"/>
          <w:bCs w:val="1"/>
          <w:color w:val="auto"/>
        </w:rPr>
        <w:t>ANNUITY EXHIBIT SAMPLE</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GA-XXXX</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Vita</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Annuitants</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Contingent Joint and Survivor Life Annuity</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Annuity Commencement Date is Month 1, 20XX</w:t>
      </w:r>
    </w:p>
    <w:p>
      <w:pPr>
        <w:spacing w:after="0" w:line="141"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86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480" w:type="dxa"/>
            <w:vAlign w:val="bottom"/>
            <w:gridSpan w:val="3"/>
          </w:tcPr>
          <w:p>
            <w:pPr>
              <w:spacing w:after="0"/>
              <w:rPr>
                <w:sz w:val="20"/>
                <w:szCs w:val="20"/>
                <w:color w:val="auto"/>
              </w:rPr>
            </w:pPr>
            <w:r>
              <w:rPr>
                <w:rFonts w:ascii="Arial" w:cs="Arial" w:eastAsia="Arial" w:hAnsi="Arial"/>
                <w:sz w:val="10"/>
                <w:szCs w:val="10"/>
                <w:color w:val="auto"/>
              </w:rPr>
              <w:t>Social</w:t>
            </w:r>
          </w:p>
        </w:tc>
        <w:tc>
          <w:tcPr>
            <w:tcW w:w="640" w:type="dxa"/>
            <w:vAlign w:val="bottom"/>
            <w:gridSpan w:val="4"/>
            <w:vMerge w:val="restart"/>
          </w:tcPr>
          <w:p>
            <w:pPr>
              <w:ind w:left="140"/>
              <w:spacing w:after="0"/>
              <w:rPr>
                <w:sz w:val="20"/>
                <w:szCs w:val="20"/>
                <w:color w:val="auto"/>
              </w:rPr>
            </w:pPr>
            <w:r>
              <w:rPr>
                <w:rFonts w:ascii="Arial" w:cs="Arial" w:eastAsia="Arial" w:hAnsi="Arial"/>
                <w:sz w:val="10"/>
                <w:szCs w:val="10"/>
                <w:color w:val="auto"/>
                <w:w w:val="98"/>
              </w:rPr>
              <w:t>Retirement</w:t>
            </w: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gridSpan w:val="5"/>
          </w:tcPr>
          <w:p>
            <w:pPr>
              <w:ind w:left="120"/>
              <w:spacing w:after="0"/>
              <w:rPr>
                <w:sz w:val="20"/>
                <w:szCs w:val="20"/>
                <w:color w:val="auto"/>
              </w:rPr>
            </w:pPr>
            <w:r>
              <w:rPr>
                <w:rFonts w:ascii="Arial" w:cs="Arial" w:eastAsia="Arial" w:hAnsi="Arial"/>
                <w:sz w:val="10"/>
                <w:szCs w:val="10"/>
                <w:color w:val="auto"/>
              </w:rPr>
              <w:t>Original</w:t>
            </w:r>
          </w:p>
        </w:tc>
        <w:tc>
          <w:tcPr>
            <w:tcW w:w="1400" w:type="dxa"/>
            <w:vAlign w:val="bottom"/>
            <w:gridSpan w:val="4"/>
            <w:vMerge w:val="restart"/>
          </w:tcPr>
          <w:p>
            <w:pPr>
              <w:ind w:left="120"/>
              <w:spacing w:after="0"/>
              <w:rPr>
                <w:sz w:val="20"/>
                <w:szCs w:val="20"/>
                <w:color w:val="auto"/>
              </w:rPr>
            </w:pPr>
            <w:r>
              <w:rPr>
                <w:rFonts w:ascii="Arial" w:cs="Arial" w:eastAsia="Arial" w:hAnsi="Arial"/>
                <w:sz w:val="10"/>
                <w:szCs w:val="10"/>
                <w:color w:val="auto"/>
              </w:rPr>
              <w:t>Is the Contingent Life the</w:t>
            </w:r>
          </w:p>
        </w:tc>
        <w:tc>
          <w:tcPr>
            <w:tcW w:w="580" w:type="dxa"/>
            <w:vAlign w:val="bottom"/>
            <w:gridSpan w:val="3"/>
            <w:vMerge w:val="restart"/>
          </w:tcPr>
          <w:p>
            <w:pPr>
              <w:spacing w:after="0"/>
              <w:rPr>
                <w:sz w:val="20"/>
                <w:szCs w:val="20"/>
                <w:color w:val="auto"/>
              </w:rPr>
            </w:pPr>
            <w:r>
              <w:rPr>
                <w:rFonts w:ascii="Arial" w:cs="Arial" w:eastAsia="Arial" w:hAnsi="Arial"/>
                <w:sz w:val="10"/>
                <w:szCs w:val="10"/>
                <w:color w:val="auto"/>
              </w:rPr>
              <w:t>Contingent</w:t>
            </w:r>
          </w:p>
        </w:tc>
        <w:tc>
          <w:tcPr>
            <w:tcW w:w="1060" w:type="dxa"/>
            <w:vAlign w:val="bottom"/>
            <w:gridSpan w:val="3"/>
            <w:vMerge w:val="restart"/>
          </w:tcPr>
          <w:p>
            <w:pPr>
              <w:spacing w:after="0"/>
              <w:rPr>
                <w:sz w:val="20"/>
                <w:szCs w:val="20"/>
                <w:color w:val="auto"/>
              </w:rPr>
            </w:pPr>
            <w:r>
              <w:rPr>
                <w:rFonts w:ascii="Arial" w:cs="Arial" w:eastAsia="Arial" w:hAnsi="Arial"/>
                <w:sz w:val="10"/>
                <w:szCs w:val="10"/>
                <w:color w:val="auto"/>
              </w:rPr>
              <w:t>Contingent Life Social</w:t>
            </w:r>
          </w:p>
        </w:tc>
        <w:tc>
          <w:tcPr>
            <w:tcW w:w="640" w:type="dxa"/>
            <w:vAlign w:val="bottom"/>
            <w:gridSpan w:val="2"/>
            <w:vMerge w:val="restart"/>
          </w:tcPr>
          <w:p>
            <w:pPr>
              <w:spacing w:after="0"/>
              <w:rPr>
                <w:sz w:val="20"/>
                <w:szCs w:val="20"/>
                <w:color w:val="auto"/>
              </w:rPr>
            </w:pPr>
            <w:r>
              <w:rPr>
                <w:rFonts w:ascii="Arial" w:cs="Arial" w:eastAsia="Arial" w:hAnsi="Arial"/>
                <w:sz w:val="10"/>
                <w:szCs w:val="10"/>
                <w:color w:val="auto"/>
              </w:rPr>
              <w:t>Contingent</w:t>
            </w:r>
          </w:p>
        </w:tc>
        <w:tc>
          <w:tcPr>
            <w:tcW w:w="760" w:type="dxa"/>
            <w:vAlign w:val="bottom"/>
            <w:gridSpan w:val="3"/>
            <w:vMerge w:val="restart"/>
          </w:tcPr>
          <w:p>
            <w:pPr>
              <w:spacing w:after="0"/>
              <w:rPr>
                <w:sz w:val="20"/>
                <w:szCs w:val="20"/>
                <w:color w:val="auto"/>
              </w:rPr>
            </w:pPr>
            <w:r>
              <w:rPr>
                <w:rFonts w:ascii="Arial" w:cs="Arial" w:eastAsia="Arial" w:hAnsi="Arial"/>
                <w:sz w:val="10"/>
                <w:szCs w:val="10"/>
                <w:color w:val="auto"/>
              </w:rPr>
              <w:t>Contingent Life</w:t>
            </w:r>
          </w:p>
        </w:tc>
        <w:tc>
          <w:tcPr>
            <w:tcW w:w="400" w:type="dxa"/>
            <w:vAlign w:val="bottom"/>
            <w:gridSpan w:val="3"/>
          </w:tcPr>
          <w:p>
            <w:pPr>
              <w:spacing w:after="0"/>
              <w:rPr>
                <w:sz w:val="20"/>
                <w:szCs w:val="20"/>
                <w:color w:val="auto"/>
              </w:rPr>
            </w:pPr>
            <w:r>
              <w:rPr>
                <w:rFonts w:ascii="Arial" w:cs="Arial" w:eastAsia="Arial" w:hAnsi="Arial"/>
                <w:sz w:val="10"/>
                <w:szCs w:val="10"/>
                <w:color w:val="auto"/>
                <w:w w:val="92"/>
              </w:rPr>
              <w:t>Pre 62+1</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640" w:type="dxa"/>
            <w:vAlign w:val="bottom"/>
            <w:gridSpan w:val="4"/>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gridSpan w:val="4"/>
            <w:vMerge w:val="continue"/>
          </w:tcPr>
          <w:p>
            <w:pPr>
              <w:spacing w:after="0" w:line="20" w:lineRule="exact"/>
              <w:rPr>
                <w:sz w:val="1"/>
                <w:szCs w:val="1"/>
                <w:color w:val="auto"/>
              </w:rPr>
            </w:pPr>
          </w:p>
        </w:tc>
        <w:tc>
          <w:tcPr>
            <w:tcW w:w="580" w:type="dxa"/>
            <w:vAlign w:val="bottom"/>
            <w:gridSpan w:val="3"/>
            <w:vMerge w:val="continue"/>
          </w:tcPr>
          <w:p>
            <w:pPr>
              <w:spacing w:after="0" w:line="20" w:lineRule="exact"/>
              <w:rPr>
                <w:sz w:val="1"/>
                <w:szCs w:val="1"/>
                <w:color w:val="auto"/>
              </w:rPr>
            </w:pPr>
          </w:p>
        </w:tc>
        <w:tc>
          <w:tcPr>
            <w:tcW w:w="1060" w:type="dxa"/>
            <w:vAlign w:val="bottom"/>
            <w:gridSpan w:val="3"/>
            <w:vMerge w:val="continue"/>
          </w:tcPr>
          <w:p>
            <w:pPr>
              <w:spacing w:after="0" w:line="20" w:lineRule="exact"/>
              <w:rPr>
                <w:sz w:val="1"/>
                <w:szCs w:val="1"/>
                <w:color w:val="auto"/>
              </w:rPr>
            </w:pPr>
          </w:p>
        </w:tc>
        <w:tc>
          <w:tcPr>
            <w:tcW w:w="640" w:type="dxa"/>
            <w:vAlign w:val="bottom"/>
            <w:gridSpan w:val="2"/>
            <w:vMerge w:val="continue"/>
          </w:tcPr>
          <w:p>
            <w:pPr>
              <w:spacing w:after="0" w:line="20" w:lineRule="exact"/>
              <w:rPr>
                <w:sz w:val="1"/>
                <w:szCs w:val="1"/>
                <w:color w:val="auto"/>
              </w:rPr>
            </w:pPr>
          </w:p>
        </w:tc>
        <w:tc>
          <w:tcPr>
            <w:tcW w:w="760" w:type="dxa"/>
            <w:vAlign w:val="bottom"/>
            <w:gridSpan w:val="3"/>
            <w:vMerge w:val="continue"/>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860" w:type="dxa"/>
            <w:vAlign w:val="bottom"/>
            <w:vMerge w:val="restart"/>
          </w:tcPr>
          <w:p>
            <w:pPr>
              <w:spacing w:after="0"/>
              <w:rPr>
                <w:sz w:val="20"/>
                <w:szCs w:val="20"/>
                <w:color w:val="auto"/>
              </w:rPr>
            </w:pPr>
            <w:r>
              <w:rPr>
                <w:rFonts w:ascii="Arial" w:cs="Arial" w:eastAsia="Arial" w:hAnsi="Arial"/>
                <w:sz w:val="10"/>
                <w:szCs w:val="10"/>
                <w:color w:val="auto"/>
                <w:w w:val="97"/>
              </w:rPr>
              <w:t>Covered Life Name</w:t>
            </w:r>
          </w:p>
        </w:tc>
        <w:tc>
          <w:tcPr>
            <w:tcW w:w="1520" w:type="dxa"/>
            <w:vAlign w:val="bottom"/>
          </w:tcPr>
          <w:p>
            <w:pPr>
              <w:spacing w:after="0"/>
              <w:rPr>
                <w:sz w:val="8"/>
                <w:szCs w:val="8"/>
                <w:color w:val="auto"/>
              </w:rPr>
            </w:pPr>
          </w:p>
        </w:tc>
        <w:tc>
          <w:tcPr>
            <w:tcW w:w="240" w:type="dxa"/>
            <w:vAlign w:val="bottom"/>
          </w:tcPr>
          <w:p>
            <w:pPr>
              <w:spacing w:after="0"/>
              <w:rPr>
                <w:sz w:val="20"/>
                <w:szCs w:val="20"/>
                <w:color w:val="auto"/>
              </w:rPr>
            </w:pPr>
            <w:r>
              <w:rPr>
                <w:rFonts w:ascii="Arial" w:cs="Arial" w:eastAsia="Arial" w:hAnsi="Arial"/>
                <w:sz w:val="8"/>
                <w:szCs w:val="8"/>
                <w:color w:val="auto"/>
                <w:w w:val="75"/>
              </w:rPr>
              <w:t>Security</w:t>
            </w:r>
          </w:p>
        </w:tc>
        <w:tc>
          <w:tcPr>
            <w:tcW w:w="80" w:type="dxa"/>
            <w:vAlign w:val="bottom"/>
            <w:vMerge w:val="continue"/>
          </w:tcPr>
          <w:p>
            <w:pPr>
              <w:spacing w:after="0"/>
              <w:rPr>
                <w:sz w:val="8"/>
                <w:szCs w:val="8"/>
                <w:color w:val="auto"/>
              </w:rPr>
            </w:pPr>
          </w:p>
        </w:tc>
        <w:tc>
          <w:tcPr>
            <w:tcW w:w="160" w:type="dxa"/>
            <w:vAlign w:val="bottom"/>
            <w:vMerge w:val="continue"/>
          </w:tcPr>
          <w:p>
            <w:pPr>
              <w:spacing w:after="0"/>
              <w:rPr>
                <w:sz w:val="8"/>
                <w:szCs w:val="8"/>
                <w:color w:val="auto"/>
              </w:rPr>
            </w:pPr>
          </w:p>
        </w:tc>
        <w:tc>
          <w:tcPr>
            <w:tcW w:w="640" w:type="dxa"/>
            <w:vAlign w:val="bottom"/>
            <w:gridSpan w:val="4"/>
            <w:vMerge w:val="continue"/>
          </w:tcPr>
          <w:p>
            <w:pPr>
              <w:spacing w:after="0"/>
              <w:rPr>
                <w:sz w:val="8"/>
                <w:szCs w:val="8"/>
                <w:color w:val="auto"/>
              </w:rPr>
            </w:pPr>
          </w:p>
        </w:tc>
        <w:tc>
          <w:tcPr>
            <w:tcW w:w="400" w:type="dxa"/>
            <w:vAlign w:val="bottom"/>
            <w:gridSpan w:val="2"/>
            <w:vMerge w:val="restart"/>
          </w:tcPr>
          <w:p>
            <w:pPr>
              <w:spacing w:after="0"/>
              <w:rPr>
                <w:sz w:val="20"/>
                <w:szCs w:val="20"/>
                <w:color w:val="auto"/>
              </w:rPr>
            </w:pPr>
            <w:r>
              <w:rPr>
                <w:rFonts w:ascii="Arial" w:cs="Arial" w:eastAsia="Arial" w:hAnsi="Arial"/>
                <w:sz w:val="10"/>
                <w:szCs w:val="10"/>
                <w:color w:val="auto"/>
              </w:rPr>
              <w:t>Plan</w:t>
            </w:r>
          </w:p>
        </w:tc>
        <w:tc>
          <w:tcPr>
            <w:tcW w:w="820" w:type="dxa"/>
            <w:vAlign w:val="bottom"/>
            <w:gridSpan w:val="3"/>
            <w:vMerge w:val="restart"/>
          </w:tcPr>
          <w:p>
            <w:pPr>
              <w:ind w:left="220"/>
              <w:spacing w:after="0"/>
              <w:rPr>
                <w:sz w:val="20"/>
                <w:szCs w:val="20"/>
                <w:color w:val="auto"/>
              </w:rPr>
            </w:pPr>
            <w:r>
              <w:rPr>
                <w:rFonts w:ascii="Arial" w:cs="Arial" w:eastAsia="Arial" w:hAnsi="Arial"/>
                <w:sz w:val="10"/>
                <w:szCs w:val="10"/>
                <w:color w:val="auto"/>
              </w:rPr>
              <w:t>Gender</w:t>
            </w:r>
          </w:p>
        </w:tc>
        <w:tc>
          <w:tcPr>
            <w:tcW w:w="660" w:type="dxa"/>
            <w:vAlign w:val="bottom"/>
            <w:gridSpan w:val="2"/>
            <w:vMerge w:val="restart"/>
          </w:tcPr>
          <w:p>
            <w:pPr>
              <w:spacing w:after="0"/>
              <w:rPr>
                <w:sz w:val="20"/>
                <w:szCs w:val="20"/>
                <w:color w:val="auto"/>
              </w:rPr>
            </w:pPr>
            <w:r>
              <w:rPr>
                <w:rFonts w:ascii="Arial" w:cs="Arial" w:eastAsia="Arial" w:hAnsi="Arial"/>
                <w:sz w:val="10"/>
                <w:szCs w:val="10"/>
                <w:color w:val="auto"/>
              </w:rPr>
              <w:t>Date of Birth</w:t>
            </w:r>
          </w:p>
        </w:tc>
        <w:tc>
          <w:tcPr>
            <w:tcW w:w="540" w:type="dxa"/>
            <w:vAlign w:val="bottom"/>
            <w:gridSpan w:val="4"/>
          </w:tcPr>
          <w:p>
            <w:pPr>
              <w:spacing w:after="0" w:line="93" w:lineRule="exact"/>
              <w:rPr>
                <w:sz w:val="20"/>
                <w:szCs w:val="20"/>
                <w:color w:val="auto"/>
              </w:rPr>
            </w:pPr>
            <w:r>
              <w:rPr>
                <w:rFonts w:ascii="Arial" w:cs="Arial" w:eastAsia="Arial" w:hAnsi="Arial"/>
                <w:sz w:val="10"/>
                <w:szCs w:val="10"/>
                <w:color w:val="auto"/>
              </w:rPr>
              <w:t>Retirement</w:t>
            </w:r>
          </w:p>
        </w:tc>
        <w:tc>
          <w:tcPr>
            <w:tcW w:w="1400" w:type="dxa"/>
            <w:vAlign w:val="bottom"/>
            <w:gridSpan w:val="4"/>
            <w:vMerge w:val="continue"/>
          </w:tcPr>
          <w:p>
            <w:pPr>
              <w:spacing w:after="0"/>
              <w:rPr>
                <w:sz w:val="8"/>
                <w:szCs w:val="8"/>
                <w:color w:val="auto"/>
              </w:rPr>
            </w:pPr>
          </w:p>
        </w:tc>
        <w:tc>
          <w:tcPr>
            <w:tcW w:w="580" w:type="dxa"/>
            <w:vAlign w:val="bottom"/>
            <w:gridSpan w:val="3"/>
            <w:vMerge w:val="continue"/>
          </w:tcPr>
          <w:p>
            <w:pPr>
              <w:spacing w:after="0"/>
              <w:rPr>
                <w:sz w:val="8"/>
                <w:szCs w:val="8"/>
                <w:color w:val="auto"/>
              </w:rPr>
            </w:pPr>
          </w:p>
        </w:tc>
        <w:tc>
          <w:tcPr>
            <w:tcW w:w="1060" w:type="dxa"/>
            <w:vAlign w:val="bottom"/>
            <w:gridSpan w:val="3"/>
            <w:vMerge w:val="continue"/>
          </w:tcPr>
          <w:p>
            <w:pPr>
              <w:spacing w:after="0"/>
              <w:rPr>
                <w:sz w:val="8"/>
                <w:szCs w:val="8"/>
                <w:color w:val="auto"/>
              </w:rPr>
            </w:pPr>
          </w:p>
        </w:tc>
        <w:tc>
          <w:tcPr>
            <w:tcW w:w="640" w:type="dxa"/>
            <w:vAlign w:val="bottom"/>
            <w:gridSpan w:val="2"/>
            <w:vMerge w:val="continue"/>
          </w:tcPr>
          <w:p>
            <w:pPr>
              <w:spacing w:after="0"/>
              <w:rPr>
                <w:sz w:val="8"/>
                <w:szCs w:val="8"/>
                <w:color w:val="auto"/>
              </w:rPr>
            </w:pPr>
          </w:p>
        </w:tc>
        <w:tc>
          <w:tcPr>
            <w:tcW w:w="760" w:type="dxa"/>
            <w:vAlign w:val="bottom"/>
            <w:gridSpan w:val="3"/>
            <w:vMerge w:val="continue"/>
          </w:tcPr>
          <w:p>
            <w:pPr>
              <w:spacing w:after="0"/>
              <w:rPr>
                <w:sz w:val="8"/>
                <w:szCs w:val="8"/>
                <w:color w:val="auto"/>
              </w:rPr>
            </w:pPr>
          </w:p>
        </w:tc>
        <w:tc>
          <w:tcPr>
            <w:tcW w:w="380" w:type="dxa"/>
            <w:vAlign w:val="bottom"/>
            <w:gridSpan w:val="2"/>
          </w:tcPr>
          <w:p>
            <w:pPr>
              <w:spacing w:after="0" w:line="93" w:lineRule="exact"/>
              <w:rPr>
                <w:sz w:val="20"/>
                <w:szCs w:val="20"/>
                <w:color w:val="auto"/>
              </w:rPr>
            </w:pPr>
            <w:r>
              <w:rPr>
                <w:rFonts w:ascii="Arial" w:cs="Arial" w:eastAsia="Arial" w:hAnsi="Arial"/>
                <w:sz w:val="10"/>
                <w:szCs w:val="10"/>
                <w:color w:val="auto"/>
                <w:w w:val="99"/>
              </w:rPr>
              <w:t>Pension</w:t>
            </w:r>
          </w:p>
        </w:tc>
        <w:tc>
          <w:tcPr>
            <w:tcW w:w="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860" w:type="dxa"/>
            <w:vAlign w:val="bottom"/>
            <w:vMerge w:val="continue"/>
          </w:tcPr>
          <w:p>
            <w:pPr>
              <w:spacing w:after="0"/>
              <w:rPr>
                <w:sz w:val="8"/>
                <w:szCs w:val="8"/>
                <w:color w:val="auto"/>
              </w:rPr>
            </w:pPr>
          </w:p>
        </w:tc>
        <w:tc>
          <w:tcPr>
            <w:tcW w:w="1520" w:type="dxa"/>
            <w:vAlign w:val="bottom"/>
          </w:tcPr>
          <w:p>
            <w:pPr>
              <w:spacing w:after="0"/>
              <w:rPr>
                <w:sz w:val="8"/>
                <w:szCs w:val="8"/>
                <w:color w:val="auto"/>
              </w:rPr>
            </w:pPr>
          </w:p>
        </w:tc>
        <w:tc>
          <w:tcPr>
            <w:tcW w:w="320" w:type="dxa"/>
            <w:vAlign w:val="bottom"/>
            <w:tcBorders>
              <w:top w:val="single" w:sz="8" w:color="auto"/>
            </w:tcBorders>
            <w:gridSpan w:val="2"/>
          </w:tcPr>
          <w:p>
            <w:pPr>
              <w:spacing w:after="0" w:line="93" w:lineRule="exact"/>
              <w:rPr>
                <w:sz w:val="20"/>
                <w:szCs w:val="20"/>
                <w:color w:val="auto"/>
              </w:rPr>
            </w:pPr>
            <w:r>
              <w:rPr>
                <w:rFonts w:ascii="Arial" w:cs="Arial" w:eastAsia="Arial" w:hAnsi="Arial"/>
                <w:sz w:val="10"/>
                <w:szCs w:val="10"/>
                <w:color w:val="auto"/>
                <w:w w:val="84"/>
              </w:rPr>
              <w:t>Number</w:t>
            </w: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Borders>
              <w:top w:val="single" w:sz="8" w:color="auto"/>
            </w:tcBorders>
            <w:gridSpan w:val="2"/>
          </w:tcPr>
          <w:p>
            <w:pPr>
              <w:spacing w:after="0" w:line="93" w:lineRule="exact"/>
              <w:rPr>
                <w:sz w:val="20"/>
                <w:szCs w:val="20"/>
                <w:color w:val="auto"/>
              </w:rPr>
            </w:pPr>
            <w:r>
              <w:rPr>
                <w:rFonts w:ascii="Arial" w:cs="Arial" w:eastAsia="Arial" w:hAnsi="Arial"/>
                <w:sz w:val="10"/>
                <w:szCs w:val="10"/>
                <w:color w:val="auto"/>
              </w:rPr>
              <w:t>Code</w:t>
            </w:r>
          </w:p>
        </w:tc>
        <w:tc>
          <w:tcPr>
            <w:tcW w:w="6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820" w:type="dxa"/>
            <w:vAlign w:val="bottom"/>
            <w:gridSpan w:val="3"/>
            <w:vMerge w:val="continue"/>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440" w:type="dxa"/>
            <w:vAlign w:val="bottom"/>
            <w:tcBorders>
              <w:top w:val="single" w:sz="8" w:color="auto"/>
            </w:tcBorders>
            <w:gridSpan w:val="3"/>
          </w:tcPr>
          <w:p>
            <w:pPr>
              <w:spacing w:after="0" w:line="93" w:lineRule="exact"/>
              <w:rPr>
                <w:sz w:val="20"/>
                <w:szCs w:val="20"/>
                <w:color w:val="auto"/>
              </w:rPr>
            </w:pPr>
            <w:r>
              <w:rPr>
                <w:rFonts w:ascii="Arial" w:cs="Arial" w:eastAsia="Arial" w:hAnsi="Arial"/>
                <w:sz w:val="10"/>
                <w:szCs w:val="10"/>
                <w:color w:val="auto"/>
              </w:rPr>
              <w:t>Date</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tcBorders>
              <w:top w:val="single" w:sz="8" w:color="auto"/>
            </w:tcBorders>
            <w:gridSpan w:val="2"/>
          </w:tcPr>
          <w:p>
            <w:pPr>
              <w:spacing w:after="0" w:line="93" w:lineRule="exact"/>
              <w:rPr>
                <w:sz w:val="20"/>
                <w:szCs w:val="20"/>
                <w:color w:val="auto"/>
              </w:rPr>
            </w:pPr>
            <w:r>
              <w:rPr>
                <w:rFonts w:ascii="Arial" w:cs="Arial" w:eastAsia="Arial" w:hAnsi="Arial"/>
                <w:sz w:val="10"/>
                <w:szCs w:val="10"/>
                <w:color w:val="auto"/>
                <w:w w:val="95"/>
              </w:rPr>
              <w:t>Covered Life's spouse?</w:t>
            </w:r>
          </w:p>
        </w:tc>
        <w:tc>
          <w:tcPr>
            <w:tcW w:w="260" w:type="dxa"/>
            <w:vAlign w:val="bottom"/>
          </w:tcPr>
          <w:p>
            <w:pPr>
              <w:spacing w:after="0"/>
              <w:rPr>
                <w:sz w:val="8"/>
                <w:szCs w:val="8"/>
                <w:color w:val="auto"/>
              </w:rPr>
            </w:pPr>
          </w:p>
        </w:tc>
        <w:tc>
          <w:tcPr>
            <w:tcW w:w="440" w:type="dxa"/>
            <w:vAlign w:val="bottom"/>
            <w:tcBorders>
              <w:top w:val="single" w:sz="8" w:color="auto"/>
            </w:tcBorders>
            <w:gridSpan w:val="2"/>
          </w:tcPr>
          <w:p>
            <w:pPr>
              <w:spacing w:after="0" w:line="93" w:lineRule="exact"/>
              <w:rPr>
                <w:sz w:val="20"/>
                <w:szCs w:val="20"/>
                <w:color w:val="auto"/>
              </w:rPr>
            </w:pPr>
            <w:r>
              <w:rPr>
                <w:rFonts w:ascii="Arial" w:cs="Arial" w:eastAsia="Arial" w:hAnsi="Arial"/>
                <w:sz w:val="10"/>
                <w:szCs w:val="10"/>
                <w:color w:val="auto"/>
                <w:w w:val="92"/>
              </w:rPr>
              <w:t>Life Name</w:t>
            </w:r>
          </w:p>
        </w:tc>
        <w:tc>
          <w:tcPr>
            <w:tcW w:w="140" w:type="dxa"/>
            <w:vAlign w:val="bottom"/>
          </w:tcPr>
          <w:p>
            <w:pPr>
              <w:spacing w:after="0"/>
              <w:rPr>
                <w:sz w:val="8"/>
                <w:szCs w:val="8"/>
                <w:color w:val="auto"/>
              </w:rPr>
            </w:pPr>
          </w:p>
        </w:tc>
        <w:tc>
          <w:tcPr>
            <w:tcW w:w="920" w:type="dxa"/>
            <w:vAlign w:val="bottom"/>
            <w:tcBorders>
              <w:top w:val="single" w:sz="8" w:color="auto"/>
            </w:tcBorders>
            <w:gridSpan w:val="2"/>
          </w:tcPr>
          <w:p>
            <w:pPr>
              <w:spacing w:after="0" w:line="93" w:lineRule="exact"/>
              <w:rPr>
                <w:sz w:val="20"/>
                <w:szCs w:val="20"/>
                <w:color w:val="auto"/>
              </w:rPr>
            </w:pPr>
            <w:r>
              <w:rPr>
                <w:rFonts w:ascii="Arial" w:cs="Arial" w:eastAsia="Arial" w:hAnsi="Arial"/>
                <w:sz w:val="10"/>
                <w:szCs w:val="10"/>
                <w:color w:val="auto"/>
              </w:rPr>
              <w:t>Security Number</w:t>
            </w:r>
          </w:p>
        </w:tc>
        <w:tc>
          <w:tcPr>
            <w:tcW w:w="140" w:type="dxa"/>
            <w:vAlign w:val="bottom"/>
          </w:tcPr>
          <w:p>
            <w:pPr>
              <w:spacing w:after="0"/>
              <w:rPr>
                <w:sz w:val="8"/>
                <w:szCs w:val="8"/>
                <w:color w:val="auto"/>
              </w:rPr>
            </w:pPr>
          </w:p>
        </w:tc>
        <w:tc>
          <w:tcPr>
            <w:tcW w:w="480" w:type="dxa"/>
            <w:vAlign w:val="bottom"/>
            <w:tcBorders>
              <w:top w:val="single" w:sz="8" w:color="auto"/>
            </w:tcBorders>
          </w:tcPr>
          <w:p>
            <w:pPr>
              <w:spacing w:after="0" w:line="93" w:lineRule="exact"/>
              <w:rPr>
                <w:sz w:val="20"/>
                <w:szCs w:val="20"/>
                <w:color w:val="auto"/>
              </w:rPr>
            </w:pPr>
            <w:r>
              <w:rPr>
                <w:rFonts w:ascii="Arial" w:cs="Arial" w:eastAsia="Arial" w:hAnsi="Arial"/>
                <w:sz w:val="10"/>
                <w:szCs w:val="10"/>
                <w:color w:val="auto"/>
                <w:w w:val="84"/>
              </w:rPr>
              <w:t>Life Gender</w:t>
            </w:r>
          </w:p>
        </w:tc>
        <w:tc>
          <w:tcPr>
            <w:tcW w:w="160" w:type="dxa"/>
            <w:vAlign w:val="bottom"/>
          </w:tcPr>
          <w:p>
            <w:pPr>
              <w:spacing w:after="0"/>
              <w:rPr>
                <w:sz w:val="8"/>
                <w:szCs w:val="8"/>
                <w:color w:val="auto"/>
              </w:rPr>
            </w:pPr>
          </w:p>
        </w:tc>
        <w:tc>
          <w:tcPr>
            <w:tcW w:w="620" w:type="dxa"/>
            <w:vAlign w:val="bottom"/>
            <w:tcBorders>
              <w:top w:val="single" w:sz="8" w:color="auto"/>
            </w:tcBorders>
            <w:gridSpan w:val="2"/>
          </w:tcPr>
          <w:p>
            <w:pPr>
              <w:spacing w:after="0" w:line="93" w:lineRule="exact"/>
              <w:rPr>
                <w:sz w:val="20"/>
                <w:szCs w:val="20"/>
                <w:color w:val="auto"/>
              </w:rPr>
            </w:pPr>
            <w:r>
              <w:rPr>
                <w:rFonts w:ascii="Arial" w:cs="Arial" w:eastAsia="Arial" w:hAnsi="Arial"/>
                <w:sz w:val="10"/>
                <w:szCs w:val="10"/>
                <w:color w:val="auto"/>
              </w:rPr>
              <w:t>Date of Birth</w:t>
            </w:r>
          </w:p>
        </w:tc>
        <w:tc>
          <w:tcPr>
            <w:tcW w:w="140" w:type="dxa"/>
            <w:vAlign w:val="bottom"/>
          </w:tcPr>
          <w:p>
            <w:pPr>
              <w:spacing w:after="0"/>
              <w:rPr>
                <w:sz w:val="8"/>
                <w:szCs w:val="8"/>
                <w:color w:val="auto"/>
              </w:rPr>
            </w:pPr>
          </w:p>
        </w:tc>
        <w:tc>
          <w:tcPr>
            <w:tcW w:w="340" w:type="dxa"/>
            <w:vAlign w:val="bottom"/>
            <w:tcBorders>
              <w:top w:val="single" w:sz="8" w:color="auto"/>
            </w:tcBorders>
          </w:tcPr>
          <w:p>
            <w:pPr>
              <w:spacing w:after="0" w:line="93" w:lineRule="exact"/>
              <w:rPr>
                <w:sz w:val="20"/>
                <w:szCs w:val="20"/>
                <w:color w:val="auto"/>
              </w:rPr>
            </w:pPr>
            <w:r>
              <w:rPr>
                <w:rFonts w:ascii="Arial" w:cs="Arial" w:eastAsia="Arial" w:hAnsi="Arial"/>
                <w:sz w:val="10"/>
                <w:szCs w:val="10"/>
                <w:color w:val="auto"/>
                <w:w w:val="86"/>
              </w:rPr>
              <w:t>Amount</w:t>
            </w:r>
          </w:p>
        </w:tc>
        <w:tc>
          <w:tcPr>
            <w:tcW w:w="6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86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760"/>
          </w:cols>
          <w:pgMar w:left="240" w:top="545" w:right="899" w:bottom="1440" w:gutter="0" w:footer="0" w:header="0"/>
        </w:sectPr>
      </w:pPr>
    </w:p>
    <w:bookmarkStart w:id="180" w:name="page181"/>
    <w:bookmarkEnd w:id="180"/>
    <w:p>
      <w:pPr>
        <w:spacing w:after="0"/>
        <w:rPr>
          <w:sz w:val="20"/>
          <w:szCs w:val="20"/>
          <w:color w:val="auto"/>
        </w:rPr>
      </w:pPr>
      <w:r>
        <w:rPr>
          <w:rFonts w:ascii="Arial" w:cs="Arial" w:eastAsia="Arial" w:hAnsi="Arial"/>
          <w:sz w:val="17"/>
          <w:szCs w:val="17"/>
          <w:b w:val="1"/>
          <w:bCs w:val="1"/>
          <w:color w:val="auto"/>
        </w:rPr>
        <w:t>ANNUITY EXHIBIT SAMPLE</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GA-XXXX</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Vita</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Annuitants</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Contingent Joint and Survivor Life Annuity</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Annuity Commencement Date is Month 1, 20XX</w:t>
      </w:r>
    </w:p>
    <w:p>
      <w:pPr>
        <w:spacing w:after="0" w:line="111" w:lineRule="exact"/>
        <w:rPr>
          <w:sz w:val="20"/>
          <w:szCs w:val="20"/>
          <w:color w:val="auto"/>
        </w:rPr>
      </w:pPr>
    </w:p>
    <w:tbl>
      <w:tblPr>
        <w:tblLayout w:type="fixed"/>
        <w:tblInd w:w="20" w:type="dxa"/>
        <w:tblCellMar>
          <w:top w:w="0" w:type="dxa"/>
          <w:left w:w="0" w:type="dxa"/>
          <w:bottom w:w="0" w:type="dxa"/>
          <w:right w:w="0" w:type="dxa"/>
        </w:tblCellMar>
      </w:tblPr>
      <w:tr>
        <w:trPr>
          <w:trHeight w:val="141"/>
        </w:trPr>
        <w:tc>
          <w:tcPr>
            <w:tcW w:w="8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540" w:type="dxa"/>
            <w:vAlign w:val="bottom"/>
            <w:tcBorders>
              <w:top w:val="single" w:sz="8" w:color="auto"/>
            </w:tcBorders>
            <w:shd w:val="clear" w:color="auto" w:fill="BFBFBF"/>
          </w:tcPr>
          <w:p>
            <w:pPr>
              <w:spacing w:after="0"/>
              <w:rPr>
                <w:sz w:val="12"/>
                <w:szCs w:val="12"/>
                <w:color w:val="auto"/>
              </w:rPr>
            </w:pPr>
          </w:p>
        </w:tc>
        <w:tc>
          <w:tcPr>
            <w:tcW w:w="140" w:type="dxa"/>
            <w:vAlign w:val="bottom"/>
            <w:tcBorders>
              <w:top w:val="single" w:sz="8" w:color="auto"/>
            </w:tcBorders>
            <w:shd w:val="clear" w:color="auto" w:fill="BFBFBF"/>
          </w:tcPr>
          <w:p>
            <w:pPr>
              <w:spacing w:after="0"/>
              <w:rPr>
                <w:sz w:val="12"/>
                <w:szCs w:val="12"/>
                <w:color w:val="auto"/>
              </w:rPr>
            </w:pPr>
          </w:p>
        </w:tc>
        <w:tc>
          <w:tcPr>
            <w:tcW w:w="140" w:type="dxa"/>
            <w:vAlign w:val="bottom"/>
            <w:tcBorders>
              <w:top w:val="single" w:sz="8" w:color="auto"/>
            </w:tcBorders>
            <w:shd w:val="clear" w:color="auto" w:fill="BFBFBF"/>
          </w:tcPr>
          <w:p>
            <w:pPr>
              <w:spacing w:after="0"/>
              <w:rPr>
                <w:sz w:val="12"/>
                <w:szCs w:val="12"/>
                <w:color w:val="auto"/>
              </w:rPr>
            </w:pPr>
          </w:p>
        </w:tc>
        <w:tc>
          <w:tcPr>
            <w:tcW w:w="640" w:type="dxa"/>
            <w:vAlign w:val="bottom"/>
            <w:tcBorders>
              <w:top w:val="single" w:sz="8" w:color="auto"/>
            </w:tcBorders>
            <w:shd w:val="clear" w:color="auto" w:fill="BFBFBF"/>
          </w:tcPr>
          <w:p>
            <w:pPr>
              <w:spacing w:after="0"/>
              <w:rPr>
                <w:sz w:val="12"/>
                <w:szCs w:val="12"/>
                <w:color w:val="auto"/>
              </w:rPr>
            </w:pPr>
          </w:p>
        </w:tc>
        <w:tc>
          <w:tcPr>
            <w:tcW w:w="180" w:type="dxa"/>
            <w:vAlign w:val="bottom"/>
            <w:tcBorders>
              <w:top w:val="single" w:sz="8" w:color="auto"/>
              <w:right w:val="single" w:sz="8" w:color="auto"/>
            </w:tcBorders>
            <w:shd w:val="clear" w:color="auto" w:fill="BFBFBF"/>
          </w:tcPr>
          <w:p>
            <w:pPr>
              <w:spacing w:after="0"/>
              <w:rPr>
                <w:sz w:val="12"/>
                <w:szCs w:val="12"/>
                <w:color w:val="auto"/>
              </w:rPr>
            </w:pPr>
          </w:p>
        </w:tc>
        <w:tc>
          <w:tcPr>
            <w:tcW w:w="20" w:type="dxa"/>
            <w:vAlign w:val="bottom"/>
            <w:tcBorders>
              <w:top w:val="single" w:sz="8" w:color="auto"/>
            </w:tcBorders>
            <w:shd w:val="clear" w:color="auto" w:fill="BFBFBF"/>
          </w:tcPr>
          <w:p>
            <w:pPr>
              <w:spacing w:after="0"/>
              <w:rPr>
                <w:sz w:val="12"/>
                <w:szCs w:val="12"/>
                <w:color w:val="auto"/>
              </w:rPr>
            </w:pPr>
          </w:p>
        </w:tc>
        <w:tc>
          <w:tcPr>
            <w:tcW w:w="1160" w:type="dxa"/>
            <w:vAlign w:val="bottom"/>
            <w:tcBorders>
              <w:top w:val="single" w:sz="8" w:color="auto"/>
              <w:right w:val="single" w:sz="8" w:color="auto"/>
            </w:tcBorders>
            <w:gridSpan w:val="2"/>
            <w:shd w:val="clear" w:color="auto" w:fill="BFBFBF"/>
          </w:tcPr>
          <w:p>
            <w:pPr>
              <w:jc w:val="center"/>
              <w:ind w:right="40"/>
              <w:spacing w:after="0"/>
              <w:rPr>
                <w:sz w:val="20"/>
                <w:szCs w:val="20"/>
                <w:color w:val="auto"/>
              </w:rPr>
            </w:pPr>
            <w:r>
              <w:rPr>
                <w:rFonts w:ascii="Arial" w:cs="Arial" w:eastAsia="Arial" w:hAnsi="Arial"/>
                <w:sz w:val="10"/>
                <w:szCs w:val="10"/>
                <w:color w:val="auto"/>
                <w:w w:val="94"/>
              </w:rPr>
              <w:t>Level Benefit Rider</w:t>
            </w:r>
          </w:p>
        </w:tc>
        <w:tc>
          <w:tcPr>
            <w:tcW w:w="880" w:type="dxa"/>
            <w:vAlign w:val="bottom"/>
            <w:tcBorders>
              <w:top w:val="single" w:sz="8" w:color="auto"/>
            </w:tcBorders>
            <w:shd w:val="clear" w:color="auto" w:fill="BFBFBF"/>
          </w:tcPr>
          <w:p>
            <w:pPr>
              <w:spacing w:after="0"/>
              <w:rPr>
                <w:sz w:val="12"/>
                <w:szCs w:val="12"/>
                <w:color w:val="auto"/>
              </w:rPr>
            </w:pPr>
          </w:p>
        </w:tc>
        <w:tc>
          <w:tcPr>
            <w:tcW w:w="460" w:type="dxa"/>
            <w:vAlign w:val="bottom"/>
            <w:tcBorders>
              <w:top w:val="single" w:sz="8" w:color="auto"/>
              <w:right w:val="single" w:sz="8" w:color="auto"/>
            </w:tcBorders>
            <w:shd w:val="clear" w:color="auto" w:fill="BFBFBF"/>
          </w:tcPr>
          <w:p>
            <w:pPr>
              <w:spacing w:after="0"/>
              <w:rPr>
                <w:sz w:val="12"/>
                <w:szCs w:val="12"/>
                <w:color w:val="auto"/>
              </w:rPr>
            </w:pPr>
          </w:p>
        </w:tc>
        <w:tc>
          <w:tcPr>
            <w:tcW w:w="1460" w:type="dxa"/>
            <w:vAlign w:val="bottom"/>
            <w:tcBorders>
              <w:top w:val="single" w:sz="8" w:color="auto"/>
              <w:right w:val="single" w:sz="8" w:color="auto"/>
            </w:tcBorders>
            <w:gridSpan w:val="2"/>
            <w:shd w:val="clear" w:color="auto" w:fill="BFBFBF"/>
          </w:tcPr>
          <w:p>
            <w:pPr>
              <w:jc w:val="center"/>
              <w:spacing w:after="0"/>
              <w:rPr>
                <w:sz w:val="20"/>
                <w:szCs w:val="20"/>
                <w:color w:val="auto"/>
              </w:rPr>
            </w:pPr>
            <w:r>
              <w:rPr>
                <w:rFonts w:ascii="Arial" w:cs="Arial" w:eastAsia="Arial" w:hAnsi="Arial"/>
                <w:sz w:val="10"/>
                <w:szCs w:val="10"/>
                <w:color w:val="auto"/>
                <w:w w:val="96"/>
              </w:rPr>
              <w:t>Conversion Option Eligibility</w:t>
            </w:r>
          </w:p>
        </w:tc>
        <w:tc>
          <w:tcPr>
            <w:tcW w:w="0" w:type="dxa"/>
            <w:vAlign w:val="bottom"/>
          </w:tcPr>
          <w:p>
            <w:pPr>
              <w:spacing w:after="0"/>
              <w:rPr>
                <w:sz w:val="1"/>
                <w:szCs w:val="1"/>
                <w:color w:val="auto"/>
              </w:rPr>
            </w:pPr>
          </w:p>
        </w:tc>
      </w:tr>
      <w:tr>
        <w:trPr>
          <w:trHeight w:val="152"/>
        </w:trPr>
        <w:tc>
          <w:tcPr>
            <w:tcW w:w="8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1640" w:type="dxa"/>
            <w:vAlign w:val="bottom"/>
            <w:tcBorders>
              <w:bottom w:val="single" w:sz="8" w:color="BFBFBF"/>
              <w:right w:val="single" w:sz="8" w:color="auto"/>
            </w:tcBorders>
            <w:gridSpan w:val="5"/>
            <w:shd w:val="clear" w:color="auto" w:fill="BFBFBF"/>
          </w:tcPr>
          <w:p>
            <w:pPr>
              <w:ind w:left="20"/>
              <w:spacing w:after="0"/>
              <w:rPr>
                <w:sz w:val="20"/>
                <w:szCs w:val="20"/>
                <w:color w:val="auto"/>
              </w:rPr>
            </w:pPr>
            <w:r>
              <w:rPr>
                <w:rFonts w:ascii="Arial" w:cs="Arial" w:eastAsia="Arial" w:hAnsi="Arial"/>
                <w:sz w:val="10"/>
                <w:szCs w:val="10"/>
                <w:color w:val="auto"/>
                <w:w w:val="98"/>
              </w:rPr>
              <w:t>Special Benefit Rider Eligibility (Y/N)</w:t>
            </w:r>
          </w:p>
        </w:tc>
        <w:tc>
          <w:tcPr>
            <w:tcW w:w="20" w:type="dxa"/>
            <w:vAlign w:val="bottom"/>
            <w:tcBorders>
              <w:bottom w:val="single" w:sz="8" w:color="BFBFBF"/>
            </w:tcBorders>
            <w:shd w:val="clear" w:color="auto" w:fill="BFBFBF"/>
          </w:tcPr>
          <w:p>
            <w:pPr>
              <w:spacing w:after="0"/>
              <w:rPr>
                <w:sz w:val="12"/>
                <w:szCs w:val="12"/>
                <w:color w:val="auto"/>
              </w:rPr>
            </w:pPr>
          </w:p>
        </w:tc>
        <w:tc>
          <w:tcPr>
            <w:tcW w:w="1160" w:type="dxa"/>
            <w:vAlign w:val="bottom"/>
            <w:tcBorders>
              <w:bottom w:val="single" w:sz="8" w:color="BFBFBF"/>
              <w:right w:val="single" w:sz="8" w:color="auto"/>
            </w:tcBorders>
            <w:gridSpan w:val="2"/>
            <w:shd w:val="clear" w:color="auto" w:fill="BFBFBF"/>
          </w:tcPr>
          <w:p>
            <w:pPr>
              <w:jc w:val="center"/>
              <w:ind w:right="40"/>
              <w:spacing w:after="0"/>
              <w:rPr>
                <w:sz w:val="20"/>
                <w:szCs w:val="20"/>
                <w:color w:val="auto"/>
              </w:rPr>
            </w:pPr>
            <w:r>
              <w:rPr>
                <w:rFonts w:ascii="Arial" w:cs="Arial" w:eastAsia="Arial" w:hAnsi="Arial"/>
                <w:sz w:val="10"/>
                <w:szCs w:val="10"/>
                <w:color w:val="auto"/>
              </w:rPr>
              <w:t>Eligibility (Y/N)</w:t>
            </w:r>
          </w:p>
        </w:tc>
        <w:tc>
          <w:tcPr>
            <w:tcW w:w="1340" w:type="dxa"/>
            <w:vAlign w:val="bottom"/>
            <w:tcBorders>
              <w:bottom w:val="single" w:sz="8" w:color="BFBFBF"/>
              <w:right w:val="single" w:sz="8" w:color="auto"/>
            </w:tcBorders>
            <w:gridSpan w:val="2"/>
            <w:shd w:val="clear" w:color="auto" w:fill="BFBFBF"/>
          </w:tcPr>
          <w:p>
            <w:pPr>
              <w:ind w:left="40"/>
              <w:spacing w:after="0"/>
              <w:rPr>
                <w:sz w:val="20"/>
                <w:szCs w:val="20"/>
                <w:color w:val="auto"/>
              </w:rPr>
            </w:pPr>
            <w:r>
              <w:rPr>
                <w:rFonts w:ascii="Arial" w:cs="Arial" w:eastAsia="Arial" w:hAnsi="Arial"/>
                <w:sz w:val="10"/>
                <w:szCs w:val="10"/>
                <w:color w:val="auto"/>
                <w:w w:val="99"/>
              </w:rPr>
              <w:t>Refund Rider Eligibility (Y/N)</w:t>
            </w:r>
          </w:p>
        </w:tc>
        <w:tc>
          <w:tcPr>
            <w:tcW w:w="320" w:type="dxa"/>
            <w:vAlign w:val="bottom"/>
            <w:tcBorders>
              <w:bottom w:val="single" w:sz="8" w:color="BFBFBF"/>
            </w:tcBorders>
            <w:shd w:val="clear" w:color="auto" w:fill="BFBFBF"/>
          </w:tcPr>
          <w:p>
            <w:pPr>
              <w:spacing w:after="0"/>
              <w:rPr>
                <w:sz w:val="12"/>
                <w:szCs w:val="12"/>
                <w:color w:val="auto"/>
              </w:rPr>
            </w:pPr>
          </w:p>
        </w:tc>
        <w:tc>
          <w:tcPr>
            <w:tcW w:w="1140" w:type="dxa"/>
            <w:vAlign w:val="bottom"/>
            <w:tcBorders>
              <w:bottom w:val="single" w:sz="8" w:color="BFBFBF"/>
              <w:right w:val="single" w:sz="8" w:color="auto"/>
            </w:tcBorders>
            <w:shd w:val="clear" w:color="auto" w:fill="BFBFBF"/>
          </w:tcPr>
          <w:p>
            <w:pPr>
              <w:jc w:val="center"/>
              <w:ind w:right="310"/>
              <w:spacing w:after="0"/>
              <w:rPr>
                <w:sz w:val="20"/>
                <w:szCs w:val="20"/>
                <w:color w:val="auto"/>
              </w:rPr>
            </w:pPr>
            <w:r>
              <w:rPr>
                <w:rFonts w:ascii="Arial" w:cs="Arial" w:eastAsia="Arial" w:hAnsi="Arial"/>
                <w:sz w:val="10"/>
                <w:szCs w:val="10"/>
                <w:color w:val="auto"/>
                <w:w w:val="96"/>
              </w:rPr>
              <w:t>Indicator (Y/N)</w:t>
            </w:r>
          </w:p>
        </w:tc>
        <w:tc>
          <w:tcPr>
            <w:tcW w:w="0" w:type="dxa"/>
            <w:vAlign w:val="bottom"/>
          </w:tcPr>
          <w:p>
            <w:pPr>
              <w:spacing w:after="0"/>
              <w:rPr>
                <w:sz w:val="1"/>
                <w:szCs w:val="1"/>
                <w:color w:val="auto"/>
              </w:rPr>
            </w:pPr>
          </w:p>
        </w:tc>
      </w:tr>
      <w:tr>
        <w:trPr>
          <w:trHeight w:val="343"/>
        </w:trPr>
        <w:tc>
          <w:tcPr>
            <w:tcW w:w="860" w:type="dxa"/>
            <w:vAlign w:val="bottom"/>
            <w:vMerge w:val="restart"/>
          </w:tcPr>
          <w:p>
            <w:pPr>
              <w:spacing w:after="0"/>
              <w:rPr>
                <w:sz w:val="20"/>
                <w:szCs w:val="20"/>
                <w:color w:val="auto"/>
              </w:rPr>
            </w:pPr>
            <w:r>
              <w:rPr>
                <w:rFonts w:ascii="Arial" w:cs="Arial" w:eastAsia="Arial" w:hAnsi="Arial"/>
                <w:sz w:val="10"/>
                <w:szCs w:val="10"/>
                <w:color w:val="auto"/>
                <w:w w:val="97"/>
              </w:rPr>
              <w:t>Covered Life Name</w:t>
            </w:r>
          </w:p>
        </w:tc>
        <w:tc>
          <w:tcPr>
            <w:tcW w:w="1520" w:type="dxa"/>
            <w:vAlign w:val="bottom"/>
          </w:tcPr>
          <w:p>
            <w:pPr>
              <w:spacing w:after="0"/>
              <w:rPr>
                <w:sz w:val="24"/>
                <w:szCs w:val="24"/>
                <w:color w:val="auto"/>
              </w:rPr>
            </w:pPr>
          </w:p>
        </w:tc>
        <w:tc>
          <w:tcPr>
            <w:tcW w:w="800" w:type="dxa"/>
            <w:vAlign w:val="bottom"/>
            <w:gridSpan w:val="3"/>
          </w:tcPr>
          <w:p>
            <w:pPr>
              <w:spacing w:after="0"/>
              <w:rPr>
                <w:sz w:val="20"/>
                <w:szCs w:val="20"/>
                <w:color w:val="auto"/>
              </w:rPr>
            </w:pPr>
            <w:r>
              <w:rPr>
                <w:rFonts w:ascii="Arial" w:cs="Arial" w:eastAsia="Arial" w:hAnsi="Arial"/>
                <w:sz w:val="10"/>
                <w:szCs w:val="10"/>
                <w:color w:val="auto"/>
                <w:w w:val="92"/>
              </w:rPr>
              <w:t>Post 62+1 Pension</w:t>
            </w:r>
          </w:p>
        </w:tc>
        <w:tc>
          <w:tcPr>
            <w:tcW w:w="760" w:type="dxa"/>
            <w:vAlign w:val="bottom"/>
            <w:gridSpan w:val="4"/>
          </w:tcPr>
          <w:p>
            <w:pPr>
              <w:ind w:left="60"/>
              <w:spacing w:after="0"/>
              <w:rPr>
                <w:sz w:val="20"/>
                <w:szCs w:val="20"/>
                <w:color w:val="auto"/>
              </w:rPr>
            </w:pPr>
            <w:r>
              <w:rPr>
                <w:rFonts w:ascii="Arial" w:cs="Arial" w:eastAsia="Arial" w:hAnsi="Arial"/>
                <w:sz w:val="10"/>
                <w:szCs w:val="10"/>
                <w:color w:val="auto"/>
              </w:rPr>
              <w:t>Contingent Life</w:t>
            </w:r>
          </w:p>
        </w:tc>
        <w:tc>
          <w:tcPr>
            <w:tcW w:w="840" w:type="dxa"/>
            <w:vAlign w:val="bottom"/>
            <w:gridSpan w:val="4"/>
          </w:tcPr>
          <w:p>
            <w:pPr>
              <w:ind w:left="80"/>
              <w:spacing w:after="0"/>
              <w:rPr>
                <w:sz w:val="20"/>
                <w:szCs w:val="20"/>
                <w:color w:val="auto"/>
              </w:rPr>
            </w:pPr>
            <w:r>
              <w:rPr>
                <w:rFonts w:ascii="Arial" w:cs="Arial" w:eastAsia="Arial" w:hAnsi="Arial"/>
                <w:sz w:val="10"/>
                <w:szCs w:val="10"/>
                <w:color w:val="auto"/>
              </w:rPr>
              <w:t>Special Benefit</w:t>
            </w:r>
          </w:p>
        </w:tc>
        <w:tc>
          <w:tcPr>
            <w:tcW w:w="720" w:type="dxa"/>
            <w:vAlign w:val="bottom"/>
            <w:gridSpan w:val="3"/>
          </w:tcPr>
          <w:p>
            <w:pPr>
              <w:spacing w:after="0"/>
              <w:rPr>
                <w:sz w:val="20"/>
                <w:szCs w:val="20"/>
                <w:color w:val="auto"/>
              </w:rPr>
            </w:pPr>
            <w:r>
              <w:rPr>
                <w:rFonts w:ascii="Arial" w:cs="Arial" w:eastAsia="Arial" w:hAnsi="Arial"/>
                <w:sz w:val="10"/>
                <w:szCs w:val="10"/>
                <w:color w:val="auto"/>
              </w:rPr>
              <w:t>Level Benefit</w:t>
            </w:r>
          </w:p>
        </w:tc>
        <w:tc>
          <w:tcPr>
            <w:tcW w:w="680" w:type="dxa"/>
            <w:vAlign w:val="bottom"/>
            <w:tcBorders>
              <w:top w:val="single" w:sz="8" w:color="auto"/>
            </w:tcBorders>
            <w:gridSpan w:val="2"/>
            <w:vMerge w:val="restart"/>
          </w:tcPr>
          <w:p>
            <w:pPr>
              <w:spacing w:after="0"/>
              <w:rPr>
                <w:sz w:val="20"/>
                <w:szCs w:val="20"/>
                <w:color w:val="auto"/>
              </w:rPr>
            </w:pPr>
            <w:r>
              <w:rPr>
                <w:rFonts w:ascii="Arial" w:cs="Arial" w:eastAsia="Arial" w:hAnsi="Arial"/>
                <w:sz w:val="10"/>
                <w:szCs w:val="10"/>
                <w:color w:val="auto"/>
              </w:rPr>
              <w:t>Covered Life</w:t>
            </w:r>
          </w:p>
        </w:tc>
        <w:tc>
          <w:tcPr>
            <w:tcW w:w="960" w:type="dxa"/>
            <w:vAlign w:val="bottom"/>
            <w:tcBorders>
              <w:top w:val="single" w:sz="8" w:color="auto"/>
            </w:tcBorders>
            <w:gridSpan w:val="3"/>
            <w:vMerge w:val="restart"/>
          </w:tcPr>
          <w:p>
            <w:pPr>
              <w:ind w:left="140"/>
              <w:spacing w:after="0"/>
              <w:rPr>
                <w:sz w:val="20"/>
                <w:szCs w:val="20"/>
                <w:color w:val="auto"/>
              </w:rPr>
            </w:pPr>
            <w:r>
              <w:rPr>
                <w:rFonts w:ascii="Arial" w:cs="Arial" w:eastAsia="Arial" w:hAnsi="Arial"/>
                <w:sz w:val="10"/>
                <w:szCs w:val="10"/>
                <w:color w:val="auto"/>
              </w:rPr>
              <w:t>Contingent Life</w:t>
            </w:r>
          </w:p>
        </w:tc>
        <w:tc>
          <w:tcPr>
            <w:tcW w:w="2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gridSpan w:val="2"/>
            <w:vMerge w:val="restart"/>
          </w:tcPr>
          <w:p>
            <w:pPr>
              <w:spacing w:after="0"/>
              <w:rPr>
                <w:sz w:val="20"/>
                <w:szCs w:val="20"/>
                <w:color w:val="auto"/>
              </w:rPr>
            </w:pPr>
            <w:r>
              <w:rPr>
                <w:rFonts w:ascii="Arial" w:cs="Arial" w:eastAsia="Arial" w:hAnsi="Arial"/>
                <w:sz w:val="10"/>
                <w:szCs w:val="10"/>
                <w:color w:val="auto"/>
              </w:rPr>
              <w:t>Contingent Life</w:t>
            </w:r>
          </w:p>
        </w:tc>
        <w:tc>
          <w:tcPr>
            <w:tcW w:w="1340" w:type="dxa"/>
            <w:vAlign w:val="bottom"/>
            <w:tcBorders>
              <w:top w:val="single" w:sz="8" w:color="auto"/>
            </w:tcBorders>
            <w:gridSpan w:val="2"/>
            <w:vMerge w:val="restart"/>
          </w:tcPr>
          <w:p>
            <w:pPr>
              <w:spacing w:after="0"/>
              <w:rPr>
                <w:sz w:val="20"/>
                <w:szCs w:val="20"/>
                <w:color w:val="auto"/>
              </w:rPr>
            </w:pPr>
            <w:r>
              <w:rPr>
                <w:rFonts w:ascii="Arial" w:cs="Arial" w:eastAsia="Arial" w:hAnsi="Arial"/>
                <w:sz w:val="10"/>
                <w:szCs w:val="10"/>
                <w:color w:val="auto"/>
              </w:rPr>
              <w:t>Refund Death Benefit</w:t>
            </w:r>
          </w:p>
        </w:tc>
        <w:tc>
          <w:tcPr>
            <w:tcW w:w="1460" w:type="dxa"/>
            <w:vAlign w:val="bottom"/>
            <w:tcBorders>
              <w:top w:val="single" w:sz="8" w:color="auto"/>
            </w:tcBorders>
            <w:gridSpan w:val="2"/>
            <w:vMerge w:val="restart"/>
          </w:tcPr>
          <w:p>
            <w:pPr>
              <w:spacing w:after="0"/>
              <w:rPr>
                <w:sz w:val="20"/>
                <w:szCs w:val="20"/>
                <w:color w:val="auto"/>
              </w:rPr>
            </w:pPr>
            <w:r>
              <w:rPr>
                <w:rFonts w:ascii="Arial" w:cs="Arial" w:eastAsia="Arial" w:hAnsi="Arial"/>
                <w:sz w:val="10"/>
                <w:szCs w:val="10"/>
                <w:color w:val="auto"/>
              </w:rPr>
              <w:t>General</w:t>
            </w:r>
          </w:p>
        </w:tc>
        <w:tc>
          <w:tcPr>
            <w:tcW w:w="0" w:type="dxa"/>
            <w:vAlign w:val="bottom"/>
          </w:tcPr>
          <w:p>
            <w:pPr>
              <w:spacing w:after="0"/>
              <w:rPr>
                <w:sz w:val="1"/>
                <w:szCs w:val="1"/>
                <w:color w:val="auto"/>
              </w:rPr>
            </w:pPr>
          </w:p>
        </w:tc>
      </w:tr>
      <w:tr>
        <w:trPr>
          <w:trHeight w:val="93"/>
        </w:trPr>
        <w:tc>
          <w:tcPr>
            <w:tcW w:w="860" w:type="dxa"/>
            <w:vAlign w:val="bottom"/>
            <w:vMerge w:val="continue"/>
          </w:tcPr>
          <w:p>
            <w:pPr>
              <w:spacing w:after="0"/>
              <w:rPr>
                <w:sz w:val="8"/>
                <w:szCs w:val="8"/>
                <w:color w:val="auto"/>
              </w:rPr>
            </w:pPr>
          </w:p>
        </w:tc>
        <w:tc>
          <w:tcPr>
            <w:tcW w:w="1520" w:type="dxa"/>
            <w:vAlign w:val="bottom"/>
          </w:tcPr>
          <w:p>
            <w:pPr>
              <w:spacing w:after="0"/>
              <w:rPr>
                <w:sz w:val="8"/>
                <w:szCs w:val="8"/>
                <w:color w:val="auto"/>
              </w:rPr>
            </w:pPr>
          </w:p>
        </w:tc>
        <w:tc>
          <w:tcPr>
            <w:tcW w:w="320" w:type="dxa"/>
            <w:vAlign w:val="bottom"/>
            <w:tcBorders>
              <w:top w:val="single" w:sz="8" w:color="auto"/>
            </w:tcBorders>
          </w:tcPr>
          <w:p>
            <w:pPr>
              <w:spacing w:after="0" w:line="93" w:lineRule="exact"/>
              <w:rPr>
                <w:sz w:val="20"/>
                <w:szCs w:val="20"/>
                <w:color w:val="auto"/>
              </w:rPr>
            </w:pPr>
            <w:r>
              <w:rPr>
                <w:rFonts w:ascii="Arial" w:cs="Arial" w:eastAsia="Arial" w:hAnsi="Arial"/>
                <w:sz w:val="10"/>
                <w:szCs w:val="10"/>
                <w:color w:val="auto"/>
                <w:w w:val="86"/>
              </w:rPr>
              <w:t>Amount</w:t>
            </w:r>
          </w:p>
        </w:tc>
        <w:tc>
          <w:tcPr>
            <w:tcW w:w="42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Borders>
              <w:top w:val="single" w:sz="8" w:color="auto"/>
            </w:tcBorders>
            <w:gridSpan w:val="2"/>
          </w:tcPr>
          <w:p>
            <w:pPr>
              <w:spacing w:after="0" w:line="93" w:lineRule="exact"/>
              <w:rPr>
                <w:sz w:val="20"/>
                <w:szCs w:val="20"/>
                <w:color w:val="auto"/>
              </w:rPr>
            </w:pPr>
            <w:r>
              <w:rPr>
                <w:rFonts w:ascii="Arial" w:cs="Arial" w:eastAsia="Arial" w:hAnsi="Arial"/>
                <w:sz w:val="10"/>
                <w:szCs w:val="10"/>
                <w:color w:val="auto"/>
              </w:rPr>
              <w:t>Amount</w:t>
            </w: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Borders>
              <w:top w:val="single" w:sz="8" w:color="auto"/>
            </w:tcBorders>
            <w:gridSpan w:val="2"/>
          </w:tcPr>
          <w:p>
            <w:pPr>
              <w:spacing w:after="0" w:line="93" w:lineRule="exact"/>
              <w:rPr>
                <w:sz w:val="20"/>
                <w:szCs w:val="20"/>
                <w:color w:val="auto"/>
              </w:rPr>
            </w:pPr>
            <w:r>
              <w:rPr>
                <w:rFonts w:ascii="Arial" w:cs="Arial" w:eastAsia="Arial" w:hAnsi="Arial"/>
                <w:sz w:val="10"/>
                <w:szCs w:val="10"/>
                <w:color w:val="auto"/>
              </w:rPr>
              <w:t>Amount</w:t>
            </w:r>
          </w:p>
        </w:tc>
        <w:tc>
          <w:tcPr>
            <w:tcW w:w="140" w:type="dxa"/>
            <w:vAlign w:val="bottom"/>
          </w:tcPr>
          <w:p>
            <w:pPr>
              <w:spacing w:after="0"/>
              <w:rPr>
                <w:sz w:val="8"/>
                <w:szCs w:val="8"/>
                <w:color w:val="auto"/>
              </w:rPr>
            </w:pPr>
          </w:p>
        </w:tc>
        <w:tc>
          <w:tcPr>
            <w:tcW w:w="560" w:type="dxa"/>
            <w:vAlign w:val="bottom"/>
            <w:tcBorders>
              <w:top w:val="single" w:sz="8" w:color="auto"/>
            </w:tcBorders>
            <w:gridSpan w:val="2"/>
          </w:tcPr>
          <w:p>
            <w:pPr>
              <w:spacing w:after="0" w:line="93" w:lineRule="exact"/>
              <w:rPr>
                <w:sz w:val="20"/>
                <w:szCs w:val="20"/>
                <w:color w:val="auto"/>
              </w:rPr>
            </w:pPr>
            <w:r>
              <w:rPr>
                <w:rFonts w:ascii="Arial" w:cs="Arial" w:eastAsia="Arial" w:hAnsi="Arial"/>
                <w:sz w:val="10"/>
                <w:szCs w:val="10"/>
                <w:color w:val="auto"/>
              </w:rPr>
              <w:t>Amount</w:t>
            </w:r>
          </w:p>
        </w:tc>
        <w:tc>
          <w:tcPr>
            <w:tcW w:w="160" w:type="dxa"/>
            <w:vAlign w:val="bottom"/>
          </w:tcPr>
          <w:p>
            <w:pPr>
              <w:spacing w:after="0"/>
              <w:rPr>
                <w:sz w:val="8"/>
                <w:szCs w:val="8"/>
                <w:color w:val="auto"/>
              </w:rPr>
            </w:pPr>
          </w:p>
        </w:tc>
        <w:tc>
          <w:tcPr>
            <w:tcW w:w="680" w:type="dxa"/>
            <w:vAlign w:val="bottom"/>
            <w:tcBorders>
              <w:top w:val="single" w:sz="8" w:color="auto"/>
            </w:tcBorders>
            <w:gridSpan w:val="2"/>
            <w:vMerge w:val="continue"/>
          </w:tcPr>
          <w:p>
            <w:pPr>
              <w:spacing w:after="0"/>
              <w:rPr>
                <w:sz w:val="8"/>
                <w:szCs w:val="8"/>
                <w:color w:val="auto"/>
              </w:rPr>
            </w:pPr>
          </w:p>
        </w:tc>
        <w:tc>
          <w:tcPr>
            <w:tcW w:w="960" w:type="dxa"/>
            <w:vAlign w:val="bottom"/>
            <w:tcBorders>
              <w:top w:val="single" w:sz="8" w:color="auto"/>
            </w:tcBorders>
            <w:gridSpan w:val="3"/>
            <w:vMerge w:val="continue"/>
          </w:tcPr>
          <w:p>
            <w:pPr>
              <w:spacing w:after="0"/>
              <w:rPr>
                <w:sz w:val="8"/>
                <w:szCs w:val="8"/>
                <w:color w:val="auto"/>
              </w:rPr>
            </w:pPr>
          </w:p>
        </w:tc>
        <w:tc>
          <w:tcPr>
            <w:tcW w:w="20" w:type="dxa"/>
            <w:vAlign w:val="bottom"/>
          </w:tcPr>
          <w:p>
            <w:pPr>
              <w:spacing w:after="0"/>
              <w:rPr>
                <w:sz w:val="8"/>
                <w:szCs w:val="8"/>
                <w:color w:val="auto"/>
              </w:rPr>
            </w:pPr>
          </w:p>
        </w:tc>
        <w:tc>
          <w:tcPr>
            <w:tcW w:w="1160" w:type="dxa"/>
            <w:vAlign w:val="bottom"/>
            <w:tcBorders>
              <w:top w:val="single" w:sz="8" w:color="auto"/>
            </w:tcBorders>
            <w:gridSpan w:val="2"/>
            <w:vMerge w:val="continue"/>
          </w:tcPr>
          <w:p>
            <w:pPr>
              <w:spacing w:after="0"/>
              <w:rPr>
                <w:sz w:val="8"/>
                <w:szCs w:val="8"/>
                <w:color w:val="auto"/>
              </w:rPr>
            </w:pPr>
          </w:p>
        </w:tc>
        <w:tc>
          <w:tcPr>
            <w:tcW w:w="1340" w:type="dxa"/>
            <w:vAlign w:val="bottom"/>
            <w:tcBorders>
              <w:top w:val="single" w:sz="8" w:color="auto"/>
            </w:tcBorders>
            <w:gridSpan w:val="2"/>
            <w:vMerge w:val="continue"/>
          </w:tcPr>
          <w:p>
            <w:pPr>
              <w:spacing w:after="0"/>
              <w:rPr>
                <w:sz w:val="8"/>
                <w:szCs w:val="8"/>
                <w:color w:val="auto"/>
              </w:rPr>
            </w:pPr>
          </w:p>
        </w:tc>
        <w:tc>
          <w:tcPr>
            <w:tcW w:w="1460" w:type="dxa"/>
            <w:vAlign w:val="bottom"/>
            <w:tcBorders>
              <w:top w:val="single" w:sz="8" w:color="auto"/>
            </w:tcBorders>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86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120"/>
          </w:cols>
          <w:pgMar w:left="240" w:top="545" w:right="539" w:bottom="1440" w:gutter="0" w:footer="0" w:header="0"/>
        </w:sectPr>
      </w:pPr>
    </w:p>
    <w:bookmarkStart w:id="181" w:name="page182"/>
    <w:bookmarkEnd w:id="181"/>
    <w:p>
      <w:pPr>
        <w:spacing w:after="0"/>
        <w:rPr>
          <w:sz w:val="20"/>
          <w:szCs w:val="20"/>
          <w:color w:val="auto"/>
        </w:rPr>
      </w:pPr>
      <w:r>
        <w:rPr>
          <w:rFonts w:ascii="Arial" w:cs="Arial" w:eastAsia="Arial" w:hAnsi="Arial"/>
          <w:sz w:val="17"/>
          <w:szCs w:val="17"/>
          <w:b w:val="1"/>
          <w:bCs w:val="1"/>
          <w:color w:val="auto"/>
        </w:rPr>
        <w:t>ANNUITY EXHIBIT SAMPLE</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GA-XXXX</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Vita</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Annuitants</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Contingent Joint and Survivor Life Annuity</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Annuity Commencement Date is Month 1, 20XX</w:t>
      </w:r>
    </w:p>
    <w:p>
      <w:pPr>
        <w:spacing w:after="0" w:line="111" w:lineRule="exact"/>
        <w:rPr>
          <w:sz w:val="20"/>
          <w:szCs w:val="20"/>
          <w:color w:val="auto"/>
        </w:rPr>
      </w:pPr>
    </w:p>
    <w:tbl>
      <w:tblPr>
        <w:tblLayout w:type="fixed"/>
        <w:tblInd w:w="20" w:type="dxa"/>
        <w:tblCellMar>
          <w:top w:w="0" w:type="dxa"/>
          <w:left w:w="0" w:type="dxa"/>
          <w:bottom w:w="0" w:type="dxa"/>
          <w:right w:w="0" w:type="dxa"/>
        </w:tblCellMar>
      </w:tblPr>
      <w:tr>
        <w:trPr>
          <w:trHeight w:val="255"/>
        </w:trPr>
        <w:tc>
          <w:tcPr>
            <w:tcW w:w="8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0" w:type="dxa"/>
            <w:vAlign w:val="bottom"/>
            <w:tcBorders>
              <w:right w:val="single" w:sz="8" w:color="auto"/>
            </w:tcBorders>
          </w:tcPr>
          <w:p>
            <w:pPr>
              <w:spacing w:after="0"/>
              <w:rPr>
                <w:sz w:val="21"/>
                <w:szCs w:val="21"/>
                <w:color w:val="auto"/>
              </w:rPr>
            </w:pPr>
          </w:p>
        </w:tc>
        <w:tc>
          <w:tcPr>
            <w:tcW w:w="540" w:type="dxa"/>
            <w:vAlign w:val="bottom"/>
            <w:tcBorders>
              <w:top w:val="single" w:sz="8" w:color="auto"/>
              <w:bottom w:val="single" w:sz="8" w:color="BFBFBF"/>
            </w:tcBorders>
            <w:shd w:val="clear" w:color="auto" w:fill="BFBFBF"/>
          </w:tcPr>
          <w:p>
            <w:pPr>
              <w:spacing w:after="0"/>
              <w:rPr>
                <w:sz w:val="21"/>
                <w:szCs w:val="21"/>
                <w:color w:val="auto"/>
              </w:rPr>
            </w:pPr>
          </w:p>
        </w:tc>
        <w:tc>
          <w:tcPr>
            <w:tcW w:w="20" w:type="dxa"/>
            <w:vAlign w:val="bottom"/>
            <w:tcBorders>
              <w:top w:val="single" w:sz="8" w:color="auto"/>
              <w:bottom w:val="single" w:sz="8" w:color="BFBFBF"/>
            </w:tcBorders>
            <w:shd w:val="clear" w:color="auto" w:fill="BFBFBF"/>
          </w:tcPr>
          <w:p>
            <w:pPr>
              <w:spacing w:after="0"/>
              <w:rPr>
                <w:sz w:val="21"/>
                <w:szCs w:val="21"/>
                <w:color w:val="auto"/>
              </w:rPr>
            </w:pPr>
          </w:p>
        </w:tc>
        <w:tc>
          <w:tcPr>
            <w:tcW w:w="1920" w:type="dxa"/>
            <w:vAlign w:val="bottom"/>
            <w:tcBorders>
              <w:top w:val="single" w:sz="8" w:color="auto"/>
              <w:bottom w:val="single" w:sz="8" w:color="BFBFBF"/>
              <w:right w:val="single" w:sz="8" w:color="auto"/>
            </w:tcBorders>
            <w:gridSpan w:val="3"/>
            <w:shd w:val="clear" w:color="auto" w:fill="BFBFBF"/>
          </w:tcPr>
          <w:p>
            <w:pPr>
              <w:spacing w:after="0"/>
              <w:rPr>
                <w:sz w:val="20"/>
                <w:szCs w:val="20"/>
                <w:color w:val="auto"/>
              </w:rPr>
            </w:pPr>
            <w:r>
              <w:rPr>
                <w:rFonts w:ascii="Arial" w:cs="Arial" w:eastAsia="Arial" w:hAnsi="Arial"/>
                <w:sz w:val="10"/>
                <w:szCs w:val="10"/>
                <w:color w:val="auto"/>
              </w:rPr>
              <w:t>Pre 1985 Part B Primary Amount</w:t>
            </w:r>
          </w:p>
        </w:tc>
        <w:tc>
          <w:tcPr>
            <w:tcW w:w="540" w:type="dxa"/>
            <w:vAlign w:val="bottom"/>
            <w:tcBorders>
              <w:top w:val="single" w:sz="8" w:color="auto"/>
              <w:bottom w:val="single" w:sz="8" w:color="BFBFBF"/>
            </w:tcBorders>
            <w:shd w:val="clear" w:color="auto" w:fill="BFBFBF"/>
          </w:tcPr>
          <w:p>
            <w:pPr>
              <w:spacing w:after="0"/>
              <w:rPr>
                <w:sz w:val="21"/>
                <w:szCs w:val="21"/>
                <w:color w:val="auto"/>
              </w:rPr>
            </w:pPr>
          </w:p>
        </w:tc>
        <w:tc>
          <w:tcPr>
            <w:tcW w:w="1940" w:type="dxa"/>
            <w:vAlign w:val="bottom"/>
            <w:tcBorders>
              <w:top w:val="single" w:sz="8" w:color="auto"/>
              <w:bottom w:val="single" w:sz="8" w:color="BFBFBF"/>
              <w:right w:val="single" w:sz="8" w:color="auto"/>
            </w:tcBorders>
            <w:gridSpan w:val="3"/>
            <w:shd w:val="clear" w:color="auto" w:fill="BFBFBF"/>
          </w:tcPr>
          <w:p>
            <w:pPr>
              <w:spacing w:after="0"/>
              <w:rPr>
                <w:sz w:val="20"/>
                <w:szCs w:val="20"/>
                <w:color w:val="auto"/>
              </w:rPr>
            </w:pPr>
            <w:r>
              <w:rPr>
                <w:rFonts w:ascii="Arial" w:cs="Arial" w:eastAsia="Arial" w:hAnsi="Arial"/>
                <w:sz w:val="10"/>
                <w:szCs w:val="10"/>
                <w:color w:val="auto"/>
              </w:rPr>
              <w:t>Post 1985 Part B Primary Amount</w:t>
            </w:r>
          </w:p>
        </w:tc>
        <w:tc>
          <w:tcPr>
            <w:tcW w:w="1320" w:type="dxa"/>
            <w:vAlign w:val="bottom"/>
          </w:tcPr>
          <w:p>
            <w:pPr>
              <w:spacing w:after="0"/>
              <w:rPr>
                <w:sz w:val="21"/>
                <w:szCs w:val="21"/>
                <w:color w:val="auto"/>
              </w:rPr>
            </w:pPr>
          </w:p>
        </w:tc>
      </w:tr>
      <w:tr>
        <w:trPr>
          <w:trHeight w:val="343"/>
        </w:trPr>
        <w:tc>
          <w:tcPr>
            <w:tcW w:w="860" w:type="dxa"/>
            <w:vAlign w:val="bottom"/>
          </w:tcPr>
          <w:p>
            <w:pPr>
              <w:spacing w:after="0"/>
              <w:rPr>
                <w:sz w:val="20"/>
                <w:szCs w:val="20"/>
                <w:color w:val="auto"/>
              </w:rPr>
            </w:pPr>
            <w:r>
              <w:rPr>
                <w:rFonts w:ascii="Arial" w:cs="Arial" w:eastAsia="Arial" w:hAnsi="Arial"/>
                <w:sz w:val="10"/>
                <w:szCs w:val="10"/>
                <w:color w:val="auto"/>
                <w:w w:val="97"/>
              </w:rPr>
              <w:t>Covered Life Name</w:t>
            </w:r>
          </w:p>
        </w:tc>
        <w:tc>
          <w:tcPr>
            <w:tcW w:w="1340" w:type="dxa"/>
            <w:vAlign w:val="bottom"/>
          </w:tcPr>
          <w:p>
            <w:pPr>
              <w:spacing w:after="0"/>
              <w:rPr>
                <w:sz w:val="24"/>
                <w:szCs w:val="24"/>
                <w:color w:val="auto"/>
              </w:rPr>
            </w:pPr>
          </w:p>
        </w:tc>
        <w:tc>
          <w:tcPr>
            <w:tcW w:w="940" w:type="dxa"/>
            <w:vAlign w:val="bottom"/>
            <w:gridSpan w:val="2"/>
          </w:tcPr>
          <w:p>
            <w:pPr>
              <w:spacing w:after="0"/>
              <w:rPr>
                <w:sz w:val="20"/>
                <w:szCs w:val="20"/>
                <w:color w:val="auto"/>
              </w:rPr>
            </w:pPr>
            <w:r>
              <w:rPr>
                <w:rFonts w:ascii="Arial" w:cs="Arial" w:eastAsia="Arial" w:hAnsi="Arial"/>
                <w:sz w:val="10"/>
                <w:szCs w:val="10"/>
                <w:color w:val="auto"/>
              </w:rPr>
              <w:t>Pop-Up Amount</w:t>
            </w:r>
          </w:p>
        </w:tc>
        <w:tc>
          <w:tcPr>
            <w:tcW w:w="1500" w:type="dxa"/>
            <w:vAlign w:val="bottom"/>
            <w:gridSpan w:val="3"/>
          </w:tcPr>
          <w:p>
            <w:pPr>
              <w:ind w:left="280"/>
              <w:spacing w:after="0"/>
              <w:rPr>
                <w:sz w:val="20"/>
                <w:szCs w:val="20"/>
                <w:color w:val="auto"/>
              </w:rPr>
            </w:pPr>
            <w:r>
              <w:rPr>
                <w:rFonts w:ascii="Arial" w:cs="Arial" w:eastAsia="Arial" w:hAnsi="Arial"/>
                <w:sz w:val="10"/>
                <w:szCs w:val="10"/>
                <w:color w:val="auto"/>
              </w:rPr>
              <w:t>Part A Basic Benefit</w:t>
            </w:r>
          </w:p>
        </w:tc>
        <w:tc>
          <w:tcPr>
            <w:tcW w:w="560" w:type="dxa"/>
            <w:vAlign w:val="bottom"/>
            <w:tcBorders>
              <w:top w:val="single" w:sz="8" w:color="auto"/>
            </w:tcBorders>
            <w:gridSpan w:val="2"/>
          </w:tcPr>
          <w:p>
            <w:pPr>
              <w:spacing w:after="0"/>
              <w:rPr>
                <w:sz w:val="20"/>
                <w:szCs w:val="20"/>
                <w:color w:val="auto"/>
              </w:rPr>
            </w:pPr>
            <w:r>
              <w:rPr>
                <w:rFonts w:ascii="Arial" w:cs="Arial" w:eastAsia="Arial" w:hAnsi="Arial"/>
                <w:sz w:val="10"/>
                <w:szCs w:val="10"/>
                <w:color w:val="auto"/>
                <w:w w:val="95"/>
              </w:rPr>
              <w:t>Covered Life</w:t>
            </w:r>
          </w:p>
        </w:tc>
        <w:tc>
          <w:tcPr>
            <w:tcW w:w="1920" w:type="dxa"/>
            <w:vAlign w:val="bottom"/>
            <w:tcBorders>
              <w:top w:val="single" w:sz="8" w:color="auto"/>
            </w:tcBorders>
            <w:gridSpan w:val="3"/>
          </w:tcPr>
          <w:p>
            <w:pPr>
              <w:ind w:left="680"/>
              <w:spacing w:after="0"/>
              <w:rPr>
                <w:sz w:val="20"/>
                <w:szCs w:val="20"/>
                <w:color w:val="auto"/>
              </w:rPr>
            </w:pPr>
            <w:r>
              <w:rPr>
                <w:rFonts w:ascii="Arial" w:cs="Arial" w:eastAsia="Arial" w:hAnsi="Arial"/>
                <w:sz w:val="10"/>
                <w:szCs w:val="10"/>
                <w:color w:val="auto"/>
              </w:rPr>
              <w:t>Contingent Life</w:t>
            </w:r>
          </w:p>
        </w:tc>
        <w:tc>
          <w:tcPr>
            <w:tcW w:w="540" w:type="dxa"/>
            <w:vAlign w:val="bottom"/>
            <w:tcBorders>
              <w:top w:val="single" w:sz="8" w:color="auto"/>
            </w:tcBorders>
          </w:tcPr>
          <w:p>
            <w:pPr>
              <w:spacing w:after="0"/>
              <w:rPr>
                <w:sz w:val="20"/>
                <w:szCs w:val="20"/>
                <w:color w:val="auto"/>
              </w:rPr>
            </w:pPr>
            <w:r>
              <w:rPr>
                <w:rFonts w:ascii="Arial" w:cs="Arial" w:eastAsia="Arial" w:hAnsi="Arial"/>
                <w:sz w:val="10"/>
                <w:szCs w:val="10"/>
                <w:color w:val="auto"/>
                <w:w w:val="91"/>
              </w:rPr>
              <w:t>Covered Life</w:t>
            </w:r>
          </w:p>
        </w:tc>
        <w:tc>
          <w:tcPr>
            <w:tcW w:w="70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gridSpan w:val="2"/>
          </w:tcPr>
          <w:p>
            <w:pPr>
              <w:spacing w:after="0"/>
              <w:rPr>
                <w:sz w:val="20"/>
                <w:szCs w:val="20"/>
                <w:color w:val="auto"/>
              </w:rPr>
            </w:pPr>
            <w:r>
              <w:rPr>
                <w:rFonts w:ascii="Arial" w:cs="Arial" w:eastAsia="Arial" w:hAnsi="Arial"/>
                <w:sz w:val="10"/>
                <w:szCs w:val="10"/>
                <w:color w:val="auto"/>
              </w:rPr>
              <w:t>Contingent Life</w:t>
            </w:r>
          </w:p>
        </w:tc>
        <w:tc>
          <w:tcPr>
            <w:tcW w:w="1320" w:type="dxa"/>
            <w:vAlign w:val="bottom"/>
          </w:tcPr>
          <w:p>
            <w:pPr>
              <w:spacing w:after="0"/>
              <w:rPr>
                <w:sz w:val="20"/>
                <w:szCs w:val="20"/>
                <w:color w:val="auto"/>
              </w:rPr>
            </w:pPr>
            <w:r>
              <w:rPr>
                <w:rFonts w:ascii="Arial" w:cs="Arial" w:eastAsia="Arial" w:hAnsi="Arial"/>
                <w:sz w:val="10"/>
                <w:szCs w:val="10"/>
                <w:color w:val="auto"/>
                <w:w w:val="91"/>
              </w:rPr>
              <w:t>Maximum Refund Death Benefit</w:t>
            </w:r>
          </w:p>
        </w:tc>
      </w:tr>
      <w:tr>
        <w:trPr>
          <w:trHeight w:val="20"/>
        </w:trPr>
        <w:tc>
          <w:tcPr>
            <w:tcW w:w="86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r>
    </w:tbl>
    <w:p>
      <w:pPr>
        <w:sectPr>
          <w:pgSz w:w="11900" w:h="16838" w:orient="portrait"/>
          <w:cols w:equalWidth="0" w:num="1">
            <w:col w:w="10940"/>
          </w:cols>
          <w:pgMar w:left="240" w:top="545" w:right="719" w:bottom="1440" w:gutter="0" w:footer="0" w:header="0"/>
        </w:sectPr>
      </w:pPr>
    </w:p>
    <w:bookmarkStart w:id="182" w:name="page183"/>
    <w:bookmarkEnd w:id="182"/>
    <w:p>
      <w:pPr>
        <w:spacing w:after="0"/>
        <w:rPr>
          <w:sz w:val="20"/>
          <w:szCs w:val="20"/>
          <w:color w:val="auto"/>
        </w:rPr>
      </w:pPr>
      <w:r>
        <w:rPr>
          <w:rFonts w:ascii="Arial" w:cs="Arial" w:eastAsia="Arial" w:hAnsi="Arial"/>
          <w:sz w:val="17"/>
          <w:szCs w:val="17"/>
          <w:b w:val="1"/>
          <w:bCs w:val="1"/>
          <w:color w:val="auto"/>
        </w:rPr>
        <w:t>ANNUITY EXHIBIT SAMPLE</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GA-XXXX</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Vita</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Annuitants</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Single Life Annuity</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Annuity Commencement Date is Month 1, 20XX</w:t>
      </w:r>
    </w:p>
    <w:p>
      <w:pPr>
        <w:spacing w:after="0" w:line="141"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860" w:type="dxa"/>
            <w:vAlign w:val="bottom"/>
            <w:vMerge w:val="restart"/>
          </w:tcPr>
          <w:p>
            <w:pPr>
              <w:spacing w:after="0"/>
              <w:rPr>
                <w:sz w:val="20"/>
                <w:szCs w:val="20"/>
                <w:color w:val="auto"/>
              </w:rPr>
            </w:pPr>
            <w:r>
              <w:rPr>
                <w:rFonts w:ascii="Arial" w:cs="Arial" w:eastAsia="Arial" w:hAnsi="Arial"/>
                <w:sz w:val="10"/>
                <w:szCs w:val="10"/>
                <w:color w:val="auto"/>
                <w:w w:val="97"/>
              </w:rPr>
              <w:t>Covered Life Name</w:t>
            </w:r>
          </w:p>
        </w:tc>
        <w:tc>
          <w:tcPr>
            <w:tcW w:w="1520" w:type="dxa"/>
            <w:vAlign w:val="bottom"/>
          </w:tcPr>
          <w:p>
            <w:pPr>
              <w:spacing w:after="0"/>
              <w:rPr>
                <w:sz w:val="10"/>
                <w:szCs w:val="10"/>
                <w:color w:val="auto"/>
              </w:rPr>
            </w:pPr>
          </w:p>
        </w:tc>
        <w:tc>
          <w:tcPr>
            <w:tcW w:w="600" w:type="dxa"/>
            <w:vAlign w:val="bottom"/>
            <w:gridSpan w:val="2"/>
          </w:tcPr>
          <w:p>
            <w:pPr>
              <w:spacing w:after="0"/>
              <w:rPr>
                <w:sz w:val="20"/>
                <w:szCs w:val="20"/>
                <w:color w:val="auto"/>
              </w:rPr>
            </w:pPr>
            <w:r>
              <w:rPr>
                <w:rFonts w:ascii="Arial" w:cs="Arial" w:eastAsia="Arial" w:hAnsi="Arial"/>
                <w:sz w:val="10"/>
                <w:szCs w:val="10"/>
                <w:color w:val="auto"/>
                <w:w w:val="87"/>
              </w:rPr>
              <w:t>Social Security</w:t>
            </w:r>
          </w:p>
        </w:tc>
        <w:tc>
          <w:tcPr>
            <w:tcW w:w="160" w:type="dxa"/>
            <w:vAlign w:val="bottom"/>
          </w:tcPr>
          <w:p>
            <w:pPr>
              <w:spacing w:after="0"/>
              <w:rPr>
                <w:sz w:val="10"/>
                <w:szCs w:val="10"/>
                <w:color w:val="auto"/>
              </w:rPr>
            </w:pPr>
          </w:p>
        </w:tc>
        <w:tc>
          <w:tcPr>
            <w:tcW w:w="680" w:type="dxa"/>
            <w:vAlign w:val="bottom"/>
            <w:vMerge w:val="restart"/>
          </w:tcPr>
          <w:p>
            <w:pPr>
              <w:spacing w:after="0"/>
              <w:rPr>
                <w:sz w:val="20"/>
                <w:szCs w:val="20"/>
                <w:color w:val="auto"/>
              </w:rPr>
            </w:pPr>
            <w:r>
              <w:rPr>
                <w:rFonts w:ascii="Arial" w:cs="Arial" w:eastAsia="Arial" w:hAnsi="Arial"/>
                <w:sz w:val="10"/>
                <w:szCs w:val="10"/>
                <w:color w:val="auto"/>
                <w:w w:val="87"/>
              </w:rPr>
              <w:t>Retirement Code</w:t>
            </w:r>
          </w:p>
        </w:tc>
        <w:tc>
          <w:tcPr>
            <w:tcW w:w="180" w:type="dxa"/>
            <w:vAlign w:val="bottom"/>
            <w:vMerge w:val="restart"/>
          </w:tcPr>
          <w:p>
            <w:pPr>
              <w:spacing w:after="0"/>
              <w:rPr>
                <w:sz w:val="10"/>
                <w:szCs w:val="10"/>
                <w:color w:val="auto"/>
              </w:rPr>
            </w:pPr>
          </w:p>
        </w:tc>
        <w:tc>
          <w:tcPr>
            <w:tcW w:w="180" w:type="dxa"/>
            <w:vAlign w:val="bottom"/>
            <w:vMerge w:val="restart"/>
          </w:tcPr>
          <w:p>
            <w:pPr>
              <w:spacing w:after="0"/>
              <w:rPr>
                <w:sz w:val="20"/>
                <w:szCs w:val="20"/>
                <w:color w:val="auto"/>
              </w:rPr>
            </w:pPr>
            <w:r>
              <w:rPr>
                <w:rFonts w:ascii="Arial" w:cs="Arial" w:eastAsia="Arial" w:hAnsi="Arial"/>
                <w:sz w:val="10"/>
                <w:szCs w:val="10"/>
                <w:color w:val="auto"/>
                <w:w w:val="79"/>
              </w:rPr>
              <w:t>Plan</w:t>
            </w:r>
          </w:p>
        </w:tc>
        <w:tc>
          <w:tcPr>
            <w:tcW w:w="340" w:type="dxa"/>
            <w:vAlign w:val="bottom"/>
            <w:vMerge w:val="restart"/>
          </w:tcPr>
          <w:p>
            <w:pPr>
              <w:spacing w:after="0"/>
              <w:rPr>
                <w:sz w:val="10"/>
                <w:szCs w:val="10"/>
                <w:color w:val="auto"/>
              </w:rPr>
            </w:pPr>
          </w:p>
        </w:tc>
        <w:tc>
          <w:tcPr>
            <w:tcW w:w="340" w:type="dxa"/>
            <w:vAlign w:val="bottom"/>
            <w:vMerge w:val="restart"/>
          </w:tcPr>
          <w:p>
            <w:pPr>
              <w:spacing w:after="0"/>
              <w:rPr>
                <w:sz w:val="10"/>
                <w:szCs w:val="10"/>
                <w:color w:val="auto"/>
              </w:rPr>
            </w:pPr>
          </w:p>
        </w:tc>
        <w:tc>
          <w:tcPr>
            <w:tcW w:w="300" w:type="dxa"/>
            <w:vAlign w:val="bottom"/>
            <w:vMerge w:val="restart"/>
          </w:tcPr>
          <w:p>
            <w:pPr>
              <w:spacing w:after="0"/>
              <w:rPr>
                <w:sz w:val="20"/>
                <w:szCs w:val="20"/>
                <w:color w:val="auto"/>
              </w:rPr>
            </w:pPr>
            <w:r>
              <w:rPr>
                <w:rFonts w:ascii="Arial" w:cs="Arial" w:eastAsia="Arial" w:hAnsi="Arial"/>
                <w:sz w:val="10"/>
                <w:szCs w:val="10"/>
                <w:color w:val="auto"/>
                <w:w w:val="83"/>
              </w:rPr>
              <w:t>Gender</w:t>
            </w:r>
          </w:p>
        </w:tc>
        <w:tc>
          <w:tcPr>
            <w:tcW w:w="280" w:type="dxa"/>
            <w:vAlign w:val="bottom"/>
            <w:vMerge w:val="restart"/>
          </w:tcPr>
          <w:p>
            <w:pPr>
              <w:spacing w:after="0"/>
              <w:rPr>
                <w:sz w:val="10"/>
                <w:szCs w:val="10"/>
                <w:color w:val="auto"/>
              </w:rPr>
            </w:pPr>
          </w:p>
        </w:tc>
        <w:tc>
          <w:tcPr>
            <w:tcW w:w="280" w:type="dxa"/>
            <w:vAlign w:val="bottom"/>
            <w:vMerge w:val="restart"/>
          </w:tcPr>
          <w:p>
            <w:pPr>
              <w:spacing w:after="0"/>
              <w:rPr>
                <w:sz w:val="10"/>
                <w:szCs w:val="10"/>
                <w:color w:val="auto"/>
              </w:rPr>
            </w:pPr>
          </w:p>
        </w:tc>
        <w:tc>
          <w:tcPr>
            <w:tcW w:w="540" w:type="dxa"/>
            <w:vAlign w:val="bottom"/>
            <w:vMerge w:val="restart"/>
          </w:tcPr>
          <w:p>
            <w:pPr>
              <w:spacing w:after="0"/>
              <w:rPr>
                <w:sz w:val="20"/>
                <w:szCs w:val="20"/>
                <w:color w:val="auto"/>
              </w:rPr>
            </w:pPr>
            <w:r>
              <w:rPr>
                <w:rFonts w:ascii="Arial" w:cs="Arial" w:eastAsia="Arial" w:hAnsi="Arial"/>
                <w:sz w:val="10"/>
                <w:szCs w:val="10"/>
                <w:color w:val="auto"/>
                <w:w w:val="93"/>
              </w:rPr>
              <w:t>Date of Birth</w:t>
            </w:r>
          </w:p>
        </w:tc>
        <w:tc>
          <w:tcPr>
            <w:tcW w:w="320" w:type="dxa"/>
            <w:vAlign w:val="bottom"/>
            <w:vMerge w:val="restart"/>
          </w:tcPr>
          <w:p>
            <w:pPr>
              <w:spacing w:after="0"/>
              <w:rPr>
                <w:sz w:val="10"/>
                <w:szCs w:val="10"/>
                <w:color w:val="auto"/>
              </w:rPr>
            </w:pPr>
          </w:p>
        </w:tc>
        <w:tc>
          <w:tcPr>
            <w:tcW w:w="820" w:type="dxa"/>
            <w:vAlign w:val="bottom"/>
            <w:gridSpan w:val="3"/>
          </w:tcPr>
          <w:p>
            <w:pPr>
              <w:spacing w:after="0"/>
              <w:rPr>
                <w:sz w:val="20"/>
                <w:szCs w:val="20"/>
                <w:color w:val="auto"/>
              </w:rPr>
            </w:pPr>
            <w:r>
              <w:rPr>
                <w:rFonts w:ascii="Arial" w:cs="Arial" w:eastAsia="Arial" w:hAnsi="Arial"/>
                <w:sz w:val="10"/>
                <w:szCs w:val="10"/>
                <w:color w:val="auto"/>
              </w:rPr>
              <w:t>Original</w:t>
            </w:r>
          </w:p>
        </w:tc>
        <w:tc>
          <w:tcPr>
            <w:tcW w:w="720" w:type="dxa"/>
            <w:vAlign w:val="bottom"/>
            <w:gridSpan w:val="3"/>
          </w:tcPr>
          <w:p>
            <w:pPr>
              <w:spacing w:after="0"/>
              <w:rPr>
                <w:sz w:val="20"/>
                <w:szCs w:val="20"/>
                <w:color w:val="auto"/>
              </w:rPr>
            </w:pPr>
            <w:r>
              <w:rPr>
                <w:rFonts w:ascii="Arial" w:cs="Arial" w:eastAsia="Arial" w:hAnsi="Arial"/>
                <w:sz w:val="10"/>
                <w:szCs w:val="10"/>
                <w:color w:val="auto"/>
              </w:rPr>
              <w:t>Contingent Life</w:t>
            </w:r>
          </w:p>
        </w:tc>
        <w:tc>
          <w:tcPr>
            <w:tcW w:w="1100" w:type="dxa"/>
            <w:vAlign w:val="bottom"/>
            <w:gridSpan w:val="3"/>
          </w:tcPr>
          <w:p>
            <w:pPr>
              <w:spacing w:after="0"/>
              <w:rPr>
                <w:sz w:val="20"/>
                <w:szCs w:val="20"/>
                <w:color w:val="auto"/>
              </w:rPr>
            </w:pPr>
            <w:r>
              <w:rPr>
                <w:rFonts w:ascii="Arial" w:cs="Arial" w:eastAsia="Arial" w:hAnsi="Arial"/>
                <w:sz w:val="10"/>
                <w:szCs w:val="10"/>
                <w:color w:val="auto"/>
              </w:rPr>
              <w:t>Contingent Life Social</w:t>
            </w:r>
          </w:p>
        </w:tc>
        <w:tc>
          <w:tcPr>
            <w:tcW w:w="940" w:type="dxa"/>
            <w:vAlign w:val="bottom"/>
            <w:gridSpan w:val="4"/>
          </w:tcPr>
          <w:p>
            <w:pPr>
              <w:ind w:left="180"/>
              <w:spacing w:after="0"/>
              <w:rPr>
                <w:sz w:val="20"/>
                <w:szCs w:val="20"/>
                <w:color w:val="auto"/>
              </w:rPr>
            </w:pPr>
            <w:r>
              <w:rPr>
                <w:rFonts w:ascii="Arial" w:cs="Arial" w:eastAsia="Arial" w:hAnsi="Arial"/>
                <w:sz w:val="10"/>
                <w:szCs w:val="10"/>
                <w:color w:val="auto"/>
              </w:rPr>
              <w:t>Contingent Life</w:t>
            </w:r>
          </w:p>
        </w:tc>
        <w:tc>
          <w:tcPr>
            <w:tcW w:w="880" w:type="dxa"/>
            <w:vAlign w:val="bottom"/>
            <w:gridSpan w:val="3"/>
          </w:tcPr>
          <w:p>
            <w:pPr>
              <w:spacing w:after="0"/>
              <w:rPr>
                <w:sz w:val="20"/>
                <w:szCs w:val="20"/>
                <w:color w:val="auto"/>
              </w:rPr>
            </w:pPr>
            <w:r>
              <w:rPr>
                <w:rFonts w:ascii="Arial" w:cs="Arial" w:eastAsia="Arial" w:hAnsi="Arial"/>
                <w:sz w:val="10"/>
                <w:szCs w:val="10"/>
                <w:color w:val="auto"/>
                <w:w w:val="94"/>
              </w:rPr>
              <w:t>Contingent Life Date</w:t>
            </w:r>
          </w:p>
        </w:tc>
        <w:tc>
          <w:tcPr>
            <w:tcW w:w="0" w:type="dxa"/>
            <w:vAlign w:val="bottom"/>
          </w:tcPr>
          <w:p>
            <w:pPr>
              <w:spacing w:after="0"/>
              <w:rPr>
                <w:sz w:val="1"/>
                <w:szCs w:val="1"/>
                <w:color w:val="auto"/>
              </w:rPr>
            </w:pPr>
          </w:p>
        </w:tc>
      </w:tr>
      <w:tr>
        <w:trPr>
          <w:trHeight w:val="20"/>
        </w:trPr>
        <w:tc>
          <w:tcPr>
            <w:tcW w:w="860" w:type="dxa"/>
            <w:vAlign w:val="bottom"/>
            <w:vMerge w:val="continue"/>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680" w:type="dxa"/>
            <w:vAlign w:val="bottom"/>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340" w:type="dxa"/>
            <w:vAlign w:val="bottom"/>
            <w:vMerge w:val="continue"/>
          </w:tcPr>
          <w:p>
            <w:pPr>
              <w:spacing w:after="0" w:line="20" w:lineRule="exact"/>
              <w:rPr>
                <w:sz w:val="1"/>
                <w:szCs w:val="1"/>
                <w:color w:val="auto"/>
              </w:rPr>
            </w:pPr>
          </w:p>
        </w:tc>
        <w:tc>
          <w:tcPr>
            <w:tcW w:w="340" w:type="dxa"/>
            <w:vAlign w:val="bottom"/>
            <w:vMerge w:val="continue"/>
          </w:tcPr>
          <w:p>
            <w:pPr>
              <w:spacing w:after="0" w:line="20" w:lineRule="exact"/>
              <w:rPr>
                <w:sz w:val="1"/>
                <w:szCs w:val="1"/>
                <w:color w:val="auto"/>
              </w:rPr>
            </w:pPr>
          </w:p>
        </w:tc>
        <w:tc>
          <w:tcPr>
            <w:tcW w:w="300" w:type="dxa"/>
            <w:vAlign w:val="bottom"/>
            <w:vMerge w:val="continue"/>
          </w:tcPr>
          <w:p>
            <w:pPr>
              <w:spacing w:after="0" w:line="20" w:lineRule="exact"/>
              <w:rPr>
                <w:sz w:val="1"/>
                <w:szCs w:val="1"/>
                <w:color w:val="auto"/>
              </w:rPr>
            </w:pPr>
          </w:p>
        </w:tc>
        <w:tc>
          <w:tcPr>
            <w:tcW w:w="280" w:type="dxa"/>
            <w:vAlign w:val="bottom"/>
            <w:vMerge w:val="continue"/>
          </w:tcPr>
          <w:p>
            <w:pPr>
              <w:spacing w:after="0" w:line="20" w:lineRule="exact"/>
              <w:rPr>
                <w:sz w:val="1"/>
                <w:szCs w:val="1"/>
                <w:color w:val="auto"/>
              </w:rPr>
            </w:pPr>
          </w:p>
        </w:tc>
        <w:tc>
          <w:tcPr>
            <w:tcW w:w="280" w:type="dxa"/>
            <w:vAlign w:val="bottom"/>
            <w:vMerge w:val="continue"/>
          </w:tcPr>
          <w:p>
            <w:pPr>
              <w:spacing w:after="0" w:line="20" w:lineRule="exact"/>
              <w:rPr>
                <w:sz w:val="1"/>
                <w:szCs w:val="1"/>
                <w:color w:val="auto"/>
              </w:rPr>
            </w:pPr>
          </w:p>
        </w:tc>
        <w:tc>
          <w:tcPr>
            <w:tcW w:w="540" w:type="dxa"/>
            <w:vAlign w:val="bottom"/>
            <w:vMerge w:val="continue"/>
          </w:tcPr>
          <w:p>
            <w:pPr>
              <w:spacing w:after="0" w:line="20" w:lineRule="exact"/>
              <w:rPr>
                <w:sz w:val="1"/>
                <w:szCs w:val="1"/>
                <w:color w:val="auto"/>
              </w:rPr>
            </w:pPr>
          </w:p>
        </w:tc>
        <w:tc>
          <w:tcPr>
            <w:tcW w:w="320" w:type="dxa"/>
            <w:vAlign w:val="bottom"/>
            <w:vMerge w:val="continue"/>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860" w:type="dxa"/>
            <w:vAlign w:val="bottom"/>
            <w:vMerge w:val="continue"/>
          </w:tcPr>
          <w:p>
            <w:pPr>
              <w:spacing w:after="0"/>
              <w:rPr>
                <w:sz w:val="8"/>
                <w:szCs w:val="8"/>
                <w:color w:val="auto"/>
              </w:rPr>
            </w:pPr>
          </w:p>
        </w:tc>
        <w:tc>
          <w:tcPr>
            <w:tcW w:w="1520" w:type="dxa"/>
            <w:vAlign w:val="bottom"/>
          </w:tcPr>
          <w:p>
            <w:pPr>
              <w:spacing w:after="0"/>
              <w:rPr>
                <w:sz w:val="8"/>
                <w:szCs w:val="8"/>
                <w:color w:val="auto"/>
              </w:rPr>
            </w:pPr>
          </w:p>
        </w:tc>
        <w:tc>
          <w:tcPr>
            <w:tcW w:w="320" w:type="dxa"/>
            <w:vAlign w:val="bottom"/>
          </w:tcPr>
          <w:p>
            <w:pPr>
              <w:spacing w:after="0" w:line="93" w:lineRule="exact"/>
              <w:rPr>
                <w:sz w:val="20"/>
                <w:szCs w:val="20"/>
                <w:color w:val="auto"/>
              </w:rPr>
            </w:pPr>
            <w:r>
              <w:rPr>
                <w:rFonts w:ascii="Arial" w:cs="Arial" w:eastAsia="Arial" w:hAnsi="Arial"/>
                <w:sz w:val="10"/>
                <w:szCs w:val="10"/>
                <w:color w:val="auto"/>
                <w:w w:val="84"/>
              </w:rPr>
              <w:t>Number</w:t>
            </w:r>
          </w:p>
        </w:tc>
        <w:tc>
          <w:tcPr>
            <w:tcW w:w="280" w:type="dxa"/>
            <w:vAlign w:val="bottom"/>
          </w:tcPr>
          <w:p>
            <w:pPr>
              <w:spacing w:after="0"/>
              <w:rPr>
                <w:sz w:val="8"/>
                <w:szCs w:val="8"/>
                <w:color w:val="auto"/>
              </w:rPr>
            </w:pPr>
          </w:p>
        </w:tc>
        <w:tc>
          <w:tcPr>
            <w:tcW w:w="1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180" w:type="dxa"/>
            <w:vAlign w:val="bottom"/>
            <w:vMerge w:val="continue"/>
          </w:tcPr>
          <w:p>
            <w:pPr>
              <w:spacing w:after="0"/>
              <w:rPr>
                <w:sz w:val="8"/>
                <w:szCs w:val="8"/>
                <w:color w:val="auto"/>
              </w:rPr>
            </w:pPr>
          </w:p>
        </w:tc>
        <w:tc>
          <w:tcPr>
            <w:tcW w:w="18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300" w:type="dxa"/>
            <w:vAlign w:val="bottom"/>
            <w:vMerge w:val="continue"/>
          </w:tcPr>
          <w:p>
            <w:pPr>
              <w:spacing w:after="0"/>
              <w:rPr>
                <w:sz w:val="8"/>
                <w:szCs w:val="8"/>
                <w:color w:val="auto"/>
              </w:rPr>
            </w:pPr>
          </w:p>
        </w:tc>
        <w:tc>
          <w:tcPr>
            <w:tcW w:w="280" w:type="dxa"/>
            <w:vAlign w:val="bottom"/>
            <w:vMerge w:val="continue"/>
          </w:tcPr>
          <w:p>
            <w:pPr>
              <w:spacing w:after="0"/>
              <w:rPr>
                <w:sz w:val="8"/>
                <w:szCs w:val="8"/>
                <w:color w:val="auto"/>
              </w:rPr>
            </w:pPr>
          </w:p>
        </w:tc>
        <w:tc>
          <w:tcPr>
            <w:tcW w:w="280" w:type="dxa"/>
            <w:vAlign w:val="bottom"/>
            <w:vMerge w:val="continue"/>
          </w:tcPr>
          <w:p>
            <w:pPr>
              <w:spacing w:after="0"/>
              <w:rPr>
                <w:sz w:val="8"/>
                <w:szCs w:val="8"/>
                <w:color w:val="auto"/>
              </w:rPr>
            </w:pPr>
          </w:p>
        </w:tc>
        <w:tc>
          <w:tcPr>
            <w:tcW w:w="54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820" w:type="dxa"/>
            <w:vAlign w:val="bottom"/>
            <w:gridSpan w:val="3"/>
          </w:tcPr>
          <w:p>
            <w:pPr>
              <w:spacing w:after="0" w:line="93" w:lineRule="exact"/>
              <w:rPr>
                <w:sz w:val="20"/>
                <w:szCs w:val="20"/>
                <w:color w:val="auto"/>
              </w:rPr>
            </w:pPr>
            <w:r>
              <w:rPr>
                <w:rFonts w:ascii="Arial" w:cs="Arial" w:eastAsia="Arial" w:hAnsi="Arial"/>
                <w:sz w:val="10"/>
                <w:szCs w:val="10"/>
                <w:color w:val="auto"/>
              </w:rPr>
              <w:t>Retirement Date</w:t>
            </w:r>
          </w:p>
        </w:tc>
        <w:tc>
          <w:tcPr>
            <w:tcW w:w="640" w:type="dxa"/>
            <w:vAlign w:val="bottom"/>
            <w:gridSpan w:val="2"/>
          </w:tcPr>
          <w:p>
            <w:pPr>
              <w:spacing w:after="0" w:line="93" w:lineRule="exact"/>
              <w:rPr>
                <w:sz w:val="20"/>
                <w:szCs w:val="20"/>
                <w:color w:val="auto"/>
              </w:rPr>
            </w:pPr>
            <w:r>
              <w:rPr>
                <w:rFonts w:ascii="Arial" w:cs="Arial" w:eastAsia="Arial" w:hAnsi="Arial"/>
                <w:sz w:val="10"/>
                <w:szCs w:val="10"/>
                <w:color w:val="auto"/>
              </w:rPr>
              <w:t>Name</w:t>
            </w:r>
          </w:p>
        </w:tc>
        <w:tc>
          <w:tcPr>
            <w:tcW w:w="80" w:type="dxa"/>
            <w:vAlign w:val="bottom"/>
            <w:vMerge w:val="continue"/>
          </w:tcPr>
          <w:p>
            <w:pPr>
              <w:spacing w:after="0"/>
              <w:rPr>
                <w:sz w:val="8"/>
                <w:szCs w:val="8"/>
                <w:color w:val="auto"/>
              </w:rPr>
            </w:pPr>
          </w:p>
        </w:tc>
        <w:tc>
          <w:tcPr>
            <w:tcW w:w="900" w:type="dxa"/>
            <w:vAlign w:val="bottom"/>
            <w:gridSpan w:val="2"/>
          </w:tcPr>
          <w:p>
            <w:pPr>
              <w:spacing w:after="0" w:line="93" w:lineRule="exact"/>
              <w:rPr>
                <w:sz w:val="20"/>
                <w:szCs w:val="20"/>
                <w:color w:val="auto"/>
              </w:rPr>
            </w:pPr>
            <w:r>
              <w:rPr>
                <w:rFonts w:ascii="Arial" w:cs="Arial" w:eastAsia="Arial" w:hAnsi="Arial"/>
                <w:sz w:val="10"/>
                <w:szCs w:val="10"/>
                <w:color w:val="auto"/>
              </w:rPr>
              <w:t>Security Number</w:t>
            </w:r>
          </w:p>
        </w:tc>
        <w:tc>
          <w:tcPr>
            <w:tcW w:w="200" w:type="dxa"/>
            <w:vAlign w:val="bottom"/>
            <w:vMerge w:val="continue"/>
          </w:tcPr>
          <w:p>
            <w:pPr>
              <w:spacing w:after="0"/>
              <w:rPr>
                <w:sz w:val="8"/>
                <w:szCs w:val="8"/>
                <w:color w:val="auto"/>
              </w:rPr>
            </w:pPr>
          </w:p>
        </w:tc>
        <w:tc>
          <w:tcPr>
            <w:tcW w:w="180" w:type="dxa"/>
            <w:vAlign w:val="bottom"/>
            <w:vMerge w:val="continue"/>
          </w:tcPr>
          <w:p>
            <w:pPr>
              <w:spacing w:after="0"/>
              <w:rPr>
                <w:sz w:val="8"/>
                <w:szCs w:val="8"/>
                <w:color w:val="auto"/>
              </w:rPr>
            </w:pPr>
          </w:p>
        </w:tc>
        <w:tc>
          <w:tcPr>
            <w:tcW w:w="620" w:type="dxa"/>
            <w:vAlign w:val="bottom"/>
            <w:gridSpan w:val="2"/>
          </w:tcPr>
          <w:p>
            <w:pPr>
              <w:spacing w:after="0" w:line="93" w:lineRule="exact"/>
              <w:rPr>
                <w:sz w:val="20"/>
                <w:szCs w:val="20"/>
                <w:color w:val="auto"/>
              </w:rPr>
            </w:pPr>
            <w:r>
              <w:rPr>
                <w:rFonts w:ascii="Arial" w:cs="Arial" w:eastAsia="Arial" w:hAnsi="Arial"/>
                <w:sz w:val="10"/>
                <w:szCs w:val="10"/>
                <w:color w:val="auto"/>
              </w:rPr>
              <w:t>Gender</w:t>
            </w:r>
          </w:p>
        </w:tc>
        <w:tc>
          <w:tcPr>
            <w:tcW w:w="140" w:type="dxa"/>
            <w:vAlign w:val="bottom"/>
            <w:vMerge w:val="continue"/>
          </w:tcPr>
          <w:p>
            <w:pPr>
              <w:spacing w:after="0"/>
              <w:rPr>
                <w:sz w:val="8"/>
                <w:szCs w:val="8"/>
                <w:color w:val="auto"/>
              </w:rPr>
            </w:pPr>
          </w:p>
        </w:tc>
        <w:tc>
          <w:tcPr>
            <w:tcW w:w="860" w:type="dxa"/>
            <w:vAlign w:val="bottom"/>
            <w:gridSpan w:val="2"/>
          </w:tcPr>
          <w:p>
            <w:pPr>
              <w:spacing w:after="0" w:line="93" w:lineRule="exact"/>
              <w:rPr>
                <w:sz w:val="20"/>
                <w:szCs w:val="20"/>
                <w:color w:val="auto"/>
              </w:rPr>
            </w:pPr>
            <w:r>
              <w:rPr>
                <w:rFonts w:ascii="Arial" w:cs="Arial" w:eastAsia="Arial" w:hAnsi="Arial"/>
                <w:sz w:val="10"/>
                <w:szCs w:val="10"/>
                <w:color w:val="auto"/>
              </w:rPr>
              <w:t>of Birth</w:t>
            </w:r>
          </w:p>
        </w:tc>
        <w:tc>
          <w:tcPr>
            <w:tcW w:w="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86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40"/>
          </w:cols>
          <w:pgMar w:left="240" w:top="545" w:right="619" w:bottom="1440" w:gutter="0" w:footer="0" w:header="0"/>
        </w:sectPr>
      </w:pPr>
    </w:p>
    <w:bookmarkStart w:id="183" w:name="page184"/>
    <w:bookmarkEnd w:id="183"/>
    <w:p>
      <w:pPr>
        <w:spacing w:after="0"/>
        <w:rPr>
          <w:sz w:val="20"/>
          <w:szCs w:val="20"/>
          <w:color w:val="auto"/>
        </w:rPr>
      </w:pPr>
      <w:r>
        <w:rPr>
          <w:rFonts w:ascii="Arial" w:cs="Arial" w:eastAsia="Arial" w:hAnsi="Arial"/>
          <w:sz w:val="17"/>
          <w:szCs w:val="17"/>
          <w:b w:val="1"/>
          <w:bCs w:val="1"/>
          <w:color w:val="auto"/>
        </w:rPr>
        <w:t>ANNUITY EXHIBIT SAMPLE</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GA-XXXX</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Vita</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Annuitants</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Single Life Annuity</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Annuity Commencement Date is Month 1, 20XX</w:t>
      </w:r>
    </w:p>
    <w:p>
      <w:pPr>
        <w:spacing w:after="0" w:line="111" w:lineRule="exact"/>
        <w:rPr>
          <w:sz w:val="20"/>
          <w:szCs w:val="20"/>
          <w:color w:val="auto"/>
        </w:rPr>
      </w:pPr>
    </w:p>
    <w:tbl>
      <w:tblPr>
        <w:tblLayout w:type="fixed"/>
        <w:tblInd w:w="20" w:type="dxa"/>
        <w:tblCellMar>
          <w:top w:w="0" w:type="dxa"/>
          <w:left w:w="0" w:type="dxa"/>
          <w:bottom w:w="0" w:type="dxa"/>
          <w:right w:w="0" w:type="dxa"/>
        </w:tblCellMar>
      </w:tblPr>
      <w:tr>
        <w:trPr>
          <w:trHeight w:val="255"/>
        </w:trPr>
        <w:tc>
          <w:tcPr>
            <w:tcW w:w="8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0" w:type="dxa"/>
            <w:vAlign w:val="bottom"/>
            <w:tcBorders>
              <w:right w:val="single" w:sz="8" w:color="auto"/>
            </w:tcBorders>
          </w:tcPr>
          <w:p>
            <w:pPr>
              <w:spacing w:after="0"/>
              <w:rPr>
                <w:sz w:val="21"/>
                <w:szCs w:val="21"/>
                <w:color w:val="auto"/>
              </w:rPr>
            </w:pPr>
          </w:p>
        </w:tc>
        <w:tc>
          <w:tcPr>
            <w:tcW w:w="2200" w:type="dxa"/>
            <w:vAlign w:val="bottom"/>
            <w:tcBorders>
              <w:top w:val="single" w:sz="8" w:color="auto"/>
              <w:bottom w:val="single" w:sz="8" w:color="BFBFBF"/>
              <w:right w:val="single" w:sz="8" w:color="auto"/>
            </w:tcBorders>
            <w:gridSpan w:val="5"/>
            <w:shd w:val="clear" w:color="auto" w:fill="BFBFBF"/>
          </w:tcPr>
          <w:p>
            <w:pPr>
              <w:ind w:left="320"/>
              <w:spacing w:after="0"/>
              <w:rPr>
                <w:sz w:val="20"/>
                <w:szCs w:val="20"/>
                <w:color w:val="auto"/>
              </w:rPr>
            </w:pPr>
            <w:r>
              <w:rPr>
                <w:rFonts w:ascii="Arial" w:cs="Arial" w:eastAsia="Arial" w:hAnsi="Arial"/>
                <w:sz w:val="10"/>
                <w:szCs w:val="10"/>
                <w:color w:val="auto"/>
              </w:rPr>
              <w:t>Special Benefit Rider Eligibility (Y/N)</w:t>
            </w:r>
          </w:p>
        </w:tc>
        <w:tc>
          <w:tcPr>
            <w:tcW w:w="2180" w:type="dxa"/>
            <w:vAlign w:val="bottom"/>
            <w:tcBorders>
              <w:top w:val="single" w:sz="8" w:color="auto"/>
              <w:bottom w:val="single" w:sz="8" w:color="BFBFBF"/>
            </w:tcBorders>
            <w:gridSpan w:val="5"/>
            <w:shd w:val="clear" w:color="auto" w:fill="BFBFBF"/>
          </w:tcPr>
          <w:p>
            <w:pPr>
              <w:ind w:left="340"/>
              <w:spacing w:after="0"/>
              <w:rPr>
                <w:sz w:val="20"/>
                <w:szCs w:val="20"/>
                <w:color w:val="auto"/>
              </w:rPr>
            </w:pPr>
            <w:r>
              <w:rPr>
                <w:rFonts w:ascii="Arial" w:cs="Arial" w:eastAsia="Arial" w:hAnsi="Arial"/>
                <w:sz w:val="10"/>
                <w:szCs w:val="10"/>
                <w:color w:val="auto"/>
              </w:rPr>
              <w:t>Level Benefit Rider Eligibility (Y/N)</w:t>
            </w:r>
          </w:p>
        </w:tc>
      </w:tr>
      <w:tr>
        <w:trPr>
          <w:trHeight w:val="343"/>
        </w:trPr>
        <w:tc>
          <w:tcPr>
            <w:tcW w:w="8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gridSpan w:val="3"/>
          </w:tcPr>
          <w:p>
            <w:pPr>
              <w:spacing w:after="0"/>
              <w:rPr>
                <w:sz w:val="20"/>
                <w:szCs w:val="20"/>
                <w:color w:val="auto"/>
              </w:rPr>
            </w:pPr>
            <w:r>
              <w:rPr>
                <w:rFonts w:ascii="Arial" w:cs="Arial" w:eastAsia="Arial" w:hAnsi="Arial"/>
                <w:sz w:val="10"/>
                <w:szCs w:val="10"/>
                <w:color w:val="auto"/>
              </w:rPr>
              <w:t>Post 62+1 Pension</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r>
      <w:tr>
        <w:trPr>
          <w:trHeight w:val="93"/>
        </w:trPr>
        <w:tc>
          <w:tcPr>
            <w:tcW w:w="860" w:type="dxa"/>
            <w:vAlign w:val="bottom"/>
          </w:tcPr>
          <w:p>
            <w:pPr>
              <w:spacing w:after="0" w:line="93" w:lineRule="exact"/>
              <w:rPr>
                <w:sz w:val="20"/>
                <w:szCs w:val="20"/>
                <w:color w:val="auto"/>
              </w:rPr>
            </w:pPr>
            <w:r>
              <w:rPr>
                <w:rFonts w:ascii="Arial" w:cs="Arial" w:eastAsia="Arial" w:hAnsi="Arial"/>
                <w:sz w:val="10"/>
                <w:szCs w:val="10"/>
                <w:color w:val="auto"/>
                <w:w w:val="97"/>
              </w:rPr>
              <w:t>Covered Life Name</w:t>
            </w:r>
          </w:p>
        </w:tc>
        <w:tc>
          <w:tcPr>
            <w:tcW w:w="2520" w:type="dxa"/>
            <w:vAlign w:val="bottom"/>
            <w:gridSpan w:val="3"/>
          </w:tcPr>
          <w:p>
            <w:pPr>
              <w:ind w:left="1420"/>
              <w:spacing w:after="0" w:line="93" w:lineRule="exact"/>
              <w:rPr>
                <w:sz w:val="20"/>
                <w:szCs w:val="20"/>
                <w:color w:val="auto"/>
              </w:rPr>
            </w:pPr>
            <w:r>
              <w:rPr>
                <w:rFonts w:ascii="Arial" w:cs="Arial" w:eastAsia="Arial" w:hAnsi="Arial"/>
                <w:sz w:val="10"/>
                <w:szCs w:val="10"/>
                <w:color w:val="auto"/>
                <w:w w:val="92"/>
              </w:rPr>
              <w:t>Pre 62+1 Pension Amount</w:t>
            </w:r>
          </w:p>
        </w:tc>
        <w:tc>
          <w:tcPr>
            <w:tcW w:w="760" w:type="dxa"/>
            <w:vAlign w:val="bottom"/>
            <w:tcBorders>
              <w:top w:val="single" w:sz="8" w:color="auto"/>
            </w:tcBorders>
            <w:gridSpan w:val="2"/>
          </w:tcPr>
          <w:p>
            <w:pPr>
              <w:spacing w:after="0" w:line="93" w:lineRule="exact"/>
              <w:rPr>
                <w:sz w:val="20"/>
                <w:szCs w:val="20"/>
                <w:color w:val="auto"/>
              </w:rPr>
            </w:pPr>
            <w:r>
              <w:rPr>
                <w:rFonts w:ascii="Arial" w:cs="Arial" w:eastAsia="Arial" w:hAnsi="Arial"/>
                <w:sz w:val="10"/>
                <w:szCs w:val="10"/>
                <w:color w:val="auto"/>
              </w:rPr>
              <w:t>Amount</w:t>
            </w:r>
          </w:p>
        </w:tc>
        <w:tc>
          <w:tcPr>
            <w:tcW w:w="180" w:type="dxa"/>
            <w:vAlign w:val="bottom"/>
          </w:tcPr>
          <w:p>
            <w:pPr>
              <w:spacing w:after="0"/>
              <w:rPr>
                <w:sz w:val="8"/>
                <w:szCs w:val="8"/>
                <w:color w:val="auto"/>
              </w:rPr>
            </w:pPr>
          </w:p>
        </w:tc>
        <w:tc>
          <w:tcPr>
            <w:tcW w:w="2400" w:type="dxa"/>
            <w:vAlign w:val="bottom"/>
            <w:gridSpan w:val="5"/>
          </w:tcPr>
          <w:p>
            <w:pPr>
              <w:ind w:left="180"/>
              <w:spacing w:after="0" w:line="93" w:lineRule="exact"/>
              <w:rPr>
                <w:sz w:val="20"/>
                <w:szCs w:val="20"/>
                <w:color w:val="auto"/>
              </w:rPr>
            </w:pPr>
            <w:r>
              <w:rPr>
                <w:rFonts w:ascii="Arial" w:cs="Arial" w:eastAsia="Arial" w:hAnsi="Arial"/>
                <w:sz w:val="10"/>
                <w:szCs w:val="10"/>
                <w:color w:val="auto"/>
              </w:rPr>
              <w:t>Special Benefit Amount   Level Benefit Amount</w:t>
            </w:r>
          </w:p>
        </w:tc>
        <w:tc>
          <w:tcPr>
            <w:tcW w:w="820" w:type="dxa"/>
            <w:vAlign w:val="bottom"/>
            <w:gridSpan w:val="2"/>
          </w:tcPr>
          <w:p>
            <w:pPr>
              <w:spacing w:after="0" w:line="93" w:lineRule="exact"/>
              <w:rPr>
                <w:sz w:val="20"/>
                <w:szCs w:val="20"/>
                <w:color w:val="auto"/>
              </w:rPr>
            </w:pPr>
            <w:r>
              <w:rPr>
                <w:rFonts w:ascii="Arial" w:cs="Arial" w:eastAsia="Arial" w:hAnsi="Arial"/>
                <w:sz w:val="10"/>
                <w:szCs w:val="10"/>
                <w:color w:val="auto"/>
              </w:rPr>
              <w:t>Covered Life</w:t>
            </w:r>
          </w:p>
        </w:tc>
        <w:tc>
          <w:tcPr>
            <w:tcW w:w="1380" w:type="dxa"/>
            <w:vAlign w:val="bottom"/>
            <w:gridSpan w:val="3"/>
          </w:tcPr>
          <w:p>
            <w:pPr>
              <w:ind w:left="280"/>
              <w:spacing w:after="0" w:line="93" w:lineRule="exact"/>
              <w:rPr>
                <w:sz w:val="20"/>
                <w:szCs w:val="20"/>
                <w:color w:val="auto"/>
              </w:rPr>
            </w:pPr>
            <w:r>
              <w:rPr>
                <w:rFonts w:ascii="Arial" w:cs="Arial" w:eastAsia="Arial" w:hAnsi="Arial"/>
                <w:sz w:val="10"/>
                <w:szCs w:val="10"/>
                <w:color w:val="auto"/>
              </w:rPr>
              <w:t>Contingent Life</w:t>
            </w:r>
          </w:p>
        </w:tc>
        <w:tc>
          <w:tcPr>
            <w:tcW w:w="820" w:type="dxa"/>
            <w:vAlign w:val="bottom"/>
            <w:gridSpan w:val="2"/>
          </w:tcPr>
          <w:p>
            <w:pPr>
              <w:spacing w:after="0" w:line="93" w:lineRule="exact"/>
              <w:rPr>
                <w:sz w:val="20"/>
                <w:szCs w:val="20"/>
                <w:color w:val="auto"/>
              </w:rPr>
            </w:pPr>
            <w:r>
              <w:rPr>
                <w:rFonts w:ascii="Arial" w:cs="Arial" w:eastAsia="Arial" w:hAnsi="Arial"/>
                <w:sz w:val="10"/>
                <w:szCs w:val="10"/>
                <w:color w:val="auto"/>
              </w:rPr>
              <w:t>Covered Life</w:t>
            </w:r>
          </w:p>
        </w:tc>
        <w:tc>
          <w:tcPr>
            <w:tcW w:w="1360" w:type="dxa"/>
            <w:vAlign w:val="bottom"/>
            <w:gridSpan w:val="3"/>
          </w:tcPr>
          <w:p>
            <w:pPr>
              <w:ind w:left="300"/>
              <w:spacing w:after="0" w:line="93" w:lineRule="exact"/>
              <w:rPr>
                <w:sz w:val="20"/>
                <w:szCs w:val="20"/>
                <w:color w:val="auto"/>
              </w:rPr>
            </w:pPr>
            <w:r>
              <w:rPr>
                <w:rFonts w:ascii="Arial" w:cs="Arial" w:eastAsia="Arial" w:hAnsi="Arial"/>
                <w:sz w:val="10"/>
                <w:szCs w:val="10"/>
                <w:color w:val="auto"/>
              </w:rPr>
              <w:t>Contingent Life</w:t>
            </w:r>
          </w:p>
        </w:tc>
      </w:tr>
      <w:tr>
        <w:trPr>
          <w:trHeight w:val="20"/>
        </w:trPr>
        <w:tc>
          <w:tcPr>
            <w:tcW w:w="860" w:type="dxa"/>
            <w:vAlign w:val="bottom"/>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bl>
    <w:p>
      <w:pPr>
        <w:sectPr>
          <w:pgSz w:w="11900" w:h="16838" w:orient="portrait"/>
          <w:cols w:equalWidth="0" w:num="1">
            <w:col w:w="11120"/>
          </w:cols>
          <w:pgMar w:left="240" w:top="545" w:right="539" w:bottom="1440" w:gutter="0" w:footer="0" w:header="0"/>
        </w:sectPr>
      </w:pPr>
    </w:p>
    <w:bookmarkStart w:id="184" w:name="page185"/>
    <w:bookmarkEnd w:id="184"/>
    <w:p>
      <w:pPr>
        <w:spacing w:after="0"/>
        <w:rPr>
          <w:sz w:val="20"/>
          <w:szCs w:val="20"/>
          <w:color w:val="auto"/>
        </w:rPr>
      </w:pPr>
      <w:r>
        <w:rPr>
          <w:rFonts w:ascii="Arial" w:cs="Arial" w:eastAsia="Arial" w:hAnsi="Arial"/>
          <w:sz w:val="17"/>
          <w:szCs w:val="17"/>
          <w:b w:val="1"/>
          <w:bCs w:val="1"/>
          <w:color w:val="auto"/>
        </w:rPr>
        <w:t>ANNUITY EXHIBIT SAMPLE</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GA-XXXX</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Vita</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Annuitants</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Single Life Annuity</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Annuity Commencement Date is Month 1, 20XX</w:t>
      </w:r>
    </w:p>
    <w:p>
      <w:pPr>
        <w:spacing w:after="0" w:line="11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860" w:type="dxa"/>
            <w:vAlign w:val="bottom"/>
          </w:tcPr>
          <w:p>
            <w:pPr>
              <w:spacing w:after="0"/>
              <w:rPr>
                <w:sz w:val="20"/>
                <w:szCs w:val="20"/>
                <w:color w:val="auto"/>
              </w:rPr>
            </w:pPr>
          </w:p>
        </w:tc>
        <w:tc>
          <w:tcPr>
            <w:tcW w:w="1320" w:type="dxa"/>
            <w:vAlign w:val="bottom"/>
            <w:tcBorders>
              <w:right w:val="single" w:sz="8" w:color="auto"/>
            </w:tcBorders>
          </w:tcPr>
          <w:p>
            <w:pPr>
              <w:spacing w:after="0"/>
              <w:rPr>
                <w:sz w:val="20"/>
                <w:szCs w:val="20"/>
                <w:color w:val="auto"/>
              </w:rPr>
            </w:pPr>
          </w:p>
        </w:tc>
        <w:tc>
          <w:tcPr>
            <w:tcW w:w="1360" w:type="dxa"/>
            <w:vAlign w:val="bottom"/>
            <w:tcBorders>
              <w:top w:val="single" w:sz="8" w:color="auto"/>
              <w:bottom w:val="single" w:sz="8" w:color="BFBFBF"/>
              <w:right w:val="single" w:sz="8" w:color="auto"/>
            </w:tcBorders>
            <w:gridSpan w:val="2"/>
            <w:shd w:val="clear" w:color="auto" w:fill="BFBFBF"/>
          </w:tcPr>
          <w:p>
            <w:pPr>
              <w:ind w:left="20"/>
              <w:spacing w:after="0"/>
              <w:rPr>
                <w:sz w:val="20"/>
                <w:szCs w:val="20"/>
                <w:color w:val="auto"/>
              </w:rPr>
            </w:pPr>
            <w:r>
              <w:rPr>
                <w:rFonts w:ascii="Arial" w:cs="Arial" w:eastAsia="Arial" w:hAnsi="Arial"/>
                <w:sz w:val="10"/>
                <w:szCs w:val="10"/>
                <w:color w:val="auto"/>
              </w:rPr>
              <w:t>Refund Rider Eligibility (Y/N)</w:t>
            </w:r>
          </w:p>
        </w:tc>
        <w:tc>
          <w:tcPr>
            <w:tcW w:w="2100" w:type="dxa"/>
            <w:vAlign w:val="bottom"/>
            <w:tcBorders>
              <w:top w:val="single" w:sz="8" w:color="auto"/>
              <w:bottom w:val="single" w:sz="8" w:color="BFBFBF"/>
              <w:right w:val="single" w:sz="8" w:color="auto"/>
            </w:tcBorders>
            <w:gridSpan w:val="5"/>
            <w:shd w:val="clear" w:color="auto" w:fill="BFBFBF"/>
          </w:tcPr>
          <w:p>
            <w:pPr>
              <w:ind w:left="120"/>
              <w:spacing w:after="0"/>
              <w:rPr>
                <w:sz w:val="20"/>
                <w:szCs w:val="20"/>
                <w:color w:val="auto"/>
              </w:rPr>
            </w:pPr>
            <w:r>
              <w:rPr>
                <w:rFonts w:ascii="Arial" w:cs="Arial" w:eastAsia="Arial" w:hAnsi="Arial"/>
                <w:sz w:val="10"/>
                <w:szCs w:val="10"/>
                <w:color w:val="auto"/>
              </w:rPr>
              <w:t>Conversion Option Eligibility Indicator (Y/N)</w:t>
            </w:r>
          </w:p>
        </w:tc>
        <w:tc>
          <w:tcPr>
            <w:tcW w:w="82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1500" w:type="dxa"/>
            <w:vAlign w:val="bottom"/>
            <w:tcBorders>
              <w:top w:val="single" w:sz="8" w:color="auto"/>
              <w:bottom w:val="single" w:sz="8" w:color="BFBFBF"/>
              <w:right w:val="single" w:sz="8" w:color="auto"/>
            </w:tcBorders>
            <w:gridSpan w:val="2"/>
            <w:shd w:val="clear" w:color="auto" w:fill="BFBFBF"/>
          </w:tcPr>
          <w:p>
            <w:pPr>
              <w:ind w:left="80"/>
              <w:spacing w:after="0"/>
              <w:rPr>
                <w:sz w:val="20"/>
                <w:szCs w:val="20"/>
                <w:color w:val="auto"/>
              </w:rPr>
            </w:pPr>
            <w:r>
              <w:rPr>
                <w:rFonts w:ascii="Arial" w:cs="Arial" w:eastAsia="Arial" w:hAnsi="Arial"/>
                <w:sz w:val="10"/>
                <w:szCs w:val="10"/>
                <w:color w:val="auto"/>
                <w:w w:val="94"/>
              </w:rPr>
              <w:t>Pre 1985 Part B Primary Amount</w:t>
            </w:r>
          </w:p>
        </w:tc>
        <w:tc>
          <w:tcPr>
            <w:tcW w:w="20" w:type="dxa"/>
            <w:vAlign w:val="bottom"/>
            <w:tcBorders>
              <w:top w:val="single" w:sz="8" w:color="auto"/>
              <w:bottom w:val="single" w:sz="8" w:color="BFBFBF"/>
            </w:tcBorders>
            <w:shd w:val="clear" w:color="auto" w:fill="BFBFBF"/>
          </w:tcPr>
          <w:p>
            <w:pPr>
              <w:spacing w:after="0"/>
              <w:rPr>
                <w:sz w:val="20"/>
                <w:szCs w:val="20"/>
                <w:color w:val="auto"/>
              </w:rPr>
            </w:pPr>
          </w:p>
        </w:tc>
        <w:tc>
          <w:tcPr>
            <w:tcW w:w="1480" w:type="dxa"/>
            <w:vAlign w:val="bottom"/>
            <w:tcBorders>
              <w:top w:val="single" w:sz="8" w:color="auto"/>
              <w:bottom w:val="single" w:sz="8" w:color="BFBFBF"/>
              <w:right w:val="single" w:sz="8" w:color="auto"/>
            </w:tcBorders>
            <w:gridSpan w:val="2"/>
            <w:shd w:val="clear" w:color="auto" w:fill="BFBFBF"/>
          </w:tcPr>
          <w:p>
            <w:pPr>
              <w:ind w:left="40"/>
              <w:spacing w:after="0"/>
              <w:rPr>
                <w:sz w:val="20"/>
                <w:szCs w:val="20"/>
                <w:color w:val="auto"/>
              </w:rPr>
            </w:pPr>
            <w:r>
              <w:rPr>
                <w:rFonts w:ascii="Arial" w:cs="Arial" w:eastAsia="Arial" w:hAnsi="Arial"/>
                <w:sz w:val="10"/>
                <w:szCs w:val="10"/>
                <w:color w:val="auto"/>
                <w:w w:val="93"/>
              </w:rPr>
              <w:t>Post 1985 Part B Primary Amount</w:t>
            </w:r>
          </w:p>
        </w:tc>
        <w:tc>
          <w:tcPr>
            <w:tcW w:w="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320" w:type="dxa"/>
            <w:vAlign w:val="bottom"/>
            <w:tcBorders>
              <w:right w:val="single" w:sz="8" w:color="auto"/>
            </w:tcBorders>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20" w:type="dxa"/>
            <w:vAlign w:val="bottom"/>
            <w:tcBorders>
              <w:right w:val="single" w:sz="8" w:color="auto"/>
            </w:tcBorders>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6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6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3"/>
        </w:trPr>
        <w:tc>
          <w:tcPr>
            <w:tcW w:w="2180" w:type="dxa"/>
            <w:vAlign w:val="bottom"/>
            <w:gridSpan w:val="2"/>
            <w:vMerge w:val="restart"/>
          </w:tcPr>
          <w:p>
            <w:pPr>
              <w:spacing w:after="0"/>
              <w:rPr>
                <w:sz w:val="20"/>
                <w:szCs w:val="20"/>
                <w:color w:val="auto"/>
              </w:rPr>
            </w:pPr>
            <w:r>
              <w:rPr>
                <w:rFonts w:ascii="Arial" w:cs="Arial" w:eastAsia="Arial" w:hAnsi="Arial"/>
                <w:sz w:val="10"/>
                <w:szCs w:val="10"/>
                <w:color w:val="auto"/>
              </w:rPr>
              <w:t>Covered Life Name</w:t>
            </w:r>
          </w:p>
        </w:tc>
        <w:tc>
          <w:tcPr>
            <w:tcW w:w="1360" w:type="dxa"/>
            <w:vAlign w:val="bottom"/>
            <w:gridSpan w:val="2"/>
            <w:vMerge w:val="restart"/>
          </w:tcPr>
          <w:p>
            <w:pPr>
              <w:spacing w:after="0"/>
              <w:rPr>
                <w:sz w:val="20"/>
                <w:szCs w:val="20"/>
                <w:color w:val="auto"/>
              </w:rPr>
            </w:pPr>
            <w:r>
              <w:rPr>
                <w:rFonts w:ascii="Arial" w:cs="Arial" w:eastAsia="Arial" w:hAnsi="Arial"/>
                <w:sz w:val="10"/>
                <w:szCs w:val="10"/>
                <w:color w:val="auto"/>
              </w:rPr>
              <w:t>Refund Death Benefit</w:t>
            </w:r>
          </w:p>
        </w:tc>
        <w:tc>
          <w:tcPr>
            <w:tcW w:w="1040" w:type="dxa"/>
            <w:vAlign w:val="bottom"/>
            <w:gridSpan w:val="2"/>
            <w:vMerge w:val="restart"/>
          </w:tcPr>
          <w:p>
            <w:pPr>
              <w:spacing w:after="0"/>
              <w:rPr>
                <w:sz w:val="20"/>
                <w:szCs w:val="20"/>
                <w:color w:val="auto"/>
              </w:rPr>
            </w:pPr>
            <w:r>
              <w:rPr>
                <w:rFonts w:ascii="Arial" w:cs="Arial" w:eastAsia="Arial" w:hAnsi="Arial"/>
                <w:sz w:val="10"/>
                <w:szCs w:val="10"/>
                <w:color w:val="auto"/>
              </w:rPr>
              <w:t>Disabled Age 55</w:t>
            </w:r>
          </w:p>
        </w:tc>
        <w:tc>
          <w:tcPr>
            <w:tcW w:w="1060" w:type="dxa"/>
            <w:vAlign w:val="bottom"/>
            <w:gridSpan w:val="3"/>
          </w:tcPr>
          <w:p>
            <w:pPr>
              <w:spacing w:after="0"/>
              <w:rPr>
                <w:sz w:val="20"/>
                <w:szCs w:val="20"/>
                <w:color w:val="auto"/>
              </w:rPr>
            </w:pPr>
            <w:r>
              <w:rPr>
                <w:rFonts w:ascii="Arial" w:cs="Arial" w:eastAsia="Arial" w:hAnsi="Arial"/>
                <w:sz w:val="10"/>
                <w:szCs w:val="10"/>
                <w:color w:val="auto"/>
              </w:rPr>
              <w:t>Post-Retirement</w:t>
            </w:r>
          </w:p>
        </w:tc>
        <w:tc>
          <w:tcPr>
            <w:tcW w:w="1040" w:type="dxa"/>
            <w:vAlign w:val="bottom"/>
            <w:gridSpan w:val="2"/>
            <w:vMerge w:val="restart"/>
          </w:tcPr>
          <w:p>
            <w:pPr>
              <w:spacing w:after="0"/>
              <w:rPr>
                <w:sz w:val="20"/>
                <w:szCs w:val="20"/>
                <w:color w:val="auto"/>
              </w:rPr>
            </w:pPr>
            <w:r>
              <w:rPr>
                <w:rFonts w:ascii="Arial" w:cs="Arial" w:eastAsia="Arial" w:hAnsi="Arial"/>
                <w:sz w:val="10"/>
                <w:szCs w:val="10"/>
                <w:color w:val="auto"/>
              </w:rPr>
              <w:t>Part A Basic Benefit</w:t>
            </w:r>
          </w:p>
        </w:tc>
        <w:tc>
          <w:tcPr>
            <w:tcW w:w="1500" w:type="dxa"/>
            <w:vAlign w:val="bottom"/>
            <w:gridSpan w:val="2"/>
            <w:vMerge w:val="restart"/>
          </w:tcPr>
          <w:p>
            <w:pPr>
              <w:spacing w:after="0"/>
              <w:rPr>
                <w:sz w:val="20"/>
                <w:szCs w:val="20"/>
                <w:color w:val="auto"/>
              </w:rPr>
            </w:pPr>
            <w:r>
              <w:rPr>
                <w:rFonts w:ascii="Arial" w:cs="Arial" w:eastAsia="Arial" w:hAnsi="Arial"/>
                <w:sz w:val="10"/>
                <w:szCs w:val="10"/>
                <w:color w:val="auto"/>
              </w:rPr>
              <w:t>Covered Life</w:t>
            </w:r>
          </w:p>
        </w:tc>
        <w:tc>
          <w:tcPr>
            <w:tcW w:w="1500" w:type="dxa"/>
            <w:vAlign w:val="bottom"/>
            <w:gridSpan w:val="3"/>
            <w:vMerge w:val="restart"/>
          </w:tcPr>
          <w:p>
            <w:pPr>
              <w:ind w:left="20"/>
              <w:spacing w:after="0"/>
              <w:rPr>
                <w:sz w:val="20"/>
                <w:szCs w:val="20"/>
                <w:color w:val="auto"/>
              </w:rPr>
            </w:pPr>
            <w:r>
              <w:rPr>
                <w:rFonts w:ascii="Arial" w:cs="Arial" w:eastAsia="Arial" w:hAnsi="Arial"/>
                <w:sz w:val="10"/>
                <w:szCs w:val="10"/>
                <w:color w:val="auto"/>
              </w:rPr>
              <w:t>Covered Life</w:t>
            </w:r>
          </w:p>
        </w:tc>
        <w:tc>
          <w:tcPr>
            <w:tcW w:w="1340" w:type="dxa"/>
            <w:vAlign w:val="bottom"/>
            <w:gridSpan w:val="2"/>
            <w:vMerge w:val="restart"/>
          </w:tcPr>
          <w:p>
            <w:pPr>
              <w:ind w:left="20"/>
              <w:spacing w:after="0"/>
              <w:rPr>
                <w:sz w:val="20"/>
                <w:szCs w:val="20"/>
                <w:color w:val="auto"/>
              </w:rPr>
            </w:pPr>
            <w:r>
              <w:rPr>
                <w:rFonts w:ascii="Arial" w:cs="Arial" w:eastAsia="Arial" w:hAnsi="Arial"/>
                <w:sz w:val="10"/>
                <w:szCs w:val="10"/>
                <w:color w:val="auto"/>
                <w:w w:val="91"/>
              </w:rPr>
              <w:t>Maximum Refund Death Benefit</w:t>
            </w:r>
          </w:p>
        </w:tc>
        <w:tc>
          <w:tcPr>
            <w:tcW w:w="0" w:type="dxa"/>
            <w:vAlign w:val="bottom"/>
          </w:tcPr>
          <w:p>
            <w:pPr>
              <w:spacing w:after="0"/>
              <w:rPr>
                <w:sz w:val="1"/>
                <w:szCs w:val="1"/>
                <w:color w:val="auto"/>
              </w:rPr>
            </w:pPr>
          </w:p>
        </w:tc>
      </w:tr>
      <w:tr>
        <w:trPr>
          <w:trHeight w:val="93"/>
        </w:trPr>
        <w:tc>
          <w:tcPr>
            <w:tcW w:w="2180" w:type="dxa"/>
            <w:vAlign w:val="bottom"/>
            <w:gridSpan w:val="2"/>
            <w:vMerge w:val="continue"/>
          </w:tcPr>
          <w:p>
            <w:pPr>
              <w:spacing w:after="0"/>
              <w:rPr>
                <w:sz w:val="8"/>
                <w:szCs w:val="8"/>
                <w:color w:val="auto"/>
              </w:rPr>
            </w:pPr>
          </w:p>
        </w:tc>
        <w:tc>
          <w:tcPr>
            <w:tcW w:w="1360" w:type="dxa"/>
            <w:vAlign w:val="bottom"/>
            <w:gridSpan w:val="2"/>
            <w:vMerge w:val="continue"/>
          </w:tcPr>
          <w:p>
            <w:pPr>
              <w:spacing w:after="0"/>
              <w:rPr>
                <w:sz w:val="8"/>
                <w:szCs w:val="8"/>
                <w:color w:val="auto"/>
              </w:rPr>
            </w:pPr>
          </w:p>
        </w:tc>
        <w:tc>
          <w:tcPr>
            <w:tcW w:w="1040" w:type="dxa"/>
            <w:vAlign w:val="bottom"/>
            <w:gridSpan w:val="2"/>
            <w:vMerge w:val="continue"/>
          </w:tcPr>
          <w:p>
            <w:pPr>
              <w:spacing w:after="0"/>
              <w:rPr>
                <w:sz w:val="8"/>
                <w:szCs w:val="8"/>
                <w:color w:val="auto"/>
              </w:rPr>
            </w:pPr>
          </w:p>
        </w:tc>
        <w:tc>
          <w:tcPr>
            <w:tcW w:w="640" w:type="dxa"/>
            <w:vAlign w:val="bottom"/>
            <w:tcBorders>
              <w:top w:val="single" w:sz="8" w:color="auto"/>
            </w:tcBorders>
            <w:gridSpan w:val="2"/>
          </w:tcPr>
          <w:p>
            <w:pPr>
              <w:spacing w:after="0" w:line="93" w:lineRule="exact"/>
              <w:rPr>
                <w:sz w:val="20"/>
                <w:szCs w:val="20"/>
                <w:color w:val="auto"/>
              </w:rPr>
            </w:pPr>
            <w:r>
              <w:rPr>
                <w:rFonts w:ascii="Arial" w:cs="Arial" w:eastAsia="Arial" w:hAnsi="Arial"/>
                <w:sz w:val="10"/>
                <w:szCs w:val="10"/>
                <w:color w:val="auto"/>
              </w:rPr>
              <w:t>Marriage</w:t>
            </w:r>
          </w:p>
        </w:tc>
        <w:tc>
          <w:tcPr>
            <w:tcW w:w="420" w:type="dxa"/>
            <w:vAlign w:val="bottom"/>
          </w:tcPr>
          <w:p>
            <w:pPr>
              <w:spacing w:after="0"/>
              <w:rPr>
                <w:sz w:val="8"/>
                <w:szCs w:val="8"/>
                <w:color w:val="auto"/>
              </w:rPr>
            </w:pPr>
          </w:p>
        </w:tc>
        <w:tc>
          <w:tcPr>
            <w:tcW w:w="1040" w:type="dxa"/>
            <w:vAlign w:val="bottom"/>
            <w:gridSpan w:val="2"/>
            <w:vMerge w:val="continue"/>
          </w:tcPr>
          <w:p>
            <w:pPr>
              <w:spacing w:after="0"/>
              <w:rPr>
                <w:sz w:val="8"/>
                <w:szCs w:val="8"/>
                <w:color w:val="auto"/>
              </w:rPr>
            </w:pPr>
          </w:p>
        </w:tc>
        <w:tc>
          <w:tcPr>
            <w:tcW w:w="1500" w:type="dxa"/>
            <w:vAlign w:val="bottom"/>
            <w:gridSpan w:val="2"/>
            <w:vMerge w:val="continue"/>
          </w:tcPr>
          <w:p>
            <w:pPr>
              <w:spacing w:after="0"/>
              <w:rPr>
                <w:sz w:val="8"/>
                <w:szCs w:val="8"/>
                <w:color w:val="auto"/>
              </w:rPr>
            </w:pPr>
          </w:p>
        </w:tc>
        <w:tc>
          <w:tcPr>
            <w:tcW w:w="1500" w:type="dxa"/>
            <w:vAlign w:val="bottom"/>
            <w:gridSpan w:val="3"/>
            <w:vMerge w:val="continue"/>
          </w:tcPr>
          <w:p>
            <w:pPr>
              <w:spacing w:after="0"/>
              <w:rPr>
                <w:sz w:val="8"/>
                <w:szCs w:val="8"/>
                <w:color w:val="auto"/>
              </w:rPr>
            </w:pPr>
          </w:p>
        </w:tc>
        <w:tc>
          <w:tcPr>
            <w:tcW w:w="13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86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40"/>
          </w:cols>
          <w:pgMar w:left="240" w:top="545" w:right="619" w:bottom="1440" w:gutter="0" w:footer="0" w:header="0"/>
        </w:sectPr>
      </w:pPr>
    </w:p>
    <w:bookmarkStart w:id="185" w:name="page186"/>
    <w:bookmarkEnd w:id="185"/>
    <w:p>
      <w:pPr>
        <w:spacing w:after="0"/>
        <w:rPr>
          <w:sz w:val="20"/>
          <w:szCs w:val="20"/>
          <w:color w:val="auto"/>
        </w:rPr>
      </w:pPr>
      <w:r>
        <w:rPr>
          <w:rFonts w:ascii="Arial" w:cs="Arial" w:eastAsia="Arial" w:hAnsi="Arial"/>
          <w:sz w:val="17"/>
          <w:szCs w:val="17"/>
          <w:b w:val="1"/>
          <w:bCs w:val="1"/>
          <w:color w:val="auto"/>
        </w:rPr>
        <w:t>ANNUITY EXHIBIT SAMPLE</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GA-XXXX</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Vita</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Annuitants</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Single Life and Period Certain Annuity</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Annuity Commencement Date is Month 1, 20XX</w:t>
      </w:r>
    </w:p>
    <w:p>
      <w:pPr>
        <w:spacing w:after="0" w:line="141"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860" w:type="dxa"/>
            <w:vAlign w:val="bottom"/>
            <w:vMerge w:val="restart"/>
          </w:tcPr>
          <w:p>
            <w:pPr>
              <w:spacing w:after="0"/>
              <w:rPr>
                <w:sz w:val="20"/>
                <w:szCs w:val="20"/>
                <w:color w:val="auto"/>
              </w:rPr>
            </w:pPr>
            <w:r>
              <w:rPr>
                <w:rFonts w:ascii="Arial" w:cs="Arial" w:eastAsia="Arial" w:hAnsi="Arial"/>
                <w:sz w:val="10"/>
                <w:szCs w:val="10"/>
                <w:color w:val="auto"/>
                <w:w w:val="97"/>
              </w:rPr>
              <w:t>Covered Life Name</w:t>
            </w:r>
          </w:p>
        </w:tc>
        <w:tc>
          <w:tcPr>
            <w:tcW w:w="1420" w:type="dxa"/>
            <w:vAlign w:val="bottom"/>
          </w:tcPr>
          <w:p>
            <w:pPr>
              <w:spacing w:after="0"/>
              <w:rPr>
                <w:sz w:val="10"/>
                <w:szCs w:val="10"/>
                <w:color w:val="auto"/>
              </w:rPr>
            </w:pPr>
          </w:p>
        </w:tc>
        <w:tc>
          <w:tcPr>
            <w:tcW w:w="600" w:type="dxa"/>
            <w:vAlign w:val="bottom"/>
            <w:gridSpan w:val="2"/>
          </w:tcPr>
          <w:p>
            <w:pPr>
              <w:spacing w:after="0"/>
              <w:rPr>
                <w:sz w:val="20"/>
                <w:szCs w:val="20"/>
                <w:color w:val="auto"/>
              </w:rPr>
            </w:pPr>
            <w:r>
              <w:rPr>
                <w:rFonts w:ascii="Arial" w:cs="Arial" w:eastAsia="Arial" w:hAnsi="Arial"/>
                <w:sz w:val="10"/>
                <w:szCs w:val="10"/>
                <w:color w:val="auto"/>
                <w:w w:val="87"/>
              </w:rPr>
              <w:t>Social Security</w:t>
            </w:r>
          </w:p>
        </w:tc>
        <w:tc>
          <w:tcPr>
            <w:tcW w:w="80" w:type="dxa"/>
            <w:vAlign w:val="bottom"/>
          </w:tcPr>
          <w:p>
            <w:pPr>
              <w:spacing w:after="0"/>
              <w:rPr>
                <w:sz w:val="10"/>
                <w:szCs w:val="10"/>
                <w:color w:val="auto"/>
              </w:rPr>
            </w:pPr>
          </w:p>
        </w:tc>
        <w:tc>
          <w:tcPr>
            <w:tcW w:w="960" w:type="dxa"/>
            <w:vAlign w:val="bottom"/>
            <w:gridSpan w:val="3"/>
            <w:vMerge w:val="restart"/>
          </w:tcPr>
          <w:p>
            <w:pPr>
              <w:ind w:left="80"/>
              <w:spacing w:after="0"/>
              <w:rPr>
                <w:sz w:val="20"/>
                <w:szCs w:val="20"/>
                <w:color w:val="auto"/>
              </w:rPr>
            </w:pPr>
            <w:r>
              <w:rPr>
                <w:rFonts w:ascii="Arial" w:cs="Arial" w:eastAsia="Arial" w:hAnsi="Arial"/>
                <w:sz w:val="10"/>
                <w:szCs w:val="10"/>
                <w:color w:val="auto"/>
              </w:rPr>
              <w:t>Retirement Code</w:t>
            </w:r>
          </w:p>
        </w:tc>
        <w:tc>
          <w:tcPr>
            <w:tcW w:w="860" w:type="dxa"/>
            <w:vAlign w:val="bottom"/>
            <w:gridSpan w:val="2"/>
            <w:vMerge w:val="restart"/>
          </w:tcPr>
          <w:p>
            <w:pPr>
              <w:spacing w:after="0"/>
              <w:rPr>
                <w:sz w:val="20"/>
                <w:szCs w:val="20"/>
                <w:color w:val="auto"/>
              </w:rPr>
            </w:pPr>
            <w:r>
              <w:rPr>
                <w:rFonts w:ascii="Arial" w:cs="Arial" w:eastAsia="Arial" w:hAnsi="Arial"/>
                <w:sz w:val="10"/>
                <w:szCs w:val="10"/>
                <w:color w:val="auto"/>
              </w:rPr>
              <w:t>Plan</w:t>
            </w:r>
          </w:p>
        </w:tc>
        <w:tc>
          <w:tcPr>
            <w:tcW w:w="880" w:type="dxa"/>
            <w:vAlign w:val="bottom"/>
            <w:gridSpan w:val="2"/>
            <w:vMerge w:val="restart"/>
          </w:tcPr>
          <w:p>
            <w:pPr>
              <w:spacing w:after="0"/>
              <w:rPr>
                <w:sz w:val="20"/>
                <w:szCs w:val="20"/>
                <w:color w:val="auto"/>
              </w:rPr>
            </w:pPr>
            <w:r>
              <w:rPr>
                <w:rFonts w:ascii="Arial" w:cs="Arial" w:eastAsia="Arial" w:hAnsi="Arial"/>
                <w:sz w:val="10"/>
                <w:szCs w:val="10"/>
                <w:color w:val="auto"/>
              </w:rPr>
              <w:t>Gender</w:t>
            </w:r>
          </w:p>
        </w:tc>
        <w:tc>
          <w:tcPr>
            <w:tcW w:w="700" w:type="dxa"/>
            <w:vAlign w:val="bottom"/>
            <w:gridSpan w:val="2"/>
            <w:vMerge w:val="restart"/>
          </w:tcPr>
          <w:p>
            <w:pPr>
              <w:spacing w:after="0"/>
              <w:rPr>
                <w:sz w:val="20"/>
                <w:szCs w:val="20"/>
                <w:color w:val="auto"/>
              </w:rPr>
            </w:pPr>
            <w:r>
              <w:rPr>
                <w:rFonts w:ascii="Arial" w:cs="Arial" w:eastAsia="Arial" w:hAnsi="Arial"/>
                <w:sz w:val="10"/>
                <w:szCs w:val="10"/>
                <w:color w:val="auto"/>
              </w:rPr>
              <w:t>Date of Birth</w:t>
            </w:r>
          </w:p>
        </w:tc>
        <w:tc>
          <w:tcPr>
            <w:tcW w:w="920" w:type="dxa"/>
            <w:vAlign w:val="bottom"/>
            <w:gridSpan w:val="4"/>
          </w:tcPr>
          <w:p>
            <w:pPr>
              <w:ind w:left="180"/>
              <w:spacing w:after="0"/>
              <w:rPr>
                <w:sz w:val="20"/>
                <w:szCs w:val="20"/>
                <w:color w:val="auto"/>
              </w:rPr>
            </w:pPr>
            <w:r>
              <w:rPr>
                <w:rFonts w:ascii="Arial" w:cs="Arial" w:eastAsia="Arial" w:hAnsi="Arial"/>
                <w:sz w:val="10"/>
                <w:szCs w:val="10"/>
                <w:color w:val="auto"/>
              </w:rPr>
              <w:t>Original</w:t>
            </w:r>
          </w:p>
        </w:tc>
        <w:tc>
          <w:tcPr>
            <w:tcW w:w="1140" w:type="dxa"/>
            <w:vAlign w:val="bottom"/>
            <w:gridSpan w:val="4"/>
          </w:tcPr>
          <w:p>
            <w:pPr>
              <w:ind w:left="80"/>
              <w:spacing w:after="0"/>
              <w:rPr>
                <w:sz w:val="20"/>
                <w:szCs w:val="20"/>
                <w:color w:val="auto"/>
              </w:rPr>
            </w:pPr>
            <w:r>
              <w:rPr>
                <w:rFonts w:ascii="Arial" w:cs="Arial" w:eastAsia="Arial" w:hAnsi="Arial"/>
                <w:sz w:val="10"/>
                <w:szCs w:val="10"/>
                <w:color w:val="auto"/>
              </w:rPr>
              <w:t>Guaranteed Number of</w:t>
            </w:r>
          </w:p>
        </w:tc>
        <w:tc>
          <w:tcPr>
            <w:tcW w:w="720" w:type="dxa"/>
            <w:vAlign w:val="bottom"/>
            <w:gridSpan w:val="3"/>
          </w:tcPr>
          <w:p>
            <w:pPr>
              <w:spacing w:after="0"/>
              <w:rPr>
                <w:sz w:val="20"/>
                <w:szCs w:val="20"/>
                <w:color w:val="auto"/>
              </w:rPr>
            </w:pPr>
            <w:r>
              <w:rPr>
                <w:rFonts w:ascii="Arial" w:cs="Arial" w:eastAsia="Arial" w:hAnsi="Arial"/>
                <w:sz w:val="10"/>
                <w:szCs w:val="10"/>
                <w:color w:val="auto"/>
              </w:rPr>
              <w:t>Contingent Life</w:t>
            </w:r>
          </w:p>
        </w:tc>
        <w:tc>
          <w:tcPr>
            <w:tcW w:w="1300" w:type="dxa"/>
            <w:vAlign w:val="bottom"/>
            <w:gridSpan w:val="3"/>
          </w:tcPr>
          <w:p>
            <w:pPr>
              <w:spacing w:after="0"/>
              <w:rPr>
                <w:sz w:val="20"/>
                <w:szCs w:val="20"/>
                <w:color w:val="auto"/>
              </w:rPr>
            </w:pPr>
            <w:r>
              <w:rPr>
                <w:rFonts w:ascii="Arial" w:cs="Arial" w:eastAsia="Arial" w:hAnsi="Arial"/>
                <w:sz w:val="10"/>
                <w:szCs w:val="10"/>
                <w:color w:val="auto"/>
              </w:rPr>
              <w:t>Contingent Life Social</w:t>
            </w:r>
          </w:p>
        </w:tc>
        <w:tc>
          <w:tcPr>
            <w:tcW w:w="540" w:type="dxa"/>
            <w:vAlign w:val="bottom"/>
            <w:gridSpan w:val="3"/>
          </w:tcPr>
          <w:p>
            <w:pPr>
              <w:spacing w:after="0"/>
              <w:rPr>
                <w:sz w:val="20"/>
                <w:szCs w:val="20"/>
                <w:color w:val="auto"/>
              </w:rPr>
            </w:pPr>
            <w:r>
              <w:rPr>
                <w:rFonts w:ascii="Arial" w:cs="Arial" w:eastAsia="Arial" w:hAnsi="Arial"/>
                <w:sz w:val="10"/>
                <w:szCs w:val="10"/>
                <w:color w:val="auto"/>
                <w:w w:val="91"/>
              </w:rPr>
              <w:t>Covered Life</w:t>
            </w:r>
          </w:p>
        </w:tc>
        <w:tc>
          <w:tcPr>
            <w:tcW w:w="0" w:type="dxa"/>
            <w:vAlign w:val="bottom"/>
          </w:tcPr>
          <w:p>
            <w:pPr>
              <w:spacing w:after="0"/>
              <w:rPr>
                <w:sz w:val="1"/>
                <w:szCs w:val="1"/>
                <w:color w:val="auto"/>
              </w:rPr>
            </w:pPr>
          </w:p>
        </w:tc>
      </w:tr>
      <w:tr>
        <w:trPr>
          <w:trHeight w:val="20"/>
        </w:trPr>
        <w:tc>
          <w:tcPr>
            <w:tcW w:w="860" w:type="dxa"/>
            <w:vAlign w:val="bottom"/>
            <w:vMerge w:val="continue"/>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960" w:type="dxa"/>
            <w:vAlign w:val="bottom"/>
            <w:gridSpan w:val="3"/>
            <w:vMerge w:val="continue"/>
          </w:tcPr>
          <w:p>
            <w:pPr>
              <w:spacing w:after="0" w:line="20" w:lineRule="exact"/>
              <w:rPr>
                <w:sz w:val="1"/>
                <w:szCs w:val="1"/>
                <w:color w:val="auto"/>
              </w:rPr>
            </w:pPr>
          </w:p>
        </w:tc>
        <w:tc>
          <w:tcPr>
            <w:tcW w:w="860" w:type="dxa"/>
            <w:vAlign w:val="bottom"/>
            <w:gridSpan w:val="2"/>
            <w:vMerge w:val="continue"/>
          </w:tcPr>
          <w:p>
            <w:pPr>
              <w:spacing w:after="0" w:line="20" w:lineRule="exact"/>
              <w:rPr>
                <w:sz w:val="1"/>
                <w:szCs w:val="1"/>
                <w:color w:val="auto"/>
              </w:rPr>
            </w:pPr>
          </w:p>
        </w:tc>
        <w:tc>
          <w:tcPr>
            <w:tcW w:w="880" w:type="dxa"/>
            <w:vAlign w:val="bottom"/>
            <w:gridSpan w:val="2"/>
            <w:vMerge w:val="continue"/>
          </w:tcPr>
          <w:p>
            <w:pPr>
              <w:spacing w:after="0" w:line="20" w:lineRule="exact"/>
              <w:rPr>
                <w:sz w:val="1"/>
                <w:szCs w:val="1"/>
                <w:color w:val="auto"/>
              </w:rPr>
            </w:pPr>
          </w:p>
        </w:tc>
        <w:tc>
          <w:tcPr>
            <w:tcW w:w="700" w:type="dxa"/>
            <w:vAlign w:val="bottom"/>
            <w:gridSpan w:val="2"/>
            <w:vMerge w:val="continue"/>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860" w:type="dxa"/>
            <w:vAlign w:val="bottom"/>
            <w:vMerge w:val="continue"/>
          </w:tcPr>
          <w:p>
            <w:pPr>
              <w:spacing w:after="0"/>
              <w:rPr>
                <w:sz w:val="8"/>
                <w:szCs w:val="8"/>
                <w:color w:val="auto"/>
              </w:rPr>
            </w:pPr>
          </w:p>
        </w:tc>
        <w:tc>
          <w:tcPr>
            <w:tcW w:w="1420" w:type="dxa"/>
            <w:vAlign w:val="bottom"/>
          </w:tcPr>
          <w:p>
            <w:pPr>
              <w:spacing w:after="0"/>
              <w:rPr>
                <w:sz w:val="8"/>
                <w:szCs w:val="8"/>
                <w:color w:val="auto"/>
              </w:rPr>
            </w:pPr>
          </w:p>
        </w:tc>
        <w:tc>
          <w:tcPr>
            <w:tcW w:w="320" w:type="dxa"/>
            <w:vAlign w:val="bottom"/>
          </w:tcPr>
          <w:p>
            <w:pPr>
              <w:spacing w:after="0" w:line="93" w:lineRule="exact"/>
              <w:rPr>
                <w:sz w:val="20"/>
                <w:szCs w:val="20"/>
                <w:color w:val="auto"/>
              </w:rPr>
            </w:pPr>
            <w:r>
              <w:rPr>
                <w:rFonts w:ascii="Arial" w:cs="Arial" w:eastAsia="Arial" w:hAnsi="Arial"/>
                <w:sz w:val="10"/>
                <w:szCs w:val="10"/>
                <w:color w:val="auto"/>
                <w:w w:val="84"/>
              </w:rPr>
              <w:t>Number</w:t>
            </w:r>
          </w:p>
        </w:tc>
        <w:tc>
          <w:tcPr>
            <w:tcW w:w="280" w:type="dxa"/>
            <w:vAlign w:val="bottom"/>
          </w:tcPr>
          <w:p>
            <w:pPr>
              <w:spacing w:after="0"/>
              <w:rPr>
                <w:sz w:val="8"/>
                <w:szCs w:val="8"/>
                <w:color w:val="auto"/>
              </w:rPr>
            </w:pPr>
          </w:p>
        </w:tc>
        <w:tc>
          <w:tcPr>
            <w:tcW w:w="80" w:type="dxa"/>
            <w:vAlign w:val="bottom"/>
            <w:vMerge w:val="continue"/>
          </w:tcPr>
          <w:p>
            <w:pPr>
              <w:spacing w:after="0"/>
              <w:rPr>
                <w:sz w:val="8"/>
                <w:szCs w:val="8"/>
                <w:color w:val="auto"/>
              </w:rPr>
            </w:pPr>
          </w:p>
        </w:tc>
        <w:tc>
          <w:tcPr>
            <w:tcW w:w="960" w:type="dxa"/>
            <w:vAlign w:val="bottom"/>
            <w:gridSpan w:val="3"/>
            <w:vMerge w:val="continue"/>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880" w:type="dxa"/>
            <w:vAlign w:val="bottom"/>
            <w:gridSpan w:val="2"/>
            <w:vMerge w:val="continue"/>
          </w:tcPr>
          <w:p>
            <w:pPr>
              <w:spacing w:after="0"/>
              <w:rPr>
                <w:sz w:val="8"/>
                <w:szCs w:val="8"/>
                <w:color w:val="auto"/>
              </w:rPr>
            </w:pPr>
          </w:p>
        </w:tc>
        <w:tc>
          <w:tcPr>
            <w:tcW w:w="700" w:type="dxa"/>
            <w:vAlign w:val="bottom"/>
            <w:gridSpan w:val="2"/>
            <w:vMerge w:val="continue"/>
          </w:tcPr>
          <w:p>
            <w:pPr>
              <w:spacing w:after="0"/>
              <w:rPr>
                <w:sz w:val="8"/>
                <w:szCs w:val="8"/>
                <w:color w:val="auto"/>
              </w:rPr>
            </w:pPr>
          </w:p>
        </w:tc>
        <w:tc>
          <w:tcPr>
            <w:tcW w:w="180" w:type="dxa"/>
            <w:vAlign w:val="bottom"/>
            <w:vMerge w:val="continue"/>
          </w:tcPr>
          <w:p>
            <w:pPr>
              <w:spacing w:after="0"/>
              <w:rPr>
                <w:sz w:val="8"/>
                <w:szCs w:val="8"/>
                <w:color w:val="auto"/>
              </w:rPr>
            </w:pPr>
          </w:p>
        </w:tc>
        <w:tc>
          <w:tcPr>
            <w:tcW w:w="740" w:type="dxa"/>
            <w:vAlign w:val="bottom"/>
            <w:gridSpan w:val="3"/>
          </w:tcPr>
          <w:p>
            <w:pPr>
              <w:spacing w:after="0" w:line="93" w:lineRule="exact"/>
              <w:rPr>
                <w:sz w:val="20"/>
                <w:szCs w:val="20"/>
                <w:color w:val="auto"/>
              </w:rPr>
            </w:pPr>
            <w:r>
              <w:rPr>
                <w:rFonts w:ascii="Arial" w:cs="Arial" w:eastAsia="Arial" w:hAnsi="Arial"/>
                <w:sz w:val="10"/>
                <w:szCs w:val="10"/>
                <w:color w:val="auto"/>
                <w:w w:val="98"/>
              </w:rPr>
              <w:t>Retirement Date</w:t>
            </w:r>
          </w:p>
        </w:tc>
        <w:tc>
          <w:tcPr>
            <w:tcW w:w="80" w:type="dxa"/>
            <w:vAlign w:val="bottom"/>
            <w:vMerge w:val="continue"/>
          </w:tcPr>
          <w:p>
            <w:pPr>
              <w:spacing w:after="0"/>
              <w:rPr>
                <w:sz w:val="8"/>
                <w:szCs w:val="8"/>
                <w:color w:val="auto"/>
              </w:rPr>
            </w:pPr>
          </w:p>
        </w:tc>
        <w:tc>
          <w:tcPr>
            <w:tcW w:w="920" w:type="dxa"/>
            <w:vAlign w:val="bottom"/>
            <w:gridSpan w:val="2"/>
          </w:tcPr>
          <w:p>
            <w:pPr>
              <w:spacing w:after="0" w:line="93" w:lineRule="exact"/>
              <w:rPr>
                <w:sz w:val="20"/>
                <w:szCs w:val="20"/>
                <w:color w:val="auto"/>
              </w:rPr>
            </w:pPr>
            <w:r>
              <w:rPr>
                <w:rFonts w:ascii="Arial" w:cs="Arial" w:eastAsia="Arial" w:hAnsi="Arial"/>
                <w:sz w:val="10"/>
                <w:szCs w:val="10"/>
                <w:color w:val="auto"/>
              </w:rPr>
              <w:t>Payments</w:t>
            </w:r>
          </w:p>
        </w:tc>
        <w:tc>
          <w:tcPr>
            <w:tcW w:w="140" w:type="dxa"/>
            <w:vAlign w:val="bottom"/>
            <w:vMerge w:val="continue"/>
          </w:tcPr>
          <w:p>
            <w:pPr>
              <w:spacing w:after="0"/>
              <w:rPr>
                <w:sz w:val="8"/>
                <w:szCs w:val="8"/>
                <w:color w:val="auto"/>
              </w:rPr>
            </w:pPr>
          </w:p>
        </w:tc>
        <w:tc>
          <w:tcPr>
            <w:tcW w:w="640" w:type="dxa"/>
            <w:vAlign w:val="bottom"/>
            <w:gridSpan w:val="2"/>
          </w:tcPr>
          <w:p>
            <w:pPr>
              <w:spacing w:after="0" w:line="93" w:lineRule="exact"/>
              <w:rPr>
                <w:sz w:val="20"/>
                <w:szCs w:val="20"/>
                <w:color w:val="auto"/>
              </w:rPr>
            </w:pPr>
            <w:r>
              <w:rPr>
                <w:rFonts w:ascii="Arial" w:cs="Arial" w:eastAsia="Arial" w:hAnsi="Arial"/>
                <w:sz w:val="10"/>
                <w:szCs w:val="10"/>
                <w:color w:val="auto"/>
              </w:rPr>
              <w:t>Name</w:t>
            </w:r>
          </w:p>
        </w:tc>
        <w:tc>
          <w:tcPr>
            <w:tcW w:w="80" w:type="dxa"/>
            <w:vAlign w:val="bottom"/>
            <w:vMerge w:val="continue"/>
          </w:tcPr>
          <w:p>
            <w:pPr>
              <w:spacing w:after="0"/>
              <w:rPr>
                <w:sz w:val="8"/>
                <w:szCs w:val="8"/>
                <w:color w:val="auto"/>
              </w:rPr>
            </w:pPr>
          </w:p>
        </w:tc>
        <w:tc>
          <w:tcPr>
            <w:tcW w:w="920" w:type="dxa"/>
            <w:vAlign w:val="bottom"/>
            <w:gridSpan w:val="2"/>
          </w:tcPr>
          <w:p>
            <w:pPr>
              <w:spacing w:after="0" w:line="93" w:lineRule="exact"/>
              <w:rPr>
                <w:sz w:val="20"/>
                <w:szCs w:val="20"/>
                <w:color w:val="auto"/>
              </w:rPr>
            </w:pPr>
            <w:r>
              <w:rPr>
                <w:rFonts w:ascii="Arial" w:cs="Arial" w:eastAsia="Arial" w:hAnsi="Arial"/>
                <w:sz w:val="10"/>
                <w:szCs w:val="10"/>
                <w:color w:val="auto"/>
              </w:rPr>
              <w:t>Security Number</w:t>
            </w:r>
          </w:p>
        </w:tc>
        <w:tc>
          <w:tcPr>
            <w:tcW w:w="380" w:type="dxa"/>
            <w:vAlign w:val="bottom"/>
            <w:vMerge w:val="continue"/>
          </w:tcPr>
          <w:p>
            <w:pPr>
              <w:spacing w:after="0"/>
              <w:rPr>
                <w:sz w:val="8"/>
                <w:szCs w:val="8"/>
                <w:color w:val="auto"/>
              </w:rPr>
            </w:pPr>
          </w:p>
        </w:tc>
        <w:tc>
          <w:tcPr>
            <w:tcW w:w="520" w:type="dxa"/>
            <w:vAlign w:val="bottom"/>
            <w:gridSpan w:val="2"/>
          </w:tcPr>
          <w:p>
            <w:pPr>
              <w:spacing w:after="0" w:line="93" w:lineRule="exact"/>
              <w:rPr>
                <w:sz w:val="20"/>
                <w:szCs w:val="20"/>
                <w:color w:val="auto"/>
              </w:rPr>
            </w:pPr>
            <w:r>
              <w:rPr>
                <w:rFonts w:ascii="Arial" w:cs="Arial" w:eastAsia="Arial" w:hAnsi="Arial"/>
                <w:sz w:val="10"/>
                <w:szCs w:val="10"/>
                <w:color w:val="auto"/>
              </w:rPr>
              <w:t>Amount</w:t>
            </w:r>
          </w:p>
        </w:tc>
        <w:tc>
          <w:tcPr>
            <w:tcW w:w="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860" w:type="dxa"/>
            <w:vAlign w:val="bottom"/>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980"/>
          </w:cols>
          <w:pgMar w:left="240" w:top="545" w:right="679" w:bottom="1440" w:gutter="0" w:footer="0" w:header="0"/>
        </w:sectPr>
      </w:pPr>
    </w:p>
    <w:bookmarkStart w:id="186" w:name="page187"/>
    <w:bookmarkEnd w:id="186"/>
    <w:p>
      <w:pPr>
        <w:spacing w:after="0"/>
        <w:rPr>
          <w:sz w:val="20"/>
          <w:szCs w:val="20"/>
          <w:color w:val="auto"/>
        </w:rPr>
      </w:pPr>
      <w:r>
        <w:rPr>
          <w:rFonts w:ascii="Arial" w:cs="Arial" w:eastAsia="Arial" w:hAnsi="Arial"/>
          <w:sz w:val="17"/>
          <w:szCs w:val="17"/>
          <w:b w:val="1"/>
          <w:bCs w:val="1"/>
          <w:color w:val="auto"/>
        </w:rPr>
        <w:t>ANNUITY EXHIBIT SAMPLE</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GA-XXXX</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Vita</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Annuitants</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Period Certain Annuity</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Annuity Commencement Date is Month 1, 20XX</w:t>
      </w:r>
    </w:p>
    <w:p>
      <w:pPr>
        <w:spacing w:after="0" w:line="141"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860" w:type="dxa"/>
            <w:vAlign w:val="bottom"/>
            <w:vMerge w:val="restart"/>
          </w:tcPr>
          <w:p>
            <w:pPr>
              <w:spacing w:after="0"/>
              <w:rPr>
                <w:sz w:val="20"/>
                <w:szCs w:val="20"/>
                <w:color w:val="auto"/>
              </w:rPr>
            </w:pPr>
            <w:r>
              <w:rPr>
                <w:rFonts w:ascii="Arial" w:cs="Arial" w:eastAsia="Arial" w:hAnsi="Arial"/>
                <w:sz w:val="10"/>
                <w:szCs w:val="10"/>
                <w:color w:val="auto"/>
                <w:w w:val="97"/>
              </w:rPr>
              <w:t>Covered Life Name</w:t>
            </w:r>
          </w:p>
        </w:tc>
        <w:tc>
          <w:tcPr>
            <w:tcW w:w="1420" w:type="dxa"/>
            <w:vAlign w:val="bottom"/>
          </w:tcPr>
          <w:p>
            <w:pPr>
              <w:spacing w:after="0"/>
              <w:rPr>
                <w:sz w:val="10"/>
                <w:szCs w:val="10"/>
                <w:color w:val="auto"/>
              </w:rPr>
            </w:pPr>
          </w:p>
        </w:tc>
        <w:tc>
          <w:tcPr>
            <w:tcW w:w="600" w:type="dxa"/>
            <w:vAlign w:val="bottom"/>
            <w:gridSpan w:val="2"/>
          </w:tcPr>
          <w:p>
            <w:pPr>
              <w:spacing w:after="0"/>
              <w:rPr>
                <w:sz w:val="20"/>
                <w:szCs w:val="20"/>
                <w:color w:val="auto"/>
              </w:rPr>
            </w:pPr>
            <w:r>
              <w:rPr>
                <w:rFonts w:ascii="Arial" w:cs="Arial" w:eastAsia="Arial" w:hAnsi="Arial"/>
                <w:sz w:val="10"/>
                <w:szCs w:val="10"/>
                <w:color w:val="auto"/>
                <w:w w:val="87"/>
              </w:rPr>
              <w:t>Social Security</w:t>
            </w:r>
          </w:p>
        </w:tc>
        <w:tc>
          <w:tcPr>
            <w:tcW w:w="80" w:type="dxa"/>
            <w:vAlign w:val="bottom"/>
          </w:tcPr>
          <w:p>
            <w:pPr>
              <w:spacing w:after="0"/>
              <w:rPr>
                <w:sz w:val="10"/>
                <w:szCs w:val="10"/>
                <w:color w:val="auto"/>
              </w:rPr>
            </w:pPr>
          </w:p>
        </w:tc>
        <w:tc>
          <w:tcPr>
            <w:tcW w:w="960" w:type="dxa"/>
            <w:vAlign w:val="bottom"/>
            <w:gridSpan w:val="3"/>
            <w:vMerge w:val="restart"/>
          </w:tcPr>
          <w:p>
            <w:pPr>
              <w:ind w:left="80"/>
              <w:spacing w:after="0"/>
              <w:rPr>
                <w:sz w:val="20"/>
                <w:szCs w:val="20"/>
                <w:color w:val="auto"/>
              </w:rPr>
            </w:pPr>
            <w:r>
              <w:rPr>
                <w:rFonts w:ascii="Arial" w:cs="Arial" w:eastAsia="Arial" w:hAnsi="Arial"/>
                <w:sz w:val="10"/>
                <w:szCs w:val="10"/>
                <w:color w:val="auto"/>
              </w:rPr>
              <w:t>Retirement Code</w:t>
            </w:r>
          </w:p>
        </w:tc>
        <w:tc>
          <w:tcPr>
            <w:tcW w:w="860" w:type="dxa"/>
            <w:vAlign w:val="bottom"/>
            <w:gridSpan w:val="2"/>
            <w:vMerge w:val="restart"/>
          </w:tcPr>
          <w:p>
            <w:pPr>
              <w:spacing w:after="0"/>
              <w:rPr>
                <w:sz w:val="20"/>
                <w:szCs w:val="20"/>
                <w:color w:val="auto"/>
              </w:rPr>
            </w:pPr>
            <w:r>
              <w:rPr>
                <w:rFonts w:ascii="Arial" w:cs="Arial" w:eastAsia="Arial" w:hAnsi="Arial"/>
                <w:sz w:val="10"/>
                <w:szCs w:val="10"/>
                <w:color w:val="auto"/>
              </w:rPr>
              <w:t>Plan</w:t>
            </w:r>
          </w:p>
        </w:tc>
        <w:tc>
          <w:tcPr>
            <w:tcW w:w="880" w:type="dxa"/>
            <w:vAlign w:val="bottom"/>
            <w:gridSpan w:val="2"/>
            <w:vMerge w:val="restart"/>
          </w:tcPr>
          <w:p>
            <w:pPr>
              <w:spacing w:after="0"/>
              <w:rPr>
                <w:sz w:val="20"/>
                <w:szCs w:val="20"/>
                <w:color w:val="auto"/>
              </w:rPr>
            </w:pPr>
            <w:r>
              <w:rPr>
                <w:rFonts w:ascii="Arial" w:cs="Arial" w:eastAsia="Arial" w:hAnsi="Arial"/>
                <w:sz w:val="10"/>
                <w:szCs w:val="10"/>
                <w:color w:val="auto"/>
              </w:rPr>
              <w:t>Gender</w:t>
            </w:r>
          </w:p>
        </w:tc>
        <w:tc>
          <w:tcPr>
            <w:tcW w:w="700" w:type="dxa"/>
            <w:vAlign w:val="bottom"/>
            <w:gridSpan w:val="2"/>
            <w:vMerge w:val="restart"/>
          </w:tcPr>
          <w:p>
            <w:pPr>
              <w:spacing w:after="0"/>
              <w:rPr>
                <w:sz w:val="20"/>
                <w:szCs w:val="20"/>
                <w:color w:val="auto"/>
              </w:rPr>
            </w:pPr>
            <w:r>
              <w:rPr>
                <w:rFonts w:ascii="Arial" w:cs="Arial" w:eastAsia="Arial" w:hAnsi="Arial"/>
                <w:sz w:val="10"/>
                <w:szCs w:val="10"/>
                <w:color w:val="auto"/>
              </w:rPr>
              <w:t>Date of Birth</w:t>
            </w:r>
          </w:p>
        </w:tc>
        <w:tc>
          <w:tcPr>
            <w:tcW w:w="920" w:type="dxa"/>
            <w:vAlign w:val="bottom"/>
            <w:gridSpan w:val="4"/>
          </w:tcPr>
          <w:p>
            <w:pPr>
              <w:ind w:left="180"/>
              <w:spacing w:after="0"/>
              <w:rPr>
                <w:sz w:val="20"/>
                <w:szCs w:val="20"/>
                <w:color w:val="auto"/>
              </w:rPr>
            </w:pPr>
            <w:r>
              <w:rPr>
                <w:rFonts w:ascii="Arial" w:cs="Arial" w:eastAsia="Arial" w:hAnsi="Arial"/>
                <w:sz w:val="10"/>
                <w:szCs w:val="10"/>
                <w:color w:val="auto"/>
              </w:rPr>
              <w:t>Original</w:t>
            </w:r>
          </w:p>
        </w:tc>
        <w:tc>
          <w:tcPr>
            <w:tcW w:w="1140" w:type="dxa"/>
            <w:vAlign w:val="bottom"/>
            <w:gridSpan w:val="4"/>
          </w:tcPr>
          <w:p>
            <w:pPr>
              <w:ind w:left="80"/>
              <w:spacing w:after="0"/>
              <w:rPr>
                <w:sz w:val="20"/>
                <w:szCs w:val="20"/>
                <w:color w:val="auto"/>
              </w:rPr>
            </w:pPr>
            <w:r>
              <w:rPr>
                <w:rFonts w:ascii="Arial" w:cs="Arial" w:eastAsia="Arial" w:hAnsi="Arial"/>
                <w:sz w:val="10"/>
                <w:szCs w:val="10"/>
                <w:color w:val="auto"/>
              </w:rPr>
              <w:t>Guaranteed Number of</w:t>
            </w:r>
          </w:p>
        </w:tc>
        <w:tc>
          <w:tcPr>
            <w:tcW w:w="720" w:type="dxa"/>
            <w:vAlign w:val="bottom"/>
            <w:gridSpan w:val="3"/>
          </w:tcPr>
          <w:p>
            <w:pPr>
              <w:spacing w:after="0"/>
              <w:rPr>
                <w:sz w:val="20"/>
                <w:szCs w:val="20"/>
                <w:color w:val="auto"/>
              </w:rPr>
            </w:pPr>
            <w:r>
              <w:rPr>
                <w:rFonts w:ascii="Arial" w:cs="Arial" w:eastAsia="Arial" w:hAnsi="Arial"/>
                <w:sz w:val="10"/>
                <w:szCs w:val="10"/>
                <w:color w:val="auto"/>
              </w:rPr>
              <w:t>Contingent Life</w:t>
            </w:r>
          </w:p>
        </w:tc>
        <w:tc>
          <w:tcPr>
            <w:tcW w:w="1300" w:type="dxa"/>
            <w:vAlign w:val="bottom"/>
            <w:gridSpan w:val="3"/>
          </w:tcPr>
          <w:p>
            <w:pPr>
              <w:spacing w:after="0"/>
              <w:rPr>
                <w:sz w:val="20"/>
                <w:szCs w:val="20"/>
                <w:color w:val="auto"/>
              </w:rPr>
            </w:pPr>
            <w:r>
              <w:rPr>
                <w:rFonts w:ascii="Arial" w:cs="Arial" w:eastAsia="Arial" w:hAnsi="Arial"/>
                <w:sz w:val="10"/>
                <w:szCs w:val="10"/>
                <w:color w:val="auto"/>
              </w:rPr>
              <w:t>Contingent Life Social</w:t>
            </w:r>
          </w:p>
        </w:tc>
        <w:tc>
          <w:tcPr>
            <w:tcW w:w="540" w:type="dxa"/>
            <w:vAlign w:val="bottom"/>
            <w:gridSpan w:val="3"/>
          </w:tcPr>
          <w:p>
            <w:pPr>
              <w:spacing w:after="0"/>
              <w:rPr>
                <w:sz w:val="20"/>
                <w:szCs w:val="20"/>
                <w:color w:val="auto"/>
              </w:rPr>
            </w:pPr>
            <w:r>
              <w:rPr>
                <w:rFonts w:ascii="Arial" w:cs="Arial" w:eastAsia="Arial" w:hAnsi="Arial"/>
                <w:sz w:val="10"/>
                <w:szCs w:val="10"/>
                <w:color w:val="auto"/>
                <w:w w:val="91"/>
              </w:rPr>
              <w:t>Covered Life</w:t>
            </w:r>
          </w:p>
        </w:tc>
        <w:tc>
          <w:tcPr>
            <w:tcW w:w="0" w:type="dxa"/>
            <w:vAlign w:val="bottom"/>
          </w:tcPr>
          <w:p>
            <w:pPr>
              <w:spacing w:after="0"/>
              <w:rPr>
                <w:sz w:val="1"/>
                <w:szCs w:val="1"/>
                <w:color w:val="auto"/>
              </w:rPr>
            </w:pPr>
          </w:p>
        </w:tc>
      </w:tr>
      <w:tr>
        <w:trPr>
          <w:trHeight w:val="20"/>
        </w:trPr>
        <w:tc>
          <w:tcPr>
            <w:tcW w:w="860" w:type="dxa"/>
            <w:vAlign w:val="bottom"/>
            <w:vMerge w:val="continue"/>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960" w:type="dxa"/>
            <w:vAlign w:val="bottom"/>
            <w:gridSpan w:val="3"/>
            <w:vMerge w:val="continue"/>
          </w:tcPr>
          <w:p>
            <w:pPr>
              <w:spacing w:after="0" w:line="20" w:lineRule="exact"/>
              <w:rPr>
                <w:sz w:val="1"/>
                <w:szCs w:val="1"/>
                <w:color w:val="auto"/>
              </w:rPr>
            </w:pPr>
          </w:p>
        </w:tc>
        <w:tc>
          <w:tcPr>
            <w:tcW w:w="860" w:type="dxa"/>
            <w:vAlign w:val="bottom"/>
            <w:gridSpan w:val="2"/>
            <w:vMerge w:val="continue"/>
          </w:tcPr>
          <w:p>
            <w:pPr>
              <w:spacing w:after="0" w:line="20" w:lineRule="exact"/>
              <w:rPr>
                <w:sz w:val="1"/>
                <w:szCs w:val="1"/>
                <w:color w:val="auto"/>
              </w:rPr>
            </w:pPr>
          </w:p>
        </w:tc>
        <w:tc>
          <w:tcPr>
            <w:tcW w:w="880" w:type="dxa"/>
            <w:vAlign w:val="bottom"/>
            <w:gridSpan w:val="2"/>
            <w:vMerge w:val="continue"/>
          </w:tcPr>
          <w:p>
            <w:pPr>
              <w:spacing w:after="0" w:line="20" w:lineRule="exact"/>
              <w:rPr>
                <w:sz w:val="1"/>
                <w:szCs w:val="1"/>
                <w:color w:val="auto"/>
              </w:rPr>
            </w:pPr>
          </w:p>
        </w:tc>
        <w:tc>
          <w:tcPr>
            <w:tcW w:w="700" w:type="dxa"/>
            <w:vAlign w:val="bottom"/>
            <w:gridSpan w:val="2"/>
            <w:vMerge w:val="continue"/>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860" w:type="dxa"/>
            <w:vAlign w:val="bottom"/>
            <w:vMerge w:val="continue"/>
          </w:tcPr>
          <w:p>
            <w:pPr>
              <w:spacing w:after="0"/>
              <w:rPr>
                <w:sz w:val="8"/>
                <w:szCs w:val="8"/>
                <w:color w:val="auto"/>
              </w:rPr>
            </w:pPr>
          </w:p>
        </w:tc>
        <w:tc>
          <w:tcPr>
            <w:tcW w:w="1420" w:type="dxa"/>
            <w:vAlign w:val="bottom"/>
          </w:tcPr>
          <w:p>
            <w:pPr>
              <w:spacing w:after="0"/>
              <w:rPr>
                <w:sz w:val="8"/>
                <w:szCs w:val="8"/>
                <w:color w:val="auto"/>
              </w:rPr>
            </w:pPr>
          </w:p>
        </w:tc>
        <w:tc>
          <w:tcPr>
            <w:tcW w:w="320" w:type="dxa"/>
            <w:vAlign w:val="bottom"/>
          </w:tcPr>
          <w:p>
            <w:pPr>
              <w:spacing w:after="0" w:line="93" w:lineRule="exact"/>
              <w:rPr>
                <w:sz w:val="20"/>
                <w:szCs w:val="20"/>
                <w:color w:val="auto"/>
              </w:rPr>
            </w:pPr>
            <w:r>
              <w:rPr>
                <w:rFonts w:ascii="Arial" w:cs="Arial" w:eastAsia="Arial" w:hAnsi="Arial"/>
                <w:sz w:val="10"/>
                <w:szCs w:val="10"/>
                <w:color w:val="auto"/>
                <w:w w:val="84"/>
              </w:rPr>
              <w:t>Number</w:t>
            </w:r>
          </w:p>
        </w:tc>
        <w:tc>
          <w:tcPr>
            <w:tcW w:w="280" w:type="dxa"/>
            <w:vAlign w:val="bottom"/>
          </w:tcPr>
          <w:p>
            <w:pPr>
              <w:spacing w:after="0"/>
              <w:rPr>
                <w:sz w:val="8"/>
                <w:szCs w:val="8"/>
                <w:color w:val="auto"/>
              </w:rPr>
            </w:pPr>
          </w:p>
        </w:tc>
        <w:tc>
          <w:tcPr>
            <w:tcW w:w="80" w:type="dxa"/>
            <w:vAlign w:val="bottom"/>
            <w:vMerge w:val="continue"/>
          </w:tcPr>
          <w:p>
            <w:pPr>
              <w:spacing w:after="0"/>
              <w:rPr>
                <w:sz w:val="8"/>
                <w:szCs w:val="8"/>
                <w:color w:val="auto"/>
              </w:rPr>
            </w:pPr>
          </w:p>
        </w:tc>
        <w:tc>
          <w:tcPr>
            <w:tcW w:w="960" w:type="dxa"/>
            <w:vAlign w:val="bottom"/>
            <w:gridSpan w:val="3"/>
            <w:vMerge w:val="continue"/>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880" w:type="dxa"/>
            <w:vAlign w:val="bottom"/>
            <w:gridSpan w:val="2"/>
            <w:vMerge w:val="continue"/>
          </w:tcPr>
          <w:p>
            <w:pPr>
              <w:spacing w:after="0"/>
              <w:rPr>
                <w:sz w:val="8"/>
                <w:szCs w:val="8"/>
                <w:color w:val="auto"/>
              </w:rPr>
            </w:pPr>
          </w:p>
        </w:tc>
        <w:tc>
          <w:tcPr>
            <w:tcW w:w="700" w:type="dxa"/>
            <w:vAlign w:val="bottom"/>
            <w:gridSpan w:val="2"/>
            <w:vMerge w:val="continue"/>
          </w:tcPr>
          <w:p>
            <w:pPr>
              <w:spacing w:after="0"/>
              <w:rPr>
                <w:sz w:val="8"/>
                <w:szCs w:val="8"/>
                <w:color w:val="auto"/>
              </w:rPr>
            </w:pPr>
          </w:p>
        </w:tc>
        <w:tc>
          <w:tcPr>
            <w:tcW w:w="180" w:type="dxa"/>
            <w:vAlign w:val="bottom"/>
            <w:vMerge w:val="continue"/>
          </w:tcPr>
          <w:p>
            <w:pPr>
              <w:spacing w:after="0"/>
              <w:rPr>
                <w:sz w:val="8"/>
                <w:szCs w:val="8"/>
                <w:color w:val="auto"/>
              </w:rPr>
            </w:pPr>
          </w:p>
        </w:tc>
        <w:tc>
          <w:tcPr>
            <w:tcW w:w="740" w:type="dxa"/>
            <w:vAlign w:val="bottom"/>
            <w:gridSpan w:val="3"/>
          </w:tcPr>
          <w:p>
            <w:pPr>
              <w:spacing w:after="0" w:line="93" w:lineRule="exact"/>
              <w:rPr>
                <w:sz w:val="20"/>
                <w:szCs w:val="20"/>
                <w:color w:val="auto"/>
              </w:rPr>
            </w:pPr>
            <w:r>
              <w:rPr>
                <w:rFonts w:ascii="Arial" w:cs="Arial" w:eastAsia="Arial" w:hAnsi="Arial"/>
                <w:sz w:val="10"/>
                <w:szCs w:val="10"/>
                <w:color w:val="auto"/>
                <w:w w:val="98"/>
              </w:rPr>
              <w:t>Retirement Date</w:t>
            </w:r>
          </w:p>
        </w:tc>
        <w:tc>
          <w:tcPr>
            <w:tcW w:w="80" w:type="dxa"/>
            <w:vAlign w:val="bottom"/>
            <w:vMerge w:val="continue"/>
          </w:tcPr>
          <w:p>
            <w:pPr>
              <w:spacing w:after="0"/>
              <w:rPr>
                <w:sz w:val="8"/>
                <w:szCs w:val="8"/>
                <w:color w:val="auto"/>
              </w:rPr>
            </w:pPr>
          </w:p>
        </w:tc>
        <w:tc>
          <w:tcPr>
            <w:tcW w:w="920" w:type="dxa"/>
            <w:vAlign w:val="bottom"/>
            <w:gridSpan w:val="2"/>
          </w:tcPr>
          <w:p>
            <w:pPr>
              <w:spacing w:after="0" w:line="93" w:lineRule="exact"/>
              <w:rPr>
                <w:sz w:val="20"/>
                <w:szCs w:val="20"/>
                <w:color w:val="auto"/>
              </w:rPr>
            </w:pPr>
            <w:r>
              <w:rPr>
                <w:rFonts w:ascii="Arial" w:cs="Arial" w:eastAsia="Arial" w:hAnsi="Arial"/>
                <w:sz w:val="10"/>
                <w:szCs w:val="10"/>
                <w:color w:val="auto"/>
              </w:rPr>
              <w:t>Payments</w:t>
            </w:r>
          </w:p>
        </w:tc>
        <w:tc>
          <w:tcPr>
            <w:tcW w:w="140" w:type="dxa"/>
            <w:vAlign w:val="bottom"/>
            <w:vMerge w:val="continue"/>
          </w:tcPr>
          <w:p>
            <w:pPr>
              <w:spacing w:after="0"/>
              <w:rPr>
                <w:sz w:val="8"/>
                <w:szCs w:val="8"/>
                <w:color w:val="auto"/>
              </w:rPr>
            </w:pPr>
          </w:p>
        </w:tc>
        <w:tc>
          <w:tcPr>
            <w:tcW w:w="640" w:type="dxa"/>
            <w:vAlign w:val="bottom"/>
            <w:gridSpan w:val="2"/>
          </w:tcPr>
          <w:p>
            <w:pPr>
              <w:spacing w:after="0" w:line="93" w:lineRule="exact"/>
              <w:rPr>
                <w:sz w:val="20"/>
                <w:szCs w:val="20"/>
                <w:color w:val="auto"/>
              </w:rPr>
            </w:pPr>
            <w:r>
              <w:rPr>
                <w:rFonts w:ascii="Arial" w:cs="Arial" w:eastAsia="Arial" w:hAnsi="Arial"/>
                <w:sz w:val="10"/>
                <w:szCs w:val="10"/>
                <w:color w:val="auto"/>
              </w:rPr>
              <w:t>Name</w:t>
            </w:r>
          </w:p>
        </w:tc>
        <w:tc>
          <w:tcPr>
            <w:tcW w:w="80" w:type="dxa"/>
            <w:vAlign w:val="bottom"/>
            <w:vMerge w:val="continue"/>
          </w:tcPr>
          <w:p>
            <w:pPr>
              <w:spacing w:after="0"/>
              <w:rPr>
                <w:sz w:val="8"/>
                <w:szCs w:val="8"/>
                <w:color w:val="auto"/>
              </w:rPr>
            </w:pPr>
          </w:p>
        </w:tc>
        <w:tc>
          <w:tcPr>
            <w:tcW w:w="920" w:type="dxa"/>
            <w:vAlign w:val="bottom"/>
            <w:gridSpan w:val="2"/>
          </w:tcPr>
          <w:p>
            <w:pPr>
              <w:spacing w:after="0" w:line="93" w:lineRule="exact"/>
              <w:rPr>
                <w:sz w:val="20"/>
                <w:szCs w:val="20"/>
                <w:color w:val="auto"/>
              </w:rPr>
            </w:pPr>
            <w:r>
              <w:rPr>
                <w:rFonts w:ascii="Arial" w:cs="Arial" w:eastAsia="Arial" w:hAnsi="Arial"/>
                <w:sz w:val="10"/>
                <w:szCs w:val="10"/>
                <w:color w:val="auto"/>
              </w:rPr>
              <w:t>Security Number</w:t>
            </w:r>
          </w:p>
        </w:tc>
        <w:tc>
          <w:tcPr>
            <w:tcW w:w="380" w:type="dxa"/>
            <w:vAlign w:val="bottom"/>
            <w:vMerge w:val="continue"/>
          </w:tcPr>
          <w:p>
            <w:pPr>
              <w:spacing w:after="0"/>
              <w:rPr>
                <w:sz w:val="8"/>
                <w:szCs w:val="8"/>
                <w:color w:val="auto"/>
              </w:rPr>
            </w:pPr>
          </w:p>
        </w:tc>
        <w:tc>
          <w:tcPr>
            <w:tcW w:w="520" w:type="dxa"/>
            <w:vAlign w:val="bottom"/>
            <w:gridSpan w:val="2"/>
          </w:tcPr>
          <w:p>
            <w:pPr>
              <w:spacing w:after="0" w:line="93" w:lineRule="exact"/>
              <w:rPr>
                <w:sz w:val="20"/>
                <w:szCs w:val="20"/>
                <w:color w:val="auto"/>
              </w:rPr>
            </w:pPr>
            <w:r>
              <w:rPr>
                <w:rFonts w:ascii="Arial" w:cs="Arial" w:eastAsia="Arial" w:hAnsi="Arial"/>
                <w:sz w:val="10"/>
                <w:szCs w:val="10"/>
                <w:color w:val="auto"/>
              </w:rPr>
              <w:t>Amount</w:t>
            </w:r>
          </w:p>
        </w:tc>
        <w:tc>
          <w:tcPr>
            <w:tcW w:w="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860" w:type="dxa"/>
            <w:vAlign w:val="bottom"/>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980"/>
          </w:cols>
          <w:pgMar w:left="240" w:top="544" w:right="679" w:bottom="1440" w:gutter="0" w:footer="0" w:header="0"/>
        </w:sectPr>
      </w:pPr>
    </w:p>
    <w:bookmarkStart w:id="187" w:name="page188"/>
    <w:bookmarkEnd w:id="187"/>
    <w:p>
      <w:pPr>
        <w:spacing w:after="0"/>
        <w:rPr>
          <w:sz w:val="20"/>
          <w:szCs w:val="20"/>
          <w:color w:val="auto"/>
        </w:rPr>
      </w:pPr>
      <w:r>
        <w:rPr>
          <w:rFonts w:ascii="Arial" w:cs="Arial" w:eastAsia="Arial" w:hAnsi="Arial"/>
          <w:sz w:val="17"/>
          <w:szCs w:val="17"/>
          <w:b w:val="1"/>
          <w:bCs w:val="1"/>
          <w:color w:val="auto"/>
        </w:rPr>
        <w:t>ANNUITY EXHIBIT SAMPLE</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GA-XXXX</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Vita</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Annuitants</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Window Contingent Joint and Survivor Annuity</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Annuity Commencement Date is Month 1, 20XX</w:t>
      </w:r>
    </w:p>
    <w:p>
      <w:pPr>
        <w:spacing w:after="0" w:line="141"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860" w:type="dxa"/>
            <w:vAlign w:val="bottom"/>
            <w:vMerge w:val="restart"/>
          </w:tcPr>
          <w:p>
            <w:pPr>
              <w:spacing w:after="0"/>
              <w:rPr>
                <w:sz w:val="20"/>
                <w:szCs w:val="20"/>
                <w:color w:val="auto"/>
              </w:rPr>
            </w:pPr>
            <w:r>
              <w:rPr>
                <w:rFonts w:ascii="Arial" w:cs="Arial" w:eastAsia="Arial" w:hAnsi="Arial"/>
                <w:sz w:val="10"/>
                <w:szCs w:val="10"/>
                <w:color w:val="auto"/>
                <w:w w:val="97"/>
              </w:rPr>
              <w:t>Covered Life Name</w:t>
            </w:r>
          </w:p>
        </w:tc>
        <w:tc>
          <w:tcPr>
            <w:tcW w:w="1520" w:type="dxa"/>
            <w:vAlign w:val="bottom"/>
          </w:tcPr>
          <w:p>
            <w:pPr>
              <w:spacing w:after="0"/>
              <w:rPr>
                <w:sz w:val="10"/>
                <w:szCs w:val="10"/>
                <w:color w:val="auto"/>
              </w:rPr>
            </w:pPr>
          </w:p>
        </w:tc>
        <w:tc>
          <w:tcPr>
            <w:tcW w:w="600" w:type="dxa"/>
            <w:vAlign w:val="bottom"/>
            <w:gridSpan w:val="2"/>
          </w:tcPr>
          <w:p>
            <w:pPr>
              <w:spacing w:after="0"/>
              <w:rPr>
                <w:sz w:val="20"/>
                <w:szCs w:val="20"/>
                <w:color w:val="auto"/>
              </w:rPr>
            </w:pPr>
            <w:r>
              <w:rPr>
                <w:rFonts w:ascii="Arial" w:cs="Arial" w:eastAsia="Arial" w:hAnsi="Arial"/>
                <w:sz w:val="10"/>
                <w:szCs w:val="10"/>
                <w:color w:val="auto"/>
                <w:w w:val="87"/>
              </w:rPr>
              <w:t>Social Security</w:t>
            </w:r>
          </w:p>
        </w:tc>
        <w:tc>
          <w:tcPr>
            <w:tcW w:w="40" w:type="dxa"/>
            <w:vAlign w:val="bottom"/>
          </w:tcPr>
          <w:p>
            <w:pPr>
              <w:spacing w:after="0"/>
              <w:rPr>
                <w:sz w:val="10"/>
                <w:szCs w:val="10"/>
                <w:color w:val="auto"/>
              </w:rPr>
            </w:pPr>
          </w:p>
        </w:tc>
        <w:tc>
          <w:tcPr>
            <w:tcW w:w="820" w:type="dxa"/>
            <w:vAlign w:val="bottom"/>
            <w:gridSpan w:val="3"/>
            <w:vMerge w:val="restart"/>
          </w:tcPr>
          <w:p>
            <w:pPr>
              <w:ind w:left="40"/>
              <w:spacing w:after="0"/>
              <w:rPr>
                <w:sz w:val="20"/>
                <w:szCs w:val="20"/>
                <w:color w:val="auto"/>
              </w:rPr>
            </w:pPr>
            <w:r>
              <w:rPr>
                <w:rFonts w:ascii="Arial" w:cs="Arial" w:eastAsia="Arial" w:hAnsi="Arial"/>
                <w:sz w:val="10"/>
                <w:szCs w:val="10"/>
                <w:color w:val="auto"/>
              </w:rPr>
              <w:t>Retirement Code</w:t>
            </w:r>
          </w:p>
        </w:tc>
        <w:tc>
          <w:tcPr>
            <w:tcW w:w="940" w:type="dxa"/>
            <w:vAlign w:val="bottom"/>
            <w:gridSpan w:val="3"/>
            <w:vMerge w:val="restart"/>
          </w:tcPr>
          <w:p>
            <w:pPr>
              <w:ind w:left="80"/>
              <w:spacing w:after="0"/>
              <w:rPr>
                <w:sz w:val="20"/>
                <w:szCs w:val="20"/>
                <w:color w:val="auto"/>
              </w:rPr>
            </w:pPr>
            <w:r>
              <w:rPr>
                <w:rFonts w:ascii="Arial" w:cs="Arial" w:eastAsia="Arial" w:hAnsi="Arial"/>
                <w:sz w:val="10"/>
                <w:szCs w:val="10"/>
                <w:color w:val="auto"/>
              </w:rPr>
              <w:t>Plan</w:t>
            </w:r>
          </w:p>
        </w:tc>
        <w:tc>
          <w:tcPr>
            <w:tcW w:w="880" w:type="dxa"/>
            <w:vAlign w:val="bottom"/>
            <w:gridSpan w:val="2"/>
            <w:vMerge w:val="restart"/>
          </w:tcPr>
          <w:p>
            <w:pPr>
              <w:spacing w:after="0"/>
              <w:rPr>
                <w:sz w:val="20"/>
                <w:szCs w:val="20"/>
                <w:color w:val="auto"/>
              </w:rPr>
            </w:pPr>
            <w:r>
              <w:rPr>
                <w:rFonts w:ascii="Arial" w:cs="Arial" w:eastAsia="Arial" w:hAnsi="Arial"/>
                <w:sz w:val="10"/>
                <w:szCs w:val="10"/>
                <w:color w:val="auto"/>
              </w:rPr>
              <w:t>Gender</w:t>
            </w:r>
          </w:p>
        </w:tc>
        <w:tc>
          <w:tcPr>
            <w:tcW w:w="680" w:type="dxa"/>
            <w:vAlign w:val="bottom"/>
            <w:gridSpan w:val="2"/>
            <w:vMerge w:val="restart"/>
          </w:tcPr>
          <w:p>
            <w:pPr>
              <w:spacing w:after="0"/>
              <w:rPr>
                <w:sz w:val="20"/>
                <w:szCs w:val="20"/>
                <w:color w:val="auto"/>
              </w:rPr>
            </w:pPr>
            <w:r>
              <w:rPr>
                <w:rFonts w:ascii="Arial" w:cs="Arial" w:eastAsia="Arial" w:hAnsi="Arial"/>
                <w:sz w:val="10"/>
                <w:szCs w:val="10"/>
                <w:color w:val="auto"/>
              </w:rPr>
              <w:t>Date of Birth</w:t>
            </w:r>
          </w:p>
        </w:tc>
        <w:tc>
          <w:tcPr>
            <w:tcW w:w="860" w:type="dxa"/>
            <w:vAlign w:val="bottom"/>
            <w:gridSpan w:val="4"/>
          </w:tcPr>
          <w:p>
            <w:pPr>
              <w:ind w:left="180"/>
              <w:spacing w:after="0"/>
              <w:rPr>
                <w:sz w:val="20"/>
                <w:szCs w:val="20"/>
                <w:color w:val="auto"/>
              </w:rPr>
            </w:pPr>
            <w:r>
              <w:rPr>
                <w:rFonts w:ascii="Arial" w:cs="Arial" w:eastAsia="Arial" w:hAnsi="Arial"/>
                <w:sz w:val="10"/>
                <w:szCs w:val="10"/>
                <w:color w:val="auto"/>
              </w:rPr>
              <w:t>Original</w:t>
            </w:r>
          </w:p>
        </w:tc>
        <w:tc>
          <w:tcPr>
            <w:tcW w:w="1080" w:type="dxa"/>
            <w:vAlign w:val="bottom"/>
            <w:gridSpan w:val="4"/>
          </w:tcPr>
          <w:p>
            <w:pPr>
              <w:ind w:left="40"/>
              <w:spacing w:after="0"/>
              <w:rPr>
                <w:sz w:val="20"/>
                <w:szCs w:val="20"/>
                <w:color w:val="auto"/>
              </w:rPr>
            </w:pPr>
            <w:r>
              <w:rPr>
                <w:rFonts w:ascii="Arial" w:cs="Arial" w:eastAsia="Arial" w:hAnsi="Arial"/>
                <w:sz w:val="10"/>
                <w:szCs w:val="10"/>
                <w:color w:val="auto"/>
                <w:w w:val="91"/>
              </w:rPr>
              <w:t>Is the Contingent Life the</w:t>
            </w:r>
          </w:p>
        </w:tc>
        <w:tc>
          <w:tcPr>
            <w:tcW w:w="0" w:type="dxa"/>
            <w:vAlign w:val="bottom"/>
          </w:tcPr>
          <w:p>
            <w:pPr>
              <w:spacing w:after="0"/>
              <w:rPr>
                <w:sz w:val="1"/>
                <w:szCs w:val="1"/>
                <w:color w:val="auto"/>
              </w:rPr>
            </w:pPr>
          </w:p>
        </w:tc>
      </w:tr>
      <w:tr>
        <w:trPr>
          <w:trHeight w:val="20"/>
        </w:trPr>
        <w:tc>
          <w:tcPr>
            <w:tcW w:w="860" w:type="dxa"/>
            <w:vAlign w:val="bottom"/>
            <w:vMerge w:val="continue"/>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820" w:type="dxa"/>
            <w:vAlign w:val="bottom"/>
            <w:gridSpan w:val="3"/>
            <w:vMerge w:val="continue"/>
          </w:tcPr>
          <w:p>
            <w:pPr>
              <w:spacing w:after="0" w:line="20" w:lineRule="exact"/>
              <w:rPr>
                <w:sz w:val="1"/>
                <w:szCs w:val="1"/>
                <w:color w:val="auto"/>
              </w:rPr>
            </w:pPr>
          </w:p>
        </w:tc>
        <w:tc>
          <w:tcPr>
            <w:tcW w:w="940" w:type="dxa"/>
            <w:vAlign w:val="bottom"/>
            <w:gridSpan w:val="3"/>
            <w:vMerge w:val="continue"/>
          </w:tcPr>
          <w:p>
            <w:pPr>
              <w:spacing w:after="0" w:line="20" w:lineRule="exact"/>
              <w:rPr>
                <w:sz w:val="1"/>
                <w:szCs w:val="1"/>
                <w:color w:val="auto"/>
              </w:rPr>
            </w:pPr>
          </w:p>
        </w:tc>
        <w:tc>
          <w:tcPr>
            <w:tcW w:w="880" w:type="dxa"/>
            <w:vAlign w:val="bottom"/>
            <w:gridSpan w:val="2"/>
            <w:vMerge w:val="continue"/>
          </w:tcPr>
          <w:p>
            <w:pPr>
              <w:spacing w:after="0" w:line="20" w:lineRule="exact"/>
              <w:rPr>
                <w:sz w:val="1"/>
                <w:szCs w:val="1"/>
                <w:color w:val="auto"/>
              </w:rPr>
            </w:pPr>
          </w:p>
        </w:tc>
        <w:tc>
          <w:tcPr>
            <w:tcW w:w="680" w:type="dxa"/>
            <w:vAlign w:val="bottom"/>
            <w:gridSpan w:val="2"/>
            <w:vMerge w:val="continue"/>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860" w:type="dxa"/>
            <w:vAlign w:val="bottom"/>
            <w:vMerge w:val="continue"/>
          </w:tcPr>
          <w:p>
            <w:pPr>
              <w:spacing w:after="0"/>
              <w:rPr>
                <w:sz w:val="8"/>
                <w:szCs w:val="8"/>
                <w:color w:val="auto"/>
              </w:rPr>
            </w:pPr>
          </w:p>
        </w:tc>
        <w:tc>
          <w:tcPr>
            <w:tcW w:w="1520" w:type="dxa"/>
            <w:vAlign w:val="bottom"/>
          </w:tcPr>
          <w:p>
            <w:pPr>
              <w:spacing w:after="0"/>
              <w:rPr>
                <w:sz w:val="8"/>
                <w:szCs w:val="8"/>
                <w:color w:val="auto"/>
              </w:rPr>
            </w:pPr>
          </w:p>
        </w:tc>
        <w:tc>
          <w:tcPr>
            <w:tcW w:w="320" w:type="dxa"/>
            <w:vAlign w:val="bottom"/>
          </w:tcPr>
          <w:p>
            <w:pPr>
              <w:spacing w:after="0" w:line="93" w:lineRule="exact"/>
              <w:rPr>
                <w:sz w:val="20"/>
                <w:szCs w:val="20"/>
                <w:color w:val="auto"/>
              </w:rPr>
            </w:pPr>
            <w:r>
              <w:rPr>
                <w:rFonts w:ascii="Arial" w:cs="Arial" w:eastAsia="Arial" w:hAnsi="Arial"/>
                <w:sz w:val="10"/>
                <w:szCs w:val="10"/>
                <w:color w:val="auto"/>
                <w:w w:val="84"/>
              </w:rPr>
              <w:t>Number</w:t>
            </w:r>
          </w:p>
        </w:tc>
        <w:tc>
          <w:tcPr>
            <w:tcW w:w="280" w:type="dxa"/>
            <w:vAlign w:val="bottom"/>
          </w:tcPr>
          <w:p>
            <w:pPr>
              <w:spacing w:after="0"/>
              <w:rPr>
                <w:sz w:val="8"/>
                <w:szCs w:val="8"/>
                <w:color w:val="auto"/>
              </w:rPr>
            </w:pPr>
          </w:p>
        </w:tc>
        <w:tc>
          <w:tcPr>
            <w:tcW w:w="40" w:type="dxa"/>
            <w:vAlign w:val="bottom"/>
            <w:vMerge w:val="continue"/>
          </w:tcPr>
          <w:p>
            <w:pPr>
              <w:spacing w:after="0"/>
              <w:rPr>
                <w:sz w:val="8"/>
                <w:szCs w:val="8"/>
                <w:color w:val="auto"/>
              </w:rPr>
            </w:pPr>
          </w:p>
        </w:tc>
        <w:tc>
          <w:tcPr>
            <w:tcW w:w="820" w:type="dxa"/>
            <w:vAlign w:val="bottom"/>
            <w:gridSpan w:val="3"/>
            <w:vMerge w:val="continue"/>
          </w:tcPr>
          <w:p>
            <w:pPr>
              <w:spacing w:after="0"/>
              <w:rPr>
                <w:sz w:val="8"/>
                <w:szCs w:val="8"/>
                <w:color w:val="auto"/>
              </w:rPr>
            </w:pPr>
          </w:p>
        </w:tc>
        <w:tc>
          <w:tcPr>
            <w:tcW w:w="940" w:type="dxa"/>
            <w:vAlign w:val="bottom"/>
            <w:gridSpan w:val="3"/>
            <w:vMerge w:val="continue"/>
          </w:tcPr>
          <w:p>
            <w:pPr>
              <w:spacing w:after="0"/>
              <w:rPr>
                <w:sz w:val="8"/>
                <w:szCs w:val="8"/>
                <w:color w:val="auto"/>
              </w:rPr>
            </w:pPr>
          </w:p>
        </w:tc>
        <w:tc>
          <w:tcPr>
            <w:tcW w:w="880" w:type="dxa"/>
            <w:vAlign w:val="bottom"/>
            <w:gridSpan w:val="2"/>
            <w:vMerge w:val="continue"/>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180" w:type="dxa"/>
            <w:vAlign w:val="bottom"/>
            <w:vMerge w:val="continue"/>
          </w:tcPr>
          <w:p>
            <w:pPr>
              <w:spacing w:after="0"/>
              <w:rPr>
                <w:sz w:val="8"/>
                <w:szCs w:val="8"/>
                <w:color w:val="auto"/>
              </w:rPr>
            </w:pPr>
          </w:p>
        </w:tc>
        <w:tc>
          <w:tcPr>
            <w:tcW w:w="680" w:type="dxa"/>
            <w:vAlign w:val="bottom"/>
            <w:gridSpan w:val="3"/>
          </w:tcPr>
          <w:p>
            <w:pPr>
              <w:spacing w:after="0" w:line="93" w:lineRule="exact"/>
              <w:rPr>
                <w:sz w:val="20"/>
                <w:szCs w:val="20"/>
                <w:color w:val="auto"/>
              </w:rPr>
            </w:pPr>
            <w:r>
              <w:rPr>
                <w:rFonts w:ascii="Arial" w:cs="Arial" w:eastAsia="Arial" w:hAnsi="Arial"/>
                <w:sz w:val="10"/>
                <w:szCs w:val="10"/>
                <w:color w:val="auto"/>
                <w:w w:val="90"/>
              </w:rPr>
              <w:t>Retirement Date</w:t>
            </w:r>
          </w:p>
        </w:tc>
        <w:tc>
          <w:tcPr>
            <w:tcW w:w="40" w:type="dxa"/>
            <w:vAlign w:val="bottom"/>
            <w:vMerge w:val="continue"/>
          </w:tcPr>
          <w:p>
            <w:pPr>
              <w:spacing w:after="0"/>
              <w:rPr>
                <w:sz w:val="8"/>
                <w:szCs w:val="8"/>
                <w:color w:val="auto"/>
              </w:rPr>
            </w:pPr>
          </w:p>
        </w:tc>
        <w:tc>
          <w:tcPr>
            <w:tcW w:w="1020" w:type="dxa"/>
            <w:vAlign w:val="bottom"/>
            <w:gridSpan w:val="2"/>
          </w:tcPr>
          <w:p>
            <w:pPr>
              <w:spacing w:after="0" w:line="93" w:lineRule="exact"/>
              <w:rPr>
                <w:sz w:val="20"/>
                <w:szCs w:val="20"/>
                <w:color w:val="auto"/>
              </w:rPr>
            </w:pPr>
            <w:r>
              <w:rPr>
                <w:rFonts w:ascii="Arial" w:cs="Arial" w:eastAsia="Arial" w:hAnsi="Arial"/>
                <w:sz w:val="10"/>
                <w:szCs w:val="10"/>
                <w:color w:val="auto"/>
                <w:w w:val="95"/>
              </w:rPr>
              <w:t>Covered Life's spouse?</w:t>
            </w:r>
          </w:p>
        </w:tc>
        <w:tc>
          <w:tcPr>
            <w:tcW w:w="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86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5"/>
        </w:trPr>
        <w:tc>
          <w:tcPr>
            <w:tcW w:w="560" w:type="dxa"/>
            <w:vAlign w:val="bottom"/>
            <w:gridSpan w:val="3"/>
          </w:tcPr>
          <w:p>
            <w:pPr>
              <w:spacing w:after="0"/>
              <w:rPr>
                <w:sz w:val="20"/>
                <w:szCs w:val="20"/>
                <w:color w:val="auto"/>
              </w:rPr>
            </w:pPr>
            <w:r>
              <w:rPr>
                <w:rFonts w:ascii="Arial" w:cs="Arial" w:eastAsia="Arial" w:hAnsi="Arial"/>
                <w:sz w:val="10"/>
                <w:szCs w:val="10"/>
                <w:color w:val="auto"/>
              </w:rPr>
              <w:t>Contingent</w:t>
            </w:r>
          </w:p>
        </w:tc>
        <w:tc>
          <w:tcPr>
            <w:tcW w:w="1260" w:type="dxa"/>
            <w:vAlign w:val="bottom"/>
            <w:gridSpan w:val="4"/>
          </w:tcPr>
          <w:p>
            <w:pPr>
              <w:ind w:left="100"/>
              <w:spacing w:after="0"/>
              <w:rPr>
                <w:sz w:val="20"/>
                <w:szCs w:val="20"/>
                <w:color w:val="auto"/>
              </w:rPr>
            </w:pPr>
            <w:r>
              <w:rPr>
                <w:rFonts w:ascii="Arial" w:cs="Arial" w:eastAsia="Arial" w:hAnsi="Arial"/>
                <w:sz w:val="10"/>
                <w:szCs w:val="10"/>
                <w:color w:val="auto"/>
              </w:rPr>
              <w:t>Contingent Life Social</w:t>
            </w:r>
          </w:p>
        </w:tc>
        <w:tc>
          <w:tcPr>
            <w:tcW w:w="640" w:type="dxa"/>
            <w:vAlign w:val="bottom"/>
            <w:gridSpan w:val="3"/>
          </w:tcPr>
          <w:p>
            <w:pPr>
              <w:spacing w:after="0"/>
              <w:rPr>
                <w:sz w:val="20"/>
                <w:szCs w:val="20"/>
                <w:color w:val="auto"/>
              </w:rPr>
            </w:pPr>
            <w:r>
              <w:rPr>
                <w:rFonts w:ascii="Arial" w:cs="Arial" w:eastAsia="Arial" w:hAnsi="Arial"/>
                <w:sz w:val="10"/>
                <w:szCs w:val="10"/>
                <w:color w:val="auto"/>
                <w:w w:val="92"/>
              </w:rPr>
              <w:t>Contingent Life</w:t>
            </w:r>
          </w:p>
        </w:tc>
      </w:tr>
      <w:tr>
        <w:trPr>
          <w:trHeight w:val="93"/>
        </w:trPr>
        <w:tc>
          <w:tcPr>
            <w:tcW w:w="460" w:type="dxa"/>
            <w:vAlign w:val="bottom"/>
            <w:tcBorders>
              <w:top w:val="single" w:sz="8" w:color="auto"/>
            </w:tcBorders>
            <w:gridSpan w:val="2"/>
          </w:tcPr>
          <w:p>
            <w:pPr>
              <w:spacing w:after="0" w:line="93" w:lineRule="exact"/>
              <w:rPr>
                <w:sz w:val="20"/>
                <w:szCs w:val="20"/>
                <w:color w:val="auto"/>
              </w:rPr>
            </w:pPr>
            <w:r>
              <w:rPr>
                <w:rFonts w:ascii="Arial" w:cs="Arial" w:eastAsia="Arial" w:hAnsi="Arial"/>
                <w:sz w:val="10"/>
                <w:szCs w:val="10"/>
                <w:color w:val="auto"/>
                <w:w w:val="96"/>
              </w:rPr>
              <w:t>Life Name</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Borders>
              <w:top w:val="single" w:sz="8" w:color="auto"/>
            </w:tcBorders>
            <w:gridSpan w:val="2"/>
          </w:tcPr>
          <w:p>
            <w:pPr>
              <w:spacing w:after="0" w:line="93" w:lineRule="exact"/>
              <w:rPr>
                <w:sz w:val="20"/>
                <w:szCs w:val="20"/>
                <w:color w:val="auto"/>
              </w:rPr>
            </w:pPr>
            <w:r>
              <w:rPr>
                <w:rFonts w:ascii="Arial" w:cs="Arial" w:eastAsia="Arial" w:hAnsi="Arial"/>
                <w:sz w:val="10"/>
                <w:szCs w:val="10"/>
                <w:color w:val="auto"/>
              </w:rPr>
              <w:t>Security Number</w:t>
            </w:r>
          </w:p>
        </w:tc>
        <w:tc>
          <w:tcPr>
            <w:tcW w:w="240" w:type="dxa"/>
            <w:vAlign w:val="bottom"/>
          </w:tcPr>
          <w:p>
            <w:pPr>
              <w:spacing w:after="0"/>
              <w:rPr>
                <w:sz w:val="8"/>
                <w:szCs w:val="8"/>
                <w:color w:val="auto"/>
              </w:rPr>
            </w:pPr>
          </w:p>
        </w:tc>
        <w:tc>
          <w:tcPr>
            <w:tcW w:w="620" w:type="dxa"/>
            <w:vAlign w:val="bottom"/>
            <w:tcBorders>
              <w:top w:val="single" w:sz="8" w:color="auto"/>
            </w:tcBorders>
            <w:gridSpan w:val="2"/>
          </w:tcPr>
          <w:p>
            <w:pPr>
              <w:spacing w:after="0" w:line="93" w:lineRule="exact"/>
              <w:rPr>
                <w:sz w:val="20"/>
                <w:szCs w:val="20"/>
                <w:color w:val="auto"/>
              </w:rPr>
            </w:pPr>
            <w:r>
              <w:rPr>
                <w:rFonts w:ascii="Arial" w:cs="Arial" w:eastAsia="Arial" w:hAnsi="Arial"/>
                <w:sz w:val="10"/>
                <w:szCs w:val="10"/>
                <w:color w:val="auto"/>
              </w:rPr>
              <w:t>Gender</w:t>
            </w:r>
          </w:p>
        </w:tc>
        <w:tc>
          <w:tcPr>
            <w:tcW w:w="20" w:type="dxa"/>
            <w:vAlign w:val="bottom"/>
          </w:tcPr>
          <w:p>
            <w:pPr>
              <w:spacing w:after="0"/>
              <w:rPr>
                <w:sz w:val="8"/>
                <w:szCs w:val="8"/>
                <w:color w:val="auto"/>
              </w:rPr>
            </w:pPr>
          </w:p>
        </w:tc>
      </w:tr>
      <w:tr>
        <w:trPr>
          <w:trHeight w:val="20"/>
        </w:trPr>
        <w:tc>
          <w:tcPr>
            <w:tcW w:w="4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ectPr>
          <w:pgSz w:w="11900" w:h="16838" w:orient="portrait"/>
          <w:cols w:equalWidth="0" w:num="2">
            <w:col w:w="8280" w:space="360"/>
            <w:col w:w="2440"/>
          </w:cols>
          <w:pgMar w:left="240" w:top="545" w:right="579" w:bottom="1440" w:gutter="0" w:footer="0" w:header="0"/>
        </w:sectPr>
      </w:pPr>
    </w:p>
    <w:bookmarkStart w:id="188" w:name="page189"/>
    <w:bookmarkEnd w:id="188"/>
    <w:p>
      <w:pPr>
        <w:spacing w:after="0"/>
        <w:rPr>
          <w:sz w:val="20"/>
          <w:szCs w:val="20"/>
          <w:color w:val="auto"/>
        </w:rPr>
      </w:pPr>
      <w:r>
        <w:rPr>
          <w:rFonts w:ascii="Arial" w:cs="Arial" w:eastAsia="Arial" w:hAnsi="Arial"/>
          <w:sz w:val="17"/>
          <w:szCs w:val="17"/>
          <w:b w:val="1"/>
          <w:bCs w:val="1"/>
          <w:color w:val="auto"/>
        </w:rPr>
        <w:t>ANNUITY EXHIBIT SAMPLE</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GA-XXXX</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Vita</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Annuitants</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Window Contingent Joint and Survivor Annuity</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Annuity Commencement Date is Month 1, 20XX</w:t>
      </w:r>
    </w:p>
    <w:p>
      <w:pPr>
        <w:spacing w:after="0" w:line="111" w:lineRule="exact"/>
        <w:rPr>
          <w:sz w:val="20"/>
          <w:szCs w:val="20"/>
          <w:color w:val="auto"/>
        </w:rPr>
      </w:pPr>
    </w:p>
    <w:tbl>
      <w:tblPr>
        <w:tblLayout w:type="fixed"/>
        <w:tblInd w:w="20" w:type="dxa"/>
        <w:tblCellMar>
          <w:top w:w="0" w:type="dxa"/>
          <w:left w:w="0" w:type="dxa"/>
          <w:bottom w:w="0" w:type="dxa"/>
          <w:right w:w="0" w:type="dxa"/>
        </w:tblCellMar>
      </w:tblPr>
      <w:tr>
        <w:trPr>
          <w:trHeight w:val="255"/>
        </w:trPr>
        <w:tc>
          <w:tcPr>
            <w:tcW w:w="8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40" w:type="dxa"/>
            <w:vAlign w:val="bottom"/>
            <w:tcBorders>
              <w:right w:val="single" w:sz="8" w:color="auto"/>
            </w:tcBorders>
          </w:tcPr>
          <w:p>
            <w:pPr>
              <w:spacing w:after="0"/>
              <w:rPr>
                <w:sz w:val="21"/>
                <w:szCs w:val="21"/>
                <w:color w:val="auto"/>
              </w:rPr>
            </w:pPr>
          </w:p>
        </w:tc>
        <w:tc>
          <w:tcPr>
            <w:tcW w:w="1500" w:type="dxa"/>
            <w:vAlign w:val="bottom"/>
            <w:tcBorders>
              <w:top w:val="single" w:sz="8" w:color="auto"/>
              <w:bottom w:val="single" w:sz="8" w:color="BFBFBF"/>
              <w:right w:val="single" w:sz="8" w:color="auto"/>
            </w:tcBorders>
            <w:gridSpan w:val="2"/>
            <w:shd w:val="clear" w:color="auto" w:fill="BFBFBF"/>
          </w:tcPr>
          <w:p>
            <w:pPr>
              <w:ind w:left="120"/>
              <w:spacing w:after="0"/>
              <w:rPr>
                <w:sz w:val="20"/>
                <w:szCs w:val="20"/>
                <w:color w:val="auto"/>
              </w:rPr>
            </w:pPr>
            <w:r>
              <w:rPr>
                <w:rFonts w:ascii="Arial" w:cs="Arial" w:eastAsia="Arial" w:hAnsi="Arial"/>
                <w:sz w:val="10"/>
                <w:szCs w:val="10"/>
                <w:color w:val="auto"/>
              </w:rPr>
              <w:t>Refund Rider Eligibility (Y/N)</w:t>
            </w:r>
          </w:p>
        </w:tc>
        <w:tc>
          <w:tcPr>
            <w:tcW w:w="540" w:type="dxa"/>
            <w:vAlign w:val="bottom"/>
            <w:tcBorders>
              <w:top w:val="single" w:sz="8" w:color="auto"/>
              <w:bottom w:val="single" w:sz="8" w:color="BFBFBF"/>
            </w:tcBorders>
            <w:shd w:val="clear" w:color="auto" w:fill="BFBFBF"/>
          </w:tcPr>
          <w:p>
            <w:pPr>
              <w:spacing w:after="0"/>
              <w:rPr>
                <w:sz w:val="21"/>
                <w:szCs w:val="21"/>
                <w:color w:val="auto"/>
              </w:rPr>
            </w:pPr>
          </w:p>
        </w:tc>
        <w:tc>
          <w:tcPr>
            <w:tcW w:w="140" w:type="dxa"/>
            <w:vAlign w:val="bottom"/>
            <w:tcBorders>
              <w:top w:val="single" w:sz="8" w:color="auto"/>
              <w:bottom w:val="single" w:sz="8" w:color="BFBFBF"/>
            </w:tcBorders>
            <w:shd w:val="clear" w:color="auto" w:fill="BFBFBF"/>
          </w:tcPr>
          <w:p>
            <w:pPr>
              <w:spacing w:after="0"/>
              <w:rPr>
                <w:sz w:val="21"/>
                <w:szCs w:val="21"/>
                <w:color w:val="auto"/>
              </w:rPr>
            </w:pPr>
          </w:p>
        </w:tc>
        <w:tc>
          <w:tcPr>
            <w:tcW w:w="2340" w:type="dxa"/>
            <w:vAlign w:val="bottom"/>
            <w:tcBorders>
              <w:top w:val="single" w:sz="8" w:color="auto"/>
              <w:bottom w:val="single" w:sz="8" w:color="BFBFBF"/>
              <w:right w:val="single" w:sz="8" w:color="auto"/>
            </w:tcBorders>
            <w:gridSpan w:val="3"/>
            <w:shd w:val="clear" w:color="auto" w:fill="BFBFBF"/>
          </w:tcPr>
          <w:p>
            <w:pPr>
              <w:ind w:left="160"/>
              <w:spacing w:after="0"/>
              <w:rPr>
                <w:sz w:val="20"/>
                <w:szCs w:val="20"/>
                <w:color w:val="auto"/>
              </w:rPr>
            </w:pPr>
            <w:r>
              <w:rPr>
                <w:rFonts w:ascii="Arial" w:cs="Arial" w:eastAsia="Arial" w:hAnsi="Arial"/>
                <w:sz w:val="10"/>
                <w:szCs w:val="10"/>
                <w:color w:val="auto"/>
              </w:rPr>
              <w:t>Pre 1985 Part B Primary Amount</w:t>
            </w:r>
          </w:p>
        </w:tc>
      </w:tr>
      <w:tr>
        <w:trPr>
          <w:trHeight w:val="343"/>
        </w:trPr>
        <w:tc>
          <w:tcPr>
            <w:tcW w:w="860" w:type="dxa"/>
            <w:vAlign w:val="bottom"/>
          </w:tcPr>
          <w:p>
            <w:pPr>
              <w:spacing w:after="0"/>
              <w:rPr>
                <w:sz w:val="20"/>
                <w:szCs w:val="20"/>
                <w:color w:val="auto"/>
              </w:rPr>
            </w:pPr>
            <w:r>
              <w:rPr>
                <w:rFonts w:ascii="Arial" w:cs="Arial" w:eastAsia="Arial" w:hAnsi="Arial"/>
                <w:sz w:val="10"/>
                <w:szCs w:val="10"/>
                <w:color w:val="auto"/>
                <w:w w:val="97"/>
              </w:rPr>
              <w:t>Covered Life Name</w:t>
            </w:r>
          </w:p>
        </w:tc>
        <w:tc>
          <w:tcPr>
            <w:tcW w:w="11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0"/>
                <w:szCs w:val="10"/>
                <w:color w:val="auto"/>
                <w:w w:val="93"/>
              </w:rPr>
              <w:t>Contingent Life Date of Birth</w:t>
            </w:r>
          </w:p>
        </w:tc>
        <w:tc>
          <w:tcPr>
            <w:tcW w:w="32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Arial" w:cs="Arial" w:eastAsia="Arial" w:hAnsi="Arial"/>
                <w:sz w:val="10"/>
                <w:szCs w:val="10"/>
                <w:color w:val="auto"/>
              </w:rPr>
              <w:t>Covered Life Amount</w:t>
            </w:r>
          </w:p>
        </w:tc>
        <w:tc>
          <w:tcPr>
            <w:tcW w:w="1840" w:type="dxa"/>
            <w:vAlign w:val="bottom"/>
            <w:gridSpan w:val="3"/>
          </w:tcPr>
          <w:p>
            <w:pPr>
              <w:ind w:left="320"/>
              <w:spacing w:after="0"/>
              <w:rPr>
                <w:sz w:val="20"/>
                <w:szCs w:val="20"/>
                <w:color w:val="auto"/>
              </w:rPr>
            </w:pPr>
            <w:r>
              <w:rPr>
                <w:rFonts w:ascii="Arial" w:cs="Arial" w:eastAsia="Arial" w:hAnsi="Arial"/>
                <w:sz w:val="10"/>
                <w:szCs w:val="10"/>
                <w:color w:val="auto"/>
              </w:rPr>
              <w:t>Contingent Life Amount</w:t>
            </w:r>
          </w:p>
        </w:tc>
        <w:tc>
          <w:tcPr>
            <w:tcW w:w="1500" w:type="dxa"/>
            <w:vAlign w:val="bottom"/>
            <w:tcBorders>
              <w:top w:val="single" w:sz="8" w:color="auto"/>
            </w:tcBorders>
            <w:gridSpan w:val="2"/>
          </w:tcPr>
          <w:p>
            <w:pPr>
              <w:spacing w:after="0"/>
              <w:rPr>
                <w:sz w:val="20"/>
                <w:szCs w:val="20"/>
                <w:color w:val="auto"/>
              </w:rPr>
            </w:pPr>
            <w:r>
              <w:rPr>
                <w:rFonts w:ascii="Arial" w:cs="Arial" w:eastAsia="Arial" w:hAnsi="Arial"/>
                <w:sz w:val="10"/>
                <w:szCs w:val="10"/>
                <w:color w:val="auto"/>
              </w:rPr>
              <w:t>Refund Death Benefit</w:t>
            </w:r>
          </w:p>
        </w:tc>
        <w:tc>
          <w:tcPr>
            <w:tcW w:w="680" w:type="dxa"/>
            <w:vAlign w:val="bottom"/>
            <w:tcBorders>
              <w:top w:val="single" w:sz="8" w:color="auto"/>
            </w:tcBorders>
            <w:gridSpan w:val="2"/>
          </w:tcPr>
          <w:p>
            <w:pPr>
              <w:spacing w:after="0"/>
              <w:rPr>
                <w:sz w:val="20"/>
                <w:szCs w:val="20"/>
                <w:color w:val="auto"/>
              </w:rPr>
            </w:pPr>
            <w:r>
              <w:rPr>
                <w:rFonts w:ascii="Arial" w:cs="Arial" w:eastAsia="Arial" w:hAnsi="Arial"/>
                <w:sz w:val="10"/>
                <w:szCs w:val="10"/>
                <w:color w:val="auto"/>
              </w:rPr>
              <w:t>Covered Life</w:t>
            </w:r>
          </w:p>
        </w:tc>
        <w:tc>
          <w:tcPr>
            <w:tcW w:w="2340" w:type="dxa"/>
            <w:vAlign w:val="bottom"/>
            <w:tcBorders>
              <w:top w:val="single" w:sz="8" w:color="auto"/>
            </w:tcBorders>
            <w:gridSpan w:val="3"/>
          </w:tcPr>
          <w:p>
            <w:pPr>
              <w:ind w:left="840"/>
              <w:spacing w:after="0"/>
              <w:rPr>
                <w:sz w:val="20"/>
                <w:szCs w:val="20"/>
                <w:color w:val="auto"/>
              </w:rPr>
            </w:pPr>
            <w:r>
              <w:rPr>
                <w:rFonts w:ascii="Arial" w:cs="Arial" w:eastAsia="Arial" w:hAnsi="Arial"/>
                <w:sz w:val="10"/>
                <w:szCs w:val="10"/>
                <w:color w:val="auto"/>
              </w:rPr>
              <w:t>Contingent Life</w:t>
            </w:r>
          </w:p>
        </w:tc>
      </w:tr>
      <w:tr>
        <w:trPr>
          <w:trHeight w:val="20"/>
        </w:trPr>
        <w:tc>
          <w:tcPr>
            <w:tcW w:w="86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bl>
    <w:p>
      <w:pPr>
        <w:sectPr>
          <w:pgSz w:w="11900" w:h="16838" w:orient="portrait"/>
          <w:cols w:equalWidth="0" w:num="1">
            <w:col w:w="11100"/>
          </w:cols>
          <w:pgMar w:left="240" w:top="545" w:right="559" w:bottom="1440" w:gutter="0" w:footer="0" w:header="0"/>
        </w:sectPr>
      </w:pPr>
    </w:p>
    <w:bookmarkStart w:id="189" w:name="page190"/>
    <w:bookmarkEnd w:id="189"/>
    <w:p>
      <w:pPr>
        <w:spacing w:after="0"/>
        <w:rPr>
          <w:sz w:val="20"/>
          <w:szCs w:val="20"/>
          <w:color w:val="auto"/>
        </w:rPr>
      </w:pPr>
      <w:r>
        <w:rPr>
          <w:rFonts w:ascii="Arial" w:cs="Arial" w:eastAsia="Arial" w:hAnsi="Arial"/>
          <w:sz w:val="17"/>
          <w:szCs w:val="17"/>
          <w:b w:val="1"/>
          <w:bCs w:val="1"/>
          <w:color w:val="auto"/>
        </w:rPr>
        <w:t>ANNUITY EXHIBIT SAMPLE</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GA-XXXX</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Vita</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Annuitants</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Window Contingent Joint and Survivor Annuity</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Annuity Commencement Date is Month 1, 20XX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2193925</wp:posOffset>
            </wp:positionH>
            <wp:positionV relativeFrom="paragraph">
              <wp:posOffset>83185</wp:posOffset>
            </wp:positionV>
            <wp:extent cx="2694305" cy="1670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694305" cy="167005"/>
                    </a:xfrm>
                    <a:prstGeom prst="rect">
                      <a:avLst/>
                    </a:prstGeom>
                    <a:noFill/>
                  </pic:spPr>
                </pic:pic>
              </a:graphicData>
            </a:graphic>
          </wp:anchor>
        </w:drawing>
      </w:r>
    </w:p>
    <w:p>
      <w:pPr>
        <w:spacing w:after="0" w:line="214" w:lineRule="exact"/>
        <w:rPr>
          <w:sz w:val="20"/>
          <w:szCs w:val="20"/>
          <w:color w:val="auto"/>
        </w:rPr>
      </w:pPr>
    </w:p>
    <w:p>
      <w:pPr>
        <w:ind w:left="4880"/>
        <w:spacing w:after="0"/>
        <w:rPr>
          <w:sz w:val="20"/>
          <w:szCs w:val="20"/>
          <w:color w:val="auto"/>
        </w:rPr>
      </w:pPr>
      <w:r>
        <w:rPr>
          <w:rFonts w:ascii="Arial" w:cs="Arial" w:eastAsia="Arial" w:hAnsi="Arial"/>
          <w:sz w:val="10"/>
          <w:szCs w:val="10"/>
          <w:color w:val="auto"/>
        </w:rPr>
        <w:t>Post 1985 Part B Primary Amount</w:t>
      </w:r>
    </w:p>
    <w:p>
      <w:pPr>
        <w:spacing w:after="0" w:line="286" w:lineRule="exact"/>
        <w:rPr>
          <w:sz w:val="20"/>
          <w:szCs w:val="20"/>
          <w:color w:val="auto"/>
        </w:rPr>
      </w:pPr>
    </w:p>
    <w:p>
      <w:pPr>
        <w:ind w:left="20"/>
        <w:spacing w:after="0"/>
        <w:tabs>
          <w:tab w:leader="none" w:pos="3460" w:val="left"/>
          <w:tab w:leader="none" w:pos="5580" w:val="left"/>
          <w:tab w:leader="none" w:pos="7700" w:val="left"/>
        </w:tabs>
        <w:rPr>
          <w:sz w:val="20"/>
          <w:szCs w:val="20"/>
          <w:color w:val="auto"/>
        </w:rPr>
      </w:pPr>
      <w:r>
        <w:rPr>
          <w:rFonts w:ascii="Arial" w:cs="Arial" w:eastAsia="Arial" w:hAnsi="Arial"/>
          <w:sz w:val="10"/>
          <w:szCs w:val="10"/>
          <w:u w:val="single" w:color="auto"/>
          <w:color w:val="auto"/>
        </w:rPr>
        <w:t>Covered Life Name</w:t>
      </w:r>
      <w:r>
        <w:rPr>
          <w:sz w:val="20"/>
          <w:szCs w:val="20"/>
          <w:color w:val="auto"/>
        </w:rPr>
        <w:tab/>
      </w:r>
      <w:r>
        <w:rPr>
          <w:rFonts w:ascii="Arial" w:cs="Arial" w:eastAsia="Arial" w:hAnsi="Arial"/>
          <w:sz w:val="10"/>
          <w:szCs w:val="10"/>
          <w:u w:val="single" w:color="auto"/>
          <w:color w:val="auto"/>
        </w:rPr>
        <w:t>Covered Life</w:t>
      </w:r>
      <w:r>
        <w:rPr>
          <w:sz w:val="20"/>
          <w:szCs w:val="20"/>
          <w:color w:val="auto"/>
        </w:rPr>
        <w:tab/>
      </w:r>
      <w:r>
        <w:rPr>
          <w:rFonts w:ascii="Arial" w:cs="Arial" w:eastAsia="Arial" w:hAnsi="Arial"/>
          <w:sz w:val="10"/>
          <w:szCs w:val="10"/>
          <w:u w:val="single" w:color="auto"/>
          <w:color w:val="auto"/>
        </w:rPr>
        <w:t>Contingent Life</w:t>
      </w:r>
      <w:r>
        <w:rPr>
          <w:sz w:val="20"/>
          <w:szCs w:val="20"/>
          <w:color w:val="auto"/>
        </w:rPr>
        <w:tab/>
      </w:r>
      <w:r>
        <w:rPr>
          <w:rFonts w:ascii="Arial" w:cs="Arial" w:eastAsia="Arial" w:hAnsi="Arial"/>
          <w:sz w:val="9"/>
          <w:szCs w:val="9"/>
          <w:u w:val="single" w:color="auto"/>
          <w:color w:val="auto"/>
        </w:rPr>
        <w:t>Maximum Refund Death Benefit</w:t>
      </w:r>
    </w:p>
    <w:p>
      <w:pPr>
        <w:sectPr>
          <w:pgSz w:w="11900" w:h="16838" w:orient="portrait"/>
          <w:cols w:equalWidth="0" w:num="1">
            <w:col w:w="10219"/>
          </w:cols>
          <w:pgMar w:left="240" w:top="544" w:right="1440" w:bottom="1440" w:gutter="0" w:footer="0" w:header="0"/>
        </w:sectPr>
      </w:pPr>
    </w:p>
    <w:bookmarkStart w:id="190" w:name="page191"/>
    <w:bookmarkEnd w:id="190"/>
    <w:p>
      <w:pPr>
        <w:spacing w:after="0"/>
        <w:rPr>
          <w:sz w:val="20"/>
          <w:szCs w:val="20"/>
          <w:color w:val="auto"/>
        </w:rPr>
      </w:pPr>
      <w:r>
        <w:rPr>
          <w:rFonts w:ascii="Arial" w:cs="Arial" w:eastAsia="Arial" w:hAnsi="Arial"/>
          <w:sz w:val="17"/>
          <w:szCs w:val="17"/>
          <w:b w:val="1"/>
          <w:bCs w:val="1"/>
          <w:color w:val="auto"/>
        </w:rPr>
        <w:t>ANNUITY EXHIBIT SAMPLE</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GA-XXXX</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Vita</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Annuitants</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Window Single Life Annuity</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Annuity Commencement Date is Month 1, 20XX</w:t>
      </w:r>
    </w:p>
    <w:p>
      <w:pPr>
        <w:spacing w:after="0" w:line="111" w:lineRule="exact"/>
        <w:rPr>
          <w:sz w:val="20"/>
          <w:szCs w:val="20"/>
          <w:color w:val="auto"/>
        </w:rPr>
      </w:pPr>
    </w:p>
    <w:tbl>
      <w:tblPr>
        <w:tblLayout w:type="fixed"/>
        <w:tblInd w:w="20" w:type="dxa"/>
        <w:tblCellMar>
          <w:top w:w="0" w:type="dxa"/>
          <w:left w:w="0" w:type="dxa"/>
          <w:bottom w:w="0" w:type="dxa"/>
          <w:right w:w="0" w:type="dxa"/>
        </w:tblCellMar>
      </w:tblPr>
      <w:tr>
        <w:trPr>
          <w:trHeight w:val="255"/>
        </w:trPr>
        <w:tc>
          <w:tcPr>
            <w:tcW w:w="8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Borders>
              <w:right w:val="single" w:sz="8" w:color="auto"/>
            </w:tcBorders>
          </w:tcPr>
          <w:p>
            <w:pPr>
              <w:spacing w:after="0"/>
              <w:rPr>
                <w:sz w:val="21"/>
                <w:szCs w:val="21"/>
                <w:color w:val="auto"/>
              </w:rPr>
            </w:pPr>
          </w:p>
        </w:tc>
        <w:tc>
          <w:tcPr>
            <w:tcW w:w="1340" w:type="dxa"/>
            <w:vAlign w:val="bottom"/>
            <w:tcBorders>
              <w:top w:val="single" w:sz="8" w:color="auto"/>
              <w:bottom w:val="single" w:sz="8" w:color="BFBFBF"/>
              <w:right w:val="single" w:sz="8" w:color="auto"/>
            </w:tcBorders>
            <w:gridSpan w:val="2"/>
            <w:shd w:val="clear" w:color="auto" w:fill="BFBFBF"/>
          </w:tcPr>
          <w:p>
            <w:pPr>
              <w:ind w:left="40"/>
              <w:spacing w:after="0"/>
              <w:rPr>
                <w:sz w:val="20"/>
                <w:szCs w:val="20"/>
                <w:color w:val="auto"/>
              </w:rPr>
            </w:pPr>
            <w:r>
              <w:rPr>
                <w:rFonts w:ascii="Arial" w:cs="Arial" w:eastAsia="Arial" w:hAnsi="Arial"/>
                <w:sz w:val="10"/>
                <w:szCs w:val="10"/>
                <w:color w:val="auto"/>
                <w:w w:val="99"/>
              </w:rPr>
              <w:t>Refund Rider Eligibility (Y/N)</w:t>
            </w:r>
          </w:p>
        </w:tc>
        <w:tc>
          <w:tcPr>
            <w:tcW w:w="1500" w:type="dxa"/>
            <w:vAlign w:val="bottom"/>
            <w:tcBorders>
              <w:top w:val="single" w:sz="8" w:color="auto"/>
              <w:bottom w:val="single" w:sz="8" w:color="BFBFBF"/>
              <w:right w:val="single" w:sz="8" w:color="auto"/>
            </w:tcBorders>
            <w:gridSpan w:val="5"/>
            <w:shd w:val="clear" w:color="auto" w:fill="BFBFBF"/>
          </w:tcPr>
          <w:p>
            <w:pPr>
              <w:ind w:left="80"/>
              <w:spacing w:after="0"/>
              <w:rPr>
                <w:sz w:val="20"/>
                <w:szCs w:val="20"/>
                <w:color w:val="auto"/>
              </w:rPr>
            </w:pPr>
            <w:r>
              <w:rPr>
                <w:rFonts w:ascii="Arial" w:cs="Arial" w:eastAsia="Arial" w:hAnsi="Arial"/>
                <w:sz w:val="10"/>
                <w:szCs w:val="10"/>
                <w:color w:val="auto"/>
                <w:w w:val="94"/>
              </w:rPr>
              <w:t>Pre 1985 Part B Primary Amount</w:t>
            </w:r>
          </w:p>
        </w:tc>
        <w:tc>
          <w:tcPr>
            <w:tcW w:w="1500" w:type="dxa"/>
            <w:vAlign w:val="bottom"/>
            <w:tcBorders>
              <w:top w:val="single" w:sz="8" w:color="auto"/>
              <w:bottom w:val="single" w:sz="8" w:color="BFBFBF"/>
              <w:right w:val="single" w:sz="8" w:color="auto"/>
            </w:tcBorders>
            <w:gridSpan w:val="5"/>
            <w:shd w:val="clear" w:color="auto" w:fill="BFBFBF"/>
          </w:tcPr>
          <w:p>
            <w:pPr>
              <w:ind w:left="60"/>
              <w:spacing w:after="0"/>
              <w:rPr>
                <w:sz w:val="20"/>
                <w:szCs w:val="20"/>
                <w:color w:val="auto"/>
              </w:rPr>
            </w:pPr>
            <w:r>
              <w:rPr>
                <w:rFonts w:ascii="Arial" w:cs="Arial" w:eastAsia="Arial" w:hAnsi="Arial"/>
                <w:sz w:val="10"/>
                <w:szCs w:val="10"/>
                <w:color w:val="auto"/>
                <w:w w:val="93"/>
              </w:rPr>
              <w:t>Post 1985 Part B Primary Amount</w:t>
            </w:r>
          </w:p>
        </w:tc>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5"/>
        </w:trPr>
        <w:tc>
          <w:tcPr>
            <w:tcW w:w="8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60" w:type="dxa"/>
            <w:vAlign w:val="bottom"/>
          </w:tcPr>
          <w:p>
            <w:pPr>
              <w:spacing w:after="0" w:line="105" w:lineRule="exact"/>
              <w:rPr>
                <w:sz w:val="20"/>
                <w:szCs w:val="20"/>
                <w:color w:val="auto"/>
              </w:rPr>
            </w:pPr>
            <w:r>
              <w:rPr>
                <w:rFonts w:ascii="Arial" w:cs="Arial" w:eastAsia="Arial" w:hAnsi="Arial"/>
                <w:sz w:val="10"/>
                <w:szCs w:val="10"/>
                <w:color w:val="auto"/>
                <w:w w:val="87"/>
              </w:rPr>
              <w:t>Social</w:t>
            </w:r>
          </w:p>
        </w:tc>
        <w:tc>
          <w:tcPr>
            <w:tcW w:w="400" w:type="dxa"/>
            <w:vAlign w:val="bottom"/>
            <w:gridSpan w:val="2"/>
          </w:tcPr>
          <w:p>
            <w:pPr>
              <w:spacing w:after="0"/>
              <w:rPr>
                <w:sz w:val="9"/>
                <w:szCs w:val="9"/>
                <w:color w:val="auto"/>
              </w:rPr>
            </w:pPr>
          </w:p>
        </w:tc>
        <w:tc>
          <w:tcPr>
            <w:tcW w:w="460" w:type="dxa"/>
            <w:vAlign w:val="bottom"/>
            <w:gridSpan w:val="3"/>
            <w:vMerge w:val="restart"/>
          </w:tcPr>
          <w:p>
            <w:pPr>
              <w:spacing w:after="0"/>
              <w:rPr>
                <w:sz w:val="20"/>
                <w:szCs w:val="20"/>
                <w:color w:val="auto"/>
              </w:rPr>
            </w:pPr>
            <w:r>
              <w:rPr>
                <w:rFonts w:ascii="Arial" w:cs="Arial" w:eastAsia="Arial" w:hAnsi="Arial"/>
                <w:sz w:val="10"/>
                <w:szCs w:val="10"/>
                <w:color w:val="auto"/>
                <w:w w:val="89"/>
              </w:rPr>
              <w:t>Retirement</w:t>
            </w: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gridSpan w:val="4"/>
          </w:tcPr>
          <w:p>
            <w:pPr>
              <w:spacing w:after="0" w:line="105" w:lineRule="exact"/>
              <w:rPr>
                <w:sz w:val="20"/>
                <w:szCs w:val="20"/>
                <w:color w:val="auto"/>
              </w:rPr>
            </w:pPr>
            <w:r>
              <w:rPr>
                <w:rFonts w:ascii="Arial" w:cs="Arial" w:eastAsia="Arial" w:hAnsi="Arial"/>
                <w:sz w:val="10"/>
                <w:szCs w:val="10"/>
                <w:color w:val="auto"/>
              </w:rPr>
              <w:t>Original</w:t>
            </w:r>
          </w:p>
        </w:tc>
        <w:tc>
          <w:tcPr>
            <w:tcW w:w="620" w:type="dxa"/>
            <w:vAlign w:val="bottom"/>
            <w:gridSpan w:val="3"/>
            <w:vMerge w:val="restart"/>
          </w:tcPr>
          <w:p>
            <w:pPr>
              <w:spacing w:after="0"/>
              <w:rPr>
                <w:sz w:val="20"/>
                <w:szCs w:val="20"/>
                <w:color w:val="auto"/>
              </w:rPr>
            </w:pPr>
            <w:r>
              <w:rPr>
                <w:rFonts w:ascii="Arial" w:cs="Arial" w:eastAsia="Arial" w:hAnsi="Arial"/>
                <w:sz w:val="10"/>
                <w:szCs w:val="10"/>
                <w:color w:val="auto"/>
              </w:rPr>
              <w:t>Covered Life</w:t>
            </w:r>
          </w:p>
        </w:tc>
        <w:tc>
          <w:tcPr>
            <w:tcW w:w="88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60" w:type="dxa"/>
            <w:vAlign w:val="bottom"/>
            <w:gridSpan w:val="4"/>
            <w:vMerge w:val="restart"/>
          </w:tcPr>
          <w:p>
            <w:pPr>
              <w:ind w:left="20"/>
              <w:spacing w:after="0"/>
              <w:rPr>
                <w:sz w:val="20"/>
                <w:szCs w:val="20"/>
                <w:color w:val="auto"/>
              </w:rPr>
            </w:pPr>
            <w:r>
              <w:rPr>
                <w:rFonts w:ascii="Arial" w:cs="Arial" w:eastAsia="Arial" w:hAnsi="Arial"/>
                <w:sz w:val="10"/>
                <w:szCs w:val="10"/>
                <w:color w:val="auto"/>
                <w:w w:val="91"/>
              </w:rPr>
              <w:t>Maximum Refund</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460" w:type="dxa"/>
            <w:vAlign w:val="bottom"/>
            <w:gridSpan w:val="3"/>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5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gridSpan w:val="3"/>
            <w:vMerge w:val="continu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8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60" w:type="dxa"/>
            <w:vAlign w:val="bottom"/>
          </w:tcPr>
          <w:p>
            <w:pPr>
              <w:spacing w:after="0" w:line="93" w:lineRule="exact"/>
              <w:rPr>
                <w:sz w:val="20"/>
                <w:szCs w:val="20"/>
                <w:color w:val="auto"/>
              </w:rPr>
            </w:pPr>
            <w:r>
              <w:rPr>
                <w:rFonts w:ascii="Arial" w:cs="Arial" w:eastAsia="Arial" w:hAnsi="Arial"/>
                <w:sz w:val="9"/>
                <w:szCs w:val="9"/>
                <w:color w:val="auto"/>
                <w:w w:val="73"/>
              </w:rPr>
              <w:t>Security</w:t>
            </w:r>
          </w:p>
        </w:tc>
        <w:tc>
          <w:tcPr>
            <w:tcW w:w="8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460" w:type="dxa"/>
            <w:vAlign w:val="bottom"/>
            <w:gridSpan w:val="3"/>
            <w:vMerge w:val="continue"/>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680" w:type="dxa"/>
            <w:vAlign w:val="bottom"/>
            <w:gridSpan w:val="4"/>
          </w:tcPr>
          <w:p>
            <w:pPr>
              <w:spacing w:after="0" w:line="93" w:lineRule="exact"/>
              <w:rPr>
                <w:sz w:val="20"/>
                <w:szCs w:val="20"/>
                <w:color w:val="auto"/>
              </w:rPr>
            </w:pPr>
            <w:r>
              <w:rPr>
                <w:rFonts w:ascii="Arial" w:cs="Arial" w:eastAsia="Arial" w:hAnsi="Arial"/>
                <w:sz w:val="10"/>
                <w:szCs w:val="10"/>
                <w:color w:val="auto"/>
              </w:rPr>
              <w:t>Retirement</w:t>
            </w:r>
          </w:p>
        </w:tc>
        <w:tc>
          <w:tcPr>
            <w:tcW w:w="620" w:type="dxa"/>
            <w:vAlign w:val="bottom"/>
            <w:gridSpan w:val="3"/>
            <w:vMerge w:val="continue"/>
          </w:tcPr>
          <w:p>
            <w:pPr>
              <w:spacing w:after="0"/>
              <w:rPr>
                <w:sz w:val="8"/>
                <w:szCs w:val="8"/>
                <w:color w:val="auto"/>
              </w:rPr>
            </w:pPr>
          </w:p>
        </w:tc>
        <w:tc>
          <w:tcPr>
            <w:tcW w:w="8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860" w:type="dxa"/>
            <w:vAlign w:val="bottom"/>
          </w:tcPr>
          <w:p>
            <w:pPr>
              <w:spacing w:after="0" w:line="93" w:lineRule="exact"/>
              <w:rPr>
                <w:sz w:val="20"/>
                <w:szCs w:val="20"/>
                <w:color w:val="auto"/>
              </w:rPr>
            </w:pPr>
            <w:r>
              <w:rPr>
                <w:rFonts w:ascii="Arial" w:cs="Arial" w:eastAsia="Arial" w:hAnsi="Arial"/>
                <w:sz w:val="10"/>
                <w:szCs w:val="10"/>
                <w:color w:val="auto"/>
                <w:w w:val="97"/>
              </w:rPr>
              <w:t>Covered Life Name</w:t>
            </w:r>
          </w:p>
        </w:tc>
        <w:tc>
          <w:tcPr>
            <w:tcW w:w="720" w:type="dxa"/>
            <w:vAlign w:val="bottom"/>
          </w:tcPr>
          <w:p>
            <w:pPr>
              <w:spacing w:after="0"/>
              <w:rPr>
                <w:sz w:val="8"/>
                <w:szCs w:val="8"/>
                <w:color w:val="auto"/>
              </w:rPr>
            </w:pPr>
          </w:p>
        </w:tc>
        <w:tc>
          <w:tcPr>
            <w:tcW w:w="340" w:type="dxa"/>
            <w:vAlign w:val="bottom"/>
            <w:tcBorders>
              <w:top w:val="single" w:sz="8" w:color="auto"/>
            </w:tcBorders>
            <w:gridSpan w:val="2"/>
          </w:tcPr>
          <w:p>
            <w:pPr>
              <w:spacing w:after="0" w:line="93" w:lineRule="exact"/>
              <w:rPr>
                <w:sz w:val="20"/>
                <w:szCs w:val="20"/>
                <w:color w:val="auto"/>
              </w:rPr>
            </w:pPr>
            <w:r>
              <w:rPr>
                <w:rFonts w:ascii="Arial" w:cs="Arial" w:eastAsia="Arial" w:hAnsi="Arial"/>
                <w:sz w:val="10"/>
                <w:szCs w:val="10"/>
                <w:color w:val="auto"/>
                <w:w w:val="89"/>
              </w:rPr>
              <w:t>Number</w:t>
            </w:r>
          </w:p>
        </w:tc>
        <w:tc>
          <w:tcPr>
            <w:tcW w:w="320" w:type="dxa"/>
            <w:vAlign w:val="bottom"/>
          </w:tcPr>
          <w:p>
            <w:pPr>
              <w:spacing w:after="0"/>
              <w:rPr>
                <w:sz w:val="8"/>
                <w:szCs w:val="8"/>
                <w:color w:val="auto"/>
              </w:rPr>
            </w:pPr>
          </w:p>
        </w:tc>
        <w:tc>
          <w:tcPr>
            <w:tcW w:w="440" w:type="dxa"/>
            <w:vAlign w:val="bottom"/>
            <w:tcBorders>
              <w:top w:val="single" w:sz="8" w:color="auto"/>
            </w:tcBorders>
            <w:gridSpan w:val="2"/>
          </w:tcPr>
          <w:p>
            <w:pPr>
              <w:spacing w:after="0" w:line="93" w:lineRule="exact"/>
              <w:rPr>
                <w:sz w:val="20"/>
                <w:szCs w:val="20"/>
                <w:color w:val="auto"/>
              </w:rPr>
            </w:pPr>
            <w:r>
              <w:rPr>
                <w:rFonts w:ascii="Arial" w:cs="Arial" w:eastAsia="Arial" w:hAnsi="Arial"/>
                <w:sz w:val="10"/>
                <w:szCs w:val="10"/>
                <w:color w:val="auto"/>
              </w:rPr>
              <w:t>Code</w:t>
            </w:r>
          </w:p>
        </w:tc>
        <w:tc>
          <w:tcPr>
            <w:tcW w:w="20" w:type="dxa"/>
            <w:vAlign w:val="bottom"/>
          </w:tcPr>
          <w:p>
            <w:pPr>
              <w:spacing w:after="0"/>
              <w:rPr>
                <w:sz w:val="8"/>
                <w:szCs w:val="8"/>
                <w:color w:val="auto"/>
              </w:rPr>
            </w:pPr>
          </w:p>
        </w:tc>
        <w:tc>
          <w:tcPr>
            <w:tcW w:w="640" w:type="dxa"/>
            <w:vAlign w:val="bottom"/>
            <w:gridSpan w:val="3"/>
          </w:tcPr>
          <w:p>
            <w:pPr>
              <w:ind w:left="40"/>
              <w:spacing w:after="0" w:line="93" w:lineRule="exact"/>
              <w:rPr>
                <w:sz w:val="20"/>
                <w:szCs w:val="20"/>
                <w:color w:val="auto"/>
              </w:rPr>
            </w:pPr>
            <w:r>
              <w:rPr>
                <w:rFonts w:ascii="Arial" w:cs="Arial" w:eastAsia="Arial" w:hAnsi="Arial"/>
                <w:sz w:val="10"/>
                <w:szCs w:val="10"/>
                <w:color w:val="auto"/>
              </w:rPr>
              <w:t>Plan</w:t>
            </w:r>
          </w:p>
        </w:tc>
        <w:tc>
          <w:tcPr>
            <w:tcW w:w="460" w:type="dxa"/>
            <w:vAlign w:val="bottom"/>
            <w:gridSpan w:val="2"/>
          </w:tcPr>
          <w:p>
            <w:pPr>
              <w:spacing w:after="0" w:line="93" w:lineRule="exact"/>
              <w:rPr>
                <w:sz w:val="20"/>
                <w:szCs w:val="20"/>
                <w:color w:val="auto"/>
              </w:rPr>
            </w:pPr>
            <w:r>
              <w:rPr>
                <w:rFonts w:ascii="Arial" w:cs="Arial" w:eastAsia="Arial" w:hAnsi="Arial"/>
                <w:sz w:val="10"/>
                <w:szCs w:val="10"/>
                <w:color w:val="auto"/>
              </w:rPr>
              <w:t>Gender</w:t>
            </w:r>
          </w:p>
        </w:tc>
        <w:tc>
          <w:tcPr>
            <w:tcW w:w="780" w:type="dxa"/>
            <w:vAlign w:val="bottom"/>
            <w:gridSpan w:val="3"/>
          </w:tcPr>
          <w:p>
            <w:pPr>
              <w:ind w:left="160"/>
              <w:spacing w:after="0" w:line="93" w:lineRule="exact"/>
              <w:rPr>
                <w:sz w:val="20"/>
                <w:szCs w:val="20"/>
                <w:color w:val="auto"/>
              </w:rPr>
            </w:pPr>
            <w:r>
              <w:rPr>
                <w:rFonts w:ascii="Arial" w:cs="Arial" w:eastAsia="Arial" w:hAnsi="Arial"/>
                <w:sz w:val="10"/>
                <w:szCs w:val="10"/>
                <w:color w:val="auto"/>
              </w:rPr>
              <w:t>Date of Birth</w:t>
            </w:r>
          </w:p>
        </w:tc>
        <w:tc>
          <w:tcPr>
            <w:tcW w:w="440" w:type="dxa"/>
            <w:vAlign w:val="bottom"/>
            <w:tcBorders>
              <w:top w:val="single" w:sz="8" w:color="auto"/>
            </w:tcBorders>
            <w:gridSpan w:val="3"/>
          </w:tcPr>
          <w:p>
            <w:pPr>
              <w:spacing w:after="0" w:line="93" w:lineRule="exact"/>
              <w:rPr>
                <w:sz w:val="20"/>
                <w:szCs w:val="20"/>
                <w:color w:val="auto"/>
              </w:rPr>
            </w:pPr>
            <w:r>
              <w:rPr>
                <w:rFonts w:ascii="Arial" w:cs="Arial" w:eastAsia="Arial" w:hAnsi="Arial"/>
                <w:sz w:val="10"/>
                <w:szCs w:val="10"/>
                <w:color w:val="auto"/>
              </w:rPr>
              <w:t>Date</w:t>
            </w:r>
          </w:p>
        </w:tc>
        <w:tc>
          <w:tcPr>
            <w:tcW w:w="240" w:type="dxa"/>
            <w:vAlign w:val="bottom"/>
          </w:tcPr>
          <w:p>
            <w:pPr>
              <w:spacing w:after="0"/>
              <w:rPr>
                <w:sz w:val="8"/>
                <w:szCs w:val="8"/>
                <w:color w:val="auto"/>
              </w:rPr>
            </w:pPr>
          </w:p>
        </w:tc>
        <w:tc>
          <w:tcPr>
            <w:tcW w:w="540" w:type="dxa"/>
            <w:vAlign w:val="bottom"/>
            <w:tcBorders>
              <w:top w:val="single" w:sz="8" w:color="auto"/>
            </w:tcBorders>
            <w:gridSpan w:val="2"/>
          </w:tcPr>
          <w:p>
            <w:pPr>
              <w:spacing w:after="0" w:line="93" w:lineRule="exact"/>
              <w:rPr>
                <w:sz w:val="20"/>
                <w:szCs w:val="20"/>
                <w:color w:val="auto"/>
              </w:rPr>
            </w:pPr>
            <w:r>
              <w:rPr>
                <w:rFonts w:ascii="Arial" w:cs="Arial" w:eastAsia="Arial" w:hAnsi="Arial"/>
                <w:sz w:val="10"/>
                <w:szCs w:val="10"/>
                <w:color w:val="auto"/>
              </w:rPr>
              <w:t>Amount</w:t>
            </w:r>
          </w:p>
        </w:tc>
        <w:tc>
          <w:tcPr>
            <w:tcW w:w="80" w:type="dxa"/>
            <w:vAlign w:val="bottom"/>
          </w:tcPr>
          <w:p>
            <w:pPr>
              <w:spacing w:after="0"/>
              <w:rPr>
                <w:sz w:val="8"/>
                <w:szCs w:val="8"/>
                <w:color w:val="auto"/>
              </w:rPr>
            </w:pPr>
          </w:p>
        </w:tc>
        <w:tc>
          <w:tcPr>
            <w:tcW w:w="1340" w:type="dxa"/>
            <w:vAlign w:val="bottom"/>
            <w:gridSpan w:val="2"/>
          </w:tcPr>
          <w:p>
            <w:pPr>
              <w:spacing w:after="0" w:line="93" w:lineRule="exact"/>
              <w:rPr>
                <w:sz w:val="20"/>
                <w:szCs w:val="20"/>
                <w:color w:val="auto"/>
              </w:rPr>
            </w:pPr>
            <w:r>
              <w:rPr>
                <w:rFonts w:ascii="Arial" w:cs="Arial" w:eastAsia="Arial" w:hAnsi="Arial"/>
                <w:sz w:val="10"/>
                <w:szCs w:val="10"/>
                <w:color w:val="auto"/>
              </w:rPr>
              <w:t>Refund Death Benefit</w:t>
            </w:r>
          </w:p>
        </w:tc>
        <w:tc>
          <w:tcPr>
            <w:tcW w:w="640" w:type="dxa"/>
            <w:vAlign w:val="bottom"/>
            <w:gridSpan w:val="2"/>
          </w:tcPr>
          <w:p>
            <w:pPr>
              <w:spacing w:after="0" w:line="93" w:lineRule="exact"/>
              <w:rPr>
                <w:sz w:val="20"/>
                <w:szCs w:val="20"/>
                <w:color w:val="auto"/>
              </w:rPr>
            </w:pPr>
            <w:r>
              <w:rPr>
                <w:rFonts w:ascii="Arial" w:cs="Arial" w:eastAsia="Arial" w:hAnsi="Arial"/>
                <w:sz w:val="10"/>
                <w:szCs w:val="10"/>
                <w:color w:val="auto"/>
              </w:rPr>
              <w:t>Covered Life</w:t>
            </w:r>
          </w:p>
        </w:tc>
        <w:tc>
          <w:tcPr>
            <w:tcW w:w="860" w:type="dxa"/>
            <w:vAlign w:val="bottom"/>
            <w:gridSpan w:val="3"/>
          </w:tcPr>
          <w:p>
            <w:pPr>
              <w:ind w:left="120"/>
              <w:spacing w:after="0" w:line="93" w:lineRule="exact"/>
              <w:rPr>
                <w:sz w:val="20"/>
                <w:szCs w:val="20"/>
                <w:color w:val="auto"/>
              </w:rPr>
            </w:pPr>
            <w:r>
              <w:rPr>
                <w:rFonts w:ascii="Arial" w:cs="Arial" w:eastAsia="Arial" w:hAnsi="Arial"/>
                <w:sz w:val="10"/>
                <w:szCs w:val="10"/>
                <w:color w:val="auto"/>
              </w:rPr>
              <w:t>Contingent Life</w:t>
            </w:r>
          </w:p>
        </w:tc>
        <w:tc>
          <w:tcPr>
            <w:tcW w:w="660" w:type="dxa"/>
            <w:vAlign w:val="bottom"/>
            <w:gridSpan w:val="2"/>
          </w:tcPr>
          <w:p>
            <w:pPr>
              <w:spacing w:after="0" w:line="93" w:lineRule="exact"/>
              <w:rPr>
                <w:sz w:val="20"/>
                <w:szCs w:val="20"/>
                <w:color w:val="auto"/>
              </w:rPr>
            </w:pPr>
            <w:r>
              <w:rPr>
                <w:rFonts w:ascii="Arial" w:cs="Arial" w:eastAsia="Arial" w:hAnsi="Arial"/>
                <w:sz w:val="10"/>
                <w:szCs w:val="10"/>
                <w:color w:val="auto"/>
              </w:rPr>
              <w:t>Covered Life</w:t>
            </w:r>
          </w:p>
        </w:tc>
        <w:tc>
          <w:tcPr>
            <w:tcW w:w="860" w:type="dxa"/>
            <w:vAlign w:val="bottom"/>
            <w:gridSpan w:val="4"/>
          </w:tcPr>
          <w:p>
            <w:pPr>
              <w:ind w:left="100"/>
              <w:spacing w:after="0" w:line="93" w:lineRule="exact"/>
              <w:rPr>
                <w:sz w:val="20"/>
                <w:szCs w:val="20"/>
                <w:color w:val="auto"/>
              </w:rPr>
            </w:pPr>
            <w:r>
              <w:rPr>
                <w:rFonts w:ascii="Arial" w:cs="Arial" w:eastAsia="Arial" w:hAnsi="Arial"/>
                <w:sz w:val="10"/>
                <w:szCs w:val="10"/>
                <w:color w:val="auto"/>
              </w:rPr>
              <w:t>Contingent Life</w:t>
            </w:r>
          </w:p>
        </w:tc>
        <w:tc>
          <w:tcPr>
            <w:tcW w:w="720" w:type="dxa"/>
            <w:vAlign w:val="bottom"/>
            <w:tcBorders>
              <w:top w:val="single" w:sz="8" w:color="auto"/>
            </w:tcBorders>
            <w:gridSpan w:val="2"/>
          </w:tcPr>
          <w:p>
            <w:pPr>
              <w:spacing w:after="0" w:line="93" w:lineRule="exact"/>
              <w:rPr>
                <w:sz w:val="20"/>
                <w:szCs w:val="20"/>
                <w:color w:val="auto"/>
              </w:rPr>
            </w:pPr>
            <w:r>
              <w:rPr>
                <w:rFonts w:ascii="Arial" w:cs="Arial" w:eastAsia="Arial" w:hAnsi="Arial"/>
                <w:sz w:val="10"/>
                <w:szCs w:val="10"/>
                <w:color w:val="auto"/>
              </w:rPr>
              <w:t>Death Benefit</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86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980"/>
          </w:cols>
          <w:pgMar w:left="240" w:top="545" w:right="679" w:bottom="1440" w:gutter="0" w:footer="0" w:header="0"/>
        </w:sectPr>
      </w:pPr>
    </w:p>
    <w:bookmarkStart w:id="191" w:name="page192"/>
    <w:bookmarkEnd w:id="191"/>
    <w:p>
      <w:pPr>
        <w:spacing w:after="0"/>
        <w:rPr>
          <w:sz w:val="20"/>
          <w:szCs w:val="20"/>
          <w:color w:val="auto"/>
        </w:rPr>
      </w:pPr>
      <w:r>
        <w:rPr>
          <w:rFonts w:ascii="Arial" w:cs="Arial" w:eastAsia="Arial" w:hAnsi="Arial"/>
          <w:sz w:val="17"/>
          <w:szCs w:val="17"/>
          <w:b w:val="1"/>
          <w:bCs w:val="1"/>
          <w:color w:val="auto"/>
        </w:rPr>
        <w:t>ANNUITY EXHIBIT SAMPLE</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GA-XXXX</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Vita</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Annuitants</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Alternate Payee Single Life Annuity</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Annuity Commencement Date is Month 1, 20XX</w:t>
      </w:r>
    </w:p>
    <w:p>
      <w:pPr>
        <w:spacing w:after="0" w:line="141"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860" w:type="dxa"/>
            <w:vAlign w:val="bottom"/>
            <w:vMerge w:val="restart"/>
          </w:tcPr>
          <w:p>
            <w:pPr>
              <w:spacing w:after="0"/>
              <w:rPr>
                <w:sz w:val="20"/>
                <w:szCs w:val="20"/>
                <w:color w:val="auto"/>
              </w:rPr>
            </w:pPr>
            <w:r>
              <w:rPr>
                <w:rFonts w:ascii="Arial" w:cs="Arial" w:eastAsia="Arial" w:hAnsi="Arial"/>
                <w:sz w:val="10"/>
                <w:szCs w:val="10"/>
                <w:color w:val="auto"/>
                <w:w w:val="97"/>
              </w:rPr>
              <w:t>Covered Life Name</w:t>
            </w:r>
          </w:p>
        </w:tc>
        <w:tc>
          <w:tcPr>
            <w:tcW w:w="1080" w:type="dxa"/>
            <w:vAlign w:val="bottom"/>
          </w:tcPr>
          <w:p>
            <w:pPr>
              <w:spacing w:after="0"/>
              <w:rPr>
                <w:sz w:val="10"/>
                <w:szCs w:val="10"/>
                <w:color w:val="auto"/>
              </w:rPr>
            </w:pPr>
          </w:p>
        </w:tc>
        <w:tc>
          <w:tcPr>
            <w:tcW w:w="700" w:type="dxa"/>
            <w:vAlign w:val="bottom"/>
            <w:gridSpan w:val="3"/>
          </w:tcPr>
          <w:p>
            <w:pPr>
              <w:spacing w:after="0"/>
              <w:rPr>
                <w:sz w:val="20"/>
                <w:szCs w:val="20"/>
                <w:color w:val="auto"/>
              </w:rPr>
            </w:pPr>
            <w:r>
              <w:rPr>
                <w:rFonts w:ascii="Arial" w:cs="Arial" w:eastAsia="Arial" w:hAnsi="Arial"/>
                <w:sz w:val="10"/>
                <w:szCs w:val="10"/>
                <w:color w:val="auto"/>
              </w:rPr>
              <w:t>Social Security</w:t>
            </w:r>
          </w:p>
        </w:tc>
        <w:tc>
          <w:tcPr>
            <w:tcW w:w="600" w:type="dxa"/>
            <w:vAlign w:val="bottom"/>
            <w:gridSpan w:val="4"/>
          </w:tcPr>
          <w:p>
            <w:pPr>
              <w:ind w:left="80"/>
              <w:spacing w:after="0"/>
              <w:rPr>
                <w:sz w:val="20"/>
                <w:szCs w:val="20"/>
                <w:color w:val="auto"/>
              </w:rPr>
            </w:pPr>
            <w:r>
              <w:rPr>
                <w:rFonts w:ascii="Arial" w:cs="Arial" w:eastAsia="Arial" w:hAnsi="Arial"/>
                <w:sz w:val="10"/>
                <w:szCs w:val="10"/>
                <w:color w:val="auto"/>
              </w:rPr>
              <w:t>Retirement</w:t>
            </w:r>
          </w:p>
        </w:tc>
        <w:tc>
          <w:tcPr>
            <w:tcW w:w="240" w:type="dxa"/>
            <w:vAlign w:val="bottom"/>
            <w:gridSpan w:val="2"/>
            <w:vMerge w:val="restart"/>
          </w:tcPr>
          <w:p>
            <w:pPr>
              <w:ind w:left="60"/>
              <w:spacing w:after="0"/>
              <w:rPr>
                <w:sz w:val="20"/>
                <w:szCs w:val="20"/>
                <w:color w:val="auto"/>
              </w:rPr>
            </w:pPr>
            <w:r>
              <w:rPr>
                <w:rFonts w:ascii="Arial" w:cs="Arial" w:eastAsia="Arial" w:hAnsi="Arial"/>
                <w:sz w:val="10"/>
                <w:szCs w:val="10"/>
                <w:color w:val="auto"/>
                <w:w w:val="79"/>
              </w:rPr>
              <w:t>Plan</w:t>
            </w:r>
          </w:p>
        </w:tc>
        <w:tc>
          <w:tcPr>
            <w:tcW w:w="440" w:type="dxa"/>
            <w:vAlign w:val="bottom"/>
          </w:tcPr>
          <w:p>
            <w:pPr>
              <w:spacing w:after="0"/>
              <w:rPr>
                <w:sz w:val="10"/>
                <w:szCs w:val="10"/>
                <w:color w:val="auto"/>
              </w:rPr>
            </w:pPr>
          </w:p>
        </w:tc>
        <w:tc>
          <w:tcPr>
            <w:tcW w:w="440" w:type="dxa"/>
            <w:vAlign w:val="bottom"/>
            <w:gridSpan w:val="2"/>
            <w:vMerge w:val="restart"/>
          </w:tcPr>
          <w:p>
            <w:pPr>
              <w:spacing w:after="0"/>
              <w:rPr>
                <w:sz w:val="20"/>
                <w:szCs w:val="20"/>
                <w:color w:val="auto"/>
              </w:rPr>
            </w:pPr>
            <w:r>
              <w:rPr>
                <w:rFonts w:ascii="Arial" w:cs="Arial" w:eastAsia="Arial" w:hAnsi="Arial"/>
                <w:sz w:val="10"/>
                <w:szCs w:val="10"/>
                <w:color w:val="auto"/>
              </w:rPr>
              <w:t>Gender</w:t>
            </w:r>
          </w:p>
        </w:tc>
        <w:tc>
          <w:tcPr>
            <w:tcW w:w="820" w:type="dxa"/>
            <w:vAlign w:val="bottom"/>
            <w:gridSpan w:val="3"/>
            <w:vMerge w:val="restart"/>
          </w:tcPr>
          <w:p>
            <w:pPr>
              <w:ind w:left="160"/>
              <w:spacing w:after="0"/>
              <w:rPr>
                <w:sz w:val="20"/>
                <w:szCs w:val="20"/>
                <w:color w:val="auto"/>
              </w:rPr>
            </w:pPr>
            <w:r>
              <w:rPr>
                <w:rFonts w:ascii="Arial" w:cs="Arial" w:eastAsia="Arial" w:hAnsi="Arial"/>
                <w:sz w:val="10"/>
                <w:szCs w:val="10"/>
                <w:color w:val="auto"/>
              </w:rPr>
              <w:t>Date of Birth</w:t>
            </w:r>
          </w:p>
        </w:tc>
        <w:tc>
          <w:tcPr>
            <w:tcW w:w="840" w:type="dxa"/>
            <w:vAlign w:val="bottom"/>
            <w:gridSpan w:val="3"/>
          </w:tcPr>
          <w:p>
            <w:pPr>
              <w:spacing w:after="0"/>
              <w:rPr>
                <w:sz w:val="20"/>
                <w:szCs w:val="20"/>
                <w:color w:val="auto"/>
              </w:rPr>
            </w:pPr>
            <w:r>
              <w:rPr>
                <w:rFonts w:ascii="Arial" w:cs="Arial" w:eastAsia="Arial" w:hAnsi="Arial"/>
                <w:sz w:val="10"/>
                <w:szCs w:val="10"/>
                <w:color w:val="auto"/>
              </w:rPr>
              <w:t>Original</w:t>
            </w:r>
          </w:p>
        </w:tc>
        <w:tc>
          <w:tcPr>
            <w:tcW w:w="680" w:type="dxa"/>
            <w:vAlign w:val="bottom"/>
            <w:gridSpan w:val="3"/>
          </w:tcPr>
          <w:p>
            <w:pPr>
              <w:spacing w:after="0"/>
              <w:rPr>
                <w:sz w:val="20"/>
                <w:szCs w:val="20"/>
                <w:color w:val="auto"/>
              </w:rPr>
            </w:pPr>
            <w:r>
              <w:rPr>
                <w:rFonts w:ascii="Arial" w:cs="Arial" w:eastAsia="Arial" w:hAnsi="Arial"/>
                <w:sz w:val="10"/>
                <w:szCs w:val="10"/>
                <w:color w:val="auto"/>
                <w:w w:val="97"/>
              </w:rPr>
              <w:t>Associated Life</w:t>
            </w:r>
          </w:p>
        </w:tc>
        <w:tc>
          <w:tcPr>
            <w:tcW w:w="1360" w:type="dxa"/>
            <w:vAlign w:val="bottom"/>
            <w:gridSpan w:val="4"/>
          </w:tcPr>
          <w:p>
            <w:pPr>
              <w:ind w:left="60"/>
              <w:spacing w:after="0"/>
              <w:rPr>
                <w:sz w:val="20"/>
                <w:szCs w:val="20"/>
                <w:color w:val="auto"/>
              </w:rPr>
            </w:pPr>
            <w:r>
              <w:rPr>
                <w:rFonts w:ascii="Arial" w:cs="Arial" w:eastAsia="Arial" w:hAnsi="Arial"/>
                <w:sz w:val="10"/>
                <w:szCs w:val="10"/>
                <w:color w:val="auto"/>
              </w:rPr>
              <w:t>Associated Life Social</w:t>
            </w:r>
          </w:p>
        </w:tc>
        <w:tc>
          <w:tcPr>
            <w:tcW w:w="920" w:type="dxa"/>
            <w:vAlign w:val="bottom"/>
            <w:gridSpan w:val="3"/>
          </w:tcPr>
          <w:p>
            <w:pPr>
              <w:spacing w:after="0"/>
              <w:rPr>
                <w:sz w:val="20"/>
                <w:szCs w:val="20"/>
                <w:color w:val="auto"/>
              </w:rPr>
            </w:pPr>
            <w:r>
              <w:rPr>
                <w:rFonts w:ascii="Arial" w:cs="Arial" w:eastAsia="Arial" w:hAnsi="Arial"/>
                <w:sz w:val="10"/>
                <w:szCs w:val="10"/>
                <w:color w:val="auto"/>
                <w:w w:val="98"/>
              </w:rPr>
              <w:t>Associated Life Date</w:t>
            </w:r>
          </w:p>
        </w:tc>
        <w:tc>
          <w:tcPr>
            <w:tcW w:w="760" w:type="dxa"/>
            <w:vAlign w:val="bottom"/>
            <w:gridSpan w:val="4"/>
          </w:tcPr>
          <w:p>
            <w:pPr>
              <w:ind w:left="40"/>
              <w:spacing w:after="0"/>
              <w:rPr>
                <w:sz w:val="20"/>
                <w:szCs w:val="20"/>
                <w:color w:val="auto"/>
              </w:rPr>
            </w:pPr>
            <w:r>
              <w:rPr>
                <w:rFonts w:ascii="Arial" w:cs="Arial" w:eastAsia="Arial" w:hAnsi="Arial"/>
                <w:sz w:val="10"/>
                <w:szCs w:val="10"/>
                <w:color w:val="auto"/>
                <w:w w:val="98"/>
              </w:rPr>
              <w:t>Alternate Payee</w:t>
            </w:r>
          </w:p>
        </w:tc>
        <w:tc>
          <w:tcPr>
            <w:tcW w:w="880" w:type="dxa"/>
            <w:vAlign w:val="bottom"/>
            <w:gridSpan w:val="3"/>
          </w:tcPr>
          <w:p>
            <w:pPr>
              <w:spacing w:after="0"/>
              <w:rPr>
                <w:sz w:val="20"/>
                <w:szCs w:val="20"/>
                <w:color w:val="auto"/>
              </w:rPr>
            </w:pPr>
            <w:r>
              <w:rPr>
                <w:rFonts w:ascii="Arial" w:cs="Arial" w:eastAsia="Arial" w:hAnsi="Arial"/>
                <w:sz w:val="10"/>
                <w:szCs w:val="10"/>
                <w:color w:val="auto"/>
              </w:rPr>
              <w:t>Pre 62+1 Pension</w:t>
            </w:r>
          </w:p>
        </w:tc>
        <w:tc>
          <w:tcPr>
            <w:tcW w:w="760" w:type="dxa"/>
            <w:vAlign w:val="bottom"/>
            <w:gridSpan w:val="3"/>
          </w:tcPr>
          <w:p>
            <w:pPr>
              <w:spacing w:after="0"/>
              <w:rPr>
                <w:sz w:val="20"/>
                <w:szCs w:val="20"/>
                <w:color w:val="auto"/>
              </w:rPr>
            </w:pPr>
            <w:r>
              <w:rPr>
                <w:rFonts w:ascii="Arial" w:cs="Arial" w:eastAsia="Arial" w:hAnsi="Arial"/>
                <w:sz w:val="10"/>
                <w:szCs w:val="10"/>
                <w:color w:val="auto"/>
                <w:w w:val="87"/>
              </w:rPr>
              <w:t>Post 62+1 Pension</w:t>
            </w:r>
          </w:p>
        </w:tc>
        <w:tc>
          <w:tcPr>
            <w:tcW w:w="0" w:type="dxa"/>
            <w:vAlign w:val="bottom"/>
          </w:tcPr>
          <w:p>
            <w:pPr>
              <w:spacing w:after="0"/>
              <w:rPr>
                <w:sz w:val="1"/>
                <w:szCs w:val="1"/>
                <w:color w:val="auto"/>
              </w:rPr>
            </w:pPr>
          </w:p>
        </w:tc>
      </w:tr>
      <w:tr>
        <w:trPr>
          <w:trHeight w:val="20"/>
        </w:trPr>
        <w:tc>
          <w:tcPr>
            <w:tcW w:w="860" w:type="dxa"/>
            <w:vAlign w:val="bottom"/>
            <w:vMerge w:val="continu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40" w:type="dxa"/>
            <w:vAlign w:val="bottom"/>
            <w:gridSpan w:val="2"/>
            <w:vMerge w:val="continue"/>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440" w:type="dxa"/>
            <w:vAlign w:val="bottom"/>
            <w:gridSpan w:val="2"/>
            <w:vMerge w:val="continue"/>
          </w:tcPr>
          <w:p>
            <w:pPr>
              <w:spacing w:after="0" w:line="20" w:lineRule="exact"/>
              <w:rPr>
                <w:sz w:val="1"/>
                <w:szCs w:val="1"/>
                <w:color w:val="auto"/>
              </w:rPr>
            </w:pPr>
          </w:p>
        </w:tc>
        <w:tc>
          <w:tcPr>
            <w:tcW w:w="820" w:type="dxa"/>
            <w:vAlign w:val="bottom"/>
            <w:gridSpan w:val="3"/>
            <w:vMerge w:val="continue"/>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860" w:type="dxa"/>
            <w:vAlign w:val="bottom"/>
            <w:vMerge w:val="continue"/>
          </w:tcPr>
          <w:p>
            <w:pPr>
              <w:spacing w:after="0"/>
              <w:rPr>
                <w:sz w:val="8"/>
                <w:szCs w:val="8"/>
                <w:color w:val="auto"/>
              </w:rPr>
            </w:pPr>
          </w:p>
        </w:tc>
        <w:tc>
          <w:tcPr>
            <w:tcW w:w="1080" w:type="dxa"/>
            <w:vAlign w:val="bottom"/>
          </w:tcPr>
          <w:p>
            <w:pPr>
              <w:spacing w:after="0"/>
              <w:rPr>
                <w:sz w:val="8"/>
                <w:szCs w:val="8"/>
                <w:color w:val="auto"/>
              </w:rPr>
            </w:pPr>
          </w:p>
        </w:tc>
        <w:tc>
          <w:tcPr>
            <w:tcW w:w="600" w:type="dxa"/>
            <w:vAlign w:val="bottom"/>
            <w:gridSpan w:val="2"/>
          </w:tcPr>
          <w:p>
            <w:pPr>
              <w:spacing w:after="0" w:line="93" w:lineRule="exact"/>
              <w:rPr>
                <w:sz w:val="20"/>
                <w:szCs w:val="20"/>
                <w:color w:val="auto"/>
              </w:rPr>
            </w:pPr>
            <w:r>
              <w:rPr>
                <w:rFonts w:ascii="Arial" w:cs="Arial" w:eastAsia="Arial" w:hAnsi="Arial"/>
                <w:sz w:val="10"/>
                <w:szCs w:val="10"/>
                <w:color w:val="auto"/>
              </w:rPr>
              <w:t>Number</w:t>
            </w:r>
          </w:p>
        </w:tc>
        <w:tc>
          <w:tcPr>
            <w:tcW w:w="100" w:type="dxa"/>
            <w:vAlign w:val="bottom"/>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440" w:type="dxa"/>
            <w:vAlign w:val="bottom"/>
            <w:gridSpan w:val="2"/>
          </w:tcPr>
          <w:p>
            <w:pPr>
              <w:spacing w:after="0" w:line="93" w:lineRule="exact"/>
              <w:rPr>
                <w:sz w:val="20"/>
                <w:szCs w:val="20"/>
                <w:color w:val="auto"/>
              </w:rPr>
            </w:pPr>
            <w:r>
              <w:rPr>
                <w:rFonts w:ascii="Arial" w:cs="Arial" w:eastAsia="Arial" w:hAnsi="Arial"/>
                <w:sz w:val="10"/>
                <w:szCs w:val="10"/>
                <w:color w:val="auto"/>
              </w:rPr>
              <w:t>Code</w:t>
            </w:r>
          </w:p>
        </w:tc>
        <w:tc>
          <w:tcPr>
            <w:tcW w:w="80" w:type="dxa"/>
            <w:vAlign w:val="bottom"/>
            <w:vMerge w:val="continue"/>
          </w:tcPr>
          <w:p>
            <w:pPr>
              <w:spacing w:after="0"/>
              <w:rPr>
                <w:sz w:val="8"/>
                <w:szCs w:val="8"/>
                <w:color w:val="auto"/>
              </w:rPr>
            </w:pPr>
          </w:p>
        </w:tc>
        <w:tc>
          <w:tcPr>
            <w:tcW w:w="240" w:type="dxa"/>
            <w:vAlign w:val="bottom"/>
            <w:gridSpan w:val="2"/>
            <w:vMerge w:val="continue"/>
          </w:tcPr>
          <w:p>
            <w:pPr>
              <w:spacing w:after="0"/>
              <w:rPr>
                <w:sz w:val="8"/>
                <w:szCs w:val="8"/>
                <w:color w:val="auto"/>
              </w:rPr>
            </w:pPr>
          </w:p>
        </w:tc>
        <w:tc>
          <w:tcPr>
            <w:tcW w:w="440" w:type="dxa"/>
            <w:vAlign w:val="bottom"/>
            <w:vMerge w:val="continue"/>
          </w:tcPr>
          <w:p>
            <w:pPr>
              <w:spacing w:after="0"/>
              <w:rPr>
                <w:sz w:val="8"/>
                <w:szCs w:val="8"/>
                <w:color w:val="auto"/>
              </w:rPr>
            </w:pPr>
          </w:p>
        </w:tc>
        <w:tc>
          <w:tcPr>
            <w:tcW w:w="440" w:type="dxa"/>
            <w:vAlign w:val="bottom"/>
            <w:gridSpan w:val="2"/>
            <w:vMerge w:val="continue"/>
          </w:tcPr>
          <w:p>
            <w:pPr>
              <w:spacing w:after="0"/>
              <w:rPr>
                <w:sz w:val="8"/>
                <w:szCs w:val="8"/>
                <w:color w:val="auto"/>
              </w:rPr>
            </w:pPr>
          </w:p>
        </w:tc>
        <w:tc>
          <w:tcPr>
            <w:tcW w:w="820" w:type="dxa"/>
            <w:vAlign w:val="bottom"/>
            <w:gridSpan w:val="3"/>
            <w:vMerge w:val="continue"/>
          </w:tcPr>
          <w:p>
            <w:pPr>
              <w:spacing w:after="0"/>
              <w:rPr>
                <w:sz w:val="8"/>
                <w:szCs w:val="8"/>
                <w:color w:val="auto"/>
              </w:rPr>
            </w:pPr>
          </w:p>
        </w:tc>
        <w:tc>
          <w:tcPr>
            <w:tcW w:w="840" w:type="dxa"/>
            <w:vAlign w:val="bottom"/>
            <w:gridSpan w:val="3"/>
          </w:tcPr>
          <w:p>
            <w:pPr>
              <w:spacing w:after="0" w:line="93" w:lineRule="exact"/>
              <w:rPr>
                <w:sz w:val="20"/>
                <w:szCs w:val="20"/>
                <w:color w:val="auto"/>
              </w:rPr>
            </w:pPr>
            <w:r>
              <w:rPr>
                <w:rFonts w:ascii="Arial" w:cs="Arial" w:eastAsia="Arial" w:hAnsi="Arial"/>
                <w:sz w:val="10"/>
                <w:szCs w:val="10"/>
                <w:color w:val="auto"/>
              </w:rPr>
              <w:t>Retirement Date</w:t>
            </w:r>
          </w:p>
        </w:tc>
        <w:tc>
          <w:tcPr>
            <w:tcW w:w="620" w:type="dxa"/>
            <w:vAlign w:val="bottom"/>
            <w:gridSpan w:val="2"/>
          </w:tcPr>
          <w:p>
            <w:pPr>
              <w:spacing w:after="0" w:line="93" w:lineRule="exact"/>
              <w:rPr>
                <w:sz w:val="20"/>
                <w:szCs w:val="20"/>
                <w:color w:val="auto"/>
              </w:rPr>
            </w:pPr>
            <w:r>
              <w:rPr>
                <w:rFonts w:ascii="Arial" w:cs="Arial" w:eastAsia="Arial" w:hAnsi="Arial"/>
                <w:sz w:val="10"/>
                <w:szCs w:val="10"/>
                <w:color w:val="auto"/>
              </w:rPr>
              <w:t>Name</w:t>
            </w:r>
          </w:p>
        </w:tc>
        <w:tc>
          <w:tcPr>
            <w:tcW w:w="60" w:type="dxa"/>
            <w:vAlign w:val="bottom"/>
            <w:vMerge w:val="continue"/>
          </w:tcPr>
          <w:p>
            <w:pPr>
              <w:spacing w:after="0"/>
              <w:rPr>
                <w:sz w:val="8"/>
                <w:szCs w:val="8"/>
                <w:color w:val="auto"/>
              </w:rPr>
            </w:pPr>
          </w:p>
        </w:tc>
        <w:tc>
          <w:tcPr>
            <w:tcW w:w="60" w:type="dxa"/>
            <w:vAlign w:val="bottom"/>
            <w:vMerge w:val="continue"/>
          </w:tcPr>
          <w:p>
            <w:pPr>
              <w:spacing w:after="0"/>
              <w:rPr>
                <w:sz w:val="8"/>
                <w:szCs w:val="8"/>
                <w:color w:val="auto"/>
              </w:rPr>
            </w:pPr>
          </w:p>
        </w:tc>
        <w:tc>
          <w:tcPr>
            <w:tcW w:w="900" w:type="dxa"/>
            <w:vAlign w:val="bottom"/>
            <w:gridSpan w:val="2"/>
          </w:tcPr>
          <w:p>
            <w:pPr>
              <w:spacing w:after="0" w:line="93" w:lineRule="exact"/>
              <w:rPr>
                <w:sz w:val="20"/>
                <w:szCs w:val="20"/>
                <w:color w:val="auto"/>
              </w:rPr>
            </w:pPr>
            <w:r>
              <w:rPr>
                <w:rFonts w:ascii="Arial" w:cs="Arial" w:eastAsia="Arial" w:hAnsi="Arial"/>
                <w:sz w:val="10"/>
                <w:szCs w:val="10"/>
                <w:color w:val="auto"/>
              </w:rPr>
              <w:t>Security Number</w:t>
            </w:r>
          </w:p>
        </w:tc>
        <w:tc>
          <w:tcPr>
            <w:tcW w:w="400" w:type="dxa"/>
            <w:vAlign w:val="bottom"/>
            <w:vMerge w:val="continue"/>
          </w:tcPr>
          <w:p>
            <w:pPr>
              <w:spacing w:after="0"/>
              <w:rPr>
                <w:sz w:val="8"/>
                <w:szCs w:val="8"/>
                <w:color w:val="auto"/>
              </w:rPr>
            </w:pPr>
          </w:p>
        </w:tc>
        <w:tc>
          <w:tcPr>
            <w:tcW w:w="860" w:type="dxa"/>
            <w:vAlign w:val="bottom"/>
            <w:gridSpan w:val="2"/>
          </w:tcPr>
          <w:p>
            <w:pPr>
              <w:spacing w:after="0" w:line="93" w:lineRule="exact"/>
              <w:rPr>
                <w:sz w:val="20"/>
                <w:szCs w:val="20"/>
                <w:color w:val="auto"/>
              </w:rPr>
            </w:pPr>
            <w:r>
              <w:rPr>
                <w:rFonts w:ascii="Arial" w:cs="Arial" w:eastAsia="Arial" w:hAnsi="Arial"/>
                <w:sz w:val="10"/>
                <w:szCs w:val="10"/>
                <w:color w:val="auto"/>
              </w:rPr>
              <w:t>of Birth</w:t>
            </w:r>
          </w:p>
        </w:tc>
        <w:tc>
          <w:tcPr>
            <w:tcW w:w="60" w:type="dxa"/>
            <w:vAlign w:val="bottom"/>
            <w:vMerge w:val="continue"/>
          </w:tcPr>
          <w:p>
            <w:pPr>
              <w:spacing w:after="0"/>
              <w:rPr>
                <w:sz w:val="8"/>
                <w:szCs w:val="8"/>
                <w:color w:val="auto"/>
              </w:rPr>
            </w:pPr>
          </w:p>
        </w:tc>
        <w:tc>
          <w:tcPr>
            <w:tcW w:w="40" w:type="dxa"/>
            <w:vAlign w:val="bottom"/>
            <w:vMerge w:val="continue"/>
          </w:tcPr>
          <w:p>
            <w:pPr>
              <w:spacing w:after="0"/>
              <w:rPr>
                <w:sz w:val="8"/>
                <w:szCs w:val="8"/>
                <w:color w:val="auto"/>
              </w:rPr>
            </w:pPr>
          </w:p>
        </w:tc>
        <w:tc>
          <w:tcPr>
            <w:tcW w:w="640" w:type="dxa"/>
            <w:vAlign w:val="bottom"/>
            <w:gridSpan w:val="2"/>
          </w:tcPr>
          <w:p>
            <w:pPr>
              <w:spacing w:after="0" w:line="93" w:lineRule="exact"/>
              <w:rPr>
                <w:sz w:val="20"/>
                <w:szCs w:val="20"/>
                <w:color w:val="auto"/>
              </w:rPr>
            </w:pPr>
            <w:r>
              <w:rPr>
                <w:rFonts w:ascii="Arial" w:cs="Arial" w:eastAsia="Arial" w:hAnsi="Arial"/>
                <w:sz w:val="10"/>
                <w:szCs w:val="10"/>
                <w:color w:val="auto"/>
              </w:rPr>
              <w:t>Type</w:t>
            </w:r>
          </w:p>
        </w:tc>
        <w:tc>
          <w:tcPr>
            <w:tcW w:w="80" w:type="dxa"/>
            <w:vAlign w:val="bottom"/>
            <w:vMerge w:val="continue"/>
          </w:tcPr>
          <w:p>
            <w:pPr>
              <w:spacing w:after="0"/>
              <w:rPr>
                <w:sz w:val="8"/>
                <w:szCs w:val="8"/>
                <w:color w:val="auto"/>
              </w:rPr>
            </w:pPr>
          </w:p>
        </w:tc>
        <w:tc>
          <w:tcPr>
            <w:tcW w:w="720" w:type="dxa"/>
            <w:vAlign w:val="bottom"/>
            <w:gridSpan w:val="2"/>
          </w:tcPr>
          <w:p>
            <w:pPr>
              <w:spacing w:after="0" w:line="93" w:lineRule="exact"/>
              <w:rPr>
                <w:sz w:val="20"/>
                <w:szCs w:val="20"/>
                <w:color w:val="auto"/>
              </w:rPr>
            </w:pPr>
            <w:r>
              <w:rPr>
                <w:rFonts w:ascii="Arial" w:cs="Arial" w:eastAsia="Arial" w:hAnsi="Arial"/>
                <w:sz w:val="10"/>
                <w:szCs w:val="10"/>
                <w:color w:val="auto"/>
              </w:rPr>
              <w:t>Amount</w:t>
            </w:r>
          </w:p>
        </w:tc>
        <w:tc>
          <w:tcPr>
            <w:tcW w:w="160" w:type="dxa"/>
            <w:vAlign w:val="bottom"/>
            <w:vMerge w:val="continue"/>
          </w:tcPr>
          <w:p>
            <w:pPr>
              <w:spacing w:after="0"/>
              <w:rPr>
                <w:sz w:val="8"/>
                <w:szCs w:val="8"/>
                <w:color w:val="auto"/>
              </w:rPr>
            </w:pPr>
          </w:p>
        </w:tc>
        <w:tc>
          <w:tcPr>
            <w:tcW w:w="740" w:type="dxa"/>
            <w:vAlign w:val="bottom"/>
            <w:gridSpan w:val="2"/>
          </w:tcPr>
          <w:p>
            <w:pPr>
              <w:spacing w:after="0" w:line="93" w:lineRule="exact"/>
              <w:rPr>
                <w:sz w:val="20"/>
                <w:szCs w:val="20"/>
                <w:color w:val="auto"/>
              </w:rPr>
            </w:pPr>
            <w:r>
              <w:rPr>
                <w:rFonts w:ascii="Arial" w:cs="Arial" w:eastAsia="Arial" w:hAnsi="Arial"/>
                <w:sz w:val="10"/>
                <w:szCs w:val="10"/>
                <w:color w:val="auto"/>
              </w:rPr>
              <w:t>Amount</w:t>
            </w:r>
          </w:p>
        </w:tc>
        <w:tc>
          <w:tcPr>
            <w:tcW w:w="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86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80"/>
          </w:cols>
          <w:pgMar w:left="240" w:top="545" w:right="279" w:bottom="1440" w:gutter="0" w:footer="0" w:header="0"/>
        </w:sectPr>
      </w:pPr>
    </w:p>
    <w:bookmarkStart w:id="192" w:name="page193"/>
    <w:bookmarkEnd w:id="192"/>
    <w:p>
      <w:pPr>
        <w:spacing w:after="0"/>
        <w:rPr>
          <w:sz w:val="20"/>
          <w:szCs w:val="20"/>
          <w:color w:val="auto"/>
        </w:rPr>
      </w:pPr>
      <w:r>
        <w:rPr>
          <w:rFonts w:ascii="Arial" w:cs="Arial" w:eastAsia="Arial" w:hAnsi="Arial"/>
          <w:sz w:val="17"/>
          <w:szCs w:val="17"/>
          <w:b w:val="1"/>
          <w:bCs w:val="1"/>
          <w:color w:val="auto"/>
        </w:rPr>
        <w:t>ANNUITY EXHIBIT SAMPLE</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GA-XXXX</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Vita</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Annuitants</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Alternate Payee Single Life Annuity</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Annuity Commencement Date is Month 1, 20XX</w:t>
      </w:r>
    </w:p>
    <w:p>
      <w:pPr>
        <w:spacing w:after="0" w:line="111" w:lineRule="exact"/>
        <w:rPr>
          <w:sz w:val="20"/>
          <w:szCs w:val="20"/>
          <w:color w:val="auto"/>
        </w:rPr>
      </w:pPr>
    </w:p>
    <w:tbl>
      <w:tblPr>
        <w:tblLayout w:type="fixed"/>
        <w:tblInd w:w="20" w:type="dxa"/>
        <w:tblCellMar>
          <w:top w:w="0" w:type="dxa"/>
          <w:left w:w="0" w:type="dxa"/>
          <w:bottom w:w="0" w:type="dxa"/>
          <w:right w:w="0" w:type="dxa"/>
        </w:tblCellMar>
      </w:tblPr>
      <w:tr>
        <w:trPr>
          <w:trHeight w:val="255"/>
        </w:trPr>
        <w:tc>
          <w:tcPr>
            <w:tcW w:w="8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20" w:type="dxa"/>
            <w:vAlign w:val="bottom"/>
            <w:tcBorders>
              <w:right w:val="single" w:sz="8" w:color="auto"/>
            </w:tcBorders>
          </w:tcPr>
          <w:p>
            <w:pPr>
              <w:spacing w:after="0"/>
              <w:rPr>
                <w:sz w:val="21"/>
                <w:szCs w:val="21"/>
                <w:color w:val="auto"/>
              </w:rPr>
            </w:pPr>
          </w:p>
        </w:tc>
        <w:tc>
          <w:tcPr>
            <w:tcW w:w="1640" w:type="dxa"/>
            <w:vAlign w:val="bottom"/>
            <w:tcBorders>
              <w:top w:val="single" w:sz="8" w:color="auto"/>
              <w:bottom w:val="single" w:sz="8" w:color="BFBFBF"/>
              <w:right w:val="single" w:sz="8" w:color="auto"/>
            </w:tcBorders>
            <w:gridSpan w:val="2"/>
            <w:shd w:val="clear" w:color="auto" w:fill="BFBFBF"/>
          </w:tcPr>
          <w:p>
            <w:pPr>
              <w:spacing w:after="0"/>
              <w:rPr>
                <w:sz w:val="20"/>
                <w:szCs w:val="20"/>
                <w:color w:val="auto"/>
              </w:rPr>
            </w:pPr>
            <w:r>
              <w:rPr>
                <w:rFonts w:ascii="Arial" w:cs="Arial" w:eastAsia="Arial" w:hAnsi="Arial"/>
                <w:sz w:val="10"/>
                <w:szCs w:val="10"/>
                <w:color w:val="auto"/>
              </w:rPr>
              <w:t>Level Benefit Rider Eligibility (Y/N)</w:t>
            </w:r>
          </w:p>
        </w:tc>
        <w:tc>
          <w:tcPr>
            <w:tcW w:w="1500" w:type="dxa"/>
            <w:vAlign w:val="bottom"/>
            <w:tcBorders>
              <w:top w:val="single" w:sz="8" w:color="auto"/>
              <w:bottom w:val="single" w:sz="8" w:color="BFBFBF"/>
              <w:right w:val="single" w:sz="8" w:color="auto"/>
            </w:tcBorders>
            <w:gridSpan w:val="2"/>
            <w:shd w:val="clear" w:color="auto" w:fill="BFBFBF"/>
          </w:tcPr>
          <w:p>
            <w:pPr>
              <w:ind w:left="20"/>
              <w:spacing w:after="0"/>
              <w:rPr>
                <w:sz w:val="20"/>
                <w:szCs w:val="20"/>
                <w:color w:val="auto"/>
              </w:rPr>
            </w:pPr>
            <w:r>
              <w:rPr>
                <w:rFonts w:ascii="Arial" w:cs="Arial" w:eastAsia="Arial" w:hAnsi="Arial"/>
                <w:sz w:val="10"/>
                <w:szCs w:val="10"/>
                <w:color w:val="auto"/>
              </w:rPr>
              <w:t>Refund Rider Eligibility (Y/N)</w:t>
            </w: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20" w:type="dxa"/>
            <w:vAlign w:val="bottom"/>
            <w:tcBorders>
              <w:right w:val="single" w:sz="8" w:color="auto"/>
            </w:tcBorders>
          </w:tcPr>
          <w:p>
            <w:pPr>
              <w:spacing w:after="0"/>
              <w:rPr>
                <w:sz w:val="21"/>
                <w:szCs w:val="21"/>
                <w:color w:val="auto"/>
              </w:rPr>
            </w:pPr>
          </w:p>
        </w:tc>
        <w:tc>
          <w:tcPr>
            <w:tcW w:w="1080" w:type="dxa"/>
            <w:vAlign w:val="bottom"/>
            <w:tcBorders>
              <w:top w:val="single" w:sz="8" w:color="auto"/>
              <w:bottom w:val="single" w:sz="8" w:color="BFBFBF"/>
              <w:right w:val="single" w:sz="8" w:color="auto"/>
            </w:tcBorders>
            <w:gridSpan w:val="2"/>
            <w:shd w:val="clear" w:color="auto" w:fill="BFBFBF"/>
          </w:tcPr>
          <w:p>
            <w:pPr>
              <w:ind w:left="20"/>
              <w:spacing w:after="0"/>
              <w:rPr>
                <w:sz w:val="20"/>
                <w:szCs w:val="20"/>
                <w:color w:val="auto"/>
              </w:rPr>
            </w:pPr>
            <w:r>
              <w:rPr>
                <w:rFonts w:ascii="Arial" w:cs="Arial" w:eastAsia="Arial" w:hAnsi="Arial"/>
                <w:sz w:val="10"/>
                <w:szCs w:val="10"/>
                <w:color w:val="auto"/>
                <w:w w:val="94"/>
              </w:rPr>
              <w:t>Pre 1985 Part B Primary</w:t>
            </w:r>
          </w:p>
        </w:tc>
        <w:tc>
          <w:tcPr>
            <w:tcW w:w="1520" w:type="dxa"/>
            <w:vAlign w:val="bottom"/>
            <w:tcBorders>
              <w:top w:val="single" w:sz="8" w:color="auto"/>
              <w:bottom w:val="single" w:sz="8" w:color="BFBFBF"/>
              <w:right w:val="single" w:sz="8" w:color="auto"/>
            </w:tcBorders>
            <w:gridSpan w:val="2"/>
            <w:shd w:val="clear" w:color="auto" w:fill="BFBFBF"/>
          </w:tcPr>
          <w:p>
            <w:pPr>
              <w:ind w:left="20"/>
              <w:spacing w:after="0"/>
              <w:rPr>
                <w:sz w:val="20"/>
                <w:szCs w:val="20"/>
                <w:color w:val="auto"/>
              </w:rPr>
            </w:pPr>
            <w:r>
              <w:rPr>
                <w:rFonts w:ascii="Arial" w:cs="Arial" w:eastAsia="Arial" w:hAnsi="Arial"/>
                <w:sz w:val="10"/>
                <w:szCs w:val="10"/>
                <w:color w:val="auto"/>
                <w:w w:val="97"/>
              </w:rPr>
              <w:t>Post 1985 Part B Primary Amount</w:t>
            </w:r>
          </w:p>
        </w:tc>
      </w:tr>
      <w:tr>
        <w:trPr>
          <w:trHeight w:val="343"/>
        </w:trPr>
        <w:tc>
          <w:tcPr>
            <w:tcW w:w="860" w:type="dxa"/>
            <w:vAlign w:val="bottom"/>
          </w:tcPr>
          <w:p>
            <w:pPr>
              <w:spacing w:after="0"/>
              <w:rPr>
                <w:sz w:val="20"/>
                <w:szCs w:val="20"/>
                <w:color w:val="auto"/>
              </w:rPr>
            </w:pPr>
            <w:r>
              <w:rPr>
                <w:rFonts w:ascii="Arial" w:cs="Arial" w:eastAsia="Arial" w:hAnsi="Arial"/>
                <w:sz w:val="10"/>
                <w:szCs w:val="10"/>
                <w:color w:val="auto"/>
                <w:w w:val="97"/>
              </w:rPr>
              <w:t>Covered Life Name</w:t>
            </w:r>
          </w:p>
        </w:tc>
        <w:tc>
          <w:tcPr>
            <w:tcW w:w="1320" w:type="dxa"/>
            <w:vAlign w:val="bottom"/>
          </w:tcPr>
          <w:p>
            <w:pPr>
              <w:spacing w:after="0"/>
              <w:rPr>
                <w:sz w:val="24"/>
                <w:szCs w:val="24"/>
                <w:color w:val="auto"/>
              </w:rPr>
            </w:pPr>
          </w:p>
        </w:tc>
        <w:tc>
          <w:tcPr>
            <w:tcW w:w="1320" w:type="dxa"/>
            <w:vAlign w:val="bottom"/>
            <w:gridSpan w:val="2"/>
          </w:tcPr>
          <w:p>
            <w:pPr>
              <w:spacing w:after="0"/>
              <w:rPr>
                <w:sz w:val="20"/>
                <w:szCs w:val="20"/>
                <w:color w:val="auto"/>
              </w:rPr>
            </w:pPr>
            <w:r>
              <w:rPr>
                <w:rFonts w:ascii="Arial" w:cs="Arial" w:eastAsia="Arial" w:hAnsi="Arial"/>
                <w:sz w:val="10"/>
                <w:szCs w:val="10"/>
                <w:color w:val="auto"/>
              </w:rPr>
              <w:t>Level Benefit Amount</w:t>
            </w:r>
          </w:p>
        </w:tc>
        <w:tc>
          <w:tcPr>
            <w:tcW w:w="1640" w:type="dxa"/>
            <w:vAlign w:val="bottom"/>
            <w:tcBorders>
              <w:top w:val="single" w:sz="8" w:color="auto"/>
            </w:tcBorders>
            <w:gridSpan w:val="2"/>
          </w:tcPr>
          <w:p>
            <w:pPr>
              <w:spacing w:after="0"/>
              <w:rPr>
                <w:sz w:val="20"/>
                <w:szCs w:val="20"/>
                <w:color w:val="auto"/>
              </w:rPr>
            </w:pPr>
            <w:r>
              <w:rPr>
                <w:rFonts w:ascii="Arial" w:cs="Arial" w:eastAsia="Arial" w:hAnsi="Arial"/>
                <w:sz w:val="10"/>
                <w:szCs w:val="10"/>
                <w:color w:val="auto"/>
              </w:rPr>
              <w:t>Covered Life</w:t>
            </w:r>
          </w:p>
        </w:tc>
        <w:tc>
          <w:tcPr>
            <w:tcW w:w="1500" w:type="dxa"/>
            <w:vAlign w:val="bottom"/>
            <w:tcBorders>
              <w:top w:val="single" w:sz="8" w:color="auto"/>
            </w:tcBorders>
            <w:gridSpan w:val="2"/>
          </w:tcPr>
          <w:p>
            <w:pPr>
              <w:spacing w:after="0"/>
              <w:rPr>
                <w:sz w:val="20"/>
                <w:szCs w:val="20"/>
                <w:color w:val="auto"/>
              </w:rPr>
            </w:pPr>
            <w:r>
              <w:rPr>
                <w:rFonts w:ascii="Arial" w:cs="Arial" w:eastAsia="Arial" w:hAnsi="Arial"/>
                <w:sz w:val="10"/>
                <w:szCs w:val="10"/>
                <w:color w:val="auto"/>
              </w:rPr>
              <w:t>Refund Death Benefit</w:t>
            </w:r>
          </w:p>
        </w:tc>
        <w:tc>
          <w:tcPr>
            <w:tcW w:w="20" w:type="dxa"/>
            <w:vAlign w:val="bottom"/>
          </w:tcPr>
          <w:p>
            <w:pPr>
              <w:spacing w:after="0"/>
              <w:rPr>
                <w:sz w:val="24"/>
                <w:szCs w:val="24"/>
                <w:color w:val="auto"/>
              </w:rPr>
            </w:pPr>
          </w:p>
        </w:tc>
        <w:tc>
          <w:tcPr>
            <w:tcW w:w="1440" w:type="dxa"/>
            <w:vAlign w:val="bottom"/>
            <w:gridSpan w:val="2"/>
          </w:tcPr>
          <w:p>
            <w:pPr>
              <w:spacing w:after="0"/>
              <w:rPr>
                <w:sz w:val="20"/>
                <w:szCs w:val="20"/>
                <w:color w:val="auto"/>
              </w:rPr>
            </w:pPr>
            <w:r>
              <w:rPr>
                <w:rFonts w:ascii="Arial" w:cs="Arial" w:eastAsia="Arial" w:hAnsi="Arial"/>
                <w:sz w:val="10"/>
                <w:szCs w:val="10"/>
                <w:color w:val="auto"/>
              </w:rPr>
              <w:t>Part A Basic Benefit</w:t>
            </w:r>
          </w:p>
        </w:tc>
        <w:tc>
          <w:tcPr>
            <w:tcW w:w="1080" w:type="dxa"/>
            <w:vAlign w:val="bottom"/>
            <w:tcBorders>
              <w:top w:val="single" w:sz="8" w:color="auto"/>
            </w:tcBorders>
            <w:gridSpan w:val="2"/>
          </w:tcPr>
          <w:p>
            <w:pPr>
              <w:spacing w:after="0"/>
              <w:rPr>
                <w:sz w:val="20"/>
                <w:szCs w:val="20"/>
                <w:color w:val="auto"/>
              </w:rPr>
            </w:pPr>
            <w:r>
              <w:rPr>
                <w:rFonts w:ascii="Arial" w:cs="Arial" w:eastAsia="Arial" w:hAnsi="Arial"/>
                <w:sz w:val="10"/>
                <w:szCs w:val="10"/>
                <w:color w:val="auto"/>
              </w:rPr>
              <w:t>Covered Life</w:t>
            </w:r>
          </w:p>
        </w:tc>
        <w:tc>
          <w:tcPr>
            <w:tcW w:w="1520" w:type="dxa"/>
            <w:vAlign w:val="bottom"/>
            <w:tcBorders>
              <w:top w:val="single" w:sz="8" w:color="auto"/>
            </w:tcBorders>
            <w:gridSpan w:val="2"/>
          </w:tcPr>
          <w:p>
            <w:pPr>
              <w:spacing w:after="0"/>
              <w:rPr>
                <w:sz w:val="20"/>
                <w:szCs w:val="20"/>
                <w:color w:val="auto"/>
              </w:rPr>
            </w:pPr>
            <w:r>
              <w:rPr>
                <w:rFonts w:ascii="Arial" w:cs="Arial" w:eastAsia="Arial" w:hAnsi="Arial"/>
                <w:sz w:val="10"/>
                <w:szCs w:val="10"/>
                <w:color w:val="auto"/>
              </w:rPr>
              <w:t>Covered Life</w:t>
            </w:r>
          </w:p>
        </w:tc>
      </w:tr>
      <w:tr>
        <w:trPr>
          <w:trHeight w:val="20"/>
        </w:trPr>
        <w:tc>
          <w:tcPr>
            <w:tcW w:w="86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bl>
    <w:p>
      <w:pPr>
        <w:sectPr>
          <w:pgSz w:w="11900" w:h="16838" w:orient="portrait"/>
          <w:cols w:equalWidth="0" w:num="1">
            <w:col w:w="10720"/>
          </w:cols>
          <w:pgMar w:left="240" w:top="545" w:right="939" w:bottom="1440" w:gutter="0" w:footer="0" w:header="0"/>
        </w:sectPr>
      </w:pPr>
    </w:p>
    <w:bookmarkStart w:id="193" w:name="page194"/>
    <w:bookmarkEnd w:id="193"/>
    <w:p>
      <w:pPr>
        <w:jc w:val="center"/>
        <w:ind w:right="-19"/>
        <w:spacing w:after="0"/>
        <w:rPr>
          <w:sz w:val="20"/>
          <w:szCs w:val="20"/>
          <w:color w:val="auto"/>
        </w:rPr>
      </w:pPr>
      <w:r>
        <w:rPr>
          <w:rFonts w:ascii="Arial" w:cs="Arial" w:eastAsia="Arial" w:hAnsi="Arial"/>
          <w:sz w:val="20"/>
          <w:szCs w:val="20"/>
          <w:b w:val="1"/>
          <w:bCs w:val="1"/>
          <w:u w:val="single" w:color="auto"/>
          <w:color w:val="auto"/>
        </w:rPr>
        <w:t>Appendix 2.12</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20"/>
          <w:szCs w:val="20"/>
          <w:u w:val="single" w:color="auto"/>
          <w:color w:val="auto"/>
        </w:rPr>
        <w:t>POST-CLOSING FINAL PREMIUM ARBITRATION</w:t>
      </w:r>
    </w:p>
    <w:p>
      <w:pPr>
        <w:spacing w:after="0" w:line="208" w:lineRule="exact"/>
        <w:rPr>
          <w:sz w:val="20"/>
          <w:szCs w:val="20"/>
          <w:color w:val="auto"/>
        </w:rPr>
      </w:pPr>
    </w:p>
    <w:p>
      <w:pPr>
        <w:ind w:left="600" w:hanging="600"/>
        <w:spacing w:after="0" w:line="255" w:lineRule="auto"/>
        <w:tabs>
          <w:tab w:leader="none" w:pos="600" w:val="left"/>
        </w:tabs>
        <w:numPr>
          <w:ilvl w:val="0"/>
          <w:numId w:val="166"/>
        </w:numPr>
        <w:rPr>
          <w:rFonts w:ascii="Arial" w:cs="Arial" w:eastAsia="Arial" w:hAnsi="Arial"/>
          <w:sz w:val="20"/>
          <w:szCs w:val="20"/>
          <w:color w:val="auto"/>
        </w:rPr>
      </w:pPr>
      <w:r>
        <w:rPr>
          <w:rFonts w:ascii="Arial" w:cs="Arial" w:eastAsia="Arial" w:hAnsi="Arial"/>
          <w:sz w:val="20"/>
          <w:szCs w:val="20"/>
          <w:color w:val="auto"/>
        </w:rPr>
        <w:t xml:space="preserve">To the full extent permitted by Section 2.12, either the Company or the Insurer may submit any Dispute arising out of, relating to, or in connection with the calculation of the amount of the Post-Closing Final Premium (including any of the components of such calculation) under </w:t>
      </w:r>
      <w:r>
        <w:rPr>
          <w:rFonts w:ascii="Arial" w:cs="Arial" w:eastAsia="Arial" w:hAnsi="Arial"/>
          <w:sz w:val="20"/>
          <w:szCs w:val="20"/>
          <w:u w:val="single" w:color="auto"/>
          <w:color w:val="auto"/>
        </w:rPr>
        <w:t>Section 2.12(a)</w:t>
      </w:r>
      <w:r>
        <w:rPr>
          <w:rFonts w:ascii="Arial" w:cs="Arial" w:eastAsia="Arial" w:hAnsi="Arial"/>
          <w:sz w:val="20"/>
          <w:szCs w:val="20"/>
          <w:color w:val="auto"/>
        </w:rPr>
        <w:t xml:space="preserve"> to be settled by arbitration. This arbitration procedure applicable to any such Dispute is set forth in the paragraphs below. Nothing in these arbitration procedures will be deemed to expand or alter in any way the Parties' agreement as to the scope of permitted arbitration under </w:t>
      </w:r>
      <w:r>
        <w:rPr>
          <w:rFonts w:ascii="Arial" w:cs="Arial" w:eastAsia="Arial" w:hAnsi="Arial"/>
          <w:sz w:val="20"/>
          <w:szCs w:val="20"/>
          <w:u w:val="single" w:color="auto"/>
          <w:color w:val="auto"/>
        </w:rPr>
        <w:t>Section 2.12</w:t>
      </w:r>
      <w:r>
        <w:rPr>
          <w:rFonts w:ascii="Arial" w:cs="Arial" w:eastAsia="Arial" w:hAnsi="Arial"/>
          <w:sz w:val="20"/>
          <w:szCs w:val="20"/>
          <w:color w:val="auto"/>
        </w:rPr>
        <w:t>.</w:t>
      </w:r>
    </w:p>
    <w:p>
      <w:pPr>
        <w:spacing w:after="0" w:line="205" w:lineRule="exact"/>
        <w:rPr>
          <w:rFonts w:ascii="Arial" w:cs="Arial" w:eastAsia="Arial" w:hAnsi="Arial"/>
          <w:sz w:val="20"/>
          <w:szCs w:val="20"/>
          <w:color w:val="auto"/>
        </w:rPr>
      </w:pPr>
    </w:p>
    <w:p>
      <w:pPr>
        <w:ind w:left="600" w:right="60" w:hanging="600"/>
        <w:spacing w:after="0" w:line="255" w:lineRule="auto"/>
        <w:tabs>
          <w:tab w:leader="none" w:pos="600" w:val="left"/>
        </w:tabs>
        <w:numPr>
          <w:ilvl w:val="0"/>
          <w:numId w:val="166"/>
        </w:numPr>
        <w:rPr>
          <w:rFonts w:ascii="Arial" w:cs="Arial" w:eastAsia="Arial" w:hAnsi="Arial"/>
          <w:sz w:val="20"/>
          <w:szCs w:val="20"/>
          <w:color w:val="auto"/>
        </w:rPr>
      </w:pPr>
      <w:r>
        <w:rPr>
          <w:rFonts w:ascii="Arial" w:cs="Arial" w:eastAsia="Arial" w:hAnsi="Arial"/>
          <w:sz w:val="20"/>
          <w:szCs w:val="20"/>
          <w:color w:val="auto"/>
        </w:rPr>
        <w:t>The arbitration shall be conducted by one arbitrator, in accordance with Commercial Arbitration Rules and Expedited Procedures for Large, Complex Commercial Disputes of the American Arbitration Association (“</w:t>
      </w:r>
      <w:r>
        <w:rPr>
          <w:rFonts w:ascii="Arial" w:cs="Arial" w:eastAsia="Arial" w:hAnsi="Arial"/>
          <w:sz w:val="20"/>
          <w:szCs w:val="20"/>
          <w:u w:val="single" w:color="auto"/>
          <w:color w:val="auto"/>
        </w:rPr>
        <w:t>AAA</w:t>
      </w:r>
      <w:r>
        <w:rPr>
          <w:rFonts w:ascii="Arial" w:cs="Arial" w:eastAsia="Arial" w:hAnsi="Arial"/>
          <w:sz w:val="20"/>
          <w:szCs w:val="20"/>
          <w:color w:val="auto"/>
        </w:rPr>
        <w:t>”), as such rules and procedures are in effect at the time of the arbitration, except as they may be modified herein or by mutual agreement of the Insurer and the Company. The seat of the arbitration shall be New York City, New York, at a mutually agreed upon location, or in the absence of agreement at the New York City offices of the AAA.</w:t>
      </w:r>
    </w:p>
    <w:p>
      <w:pPr>
        <w:spacing w:after="0" w:line="205" w:lineRule="exact"/>
        <w:rPr>
          <w:rFonts w:ascii="Arial" w:cs="Arial" w:eastAsia="Arial" w:hAnsi="Arial"/>
          <w:sz w:val="20"/>
          <w:szCs w:val="20"/>
          <w:color w:val="auto"/>
        </w:rPr>
      </w:pPr>
    </w:p>
    <w:p>
      <w:pPr>
        <w:ind w:left="600" w:right="60" w:hanging="600"/>
        <w:spacing w:after="0" w:line="263" w:lineRule="auto"/>
        <w:tabs>
          <w:tab w:leader="none" w:pos="600" w:val="left"/>
        </w:tabs>
        <w:numPr>
          <w:ilvl w:val="0"/>
          <w:numId w:val="166"/>
        </w:numPr>
        <w:rPr>
          <w:rFonts w:ascii="Arial" w:cs="Arial" w:eastAsia="Arial" w:hAnsi="Arial"/>
          <w:sz w:val="19"/>
          <w:szCs w:val="19"/>
          <w:color w:val="auto"/>
        </w:rPr>
      </w:pPr>
      <w:r>
        <w:rPr>
          <w:rFonts w:ascii="Arial" w:cs="Arial" w:eastAsia="Arial" w:hAnsi="Arial"/>
          <w:sz w:val="19"/>
          <w:szCs w:val="19"/>
          <w:color w:val="auto"/>
        </w:rPr>
        <w:t xml:space="preserve">The Company and the Insurer shall jointly engage an arbitrator, who shall be a partner at the Approved Firm-C, within 45 days after the Closing, on terms mutually agreed by the Company, the Insurer and the Approved Firm-C, provided that the engagement letter shall include an undertaking by the partner at such Approved Firm-C to comply with the time limits specified in this </w:t>
      </w:r>
      <w:r>
        <w:rPr>
          <w:rFonts w:ascii="Arial" w:cs="Arial" w:eastAsia="Arial" w:hAnsi="Arial"/>
          <w:sz w:val="19"/>
          <w:szCs w:val="19"/>
          <w:u w:val="single" w:color="auto"/>
          <w:color w:val="auto"/>
        </w:rPr>
        <w:t>Appendix 2.12</w:t>
      </w:r>
      <w:r>
        <w:rPr>
          <w:rFonts w:ascii="Arial" w:cs="Arial" w:eastAsia="Arial" w:hAnsi="Arial"/>
          <w:sz w:val="19"/>
          <w:szCs w:val="19"/>
          <w:color w:val="auto"/>
        </w:rPr>
        <w:t xml:space="preserve"> and other customary terms. If the Insurer and the Company are unable to engage an arbitrator at the Approved Firm-C within 45 days following the Closing, which arbitrator agrees to undertake the arbitration within the time limits specified in this Appendix 2.12, then the AAA shall appoint an arbitrator within 5 Business Days thereafter from the National Roster list of Commercial Arbitrators identified in Rule R-11 of the Commercial Arbitration Rules of the AAA (“</w:t>
      </w:r>
      <w:r>
        <w:rPr>
          <w:rFonts w:ascii="Arial" w:cs="Arial" w:eastAsia="Arial" w:hAnsi="Arial"/>
          <w:sz w:val="19"/>
          <w:szCs w:val="19"/>
          <w:u w:val="single" w:color="auto"/>
          <w:color w:val="auto"/>
        </w:rPr>
        <w:t>AAA Commercial Rule R-11</w:t>
      </w:r>
      <w:r>
        <w:rPr>
          <w:rFonts w:ascii="Arial" w:cs="Arial" w:eastAsia="Arial" w:hAnsi="Arial"/>
          <w:sz w:val="19"/>
          <w:szCs w:val="19"/>
          <w:color w:val="auto"/>
        </w:rPr>
        <w:t>”) or from the Large, Complex Case Panel identified in Rule L-2 of the Large, Complex Commercial Disputes Procedures of the AAA (“</w:t>
      </w:r>
      <w:r>
        <w:rPr>
          <w:rFonts w:ascii="Arial" w:cs="Arial" w:eastAsia="Arial" w:hAnsi="Arial"/>
          <w:sz w:val="19"/>
          <w:szCs w:val="19"/>
          <w:u w:val="single" w:color="auto"/>
          <w:color w:val="auto"/>
        </w:rPr>
        <w:t>AAA Complex</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Procedure Rule L-2</w:t>
      </w:r>
      <w:r>
        <w:rPr>
          <w:rFonts w:ascii="Arial" w:cs="Arial" w:eastAsia="Arial" w:hAnsi="Arial"/>
          <w:sz w:val="19"/>
          <w:szCs w:val="19"/>
          <w:color w:val="auto"/>
        </w:rPr>
        <w:t>”), without application of the other provisions of AAA Commercial Rule R-11 or AAA Complex Procedure Rule L-2. The arbitrator shall be an enrolled actuary with at least 10 years of experience as a signing actuary for one or more single-employer pension plans and his or her engagement letter must include an agreement to undertake the arbitration within the time limits specified in this Appendix 2.12. Any arbitrator retained hereunder must have access to POINT. In all events an arbitrator shall be appointed within 10 days of the issuance of a Dispute Notice. The arbitrator shall be permitted to draw upon the resources of Approved Firm-C, or his or her firm in the event the AAA selects the arbitrator, in the conduct of the performance of his or her duties as arbitrator, provided that the Approved Firm-C and each individual engaged in the performance of services relating to the arbitration shall have executed and delivered an agreement in form to be mutually agreed among the arbitrator, the Insurer and the Company agreeing to treat all information submitted to the arbitrator or developed by the arbitrator in the conduct of his or her duties as confidential.</w:t>
      </w:r>
    </w:p>
    <w:p>
      <w:pPr>
        <w:spacing w:after="0" w:line="208" w:lineRule="exact"/>
        <w:rPr>
          <w:rFonts w:ascii="Arial" w:cs="Arial" w:eastAsia="Arial" w:hAnsi="Arial"/>
          <w:sz w:val="19"/>
          <w:szCs w:val="19"/>
          <w:color w:val="auto"/>
        </w:rPr>
      </w:pPr>
    </w:p>
    <w:p>
      <w:pPr>
        <w:ind w:left="600" w:hanging="600"/>
        <w:spacing w:after="0"/>
        <w:tabs>
          <w:tab w:leader="none" w:pos="600" w:val="left"/>
        </w:tabs>
        <w:numPr>
          <w:ilvl w:val="0"/>
          <w:numId w:val="166"/>
        </w:numPr>
        <w:rPr>
          <w:rFonts w:ascii="Arial" w:cs="Arial" w:eastAsia="Arial" w:hAnsi="Arial"/>
          <w:sz w:val="20"/>
          <w:szCs w:val="20"/>
          <w:color w:val="auto"/>
        </w:rPr>
      </w:pPr>
      <w:r>
        <w:rPr>
          <w:rFonts w:ascii="Arial" w:cs="Arial" w:eastAsia="Arial" w:hAnsi="Arial"/>
          <w:sz w:val="20"/>
          <w:szCs w:val="20"/>
          <w:color w:val="auto"/>
        </w:rPr>
        <w:t>If a timely and valid Dispute Notice is provided in accordance with Section 2.12, the following procedures shall apply:</w:t>
      </w: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Appendix 2.12 - 1</w:t>
      </w:r>
    </w:p>
    <w:p>
      <w:pPr>
        <w:sectPr>
          <w:pgSz w:w="11900" w:h="16838" w:orient="portrait"/>
          <w:cols w:equalWidth="0" w:num="1">
            <w:col w:w="11420"/>
          </w:cols>
          <w:pgMar w:left="240" w:top="953" w:right="239" w:bottom="1440" w:gutter="0" w:footer="0" w:header="0"/>
        </w:sectPr>
      </w:pPr>
    </w:p>
    <w:bookmarkStart w:id="194" w:name="page195"/>
    <w:bookmarkEnd w:id="194"/>
    <w:p>
      <w:pPr>
        <w:ind w:left="599" w:hanging="599"/>
        <w:spacing w:after="0" w:line="282" w:lineRule="auto"/>
        <w:tabs>
          <w:tab w:leader="none" w:pos="599" w:val="left"/>
        </w:tabs>
        <w:numPr>
          <w:ilvl w:val="0"/>
          <w:numId w:val="167"/>
        </w:numPr>
        <w:rPr>
          <w:rFonts w:ascii="Arial" w:cs="Arial" w:eastAsia="Arial" w:hAnsi="Arial"/>
          <w:sz w:val="15"/>
          <w:szCs w:val="15"/>
          <w:color w:val="auto"/>
        </w:rPr>
      </w:pPr>
      <w:r>
        <w:rPr>
          <w:rFonts w:ascii="Arial" w:cs="Arial" w:eastAsia="Arial" w:hAnsi="Arial"/>
          <w:sz w:val="18"/>
          <w:szCs w:val="18"/>
          <w:color w:val="auto"/>
        </w:rPr>
        <w:t>The Dispute Notice shall contain the grounds for such Dispute in reasonable detail. The Party submitting the Dispute Notice (the “</w:t>
      </w:r>
      <w:r>
        <w:rPr>
          <w:rFonts w:ascii="Arial" w:cs="Arial" w:eastAsia="Arial" w:hAnsi="Arial"/>
          <w:sz w:val="18"/>
          <w:szCs w:val="18"/>
          <w:u w:val="single" w:color="auto"/>
          <w:color w:val="auto"/>
        </w:rPr>
        <w:t>Disputing Party</w:t>
      </w:r>
      <w:r>
        <w:rPr>
          <w:rFonts w:ascii="Arial" w:cs="Arial" w:eastAsia="Arial" w:hAnsi="Arial"/>
          <w:sz w:val="18"/>
          <w:szCs w:val="18"/>
          <w:color w:val="auto"/>
        </w:rPr>
        <w:t>”) may also include in such Dispute Notice a request for documents from any other Party regarding such Dispute. The request may include information in the possession or under the control of the other Party that is reasonably relevant and not unduly burdensome to request in light of the nature and amount of the Dispute, including, if applicable and if permitted under Section 2.12, Life-by-Life Information, the Procedures Manual, the Identified CD-ROM, technology, software and data processing procedures, insurance, actuarial, and any notes and records that the Insurer, the Company or the Independent Third Party, as applicable used to prepare the Spreadsheets and the data contained on the Identified CD-ROM (in the case of requests made to the Insurer) and other materials it used in connection with the calculation of the Post-Closing Final Premium and/or the Closing Asset Valuation and any iteration of the Post-Solicitation Premium.</w:t>
      </w:r>
    </w:p>
    <w:p>
      <w:pPr>
        <w:spacing w:after="0" w:line="189" w:lineRule="exact"/>
        <w:rPr>
          <w:rFonts w:ascii="Arial" w:cs="Arial" w:eastAsia="Arial" w:hAnsi="Arial"/>
          <w:sz w:val="15"/>
          <w:szCs w:val="15"/>
          <w:color w:val="auto"/>
        </w:rPr>
      </w:pPr>
    </w:p>
    <w:p>
      <w:pPr>
        <w:ind w:left="599" w:right="440" w:hanging="599"/>
        <w:spacing w:after="0" w:line="275" w:lineRule="auto"/>
        <w:tabs>
          <w:tab w:leader="none" w:pos="599" w:val="left"/>
        </w:tabs>
        <w:numPr>
          <w:ilvl w:val="0"/>
          <w:numId w:val="167"/>
        </w:numPr>
        <w:rPr>
          <w:rFonts w:ascii="Arial" w:cs="Arial" w:eastAsia="Arial" w:hAnsi="Arial"/>
          <w:sz w:val="17"/>
          <w:szCs w:val="17"/>
          <w:color w:val="auto"/>
        </w:rPr>
      </w:pPr>
      <w:r>
        <w:rPr>
          <w:rFonts w:ascii="Arial" w:cs="Arial" w:eastAsia="Arial" w:hAnsi="Arial"/>
          <w:sz w:val="20"/>
          <w:szCs w:val="20"/>
          <w:color w:val="auto"/>
        </w:rPr>
        <w:t>The document request contained in any Dispute Notice must be complied with or objected to (in whole or in part) by each Party receiving the Dispute Notice in accordance with the following procedures:</w:t>
      </w:r>
    </w:p>
    <w:p>
      <w:pPr>
        <w:spacing w:after="0" w:line="148" w:lineRule="exact"/>
        <w:rPr>
          <w:rFonts w:ascii="Arial" w:cs="Arial" w:eastAsia="Arial" w:hAnsi="Arial"/>
          <w:sz w:val="17"/>
          <w:szCs w:val="17"/>
          <w:color w:val="auto"/>
        </w:rPr>
      </w:pPr>
    </w:p>
    <w:p>
      <w:pPr>
        <w:ind w:left="599" w:right="120" w:firstLine="603"/>
        <w:spacing w:after="0" w:line="257" w:lineRule="auto"/>
        <w:tabs>
          <w:tab w:leader="none" w:pos="1316" w:val="left"/>
        </w:tabs>
        <w:numPr>
          <w:ilvl w:val="1"/>
          <w:numId w:val="167"/>
        </w:numPr>
        <w:rPr>
          <w:rFonts w:ascii="Arial" w:cs="Arial" w:eastAsia="Arial" w:hAnsi="Arial"/>
          <w:sz w:val="20"/>
          <w:szCs w:val="20"/>
          <w:color w:val="auto"/>
        </w:rPr>
      </w:pPr>
      <w:r>
        <w:rPr>
          <w:rFonts w:ascii="Arial" w:cs="Arial" w:eastAsia="Arial" w:hAnsi="Arial"/>
          <w:sz w:val="20"/>
          <w:szCs w:val="20"/>
          <w:color w:val="auto"/>
        </w:rPr>
        <w:t>if the party receiving the Dispute Notice chooses to comply with the document request, in whole or in part, then it shall deliver all responsive documents to the Disputing Party, with a copy to the arbitrator, within 10 days following receipt of the Dispute Notice, and if the responding party is the Independent Third Party, a copy of such requested documents will be delivered to each of the Company and the Insurer within such timeframe.</w:t>
      </w:r>
    </w:p>
    <w:p>
      <w:pPr>
        <w:spacing w:after="0" w:line="366" w:lineRule="exact"/>
        <w:rPr>
          <w:rFonts w:ascii="Arial" w:cs="Arial" w:eastAsia="Arial" w:hAnsi="Arial"/>
          <w:sz w:val="20"/>
          <w:szCs w:val="20"/>
          <w:color w:val="auto"/>
        </w:rPr>
      </w:pPr>
    </w:p>
    <w:p>
      <w:pPr>
        <w:ind w:left="599" w:right="140" w:firstLine="603"/>
        <w:spacing w:after="0" w:line="261" w:lineRule="auto"/>
        <w:tabs>
          <w:tab w:leader="none" w:pos="1316" w:val="left"/>
        </w:tabs>
        <w:numPr>
          <w:ilvl w:val="1"/>
          <w:numId w:val="167"/>
        </w:numPr>
        <w:rPr>
          <w:rFonts w:ascii="Arial" w:cs="Arial" w:eastAsia="Arial" w:hAnsi="Arial"/>
          <w:sz w:val="20"/>
          <w:szCs w:val="20"/>
          <w:color w:val="auto"/>
        </w:rPr>
      </w:pPr>
      <w:r>
        <w:rPr>
          <w:rFonts w:ascii="Arial" w:cs="Arial" w:eastAsia="Arial" w:hAnsi="Arial"/>
          <w:sz w:val="20"/>
          <w:szCs w:val="20"/>
          <w:color w:val="auto"/>
        </w:rPr>
        <w:t>if the party receiving the Dispute Notice chooses to object to the document request, in whole or in part, then it shall deliver a written objection (a “</w:t>
      </w:r>
      <w:r>
        <w:rPr>
          <w:rFonts w:ascii="Arial" w:cs="Arial" w:eastAsia="Arial" w:hAnsi="Arial"/>
          <w:sz w:val="20"/>
          <w:szCs w:val="20"/>
          <w:u w:val="single" w:color="auto"/>
          <w:color w:val="auto"/>
        </w:rPr>
        <w:t>Notice of Objection</w:t>
      </w:r>
      <w:r>
        <w:rPr>
          <w:rFonts w:ascii="Arial" w:cs="Arial" w:eastAsia="Arial" w:hAnsi="Arial"/>
          <w:sz w:val="20"/>
          <w:szCs w:val="20"/>
          <w:color w:val="auto"/>
        </w:rPr>
        <w:t>”, which must specify in reasonable detail the basis for the objection) to the arbitrator and to the Disputing Party within 5 days after receipt of the Dispute Notice.</w:t>
      </w:r>
    </w:p>
    <w:p>
      <w:pPr>
        <w:spacing w:after="0" w:line="363" w:lineRule="exact"/>
        <w:rPr>
          <w:rFonts w:ascii="Arial" w:cs="Arial" w:eastAsia="Arial" w:hAnsi="Arial"/>
          <w:sz w:val="20"/>
          <w:szCs w:val="20"/>
          <w:color w:val="auto"/>
        </w:rPr>
      </w:pPr>
    </w:p>
    <w:p>
      <w:pPr>
        <w:ind w:left="599" w:right="80" w:firstLine="603"/>
        <w:spacing w:after="0" w:line="261" w:lineRule="auto"/>
        <w:tabs>
          <w:tab w:leader="none" w:pos="1316" w:val="left"/>
        </w:tabs>
        <w:numPr>
          <w:ilvl w:val="1"/>
          <w:numId w:val="167"/>
        </w:numPr>
        <w:rPr>
          <w:rFonts w:ascii="Arial" w:cs="Arial" w:eastAsia="Arial" w:hAnsi="Arial"/>
          <w:sz w:val="20"/>
          <w:szCs w:val="20"/>
          <w:color w:val="auto"/>
        </w:rPr>
      </w:pPr>
      <w:r>
        <w:rPr>
          <w:rFonts w:ascii="Arial" w:cs="Arial" w:eastAsia="Arial" w:hAnsi="Arial"/>
          <w:sz w:val="20"/>
          <w:szCs w:val="20"/>
          <w:color w:val="auto"/>
        </w:rPr>
        <w:t>in the event the arbitrator receives a Notice of Objection as described in the preceding paragraph, it shall make a final and binding ruling on the objection within 5 days after receipt of such Notice of Objection, and the Party that submitted the Notice of Objection must comply with such ruling within 3 days after receipt thereof.</w:t>
      </w:r>
    </w:p>
    <w:p>
      <w:pPr>
        <w:spacing w:after="0" w:line="163" w:lineRule="exact"/>
        <w:rPr>
          <w:rFonts w:ascii="Arial" w:cs="Arial" w:eastAsia="Arial" w:hAnsi="Arial"/>
          <w:sz w:val="20"/>
          <w:szCs w:val="20"/>
          <w:color w:val="auto"/>
        </w:rPr>
      </w:pPr>
    </w:p>
    <w:p>
      <w:pPr>
        <w:ind w:left="599" w:right="40" w:hanging="599"/>
        <w:spacing w:after="0" w:line="266" w:lineRule="auto"/>
        <w:tabs>
          <w:tab w:leader="none" w:pos="599" w:val="left"/>
        </w:tabs>
        <w:numPr>
          <w:ilvl w:val="0"/>
          <w:numId w:val="167"/>
        </w:numPr>
        <w:rPr>
          <w:rFonts w:ascii="Arial" w:cs="Arial" w:eastAsia="Arial" w:hAnsi="Arial"/>
          <w:sz w:val="16"/>
          <w:szCs w:val="16"/>
          <w:color w:val="auto"/>
        </w:rPr>
      </w:pPr>
      <w:r>
        <w:rPr>
          <w:rFonts w:ascii="Arial" w:cs="Arial" w:eastAsia="Arial" w:hAnsi="Arial"/>
          <w:sz w:val="19"/>
          <w:szCs w:val="19"/>
          <w:color w:val="auto"/>
        </w:rPr>
        <w:t>Within 5 days following receipt of a Dispute Notice that requests documents as provided for above, the responding party (the “</w:t>
      </w:r>
      <w:r>
        <w:rPr>
          <w:rFonts w:ascii="Arial" w:cs="Arial" w:eastAsia="Arial" w:hAnsi="Arial"/>
          <w:sz w:val="19"/>
          <w:szCs w:val="19"/>
          <w:u w:val="single" w:color="auto"/>
          <w:color w:val="auto"/>
        </w:rPr>
        <w:t>Responding Party</w:t>
      </w:r>
      <w:r>
        <w:rPr>
          <w:rFonts w:ascii="Arial" w:cs="Arial" w:eastAsia="Arial" w:hAnsi="Arial"/>
          <w:sz w:val="19"/>
          <w:szCs w:val="19"/>
          <w:color w:val="auto"/>
        </w:rPr>
        <w:t>”) may issue a request for documents from any other Party regarding such Dispute. The request may include information in the possession or under the control of the other Party that is reasonably relevant and not unduly burdensome to request in light of the nature and amount of the Dispute, including, as applicable, Life-by-Life Information, the Procedures Manual, the Identified CD-ROM, technology, software and data processing procedures, insurance, actuarial, and any notes and records that the Insurer, the Company or the Independent Third Party, as applicable used to prepare the Spreadsheets and the data contained on the Identified CD-ROM (in the case of requests made to the Insurer) and other materials it used in connection with the calculation of the Post-Closing Final Premium and/or Closing Asset Valuation, and any iteration of the Post-Solicitation Premium.</w:t>
      </w:r>
    </w:p>
    <w:p>
      <w:pPr>
        <w:spacing w:after="0" w:line="198" w:lineRule="exact"/>
        <w:rPr>
          <w:rFonts w:ascii="Arial" w:cs="Arial" w:eastAsia="Arial" w:hAnsi="Arial"/>
          <w:sz w:val="16"/>
          <w:szCs w:val="16"/>
          <w:color w:val="auto"/>
        </w:rPr>
      </w:pPr>
    </w:p>
    <w:p>
      <w:pPr>
        <w:ind w:left="599" w:right="180" w:hanging="599"/>
        <w:spacing w:after="0" w:line="275" w:lineRule="auto"/>
        <w:tabs>
          <w:tab w:leader="none" w:pos="599" w:val="left"/>
        </w:tabs>
        <w:numPr>
          <w:ilvl w:val="0"/>
          <w:numId w:val="167"/>
        </w:numPr>
        <w:rPr>
          <w:rFonts w:ascii="Arial" w:cs="Arial" w:eastAsia="Arial" w:hAnsi="Arial"/>
          <w:sz w:val="17"/>
          <w:szCs w:val="17"/>
          <w:color w:val="auto"/>
        </w:rPr>
      </w:pPr>
      <w:r>
        <w:rPr>
          <w:rFonts w:ascii="Arial" w:cs="Arial" w:eastAsia="Arial" w:hAnsi="Arial"/>
          <w:sz w:val="20"/>
          <w:szCs w:val="20"/>
          <w:color w:val="auto"/>
        </w:rPr>
        <w:t>The document request described in the preceding paragraph must be complied with or objected to (in whole or in part) by the each Party receiving such request in accordance with the following procedures:</w:t>
      </w:r>
    </w:p>
    <w:p>
      <w:pPr>
        <w:spacing w:after="0" w:line="170" w:lineRule="exact"/>
        <w:rPr>
          <w:sz w:val="20"/>
          <w:szCs w:val="20"/>
          <w:color w:val="auto"/>
        </w:rPr>
      </w:pPr>
    </w:p>
    <w:p>
      <w:pPr>
        <w:ind w:left="4499"/>
        <w:spacing w:after="0"/>
        <w:rPr>
          <w:sz w:val="20"/>
          <w:szCs w:val="20"/>
          <w:color w:val="auto"/>
        </w:rPr>
      </w:pPr>
      <w:r>
        <w:rPr>
          <w:rFonts w:ascii="Arial" w:cs="Arial" w:eastAsia="Arial" w:hAnsi="Arial"/>
          <w:sz w:val="17"/>
          <w:szCs w:val="17"/>
          <w:color w:val="auto"/>
        </w:rPr>
        <w:t>Appendix 2.12 - 2</w:t>
      </w:r>
    </w:p>
    <w:p>
      <w:pPr>
        <w:sectPr>
          <w:pgSz w:w="11900" w:h="16838" w:orient="portrait"/>
          <w:cols w:equalWidth="0" w:num="1">
            <w:col w:w="10819"/>
          </w:cols>
          <w:pgMar w:left="841" w:top="557" w:right="239" w:bottom="1440" w:gutter="0" w:footer="0" w:header="0"/>
        </w:sectPr>
      </w:pPr>
    </w:p>
    <w:bookmarkStart w:id="195" w:name="page196"/>
    <w:bookmarkEnd w:id="195"/>
    <w:p>
      <w:pPr>
        <w:ind w:left="1200" w:right="20" w:firstLine="603"/>
        <w:spacing w:after="0" w:line="294" w:lineRule="auto"/>
        <w:tabs>
          <w:tab w:leader="none" w:pos="1917" w:val="left"/>
        </w:tabs>
        <w:numPr>
          <w:ilvl w:val="2"/>
          <w:numId w:val="168"/>
        </w:numPr>
        <w:rPr>
          <w:rFonts w:ascii="Arial" w:cs="Arial" w:eastAsia="Arial" w:hAnsi="Arial"/>
          <w:sz w:val="18"/>
          <w:szCs w:val="18"/>
          <w:color w:val="auto"/>
        </w:rPr>
      </w:pPr>
      <w:r>
        <w:rPr>
          <w:rFonts w:ascii="Arial" w:cs="Arial" w:eastAsia="Arial" w:hAnsi="Arial"/>
          <w:sz w:val="18"/>
          <w:szCs w:val="18"/>
          <w:color w:val="auto"/>
        </w:rPr>
        <w:t>if the party receiving such document request chooses to comply with the document request, in whole or in part, then it shall deliver all responsive documents to the Responding Party, with a copy to the arbitrator, within 10 days following receipt of the such document request, and if the party receiving such document request is the Independent Third Party, a copy of such requested documents will be delivered to each of the Company and the Insurer within such timeframe.</w:t>
      </w:r>
    </w:p>
    <w:p>
      <w:pPr>
        <w:spacing w:after="0" w:line="337" w:lineRule="exact"/>
        <w:rPr>
          <w:rFonts w:ascii="Arial" w:cs="Arial" w:eastAsia="Arial" w:hAnsi="Arial"/>
          <w:sz w:val="18"/>
          <w:szCs w:val="18"/>
          <w:color w:val="auto"/>
        </w:rPr>
      </w:pPr>
    </w:p>
    <w:p>
      <w:pPr>
        <w:ind w:left="1200" w:right="40" w:firstLine="603"/>
        <w:spacing w:after="0" w:line="261" w:lineRule="auto"/>
        <w:tabs>
          <w:tab w:leader="none" w:pos="1917" w:val="left"/>
        </w:tabs>
        <w:numPr>
          <w:ilvl w:val="2"/>
          <w:numId w:val="168"/>
        </w:numPr>
        <w:rPr>
          <w:rFonts w:ascii="Arial" w:cs="Arial" w:eastAsia="Arial" w:hAnsi="Arial"/>
          <w:sz w:val="20"/>
          <w:szCs w:val="20"/>
          <w:color w:val="auto"/>
        </w:rPr>
      </w:pPr>
      <w:r>
        <w:rPr>
          <w:rFonts w:ascii="Arial" w:cs="Arial" w:eastAsia="Arial" w:hAnsi="Arial"/>
          <w:sz w:val="20"/>
          <w:szCs w:val="20"/>
          <w:color w:val="auto"/>
        </w:rPr>
        <w:t>if the party receiving the document request chooses to object to the document request, in whole or in part, then it shall deliver a written Notice of Objection, which must specify in reasonable detail the basis for the objection, to the arbitrator and to the Responding Party within 5 days after receipt of the document request.</w:t>
      </w:r>
    </w:p>
    <w:p>
      <w:pPr>
        <w:spacing w:after="0" w:line="363" w:lineRule="exact"/>
        <w:rPr>
          <w:rFonts w:ascii="Arial" w:cs="Arial" w:eastAsia="Arial" w:hAnsi="Arial"/>
          <w:sz w:val="20"/>
          <w:szCs w:val="20"/>
          <w:color w:val="auto"/>
        </w:rPr>
      </w:pPr>
    </w:p>
    <w:p>
      <w:pPr>
        <w:ind w:left="1200" w:right="60" w:firstLine="603"/>
        <w:spacing w:after="0" w:line="261" w:lineRule="auto"/>
        <w:tabs>
          <w:tab w:leader="none" w:pos="1917" w:val="left"/>
        </w:tabs>
        <w:numPr>
          <w:ilvl w:val="2"/>
          <w:numId w:val="168"/>
        </w:numPr>
        <w:rPr>
          <w:rFonts w:ascii="Arial" w:cs="Arial" w:eastAsia="Arial" w:hAnsi="Arial"/>
          <w:sz w:val="20"/>
          <w:szCs w:val="20"/>
          <w:color w:val="auto"/>
        </w:rPr>
      </w:pPr>
      <w:r>
        <w:rPr>
          <w:rFonts w:ascii="Arial" w:cs="Arial" w:eastAsia="Arial" w:hAnsi="Arial"/>
          <w:sz w:val="20"/>
          <w:szCs w:val="20"/>
          <w:color w:val="auto"/>
        </w:rPr>
        <w:t>in the event the arbitrator receives a Notice of Objection as described in the preceding paragraph, it shall make a final and binding ruling on the objection within 5 days after receipt of such Notice of Objection, and the Party that submitted the Notice of Objection must comply with such ruling within 3 days after receipt thereof.</w:t>
      </w:r>
    </w:p>
    <w:p>
      <w:pPr>
        <w:spacing w:after="0" w:line="163" w:lineRule="exact"/>
        <w:rPr>
          <w:rFonts w:ascii="Arial" w:cs="Arial" w:eastAsia="Arial" w:hAnsi="Arial"/>
          <w:sz w:val="20"/>
          <w:szCs w:val="20"/>
          <w:color w:val="auto"/>
        </w:rPr>
      </w:pPr>
    </w:p>
    <w:p>
      <w:pPr>
        <w:ind w:left="1200" w:right="20" w:hanging="599"/>
        <w:spacing w:after="0" w:line="282" w:lineRule="auto"/>
        <w:tabs>
          <w:tab w:leader="none" w:pos="1200" w:val="left"/>
        </w:tabs>
        <w:numPr>
          <w:ilvl w:val="1"/>
          <w:numId w:val="168"/>
        </w:numPr>
        <w:rPr>
          <w:rFonts w:ascii="Arial" w:cs="Arial" w:eastAsia="Arial" w:hAnsi="Arial"/>
          <w:sz w:val="16"/>
          <w:szCs w:val="16"/>
          <w:color w:val="auto"/>
        </w:rPr>
      </w:pPr>
      <w:r>
        <w:rPr>
          <w:rFonts w:ascii="Arial" w:cs="Arial" w:eastAsia="Arial" w:hAnsi="Arial"/>
          <w:sz w:val="19"/>
          <w:szCs w:val="19"/>
          <w:color w:val="auto"/>
        </w:rPr>
        <w:t>Within 10 days of the delivery of all information as specified in the Dispute Notice and any responsive document request (after giving effect to the resolution of any objections thereto), the Insurer and the Company shall submit to the arbitrator all information and supporting materials that they intend for the arbitrator to review in connection with the Dispute.</w:t>
      </w:r>
    </w:p>
    <w:p>
      <w:pPr>
        <w:spacing w:after="0" w:line="181" w:lineRule="exact"/>
        <w:rPr>
          <w:rFonts w:ascii="Arial" w:cs="Arial" w:eastAsia="Arial" w:hAnsi="Arial"/>
          <w:sz w:val="16"/>
          <w:szCs w:val="16"/>
          <w:color w:val="auto"/>
        </w:rPr>
      </w:pPr>
    </w:p>
    <w:p>
      <w:pPr>
        <w:ind w:left="1200" w:right="40" w:hanging="599"/>
        <w:spacing w:after="0" w:line="257" w:lineRule="auto"/>
        <w:tabs>
          <w:tab w:leader="none" w:pos="1200" w:val="left"/>
        </w:tabs>
        <w:numPr>
          <w:ilvl w:val="1"/>
          <w:numId w:val="168"/>
        </w:numPr>
        <w:rPr>
          <w:rFonts w:ascii="Arial" w:cs="Arial" w:eastAsia="Arial" w:hAnsi="Arial"/>
          <w:sz w:val="17"/>
          <w:szCs w:val="17"/>
          <w:color w:val="auto"/>
        </w:rPr>
      </w:pPr>
      <w:r>
        <w:rPr>
          <w:rFonts w:ascii="Arial" w:cs="Arial" w:eastAsia="Arial" w:hAnsi="Arial"/>
          <w:sz w:val="20"/>
          <w:szCs w:val="20"/>
          <w:color w:val="auto"/>
        </w:rPr>
        <w:t>Unless the Insurer and the Company waive a hearing in writing, within 5 days of delivering such information to the arbitrator, the arbitrator shall hear evidence in connection with the Dispute. The hearing shall be no longer than 2 days. Each party may present or cross examine witnesses and has a right to present no more than one expert witness; witness lists shall be exchanged at least 3 days prior to the hearing.</w:t>
      </w:r>
    </w:p>
    <w:p>
      <w:pPr>
        <w:spacing w:after="0" w:line="204" w:lineRule="exact"/>
        <w:rPr>
          <w:rFonts w:ascii="Arial" w:cs="Arial" w:eastAsia="Arial" w:hAnsi="Arial"/>
          <w:sz w:val="17"/>
          <w:szCs w:val="17"/>
          <w:color w:val="auto"/>
        </w:rPr>
      </w:pPr>
    </w:p>
    <w:p>
      <w:pPr>
        <w:ind w:left="1200" w:hanging="599"/>
        <w:spacing w:after="0" w:line="257" w:lineRule="auto"/>
        <w:tabs>
          <w:tab w:leader="none" w:pos="1200" w:val="left"/>
        </w:tabs>
        <w:numPr>
          <w:ilvl w:val="1"/>
          <w:numId w:val="168"/>
        </w:numPr>
        <w:rPr>
          <w:rFonts w:ascii="Arial" w:cs="Arial" w:eastAsia="Arial" w:hAnsi="Arial"/>
          <w:sz w:val="17"/>
          <w:szCs w:val="17"/>
          <w:color w:val="auto"/>
        </w:rPr>
      </w:pPr>
      <w:r>
        <w:rPr>
          <w:rFonts w:ascii="Arial" w:cs="Arial" w:eastAsia="Arial" w:hAnsi="Arial"/>
          <w:sz w:val="20"/>
          <w:szCs w:val="20"/>
          <w:color w:val="auto"/>
        </w:rPr>
        <w:t>Within 10 days following the hearing, the arbitrator shall deliver to the Insurer and the Company a draft arbitration award setting forth the findings of the arbitrator, upon receipt of which each of the Company and the Insurer may, for the 3 day period following receipt of such draft opinion, submit to the arbitrator such additional supporting information and materials as it determines to be appropriate to support its case.</w:t>
      </w:r>
    </w:p>
    <w:p>
      <w:pPr>
        <w:spacing w:after="0" w:line="204" w:lineRule="exact"/>
        <w:rPr>
          <w:rFonts w:ascii="Arial" w:cs="Arial" w:eastAsia="Arial" w:hAnsi="Arial"/>
          <w:sz w:val="17"/>
          <w:szCs w:val="17"/>
          <w:color w:val="auto"/>
        </w:rPr>
      </w:pPr>
    </w:p>
    <w:p>
      <w:pPr>
        <w:ind w:left="1200" w:right="220" w:hanging="599"/>
        <w:spacing w:after="0" w:line="275" w:lineRule="auto"/>
        <w:tabs>
          <w:tab w:leader="none" w:pos="1200" w:val="left"/>
        </w:tabs>
        <w:numPr>
          <w:ilvl w:val="1"/>
          <w:numId w:val="168"/>
        </w:numPr>
        <w:rPr>
          <w:rFonts w:ascii="Arial" w:cs="Arial" w:eastAsia="Arial" w:hAnsi="Arial"/>
          <w:sz w:val="17"/>
          <w:szCs w:val="17"/>
          <w:color w:val="auto"/>
        </w:rPr>
      </w:pPr>
      <w:r>
        <w:rPr>
          <w:rFonts w:ascii="Arial" w:cs="Arial" w:eastAsia="Arial" w:hAnsi="Arial"/>
          <w:sz w:val="20"/>
          <w:szCs w:val="20"/>
          <w:color w:val="auto"/>
        </w:rPr>
        <w:t>Within 5 days following the expiration of the 3 day period described in the preceding paragraph, the arbitrator shall issue the final arbitration award.</w:t>
      </w:r>
    </w:p>
    <w:p>
      <w:pPr>
        <w:spacing w:after="0" w:line="186" w:lineRule="exact"/>
        <w:rPr>
          <w:rFonts w:ascii="Arial" w:cs="Arial" w:eastAsia="Arial" w:hAnsi="Arial"/>
          <w:sz w:val="17"/>
          <w:szCs w:val="17"/>
          <w:color w:val="auto"/>
        </w:rPr>
      </w:pPr>
    </w:p>
    <w:p>
      <w:pPr>
        <w:ind w:left="600" w:right="380" w:hanging="600"/>
        <w:spacing w:after="0" w:line="282" w:lineRule="auto"/>
        <w:tabs>
          <w:tab w:leader="none" w:pos="600" w:val="left"/>
        </w:tabs>
        <w:numPr>
          <w:ilvl w:val="0"/>
          <w:numId w:val="168"/>
        </w:numPr>
        <w:rPr>
          <w:rFonts w:ascii="Arial" w:cs="Arial" w:eastAsia="Arial" w:hAnsi="Arial"/>
          <w:sz w:val="19"/>
          <w:szCs w:val="19"/>
          <w:color w:val="auto"/>
        </w:rPr>
      </w:pPr>
      <w:r>
        <w:rPr>
          <w:rFonts w:ascii="Arial" w:cs="Arial" w:eastAsia="Arial" w:hAnsi="Arial"/>
          <w:sz w:val="19"/>
          <w:szCs w:val="19"/>
          <w:color w:val="auto"/>
        </w:rPr>
        <w:t xml:space="preserve">Any resolution by the Insurer and the Company during the course of good faith negotiation with respect to any Dispute will be set forth in writing and will be final, binding and conclusive upon such Parties. Any Disputes concerning the propriety of the commencement of the arbitration shall be finally settled by arbitration pursuant to this </w:t>
      </w:r>
      <w:r>
        <w:rPr>
          <w:rFonts w:ascii="Arial" w:cs="Arial" w:eastAsia="Arial" w:hAnsi="Arial"/>
          <w:sz w:val="19"/>
          <w:szCs w:val="19"/>
          <w:u w:val="single" w:color="auto"/>
          <w:color w:val="auto"/>
        </w:rPr>
        <w:t>Appendix 2.12</w:t>
      </w:r>
      <w:r>
        <w:rPr>
          <w:rFonts w:ascii="Arial" w:cs="Arial" w:eastAsia="Arial" w:hAnsi="Arial"/>
          <w:sz w:val="19"/>
          <w:szCs w:val="19"/>
          <w:color w:val="auto"/>
        </w:rPr>
        <w:t>.</w:t>
      </w:r>
    </w:p>
    <w:p>
      <w:pPr>
        <w:spacing w:after="0" w:line="181" w:lineRule="exact"/>
        <w:rPr>
          <w:rFonts w:ascii="Arial" w:cs="Arial" w:eastAsia="Arial" w:hAnsi="Arial"/>
          <w:sz w:val="19"/>
          <w:szCs w:val="19"/>
          <w:color w:val="auto"/>
        </w:rPr>
      </w:pPr>
    </w:p>
    <w:p>
      <w:pPr>
        <w:ind w:left="600" w:right="360" w:hanging="600"/>
        <w:spacing w:after="0" w:line="261" w:lineRule="auto"/>
        <w:tabs>
          <w:tab w:leader="none" w:pos="600" w:val="left"/>
        </w:tabs>
        <w:numPr>
          <w:ilvl w:val="0"/>
          <w:numId w:val="168"/>
        </w:numPr>
        <w:rPr>
          <w:rFonts w:ascii="Arial" w:cs="Arial" w:eastAsia="Arial" w:hAnsi="Arial"/>
          <w:sz w:val="20"/>
          <w:szCs w:val="20"/>
          <w:color w:val="auto"/>
        </w:rPr>
      </w:pPr>
      <w:r>
        <w:rPr>
          <w:rFonts w:ascii="Arial" w:cs="Arial" w:eastAsia="Arial" w:hAnsi="Arial"/>
          <w:sz w:val="20"/>
          <w:szCs w:val="20"/>
          <w:color w:val="auto"/>
        </w:rPr>
        <w:t>Either Party has the right to apply to any court of competent jurisdiction for interim relief necessary to preserve such Party's rights until the arbitrators are appointed. After appointment of the arbitrator, the arbitrator shall have exclusive jurisdiction to consider applications for interim relief.</w:t>
      </w: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Appendix 2.12 - 3</w:t>
      </w:r>
    </w:p>
    <w:p>
      <w:pPr>
        <w:sectPr>
          <w:pgSz w:w="11900" w:h="16838" w:orient="portrait"/>
          <w:cols w:equalWidth="0" w:num="1">
            <w:col w:w="11400"/>
          </w:cols>
          <w:pgMar w:left="240" w:top="757" w:right="259" w:bottom="1440" w:gutter="0" w:footer="0" w:header="0"/>
        </w:sectPr>
      </w:pPr>
    </w:p>
    <w:bookmarkStart w:id="196" w:name="page197"/>
    <w:bookmarkEnd w:id="196"/>
    <w:p>
      <w:pPr>
        <w:ind w:left="600" w:right="140" w:hanging="600"/>
        <w:spacing w:after="0" w:line="280" w:lineRule="auto"/>
        <w:tabs>
          <w:tab w:leader="none" w:pos="60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With respect to a Dispute regarding the Insurer's calculation of Post-Closing Final Premium, the arbitrator shall resolve such Dispute within the range of difference between either (i) the Post-Closing Final Premium as calculated by the Insurer or (ii) the Post-Closing Final Premium as calculated by the Independent Third Party. With respect to a Dispute regarding the Company's calculation of the value of any asset in the Final Plan Portfolio, the arbitrator shall resolve such Dispute within the range of difference between either</w:t>
      </w:r>
    </w:p>
    <w:p>
      <w:pPr>
        <w:spacing w:after="0" w:line="3" w:lineRule="exact"/>
        <w:rPr>
          <w:rFonts w:ascii="Arial" w:cs="Arial" w:eastAsia="Arial" w:hAnsi="Arial"/>
          <w:sz w:val="18"/>
          <w:szCs w:val="18"/>
          <w:color w:val="auto"/>
        </w:rPr>
      </w:pPr>
    </w:p>
    <w:p>
      <w:pPr>
        <w:ind w:left="600" w:right="300"/>
        <w:spacing w:after="0" w:line="257" w:lineRule="auto"/>
        <w:rPr>
          <w:rFonts w:ascii="Arial" w:cs="Arial" w:eastAsia="Arial" w:hAnsi="Arial"/>
          <w:sz w:val="18"/>
          <w:szCs w:val="18"/>
          <w:color w:val="auto"/>
        </w:rPr>
      </w:pPr>
      <w:r>
        <w:rPr>
          <w:rFonts w:ascii="Arial" w:cs="Arial" w:eastAsia="Arial" w:hAnsi="Arial"/>
          <w:sz w:val="20"/>
          <w:szCs w:val="20"/>
          <w:color w:val="auto"/>
        </w:rPr>
        <w:t>(i) the Company's calculation of the value of such asset or (ii) the Insurer's calculation of the value of such asset. In this regard, the arbitrator will have no authority to award any other damages other than as provided for herein.</w:t>
      </w:r>
    </w:p>
    <w:p>
      <w:pPr>
        <w:spacing w:after="0" w:line="202" w:lineRule="exact"/>
        <w:rPr>
          <w:rFonts w:ascii="Arial" w:cs="Arial" w:eastAsia="Arial" w:hAnsi="Arial"/>
          <w:sz w:val="18"/>
          <w:szCs w:val="18"/>
          <w:color w:val="auto"/>
        </w:rPr>
      </w:pPr>
    </w:p>
    <w:p>
      <w:pPr>
        <w:ind w:left="600" w:hanging="600"/>
        <w:spacing w:after="0" w:line="255" w:lineRule="auto"/>
        <w:tabs>
          <w:tab w:leader="none" w:pos="600" w:val="left"/>
        </w:tabs>
        <w:numPr>
          <w:ilvl w:val="0"/>
          <w:numId w:val="169"/>
        </w:numPr>
        <w:rPr>
          <w:rFonts w:ascii="Arial" w:cs="Arial" w:eastAsia="Arial" w:hAnsi="Arial"/>
          <w:sz w:val="20"/>
          <w:szCs w:val="20"/>
          <w:color w:val="auto"/>
        </w:rPr>
      </w:pPr>
      <w:r>
        <w:rPr>
          <w:rFonts w:ascii="Arial" w:cs="Arial" w:eastAsia="Arial" w:hAnsi="Arial"/>
          <w:sz w:val="20"/>
          <w:szCs w:val="20"/>
          <w:color w:val="auto"/>
        </w:rPr>
        <w:t>Any arbitration award shall be final and binding on the Parties. The Parties undertake to carry out any award without delay and waive their right to any form of recourse based on grounds other than personal conflict of interest of the arbitrator that was undisclosed at the time of the arbitrator's appointment. Judgment upon the award may be entered by any court having jurisdiction thereof or having jurisdiction over the relevant Party or its assets. All amounts finally determined to be due and owing by the arbitrator shall be paid within 5 days following the date of such determination.</w:t>
      </w:r>
    </w:p>
    <w:p>
      <w:pPr>
        <w:spacing w:after="0" w:line="205" w:lineRule="exact"/>
        <w:rPr>
          <w:rFonts w:ascii="Arial" w:cs="Arial" w:eastAsia="Arial" w:hAnsi="Arial"/>
          <w:sz w:val="20"/>
          <w:szCs w:val="20"/>
          <w:color w:val="auto"/>
        </w:rPr>
      </w:pPr>
    </w:p>
    <w:p>
      <w:pPr>
        <w:ind w:left="600" w:right="280" w:hanging="600"/>
        <w:spacing w:after="0" w:line="275" w:lineRule="auto"/>
        <w:tabs>
          <w:tab w:leader="none" w:pos="600" w:val="left"/>
        </w:tabs>
        <w:numPr>
          <w:ilvl w:val="0"/>
          <w:numId w:val="169"/>
        </w:numPr>
        <w:rPr>
          <w:rFonts w:ascii="Arial" w:cs="Arial" w:eastAsia="Arial" w:hAnsi="Arial"/>
          <w:sz w:val="20"/>
          <w:szCs w:val="20"/>
          <w:color w:val="auto"/>
        </w:rPr>
      </w:pPr>
      <w:r>
        <w:rPr>
          <w:rFonts w:ascii="Arial" w:cs="Arial" w:eastAsia="Arial" w:hAnsi="Arial"/>
          <w:sz w:val="20"/>
          <w:szCs w:val="20"/>
          <w:color w:val="auto"/>
        </w:rPr>
        <w:t>The arbitrator shall undertake its best efforts to take the actions required in the time periods stated herein, provided that if he or she should not do so the arbitrator shall not become functus officio.</w:t>
      </w:r>
    </w:p>
    <w:p>
      <w:pPr>
        <w:spacing w:after="0" w:line="186" w:lineRule="exact"/>
        <w:rPr>
          <w:rFonts w:ascii="Arial" w:cs="Arial" w:eastAsia="Arial" w:hAnsi="Arial"/>
          <w:sz w:val="20"/>
          <w:szCs w:val="20"/>
          <w:color w:val="auto"/>
        </w:rPr>
      </w:pPr>
    </w:p>
    <w:p>
      <w:pPr>
        <w:ind w:left="600" w:right="20" w:hanging="600"/>
        <w:spacing w:after="0" w:line="304" w:lineRule="auto"/>
        <w:tabs>
          <w:tab w:leader="none" w:pos="60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The Company and the Insurer shall share the fees and disbursements of the arbitrator equally (</w:t>
      </w:r>
      <w:r>
        <w:rPr>
          <w:rFonts w:ascii="Arial" w:cs="Arial" w:eastAsia="Arial" w:hAnsi="Arial"/>
          <w:sz w:val="18"/>
          <w:szCs w:val="18"/>
          <w:u w:val="single" w:color="auto"/>
          <w:color w:val="auto"/>
        </w:rPr>
        <w:t>i.e.</w:t>
      </w:r>
      <w:r>
        <w:rPr>
          <w:rFonts w:ascii="Arial" w:cs="Arial" w:eastAsia="Arial" w:hAnsi="Arial"/>
          <w:sz w:val="18"/>
          <w:szCs w:val="18"/>
          <w:color w:val="auto"/>
        </w:rPr>
        <w:t>, on a 50%/50% basis). Each of the Company and the Insurer shall bear its own costs and expenses incurred in connection with prosecuting and/or defending any Dispute, including all fees of law firms, commercial banks, investment banks, accountants, public relations firms, experts and consultants.</w:t>
      </w:r>
    </w:p>
    <w:p>
      <w:pPr>
        <w:spacing w:after="0" w:line="164" w:lineRule="exact"/>
        <w:rPr>
          <w:rFonts w:ascii="Arial" w:cs="Arial" w:eastAsia="Arial" w:hAnsi="Arial"/>
          <w:sz w:val="18"/>
          <w:szCs w:val="18"/>
          <w:color w:val="auto"/>
        </w:rPr>
      </w:pPr>
    </w:p>
    <w:p>
      <w:pPr>
        <w:ind w:left="600" w:right="320" w:hanging="600"/>
        <w:spacing w:after="0" w:line="275" w:lineRule="auto"/>
        <w:tabs>
          <w:tab w:leader="none" w:pos="600" w:val="left"/>
        </w:tabs>
        <w:numPr>
          <w:ilvl w:val="0"/>
          <w:numId w:val="169"/>
        </w:numPr>
        <w:rPr>
          <w:rFonts w:ascii="Arial" w:cs="Arial" w:eastAsia="Arial" w:hAnsi="Arial"/>
          <w:sz w:val="20"/>
          <w:szCs w:val="20"/>
          <w:color w:val="auto"/>
        </w:rPr>
      </w:pPr>
      <w:r>
        <w:rPr>
          <w:rFonts w:ascii="Arial" w:cs="Arial" w:eastAsia="Arial" w:hAnsi="Arial"/>
          <w:sz w:val="20"/>
          <w:szCs w:val="20"/>
          <w:color w:val="auto"/>
        </w:rPr>
        <w:t xml:space="preserve">All Confidential Information that is provided in connection with any Dispute, and the proceedings relating to any Dispute, shall be subject to the provisions of </w:t>
      </w:r>
      <w:r>
        <w:rPr>
          <w:rFonts w:ascii="Arial" w:cs="Arial" w:eastAsia="Arial" w:hAnsi="Arial"/>
          <w:sz w:val="20"/>
          <w:szCs w:val="20"/>
          <w:u w:val="single" w:color="auto"/>
          <w:color w:val="auto"/>
        </w:rPr>
        <w:t>Section 11.7(b)</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Section 11.14,</w:t>
      </w:r>
      <w:r>
        <w:rPr>
          <w:rFonts w:ascii="Arial" w:cs="Arial" w:eastAsia="Arial" w:hAnsi="Arial"/>
          <w:sz w:val="20"/>
          <w:szCs w:val="20"/>
          <w:color w:val="auto"/>
        </w:rPr>
        <w:t xml:space="preserve"> to the extent provided therein.</w:t>
      </w:r>
    </w:p>
    <w:p>
      <w:pPr>
        <w:spacing w:after="0" w:line="186" w:lineRule="exact"/>
        <w:rPr>
          <w:rFonts w:ascii="Arial" w:cs="Arial" w:eastAsia="Arial" w:hAnsi="Arial"/>
          <w:sz w:val="20"/>
          <w:szCs w:val="20"/>
          <w:color w:val="auto"/>
        </w:rPr>
      </w:pPr>
    </w:p>
    <w:p>
      <w:pPr>
        <w:ind w:left="600" w:right="60" w:hanging="600"/>
        <w:spacing w:after="0" w:line="253" w:lineRule="auto"/>
        <w:tabs>
          <w:tab w:leader="none" w:pos="600" w:val="left"/>
        </w:tabs>
        <w:numPr>
          <w:ilvl w:val="0"/>
          <w:numId w:val="169"/>
        </w:numPr>
        <w:rPr>
          <w:rFonts w:ascii="Arial" w:cs="Arial" w:eastAsia="Arial" w:hAnsi="Arial"/>
          <w:sz w:val="20"/>
          <w:szCs w:val="20"/>
          <w:color w:val="auto"/>
        </w:rPr>
      </w:pPr>
      <w:r>
        <w:rPr>
          <w:rFonts w:ascii="Arial" w:cs="Arial" w:eastAsia="Arial" w:hAnsi="Arial"/>
          <w:sz w:val="20"/>
          <w:szCs w:val="20"/>
          <w:color w:val="auto"/>
        </w:rPr>
        <w:t xml:space="preserve">The parties agree that the foregoing procedures and deadlines are intended to ensure that in all events the final award of any arbitrator with respect to Disputes under </w:t>
      </w:r>
      <w:r>
        <w:rPr>
          <w:rFonts w:ascii="Arial" w:cs="Arial" w:eastAsia="Arial" w:hAnsi="Arial"/>
          <w:sz w:val="20"/>
          <w:szCs w:val="20"/>
          <w:u w:val="single" w:color="auto"/>
          <w:color w:val="auto"/>
        </w:rPr>
        <w:t>Section 2.12</w:t>
      </w:r>
      <w:r>
        <w:rPr>
          <w:rFonts w:ascii="Arial" w:cs="Arial" w:eastAsia="Arial" w:hAnsi="Arial"/>
          <w:sz w:val="20"/>
          <w:szCs w:val="20"/>
          <w:color w:val="auto"/>
        </w:rPr>
        <w:t xml:space="preserve"> shall be issued not later than 175 days after the conclusion of the PBGC Review Period. Notwithstanding the foregoing, in the event that any amount is finally determined by the arbitrator to be due and owing from the Plan to the Insurer, but the Plan is no longer existing or otherwise does not make such payment within 5 days after such determination, the Company shall promptly make such payment on behalf of the Plan whereupon the Plan shall be released from any obligation to make such payment.</w:t>
      </w: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Appendix 2.12 - 4</w:t>
      </w:r>
    </w:p>
    <w:p>
      <w:pPr>
        <w:sectPr>
          <w:pgSz w:w="11900" w:h="16838" w:orient="portrait"/>
          <w:cols w:equalWidth="0" w:num="1">
            <w:col w:w="11380"/>
          </w:cols>
          <w:pgMar w:left="240" w:top="557" w:right="279" w:bottom="1440" w:gutter="0" w:footer="0" w:header="0"/>
        </w:sectPr>
      </w:pPr>
    </w:p>
    <w:bookmarkStart w:id="197" w:name="page198"/>
    <w:bookmarkEnd w:id="197"/>
    <w:p>
      <w:pPr>
        <w:jc w:val="center"/>
        <w:ind w:right="-59"/>
        <w:spacing w:after="0"/>
        <w:rPr>
          <w:sz w:val="20"/>
          <w:szCs w:val="20"/>
          <w:color w:val="auto"/>
        </w:rPr>
      </w:pPr>
      <w:r>
        <w:rPr>
          <w:rFonts w:ascii="Arial" w:cs="Arial" w:eastAsia="Arial" w:hAnsi="Arial"/>
          <w:sz w:val="20"/>
          <w:szCs w:val="20"/>
          <w:b w:val="1"/>
          <w:bCs w:val="1"/>
          <w:u w:val="single" w:color="auto"/>
          <w:color w:val="auto"/>
        </w:rPr>
        <w:t>Appendix 6.6</w:t>
      </w: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RBC RATIO CALCULATION METHOD</w:t>
      </w:r>
    </w:p>
    <w:p>
      <w:pPr>
        <w:spacing w:after="0" w:line="212" w:lineRule="exact"/>
        <w:rPr>
          <w:sz w:val="20"/>
          <w:szCs w:val="20"/>
          <w:color w:val="auto"/>
        </w:rPr>
      </w:pPr>
    </w:p>
    <w:p>
      <w:pPr>
        <w:ind w:left="300" w:right="60" w:hanging="300"/>
        <w:spacing w:after="0" w:line="305" w:lineRule="auto"/>
        <w:tabs>
          <w:tab w:leader="none" w:pos="300" w:val="left"/>
        </w:tabs>
        <w:numPr>
          <w:ilvl w:val="0"/>
          <w:numId w:val="170"/>
        </w:numPr>
        <w:rPr>
          <w:rFonts w:ascii="Arial" w:cs="Arial" w:eastAsia="Arial" w:hAnsi="Arial"/>
          <w:sz w:val="16"/>
          <w:szCs w:val="16"/>
          <w:color w:val="auto"/>
        </w:rPr>
      </w:pPr>
      <w:r>
        <w:rPr>
          <w:rFonts w:ascii="Arial" w:cs="Arial" w:eastAsia="Arial" w:hAnsi="Arial"/>
          <w:sz w:val="19"/>
          <w:szCs w:val="19"/>
          <w:color w:val="auto"/>
        </w:rPr>
        <w:t xml:space="preserve">The Insurer's normal-course RBC ratio preparation is completed in a reasonable manner, using reasonable assumptions and in accordance with prevailing regulatory standards consistent with current practices for reporting to management or regulators. [ *** </w:t>
      </w:r>
      <w:r>
        <w:rPr>
          <w:rFonts w:ascii="Arial" w:cs="Arial" w:eastAsia="Arial" w:hAnsi="Arial"/>
          <w:sz w:val="20"/>
          <w:szCs w:val="20"/>
          <w:color w:val="auto"/>
        </w:rPr>
        <w:t>]</w:t>
      </w:r>
    </w:p>
    <w:p>
      <w:pPr>
        <w:spacing w:after="0" w:line="177" w:lineRule="exact"/>
        <w:rPr>
          <w:rFonts w:ascii="Arial" w:cs="Arial" w:eastAsia="Arial" w:hAnsi="Arial"/>
          <w:sz w:val="16"/>
          <w:szCs w:val="16"/>
          <w:color w:val="auto"/>
        </w:rPr>
      </w:pPr>
    </w:p>
    <w:p>
      <w:pPr>
        <w:ind w:left="300" w:hanging="300"/>
        <w:spacing w:after="0" w:line="288" w:lineRule="auto"/>
        <w:tabs>
          <w:tab w:leader="none" w:pos="300" w:val="left"/>
        </w:tabs>
        <w:numPr>
          <w:ilvl w:val="0"/>
          <w:numId w:val="170"/>
        </w:numPr>
        <w:rPr>
          <w:rFonts w:ascii="Arial" w:cs="Arial" w:eastAsia="Arial" w:hAnsi="Arial"/>
          <w:sz w:val="15"/>
          <w:szCs w:val="15"/>
          <w:color w:val="auto"/>
        </w:rPr>
      </w:pPr>
      <w:r>
        <w:rPr>
          <w:rFonts w:ascii="Arial" w:cs="Arial" w:eastAsia="Arial" w:hAnsi="Arial"/>
          <w:sz w:val="18"/>
          <w:szCs w:val="18"/>
          <w:b w:val="1"/>
          <w:bCs w:val="1"/>
          <w:color w:val="auto"/>
        </w:rPr>
        <w:t xml:space="preserve">Preparation of the Projected RBC Ratio: </w:t>
      </w:r>
      <w:r>
        <w:rPr>
          <w:rFonts w:ascii="Arial" w:cs="Arial" w:eastAsia="Arial" w:hAnsi="Arial"/>
          <w:sz w:val="18"/>
          <w:szCs w:val="18"/>
          <w:color w:val="auto"/>
        </w:rPr>
        <w:t>From time to time, the Insurer calculates Projected RBC Ratios. Such Projected RBC Ratios</w:t>
      </w:r>
      <w:r>
        <w:rPr>
          <w:rFonts w:ascii="Arial" w:cs="Arial" w:eastAsia="Arial" w:hAnsi="Arial"/>
          <w:sz w:val="18"/>
          <w:szCs w:val="18"/>
          <w:b w:val="1"/>
          <w:bCs w:val="1"/>
          <w:color w:val="auto"/>
        </w:rPr>
        <w:t xml:space="preserve"> </w:t>
      </w:r>
      <w:r>
        <w:rPr>
          <w:rFonts w:ascii="Arial" w:cs="Arial" w:eastAsia="Arial" w:hAnsi="Arial"/>
          <w:sz w:val="18"/>
          <w:szCs w:val="18"/>
          <w:color w:val="auto"/>
        </w:rPr>
        <w:t>are completed in accordance with NAIC prescribed methodologies for the calculation of Risk-Based Capital and Total Adjusted Capital. The NAIC publishes detailed instructions annually for calculating year-end reported RBC ratios using Risk-Based Capital and Total Adjusted Capital (NAIC Life Risk-Based Capital Report Including Overview and Instructions for Companies); the Insurer's projections of its year-end RBC ratio utilize the same formula as these instructions. Such projections also incorporate NAIC changes to the extent Prudential expects that these changes are expected to be adopted by the NAIC and effective for the forecasted period.</w:t>
      </w:r>
    </w:p>
    <w:p>
      <w:pPr>
        <w:spacing w:after="0" w:line="126" w:lineRule="exact"/>
        <w:rPr>
          <w:rFonts w:ascii="Arial" w:cs="Arial" w:eastAsia="Arial" w:hAnsi="Arial"/>
          <w:sz w:val="15"/>
          <w:szCs w:val="15"/>
          <w:color w:val="auto"/>
        </w:rPr>
      </w:pPr>
    </w:p>
    <w:p>
      <w:pPr>
        <w:ind w:left="300"/>
        <w:spacing w:after="0"/>
        <w:rPr>
          <w:rFonts w:ascii="Arial" w:cs="Arial" w:eastAsia="Arial" w:hAnsi="Arial"/>
          <w:sz w:val="15"/>
          <w:szCs w:val="15"/>
          <w:color w:val="auto"/>
        </w:rPr>
      </w:pPr>
      <w:r>
        <w:rPr>
          <w:rFonts w:ascii="Arial" w:cs="Arial" w:eastAsia="Arial" w:hAnsi="Arial"/>
          <w:sz w:val="20"/>
          <w:szCs w:val="20"/>
          <w:color w:val="auto"/>
        </w:rPr>
        <w:t xml:space="preserve">[ *** </w:t>
      </w:r>
      <w:r>
        <w:rPr>
          <w:rFonts w:ascii="Arial" w:cs="Arial" w:eastAsia="Arial" w:hAnsi="Arial"/>
          <w:sz w:val="21"/>
          <w:szCs w:val="21"/>
          <w:color w:val="auto"/>
        </w:rPr>
        <w:t>]</w:t>
      </w:r>
    </w:p>
    <w:p>
      <w:pPr>
        <w:spacing w:after="0" w:line="200" w:lineRule="exact"/>
        <w:rPr>
          <w:rFonts w:ascii="Arial" w:cs="Arial" w:eastAsia="Arial" w:hAnsi="Arial"/>
          <w:sz w:val="15"/>
          <w:szCs w:val="15"/>
          <w:color w:val="auto"/>
        </w:rPr>
      </w:pPr>
    </w:p>
    <w:p>
      <w:pPr>
        <w:spacing w:after="0" w:line="209" w:lineRule="exact"/>
        <w:rPr>
          <w:rFonts w:ascii="Arial" w:cs="Arial" w:eastAsia="Arial" w:hAnsi="Arial"/>
          <w:sz w:val="15"/>
          <w:szCs w:val="15"/>
          <w:color w:val="auto"/>
        </w:rPr>
      </w:pPr>
    </w:p>
    <w:p>
      <w:pPr>
        <w:ind w:left="300"/>
        <w:spacing w:after="0"/>
        <w:rPr>
          <w:rFonts w:ascii="Arial" w:cs="Arial" w:eastAsia="Arial" w:hAnsi="Arial"/>
          <w:sz w:val="15"/>
          <w:szCs w:val="15"/>
          <w:color w:val="auto"/>
        </w:rPr>
      </w:pPr>
      <w:r>
        <w:rPr>
          <w:rFonts w:ascii="Arial" w:cs="Arial" w:eastAsia="Arial" w:hAnsi="Arial"/>
          <w:sz w:val="20"/>
          <w:szCs w:val="20"/>
          <w:color w:val="auto"/>
        </w:rPr>
        <w:t xml:space="preserve">For purposes of asserting an Insurer MAC, the Insurer will [ *** </w:t>
      </w:r>
      <w:r>
        <w:rPr>
          <w:rFonts w:ascii="Arial" w:cs="Arial" w:eastAsia="Arial" w:hAnsi="Arial"/>
          <w:sz w:val="21"/>
          <w:szCs w:val="21"/>
          <w:color w:val="auto"/>
        </w:rPr>
        <w:t>]</w:t>
      </w:r>
    </w:p>
    <w:p>
      <w:pPr>
        <w:spacing w:after="0" w:line="200" w:lineRule="exact"/>
        <w:rPr>
          <w:sz w:val="20"/>
          <w:szCs w:val="20"/>
          <w:color w:val="auto"/>
        </w:rPr>
      </w:pPr>
    </w:p>
    <w:p>
      <w:pPr>
        <w:spacing w:after="0" w:line="209"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 xml:space="preserve">[ *** </w:t>
      </w:r>
      <w:r>
        <w:rPr>
          <w:rFonts w:ascii="Arial" w:cs="Arial" w:eastAsia="Arial" w:hAnsi="Arial"/>
          <w:sz w:val="21"/>
          <w:szCs w:val="21"/>
          <w:color w:val="auto"/>
        </w:rPr>
        <w:t>]</w:t>
      </w:r>
    </w:p>
    <w:p>
      <w:pPr>
        <w:spacing w:after="0" w:line="224" w:lineRule="exact"/>
        <w:rPr>
          <w:sz w:val="20"/>
          <w:szCs w:val="20"/>
          <w:color w:val="auto"/>
        </w:rPr>
      </w:pPr>
    </w:p>
    <w:p>
      <w:pPr>
        <w:ind w:left="1800" w:right="520" w:hanging="298"/>
        <w:spacing w:after="0" w:line="275" w:lineRule="auto"/>
        <w:tabs>
          <w:tab w:leader="none" w:pos="1800" w:val="left"/>
        </w:tabs>
        <w:numPr>
          <w:ilvl w:val="0"/>
          <w:numId w:val="171"/>
        </w:numPr>
        <w:rPr>
          <w:rFonts w:ascii="Arial" w:cs="Arial" w:eastAsia="Arial" w:hAnsi="Arial"/>
          <w:sz w:val="17"/>
          <w:szCs w:val="17"/>
          <w:color w:val="auto"/>
        </w:rPr>
      </w:pPr>
      <w:r>
        <w:rPr>
          <w:rFonts w:ascii="Arial" w:cs="Arial" w:eastAsia="Arial" w:hAnsi="Arial"/>
          <w:sz w:val="20"/>
          <w:szCs w:val="20"/>
          <w:u w:val="single" w:color="auto"/>
          <w:color w:val="auto"/>
        </w:rPr>
        <w:t>Covered Period</w:t>
      </w:r>
      <w:r>
        <w:rPr>
          <w:rFonts w:ascii="Arial" w:cs="Arial" w:eastAsia="Arial" w:hAnsi="Arial"/>
          <w:sz w:val="20"/>
          <w:szCs w:val="20"/>
          <w:color w:val="auto"/>
        </w:rPr>
        <w:t>” means the period between the DTFA Execution Date and the earlier of the Closing Date and the Outside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Appendix 6.6 - 1</w:t>
      </w:r>
    </w:p>
    <w:p>
      <w:pPr>
        <w:sectPr>
          <w:pgSz w:w="11900" w:h="16838" w:orient="portrait"/>
          <w:cols w:equalWidth="0" w:num="1">
            <w:col w:w="11380"/>
          </w:cols>
          <w:pgMar w:left="240" w:top="953" w:right="279" w:bottom="1440" w:gutter="0" w:footer="0" w:header="0"/>
        </w:sectPr>
      </w:pPr>
    </w:p>
    <w:bookmarkStart w:id="198" w:name="page199"/>
    <w:bookmarkEnd w:id="198"/>
    <w:p>
      <w:pPr>
        <w:ind w:left="4340"/>
        <w:spacing w:after="0"/>
        <w:rPr>
          <w:sz w:val="20"/>
          <w:szCs w:val="20"/>
          <w:color w:val="auto"/>
        </w:rPr>
      </w:pPr>
      <w:r>
        <w:rPr>
          <w:rFonts w:ascii="Arial" w:cs="Arial" w:eastAsia="Arial" w:hAnsi="Arial"/>
          <w:sz w:val="20"/>
          <w:szCs w:val="20"/>
          <w:b w:val="1"/>
          <w:bCs w:val="1"/>
          <w:u w:val="single" w:color="auto"/>
          <w:color w:val="auto"/>
        </w:rPr>
        <w:t>Appendix 6.7</w:t>
      </w:r>
    </w:p>
    <w:p>
      <w:pPr>
        <w:spacing w:after="0" w:line="200" w:lineRule="exact"/>
        <w:rPr>
          <w:sz w:val="20"/>
          <w:szCs w:val="20"/>
          <w:color w:val="auto"/>
        </w:rPr>
      </w:pPr>
    </w:p>
    <w:p>
      <w:pPr>
        <w:spacing w:after="0" w:line="208" w:lineRule="exact"/>
        <w:rPr>
          <w:sz w:val="20"/>
          <w:szCs w:val="20"/>
          <w:color w:val="auto"/>
        </w:rPr>
      </w:pPr>
    </w:p>
    <w:p>
      <w:pPr>
        <w:ind w:left="3460"/>
        <w:spacing w:after="0"/>
        <w:rPr>
          <w:sz w:val="20"/>
          <w:szCs w:val="20"/>
          <w:color w:val="auto"/>
        </w:rPr>
      </w:pPr>
      <w:r>
        <w:rPr>
          <w:rFonts w:ascii="Arial" w:cs="Arial" w:eastAsia="Arial" w:hAnsi="Arial"/>
          <w:sz w:val="20"/>
          <w:szCs w:val="20"/>
          <w:b w:val="1"/>
          <w:bCs w:val="1"/>
          <w:color w:val="auto"/>
        </w:rPr>
        <w:t>Administrative Transition Process</w:t>
      </w:r>
    </w:p>
    <w:p>
      <w:pPr>
        <w:spacing w:after="0" w:line="200" w:lineRule="exact"/>
        <w:rPr>
          <w:sz w:val="20"/>
          <w:szCs w:val="20"/>
          <w:color w:val="auto"/>
        </w:rPr>
      </w:pPr>
    </w:p>
    <w:p>
      <w:pPr>
        <w:spacing w:after="0" w:line="204" w:lineRule="exact"/>
        <w:rPr>
          <w:sz w:val="20"/>
          <w:szCs w:val="20"/>
          <w:color w:val="auto"/>
        </w:rPr>
      </w:pPr>
    </w:p>
    <w:p>
      <w:pPr>
        <w:jc w:val="both"/>
        <w:ind w:right="60"/>
        <w:spacing w:after="0" w:line="284" w:lineRule="auto"/>
        <w:rPr>
          <w:sz w:val="20"/>
          <w:szCs w:val="20"/>
          <w:color w:val="auto"/>
        </w:rPr>
      </w:pPr>
      <w:r>
        <w:rPr>
          <w:rFonts w:ascii="Arial" w:cs="Arial" w:eastAsia="Arial" w:hAnsi="Arial"/>
          <w:sz w:val="17"/>
          <w:szCs w:val="17"/>
          <w:color w:val="auto"/>
        </w:rPr>
        <w:t xml:space="preserve">This </w:t>
      </w:r>
      <w:r>
        <w:rPr>
          <w:rFonts w:ascii="Arial" w:cs="Arial" w:eastAsia="Arial" w:hAnsi="Arial"/>
          <w:sz w:val="17"/>
          <w:szCs w:val="17"/>
          <w:u w:val="single" w:color="auto"/>
          <w:color w:val="auto"/>
        </w:rPr>
        <w:t>Appendix 6.7</w:t>
      </w:r>
      <w:r>
        <w:rPr>
          <w:rFonts w:ascii="Arial" w:cs="Arial" w:eastAsia="Arial" w:hAnsi="Arial"/>
          <w:sz w:val="17"/>
          <w:szCs w:val="17"/>
          <w:color w:val="auto"/>
        </w:rPr>
        <w:t xml:space="preserve"> sets forth the actions that the Insurer, Fidelity Workplace Services, LLC (the “</w:t>
      </w:r>
      <w:r>
        <w:rPr>
          <w:rFonts w:ascii="Arial" w:cs="Arial" w:eastAsia="Arial" w:hAnsi="Arial"/>
          <w:sz w:val="17"/>
          <w:szCs w:val="17"/>
          <w:u w:val="single" w:color="auto"/>
          <w:color w:val="auto"/>
        </w:rPr>
        <w:t>Recordkeeper</w:t>
      </w:r>
      <w:r>
        <w:rPr>
          <w:rFonts w:ascii="Arial" w:cs="Arial" w:eastAsia="Arial" w:hAnsi="Arial"/>
          <w:sz w:val="17"/>
          <w:szCs w:val="17"/>
          <w:color w:val="auto"/>
        </w:rPr>
        <w:t>”) and the Plan shall take at the times identified on the table below. The purpose of these actions is to transfer all administrative functions to the Insurer sufficiently prior to the Closing so that the Insurer can make payments to Annuitants from and after the Annuity Commencement Date.</w:t>
      </w:r>
    </w:p>
    <w:p>
      <w:pPr>
        <w:spacing w:after="0" w:line="145"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 xml:space="preserve">All Delivery Dates after June 19, 2012 assume the prior delivery to a party responsible for a deliverable of relevant materials needed from other parties, on or prior to the required Delivery Dates set forth in this </w:t>
      </w:r>
      <w:r>
        <w:rPr>
          <w:rFonts w:ascii="Arial" w:cs="Arial" w:eastAsia="Arial" w:hAnsi="Arial"/>
          <w:sz w:val="18"/>
          <w:szCs w:val="18"/>
          <w:u w:val="single" w:color="auto"/>
          <w:color w:val="auto"/>
        </w:rPr>
        <w:t>Appendix 6.7</w:t>
      </w:r>
      <w:r>
        <w:rPr>
          <w:rFonts w:ascii="Arial" w:cs="Arial" w:eastAsia="Arial" w:hAnsi="Arial"/>
          <w:sz w:val="18"/>
          <w:szCs w:val="18"/>
          <w:color w:val="auto"/>
        </w:rPr>
        <w:t>, including cooperation of other parties in resolving any open issues.</w:t>
      </w:r>
    </w:p>
    <w:p>
      <w:pPr>
        <w:spacing w:after="0" w:line="161" w:lineRule="exact"/>
        <w:rPr>
          <w:sz w:val="20"/>
          <w:szCs w:val="20"/>
          <w:color w:val="auto"/>
        </w:rPr>
      </w:pPr>
    </w:p>
    <w:p>
      <w:pPr>
        <w:jc w:val="center"/>
        <w:ind w:right="-79"/>
        <w:spacing w:after="0"/>
        <w:rPr>
          <w:sz w:val="20"/>
          <w:szCs w:val="20"/>
          <w:color w:val="auto"/>
        </w:rPr>
      </w:pPr>
      <w:r>
        <w:rPr>
          <w:rFonts w:ascii="Arial" w:cs="Arial" w:eastAsia="Arial" w:hAnsi="Arial"/>
          <w:sz w:val="18"/>
          <w:szCs w:val="18"/>
          <w:u w:val="single" w:color="auto"/>
          <w:color w:val="auto"/>
        </w:rPr>
        <w:t>Defined Terms</w:t>
      </w:r>
    </w:p>
    <w:p>
      <w:pPr>
        <w:spacing w:after="0" w:line="206" w:lineRule="exact"/>
        <w:rPr>
          <w:sz w:val="20"/>
          <w:szCs w:val="20"/>
          <w:color w:val="auto"/>
        </w:rPr>
      </w:pPr>
    </w:p>
    <w:p>
      <w:pPr>
        <w:ind w:right="540" w:firstLine="60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Check Register</w:t>
      </w:r>
      <w:r>
        <w:rPr>
          <w:rFonts w:ascii="Arial" w:cs="Arial" w:eastAsia="Arial" w:hAnsi="Arial"/>
          <w:sz w:val="18"/>
          <w:szCs w:val="18"/>
          <w:color w:val="auto"/>
        </w:rPr>
        <w:t>” means an electronic list showing gross amounts, net amounts and deductions with respect to payments to each Annuitant.</w:t>
      </w:r>
    </w:p>
    <w:p>
      <w:pPr>
        <w:spacing w:after="0" w:line="148" w:lineRule="exact"/>
        <w:rPr>
          <w:sz w:val="20"/>
          <w:szCs w:val="20"/>
          <w:color w:val="auto"/>
        </w:rPr>
      </w:pPr>
    </w:p>
    <w:p>
      <w:pPr>
        <w:ind w:right="180" w:firstLine="60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Data Load File</w:t>
      </w:r>
      <w:r>
        <w:rPr>
          <w:rFonts w:ascii="Arial" w:cs="Arial" w:eastAsia="Arial" w:hAnsi="Arial"/>
          <w:sz w:val="18"/>
          <w:szCs w:val="18"/>
          <w:color w:val="auto"/>
        </w:rPr>
        <w:t>” means the complete Updated Data Load File reflecting all corrections since the Preliminary Data Load File and any addendums thereto.</w:t>
      </w:r>
    </w:p>
    <w:p>
      <w:pPr>
        <w:spacing w:after="0" w:line="148" w:lineRule="exact"/>
        <w:rPr>
          <w:sz w:val="20"/>
          <w:szCs w:val="20"/>
          <w:color w:val="auto"/>
        </w:rPr>
      </w:pPr>
    </w:p>
    <w:p>
      <w:pPr>
        <w:ind w:right="140" w:firstLine="60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Data Load File</w:t>
      </w:r>
      <w:r>
        <w:rPr>
          <w:rFonts w:ascii="Arial" w:cs="Arial" w:eastAsia="Arial" w:hAnsi="Arial"/>
          <w:sz w:val="18"/>
          <w:szCs w:val="18"/>
          <w:color w:val="auto"/>
        </w:rPr>
        <w:t>” means the Closing Data Load File as loaded to Insurer's recordkeeping systems and reflected in a report provided to the Plan and Recordkeeper.</w:t>
      </w:r>
    </w:p>
    <w:p>
      <w:pPr>
        <w:spacing w:after="0" w:line="148" w:lineRule="exact"/>
        <w:rPr>
          <w:sz w:val="20"/>
          <w:szCs w:val="20"/>
          <w:color w:val="auto"/>
        </w:rPr>
      </w:pPr>
    </w:p>
    <w:p>
      <w:pPr>
        <w:ind w:right="140" w:firstLine="60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Data Load File Sign-Off</w:t>
      </w:r>
      <w:r>
        <w:rPr>
          <w:rFonts w:ascii="Arial" w:cs="Arial" w:eastAsia="Arial" w:hAnsi="Arial"/>
          <w:sz w:val="18"/>
          <w:szCs w:val="18"/>
          <w:color w:val="auto"/>
        </w:rPr>
        <w:t>” means the written confirmation by the Plan that the Closing Data Load File has been accurately mapped to the Insurer's recordkeeping system.</w:t>
      </w:r>
    </w:p>
    <w:p>
      <w:pPr>
        <w:spacing w:after="0" w:line="148" w:lineRule="exact"/>
        <w:rPr>
          <w:sz w:val="20"/>
          <w:szCs w:val="20"/>
          <w:color w:val="auto"/>
        </w:rPr>
      </w:pPr>
    </w:p>
    <w:p>
      <w:pPr>
        <w:ind w:right="600" w:firstLine="60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Preliminary Data Load File</w:t>
      </w:r>
      <w:r>
        <w:rPr>
          <w:rFonts w:ascii="Arial" w:cs="Arial" w:eastAsia="Arial" w:hAnsi="Arial"/>
          <w:sz w:val="18"/>
          <w:szCs w:val="18"/>
          <w:color w:val="auto"/>
        </w:rPr>
        <w:t>” means the Base Data Load File, as populated by the Recordkeeper based on information from the Recordkeeper's internal system.</w:t>
      </w:r>
    </w:p>
    <w:p>
      <w:pPr>
        <w:spacing w:after="0" w:line="148" w:lineRule="exact"/>
        <w:rPr>
          <w:sz w:val="20"/>
          <w:szCs w:val="20"/>
          <w:color w:val="auto"/>
        </w:rPr>
      </w:pPr>
    </w:p>
    <w:p>
      <w:pPr>
        <w:ind w:right="880" w:firstLine="60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Updated Data Load File</w:t>
      </w:r>
      <w:r>
        <w:rPr>
          <w:rFonts w:ascii="Arial" w:cs="Arial" w:eastAsia="Arial" w:hAnsi="Arial"/>
          <w:sz w:val="16"/>
          <w:szCs w:val="16"/>
          <w:color w:val="auto"/>
        </w:rPr>
        <w:t>” means the Base Data Load File as populated by the Recordkeeper based on information from the Recordkeeper's internal systems including updates, corrections and new information since preparation of the prior data load file.</w:t>
      </w:r>
    </w:p>
    <w:p>
      <w:pPr>
        <w:spacing w:after="0" w:line="331" w:lineRule="exact"/>
        <w:rPr>
          <w:sz w:val="20"/>
          <w:szCs w:val="20"/>
          <w:color w:val="auto"/>
        </w:rPr>
      </w:pPr>
    </w:p>
    <w:p>
      <w:pPr>
        <w:ind w:left="4340"/>
        <w:spacing w:after="0"/>
        <w:rPr>
          <w:sz w:val="20"/>
          <w:szCs w:val="20"/>
          <w:color w:val="auto"/>
        </w:rPr>
      </w:pPr>
      <w:r>
        <w:rPr>
          <w:rFonts w:ascii="Arial" w:cs="Arial" w:eastAsia="Arial" w:hAnsi="Arial"/>
          <w:sz w:val="17"/>
          <w:szCs w:val="17"/>
          <w:color w:val="auto"/>
        </w:rPr>
        <w:t>Appendix 6.7 - 1</w:t>
      </w:r>
    </w:p>
    <w:p>
      <w:pPr>
        <w:sectPr>
          <w:pgSz w:w="11900" w:h="16838" w:orient="portrait"/>
          <w:cols w:equalWidth="0" w:num="1">
            <w:col w:w="10560"/>
          </w:cols>
          <w:pgMar w:left="1040" w:top="903" w:right="299" w:bottom="1440" w:gutter="0" w:footer="0" w:header="0"/>
        </w:sectPr>
      </w:pPr>
    </w:p>
    <w:bookmarkStart w:id="199" w:name="page200"/>
    <w:bookmarkEnd w:id="199"/>
    <w:tbl>
      <w:tblPr>
        <w:tblLayout w:type="fixed"/>
        <w:tblInd w:w="10" w:type="dxa"/>
        <w:tblCellMar>
          <w:top w:w="0" w:type="dxa"/>
          <w:left w:w="0" w:type="dxa"/>
          <w:bottom w:w="0" w:type="dxa"/>
          <w:right w:w="0" w:type="dxa"/>
        </w:tblCellMar>
      </w:tblPr>
      <w:tr>
        <w:trPr>
          <w:trHeight w:val="254"/>
        </w:trPr>
        <w:tc>
          <w:tcPr>
            <w:tcW w:w="40" w:type="dxa"/>
            <w:vAlign w:val="bottom"/>
            <w:tcBorders>
              <w:top w:val="single" w:sz="8" w:color="auto"/>
              <w:left w:val="single" w:sz="8" w:color="auto"/>
            </w:tcBorders>
          </w:tcPr>
          <w:p>
            <w:pPr>
              <w:spacing w:after="0"/>
              <w:rPr>
                <w:sz w:val="22"/>
                <w:szCs w:val="22"/>
                <w:color w:val="auto"/>
              </w:rPr>
            </w:pPr>
          </w:p>
        </w:tc>
        <w:tc>
          <w:tcPr>
            <w:tcW w:w="520" w:type="dxa"/>
            <w:vAlign w:val="bottom"/>
            <w:tcBorders>
              <w:top w:val="single" w:sz="8" w:color="auto"/>
            </w:tcBorders>
          </w:tcPr>
          <w:p>
            <w:pPr>
              <w:spacing w:after="0"/>
              <w:rPr>
                <w:sz w:val="22"/>
                <w:szCs w:val="22"/>
                <w:color w:val="auto"/>
              </w:rPr>
            </w:pPr>
          </w:p>
        </w:tc>
        <w:tc>
          <w:tcPr>
            <w:tcW w:w="1760" w:type="dxa"/>
            <w:vAlign w:val="bottom"/>
            <w:tcBorders>
              <w:top w:val="single" w:sz="8" w:color="auto"/>
              <w:right w:val="single" w:sz="8" w:color="auto"/>
            </w:tcBorders>
            <w:gridSpan w:val="8"/>
          </w:tcPr>
          <w:p>
            <w:pPr>
              <w:ind w:left="140"/>
              <w:spacing w:after="0"/>
              <w:rPr>
                <w:sz w:val="20"/>
                <w:szCs w:val="20"/>
                <w:color w:val="auto"/>
              </w:rPr>
            </w:pPr>
            <w:r>
              <w:rPr>
                <w:rFonts w:ascii="Arial" w:cs="Arial" w:eastAsia="Arial" w:hAnsi="Arial"/>
                <w:sz w:val="18"/>
                <w:szCs w:val="18"/>
                <w:b w:val="1"/>
                <w:bCs w:val="1"/>
                <w:color w:val="auto"/>
              </w:rPr>
              <w:t>Deliverable</w:t>
            </w:r>
          </w:p>
        </w:tc>
        <w:tc>
          <w:tcPr>
            <w:tcW w:w="2280" w:type="dxa"/>
            <w:vAlign w:val="bottom"/>
            <w:tcBorders>
              <w:top w:val="single" w:sz="8" w:color="auto"/>
              <w:right w:val="single" w:sz="8" w:color="auto"/>
            </w:tcBorders>
          </w:tcPr>
          <w:p>
            <w:pPr>
              <w:ind w:left="580"/>
              <w:spacing w:after="0"/>
              <w:rPr>
                <w:sz w:val="20"/>
                <w:szCs w:val="20"/>
                <w:color w:val="auto"/>
              </w:rPr>
            </w:pPr>
            <w:r>
              <w:rPr>
                <w:rFonts w:ascii="Arial" w:cs="Arial" w:eastAsia="Arial" w:hAnsi="Arial"/>
                <w:sz w:val="18"/>
                <w:szCs w:val="18"/>
                <w:b w:val="1"/>
                <w:bCs w:val="1"/>
                <w:color w:val="auto"/>
              </w:rPr>
              <w:t>Delivery Date</w:t>
            </w:r>
          </w:p>
        </w:tc>
        <w:tc>
          <w:tcPr>
            <w:tcW w:w="2300" w:type="dxa"/>
            <w:vAlign w:val="bottom"/>
            <w:tcBorders>
              <w:top w:val="single" w:sz="8" w:color="auto"/>
              <w:right w:val="single" w:sz="8" w:color="auto"/>
            </w:tcBorders>
          </w:tcPr>
          <w:p>
            <w:pPr>
              <w:ind w:left="340"/>
              <w:spacing w:after="0"/>
              <w:rPr>
                <w:sz w:val="20"/>
                <w:szCs w:val="20"/>
                <w:color w:val="auto"/>
              </w:rPr>
            </w:pPr>
            <w:r>
              <w:rPr>
                <w:rFonts w:ascii="Arial" w:cs="Arial" w:eastAsia="Arial" w:hAnsi="Arial"/>
                <w:sz w:val="18"/>
                <w:szCs w:val="18"/>
                <w:b w:val="1"/>
                <w:bCs w:val="1"/>
                <w:color w:val="auto"/>
              </w:rPr>
              <w:t>Action by Company</w:t>
            </w:r>
          </w:p>
        </w:tc>
        <w:tc>
          <w:tcPr>
            <w:tcW w:w="2260" w:type="dxa"/>
            <w:vAlign w:val="bottom"/>
            <w:tcBorders>
              <w:top w:val="single" w:sz="8" w:color="auto"/>
              <w:right w:val="single" w:sz="8" w:color="auto"/>
            </w:tcBorders>
          </w:tcPr>
          <w:p>
            <w:pPr>
              <w:ind w:left="160"/>
              <w:spacing w:after="0"/>
              <w:rPr>
                <w:sz w:val="20"/>
                <w:szCs w:val="20"/>
                <w:color w:val="auto"/>
              </w:rPr>
            </w:pPr>
            <w:r>
              <w:rPr>
                <w:rFonts w:ascii="Arial" w:cs="Arial" w:eastAsia="Arial" w:hAnsi="Arial"/>
                <w:sz w:val="18"/>
                <w:szCs w:val="18"/>
                <w:b w:val="1"/>
                <w:bCs w:val="1"/>
                <w:color w:val="auto"/>
                <w:w w:val="99"/>
              </w:rPr>
              <w:t>Action by Recordkeeper</w:t>
            </w:r>
          </w:p>
        </w:tc>
        <w:tc>
          <w:tcPr>
            <w:tcW w:w="2280" w:type="dxa"/>
            <w:vAlign w:val="bottom"/>
            <w:tcBorders>
              <w:top w:val="single" w:sz="8" w:color="auto"/>
              <w:right w:val="single" w:sz="8" w:color="auto"/>
            </w:tcBorders>
          </w:tcPr>
          <w:p>
            <w:pPr>
              <w:ind w:left="440"/>
              <w:spacing w:after="0"/>
              <w:rPr>
                <w:sz w:val="20"/>
                <w:szCs w:val="20"/>
                <w:color w:val="auto"/>
              </w:rPr>
            </w:pPr>
            <w:r>
              <w:rPr>
                <w:rFonts w:ascii="Arial" w:cs="Arial" w:eastAsia="Arial" w:hAnsi="Arial"/>
                <w:sz w:val="18"/>
                <w:szCs w:val="18"/>
                <w:b w:val="1"/>
                <w:bCs w:val="1"/>
                <w:color w:val="auto"/>
              </w:rPr>
              <w:t>Action by Insurer</w:t>
            </w:r>
          </w:p>
        </w:tc>
        <w:tc>
          <w:tcPr>
            <w:tcW w:w="0" w:type="dxa"/>
            <w:vAlign w:val="bottom"/>
          </w:tcPr>
          <w:p>
            <w:pPr>
              <w:spacing w:after="0"/>
              <w:rPr>
                <w:sz w:val="1"/>
                <w:szCs w:val="1"/>
                <w:color w:val="auto"/>
              </w:rPr>
            </w:pPr>
          </w:p>
        </w:tc>
      </w:tr>
      <w:tr>
        <w:trPr>
          <w:trHeight w:val="21"/>
        </w:trPr>
        <w:tc>
          <w:tcPr>
            <w:tcW w:w="40" w:type="dxa"/>
            <w:vAlign w:val="bottom"/>
            <w:tcBorders>
              <w:left w:val="single" w:sz="8" w:color="auto"/>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right w:val="single" w:sz="8" w:color="auto"/>
            </w:tcBorders>
          </w:tcPr>
          <w:p>
            <w:pPr>
              <w:spacing w:after="0" w:line="20" w:lineRule="exact"/>
              <w:rPr>
                <w:sz w:val="1"/>
                <w:szCs w:val="1"/>
                <w:color w:val="auto"/>
              </w:rPr>
            </w:pPr>
          </w:p>
        </w:tc>
        <w:tc>
          <w:tcPr>
            <w:tcW w:w="2280" w:type="dxa"/>
            <w:vAlign w:val="bottom"/>
            <w:tcBorders>
              <w:bottom w:val="single" w:sz="8" w:color="auto"/>
              <w:right w:val="single" w:sz="8" w:color="auto"/>
            </w:tcBorders>
          </w:tcPr>
          <w:p>
            <w:pPr>
              <w:spacing w:after="0" w:line="20" w:lineRule="exact"/>
              <w:rPr>
                <w:sz w:val="1"/>
                <w:szCs w:val="1"/>
                <w:color w:val="auto"/>
              </w:rPr>
            </w:pPr>
          </w:p>
        </w:tc>
        <w:tc>
          <w:tcPr>
            <w:tcW w:w="2300" w:type="dxa"/>
            <w:vAlign w:val="bottom"/>
            <w:tcBorders>
              <w:bottom w:val="single" w:sz="8" w:color="auto"/>
              <w:right w:val="single" w:sz="8" w:color="auto"/>
            </w:tcBorders>
          </w:tcPr>
          <w:p>
            <w:pPr>
              <w:spacing w:after="0" w:line="20" w:lineRule="exact"/>
              <w:rPr>
                <w:sz w:val="1"/>
                <w:szCs w:val="1"/>
                <w:color w:val="auto"/>
              </w:rPr>
            </w:pPr>
          </w:p>
        </w:tc>
        <w:tc>
          <w:tcPr>
            <w:tcW w:w="2260" w:type="dxa"/>
            <w:vAlign w:val="bottom"/>
            <w:tcBorders>
              <w:bottom w:val="single" w:sz="8" w:color="auto"/>
              <w:right w:val="single" w:sz="8" w:color="auto"/>
            </w:tcBorders>
          </w:tcPr>
          <w:p>
            <w:pPr>
              <w:spacing w:after="0" w:line="20" w:lineRule="exact"/>
              <w:rPr>
                <w:sz w:val="1"/>
                <w:szCs w:val="1"/>
                <w:color w:val="auto"/>
              </w:rPr>
            </w:pPr>
          </w:p>
        </w:tc>
        <w:tc>
          <w:tcPr>
            <w:tcW w:w="22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4"/>
        </w:trPr>
        <w:tc>
          <w:tcPr>
            <w:tcW w:w="2320" w:type="dxa"/>
            <w:vAlign w:val="bottom"/>
            <w:tcBorders>
              <w:left w:val="single" w:sz="8" w:color="auto"/>
              <w:right w:val="single" w:sz="8" w:color="auto"/>
            </w:tcBorders>
            <w:gridSpan w:val="10"/>
          </w:tcPr>
          <w:p>
            <w:pPr>
              <w:ind w:left="40"/>
              <w:spacing w:after="0"/>
              <w:rPr>
                <w:sz w:val="20"/>
                <w:szCs w:val="20"/>
                <w:color w:val="auto"/>
              </w:rPr>
            </w:pPr>
            <w:r>
              <w:rPr>
                <w:rFonts w:ascii="Arial" w:cs="Arial" w:eastAsia="Arial" w:hAnsi="Arial"/>
                <w:sz w:val="18"/>
                <w:szCs w:val="18"/>
                <w:b w:val="1"/>
                <w:bCs w:val="1"/>
                <w:color w:val="auto"/>
              </w:rPr>
              <w:t xml:space="preserve">Preliminary Information </w:t>
            </w:r>
            <w:r>
              <w:rPr>
                <w:rFonts w:ascii="Arial" w:cs="Arial" w:eastAsia="Arial" w:hAnsi="Arial"/>
                <w:sz w:val="18"/>
                <w:szCs w:val="18"/>
                <w:color w:val="auto"/>
              </w:rPr>
              <w:t>-</w:t>
            </w:r>
          </w:p>
        </w:tc>
        <w:tc>
          <w:tcPr>
            <w:tcW w:w="2280" w:type="dxa"/>
            <w:vAlign w:val="bottom"/>
            <w:tcBorders>
              <w:right w:val="single" w:sz="8" w:color="auto"/>
            </w:tcBorders>
          </w:tcPr>
          <w:p>
            <w:pPr>
              <w:spacing w:after="0"/>
              <w:rPr>
                <w:sz w:val="18"/>
                <w:szCs w:val="18"/>
                <w:color w:val="auto"/>
              </w:rPr>
            </w:pPr>
          </w:p>
        </w:tc>
        <w:tc>
          <w:tcPr>
            <w:tcW w:w="2300" w:type="dxa"/>
            <w:vAlign w:val="bottom"/>
            <w:tcBorders>
              <w:right w:val="single" w:sz="8" w:color="auto"/>
            </w:tcBorders>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c>
          <w:tcPr>
            <w:tcW w:w="2280" w:type="dxa"/>
            <w:vAlign w:val="bottom"/>
            <w:tcBorders>
              <w:right w:val="single" w:sz="8" w:color="auto"/>
            </w:tcBorders>
          </w:tcPr>
          <w:p>
            <w:pPr>
              <w:ind w:left="240"/>
              <w:spacing w:after="0"/>
              <w:rPr>
                <w:sz w:val="20"/>
                <w:szCs w:val="20"/>
                <w:color w:val="auto"/>
              </w:rPr>
            </w:pPr>
            <w:r>
              <w:rPr>
                <w:rFonts w:ascii="Arial" w:cs="Arial" w:eastAsia="Arial" w:hAnsi="Arial"/>
                <w:sz w:val="18"/>
                <w:szCs w:val="18"/>
                <w:color w:val="auto"/>
              </w:rPr>
              <w:t>ž Receive and reconcile</w:t>
            </w:r>
          </w:p>
        </w:tc>
        <w:tc>
          <w:tcPr>
            <w:tcW w:w="0" w:type="dxa"/>
            <w:vAlign w:val="bottom"/>
          </w:tcPr>
          <w:p>
            <w:pPr>
              <w:spacing w:after="0"/>
              <w:rPr>
                <w:sz w:val="1"/>
                <w:szCs w:val="1"/>
                <w:color w:val="auto"/>
              </w:rPr>
            </w:pPr>
          </w:p>
        </w:tc>
      </w:tr>
      <w:tr>
        <w:trPr>
          <w:trHeight w:val="213"/>
        </w:trPr>
        <w:tc>
          <w:tcPr>
            <w:tcW w:w="2320" w:type="dxa"/>
            <w:vAlign w:val="bottom"/>
            <w:tcBorders>
              <w:left w:val="single" w:sz="8" w:color="auto"/>
              <w:right w:val="single" w:sz="8" w:color="auto"/>
            </w:tcBorders>
            <w:gridSpan w:val="10"/>
          </w:tcPr>
          <w:p>
            <w:pPr>
              <w:ind w:left="40"/>
              <w:spacing w:after="0"/>
              <w:rPr>
                <w:sz w:val="20"/>
                <w:szCs w:val="20"/>
                <w:color w:val="auto"/>
              </w:rPr>
            </w:pPr>
            <w:r>
              <w:rPr>
                <w:rFonts w:ascii="Arial" w:cs="Arial" w:eastAsia="Arial" w:hAnsi="Arial"/>
                <w:sz w:val="18"/>
                <w:szCs w:val="18"/>
                <w:color w:val="auto"/>
                <w:w w:val="97"/>
              </w:rPr>
              <w:t>Preliminary Data Load File &amp;</w:t>
            </w:r>
          </w:p>
        </w:tc>
        <w:tc>
          <w:tcPr>
            <w:tcW w:w="2280" w:type="dxa"/>
            <w:vAlign w:val="bottom"/>
            <w:tcBorders>
              <w:right w:val="single" w:sz="8" w:color="auto"/>
            </w:tcBorders>
          </w:tcPr>
          <w:p>
            <w:pPr>
              <w:spacing w:after="0"/>
              <w:rPr>
                <w:sz w:val="18"/>
                <w:szCs w:val="18"/>
                <w:color w:val="auto"/>
              </w:rPr>
            </w:pPr>
          </w:p>
        </w:tc>
        <w:tc>
          <w:tcPr>
            <w:tcW w:w="2300" w:type="dxa"/>
            <w:vAlign w:val="bottom"/>
            <w:tcBorders>
              <w:right w:val="single" w:sz="8" w:color="auto"/>
            </w:tcBorders>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c>
          <w:tcPr>
            <w:tcW w:w="2280" w:type="dxa"/>
            <w:vAlign w:val="bottom"/>
            <w:tcBorders>
              <w:right w:val="single" w:sz="8" w:color="auto"/>
            </w:tcBorders>
          </w:tcPr>
          <w:p>
            <w:pPr>
              <w:ind w:left="240"/>
              <w:spacing w:after="0"/>
              <w:rPr>
                <w:sz w:val="20"/>
                <w:szCs w:val="20"/>
                <w:color w:val="auto"/>
              </w:rPr>
            </w:pPr>
            <w:r>
              <w:rPr>
                <w:rFonts w:ascii="Arial" w:cs="Arial" w:eastAsia="Arial" w:hAnsi="Arial"/>
                <w:sz w:val="18"/>
                <w:szCs w:val="18"/>
                <w:color w:val="auto"/>
              </w:rPr>
              <w:t>Preliminary Data Load</w:t>
            </w:r>
          </w:p>
        </w:tc>
        <w:tc>
          <w:tcPr>
            <w:tcW w:w="0" w:type="dxa"/>
            <w:vAlign w:val="bottom"/>
          </w:tcPr>
          <w:p>
            <w:pPr>
              <w:spacing w:after="0"/>
              <w:rPr>
                <w:sz w:val="1"/>
                <w:szCs w:val="1"/>
                <w:color w:val="auto"/>
              </w:rPr>
            </w:pPr>
          </w:p>
        </w:tc>
      </w:tr>
      <w:tr>
        <w:trPr>
          <w:trHeight w:val="213"/>
        </w:trPr>
        <w:tc>
          <w:tcPr>
            <w:tcW w:w="2320" w:type="dxa"/>
            <w:vAlign w:val="bottom"/>
            <w:tcBorders>
              <w:left w:val="single" w:sz="8" w:color="auto"/>
              <w:right w:val="single" w:sz="8" w:color="auto"/>
            </w:tcBorders>
            <w:gridSpan w:val="10"/>
          </w:tcPr>
          <w:p>
            <w:pPr>
              <w:ind w:left="40"/>
              <w:spacing w:after="0"/>
              <w:rPr>
                <w:sz w:val="20"/>
                <w:szCs w:val="20"/>
                <w:color w:val="auto"/>
              </w:rPr>
            </w:pPr>
            <w:r>
              <w:rPr>
                <w:rFonts w:ascii="Arial" w:cs="Arial" w:eastAsia="Arial" w:hAnsi="Arial"/>
                <w:sz w:val="18"/>
                <w:szCs w:val="18"/>
                <w:color w:val="auto"/>
              </w:rPr>
              <w:t>Check Register (data</w:t>
            </w:r>
          </w:p>
        </w:tc>
        <w:tc>
          <w:tcPr>
            <w:tcW w:w="2280" w:type="dxa"/>
            <w:vAlign w:val="bottom"/>
            <w:tcBorders>
              <w:right w:val="single" w:sz="8" w:color="auto"/>
            </w:tcBorders>
          </w:tcPr>
          <w:p>
            <w:pPr>
              <w:spacing w:after="0"/>
              <w:rPr>
                <w:sz w:val="18"/>
                <w:szCs w:val="18"/>
                <w:color w:val="auto"/>
              </w:rPr>
            </w:pPr>
          </w:p>
        </w:tc>
        <w:tc>
          <w:tcPr>
            <w:tcW w:w="2300" w:type="dxa"/>
            <w:vAlign w:val="bottom"/>
            <w:tcBorders>
              <w:right w:val="single" w:sz="8" w:color="auto"/>
            </w:tcBorders>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c>
          <w:tcPr>
            <w:tcW w:w="2280" w:type="dxa"/>
            <w:vAlign w:val="bottom"/>
            <w:tcBorders>
              <w:right w:val="single" w:sz="8" w:color="auto"/>
            </w:tcBorders>
          </w:tcPr>
          <w:p>
            <w:pPr>
              <w:ind w:left="240"/>
              <w:spacing w:after="0"/>
              <w:rPr>
                <w:sz w:val="20"/>
                <w:szCs w:val="20"/>
                <w:color w:val="auto"/>
              </w:rPr>
            </w:pPr>
            <w:r>
              <w:rPr>
                <w:rFonts w:ascii="Arial" w:cs="Arial" w:eastAsia="Arial" w:hAnsi="Arial"/>
                <w:sz w:val="18"/>
                <w:szCs w:val="18"/>
                <w:color w:val="auto"/>
              </w:rPr>
              <w:t>File to Priced Lives</w:t>
            </w:r>
          </w:p>
        </w:tc>
        <w:tc>
          <w:tcPr>
            <w:tcW w:w="0" w:type="dxa"/>
            <w:vAlign w:val="bottom"/>
          </w:tcPr>
          <w:p>
            <w:pPr>
              <w:spacing w:after="0"/>
              <w:rPr>
                <w:sz w:val="1"/>
                <w:szCs w:val="1"/>
                <w:color w:val="auto"/>
              </w:rPr>
            </w:pPr>
          </w:p>
        </w:tc>
      </w:tr>
      <w:tr>
        <w:trPr>
          <w:trHeight w:val="213"/>
        </w:trPr>
        <w:tc>
          <w:tcPr>
            <w:tcW w:w="2320" w:type="dxa"/>
            <w:vAlign w:val="bottom"/>
            <w:tcBorders>
              <w:left w:val="single" w:sz="8" w:color="auto"/>
              <w:right w:val="single" w:sz="8" w:color="auto"/>
            </w:tcBorders>
            <w:gridSpan w:val="10"/>
          </w:tcPr>
          <w:p>
            <w:pPr>
              <w:ind w:left="40"/>
              <w:spacing w:after="0"/>
              <w:rPr>
                <w:sz w:val="20"/>
                <w:szCs w:val="20"/>
                <w:color w:val="auto"/>
              </w:rPr>
            </w:pPr>
            <w:r>
              <w:rPr>
                <w:rFonts w:ascii="Arial" w:cs="Arial" w:eastAsia="Arial" w:hAnsi="Arial"/>
                <w:sz w:val="18"/>
                <w:szCs w:val="18"/>
                <w:color w:val="auto"/>
              </w:rPr>
              <w:t>supporting June 2012</w:t>
            </w:r>
          </w:p>
        </w:tc>
        <w:tc>
          <w:tcPr>
            <w:tcW w:w="2280" w:type="dxa"/>
            <w:vAlign w:val="bottom"/>
            <w:tcBorders>
              <w:right w:val="single" w:sz="8" w:color="auto"/>
            </w:tcBorders>
          </w:tcPr>
          <w:p>
            <w:pPr>
              <w:spacing w:after="0"/>
              <w:rPr>
                <w:sz w:val="18"/>
                <w:szCs w:val="18"/>
                <w:color w:val="auto"/>
              </w:rPr>
            </w:pPr>
          </w:p>
        </w:tc>
        <w:tc>
          <w:tcPr>
            <w:tcW w:w="23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Provide for delivery by</w:t>
            </w:r>
          </w:p>
        </w:tc>
        <w:tc>
          <w:tcPr>
            <w:tcW w:w="2260" w:type="dxa"/>
            <w:vAlign w:val="bottom"/>
            <w:tcBorders>
              <w:right w:val="single" w:sz="8" w:color="auto"/>
            </w:tcBorders>
          </w:tcPr>
          <w:p>
            <w:pPr>
              <w:spacing w:after="0"/>
              <w:rPr>
                <w:sz w:val="18"/>
                <w:szCs w:val="18"/>
                <w:color w:val="auto"/>
              </w:rPr>
            </w:pPr>
          </w:p>
        </w:tc>
        <w:tc>
          <w:tcPr>
            <w:tcW w:w="2280" w:type="dxa"/>
            <w:vAlign w:val="bottom"/>
            <w:tcBorders>
              <w:right w:val="single" w:sz="8" w:color="auto"/>
            </w:tcBorders>
          </w:tcPr>
          <w:p>
            <w:pPr>
              <w:ind w:left="240"/>
              <w:spacing w:after="0"/>
              <w:rPr>
                <w:sz w:val="20"/>
                <w:szCs w:val="20"/>
                <w:color w:val="auto"/>
              </w:rPr>
            </w:pPr>
            <w:r>
              <w:rPr>
                <w:rFonts w:ascii="Arial" w:cs="Arial" w:eastAsia="Arial" w:hAnsi="Arial"/>
                <w:sz w:val="18"/>
                <w:szCs w:val="18"/>
                <w:color w:val="auto"/>
              </w:rPr>
              <w:t>Exhibit</w:t>
            </w:r>
          </w:p>
        </w:tc>
        <w:tc>
          <w:tcPr>
            <w:tcW w:w="0" w:type="dxa"/>
            <w:vAlign w:val="bottom"/>
          </w:tcPr>
          <w:p>
            <w:pPr>
              <w:spacing w:after="0"/>
              <w:rPr>
                <w:sz w:val="1"/>
                <w:szCs w:val="1"/>
                <w:color w:val="auto"/>
              </w:rPr>
            </w:pPr>
          </w:p>
        </w:tc>
      </w:tr>
      <w:tr>
        <w:trPr>
          <w:trHeight w:val="192"/>
        </w:trPr>
        <w:tc>
          <w:tcPr>
            <w:tcW w:w="2320" w:type="dxa"/>
            <w:vAlign w:val="bottom"/>
            <w:tcBorders>
              <w:left w:val="single" w:sz="8" w:color="auto"/>
              <w:right w:val="single" w:sz="8" w:color="auto"/>
            </w:tcBorders>
            <w:gridSpan w:val="10"/>
          </w:tcPr>
          <w:p>
            <w:pPr>
              <w:ind w:left="40"/>
              <w:spacing w:after="0" w:line="192" w:lineRule="exact"/>
              <w:rPr>
                <w:sz w:val="20"/>
                <w:szCs w:val="20"/>
                <w:color w:val="auto"/>
              </w:rPr>
            </w:pPr>
            <w:r>
              <w:rPr>
                <w:rFonts w:ascii="Arial" w:cs="Arial" w:eastAsia="Arial" w:hAnsi="Arial"/>
                <w:sz w:val="18"/>
                <w:szCs w:val="18"/>
                <w:color w:val="auto"/>
              </w:rPr>
              <w:t>payments) (“Preliminary</w:t>
            </w:r>
          </w:p>
        </w:tc>
        <w:tc>
          <w:tcPr>
            <w:tcW w:w="2280" w:type="dxa"/>
            <w:vAlign w:val="bottom"/>
            <w:tcBorders>
              <w:right w:val="single" w:sz="8" w:color="auto"/>
            </w:tcBorders>
          </w:tcPr>
          <w:p>
            <w:pPr>
              <w:spacing w:after="0"/>
              <w:rPr>
                <w:sz w:val="16"/>
                <w:szCs w:val="16"/>
                <w:color w:val="auto"/>
              </w:rPr>
            </w:pPr>
          </w:p>
        </w:tc>
        <w:tc>
          <w:tcPr>
            <w:tcW w:w="2300" w:type="dxa"/>
            <w:vAlign w:val="bottom"/>
            <w:tcBorders>
              <w:right w:val="single" w:sz="8" w:color="auto"/>
            </w:tcBorders>
          </w:tcPr>
          <w:p>
            <w:pPr>
              <w:ind w:left="20"/>
              <w:spacing w:after="0" w:line="192" w:lineRule="exact"/>
              <w:rPr>
                <w:sz w:val="20"/>
                <w:szCs w:val="20"/>
                <w:color w:val="auto"/>
              </w:rPr>
            </w:pPr>
            <w:r>
              <w:rPr>
                <w:rFonts w:ascii="Arial" w:cs="Arial" w:eastAsia="Arial" w:hAnsi="Arial"/>
                <w:sz w:val="18"/>
                <w:szCs w:val="18"/>
                <w:color w:val="auto"/>
              </w:rPr>
              <w:t>Recordkeeper of</w:t>
            </w:r>
          </w:p>
        </w:tc>
        <w:tc>
          <w:tcPr>
            <w:tcW w:w="2260" w:type="dxa"/>
            <w:vAlign w:val="bottom"/>
            <w:tcBorders>
              <w:right w:val="single" w:sz="8" w:color="auto"/>
            </w:tcBorders>
          </w:tcPr>
          <w:p>
            <w:pPr>
              <w:spacing w:after="0" w:line="192" w:lineRule="exact"/>
              <w:rPr>
                <w:sz w:val="20"/>
                <w:szCs w:val="20"/>
                <w:color w:val="auto"/>
              </w:rPr>
            </w:pPr>
            <w:r>
              <w:rPr>
                <w:rFonts w:ascii="Arial" w:cs="Arial" w:eastAsia="Arial" w:hAnsi="Arial"/>
                <w:sz w:val="18"/>
                <w:szCs w:val="18"/>
                <w:color w:val="auto"/>
              </w:rPr>
              <w:t>Deliver Preliminary</w:t>
            </w:r>
          </w:p>
        </w:tc>
        <w:tc>
          <w:tcPr>
            <w:tcW w:w="2280" w:type="dxa"/>
            <w:vAlign w:val="bottom"/>
            <w:tcBorders>
              <w:right w:val="single" w:sz="8" w:color="auto"/>
            </w:tcBorders>
          </w:tcPr>
          <w:p>
            <w:pPr>
              <w:ind w:left="240"/>
              <w:spacing w:after="0" w:line="192" w:lineRule="exact"/>
              <w:rPr>
                <w:sz w:val="20"/>
                <w:szCs w:val="20"/>
                <w:color w:val="auto"/>
              </w:rPr>
            </w:pPr>
            <w:r>
              <w:rPr>
                <w:rFonts w:ascii="Arial" w:cs="Arial" w:eastAsia="Arial" w:hAnsi="Arial"/>
                <w:sz w:val="18"/>
                <w:szCs w:val="18"/>
                <w:color w:val="auto"/>
              </w:rPr>
              <w:t>ž Begin data cleanse on</w:t>
            </w: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2280" w:type="dxa"/>
            <w:vAlign w:val="bottom"/>
            <w:tcBorders>
              <w:right w:val="single" w:sz="8" w:color="auto"/>
            </w:tcBorders>
          </w:tcPr>
          <w:p>
            <w:pPr>
              <w:spacing w:after="0" w:line="20" w:lineRule="exact"/>
              <w:rPr>
                <w:sz w:val="1"/>
                <w:szCs w:val="1"/>
                <w:color w:val="auto"/>
              </w:rPr>
            </w:pPr>
          </w:p>
        </w:tc>
        <w:tc>
          <w:tcPr>
            <w:tcW w:w="2300" w:type="dxa"/>
            <w:vAlign w:val="bottom"/>
            <w:tcBorders>
              <w:right w:val="single" w:sz="8" w:color="auto"/>
            </w:tcBorders>
          </w:tcPr>
          <w:p>
            <w:pPr>
              <w:spacing w:after="0" w:line="20" w:lineRule="exact"/>
              <w:rPr>
                <w:sz w:val="1"/>
                <w:szCs w:val="1"/>
                <w:color w:val="auto"/>
              </w:rPr>
            </w:pPr>
          </w:p>
        </w:tc>
        <w:tc>
          <w:tcPr>
            <w:tcW w:w="2260" w:type="dxa"/>
            <w:vAlign w:val="bottom"/>
            <w:tcBorders>
              <w:right w:val="single" w:sz="8" w:color="auto"/>
            </w:tcBorders>
          </w:tcPr>
          <w:p>
            <w:pPr>
              <w:spacing w:after="0" w:line="20" w:lineRule="exact"/>
              <w:rPr>
                <w:sz w:val="1"/>
                <w:szCs w:val="1"/>
                <w:color w:val="auto"/>
              </w:rPr>
            </w:pPr>
          </w:p>
        </w:tc>
        <w:tc>
          <w:tcPr>
            <w:tcW w:w="22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320" w:type="dxa"/>
            <w:vAlign w:val="bottom"/>
            <w:tcBorders>
              <w:left w:val="single" w:sz="8" w:color="auto"/>
              <w:right w:val="single" w:sz="8" w:color="auto"/>
            </w:tcBorders>
            <w:gridSpan w:val="10"/>
          </w:tcPr>
          <w:p>
            <w:pPr>
              <w:ind w:left="40"/>
              <w:spacing w:after="0" w:line="193" w:lineRule="exact"/>
              <w:rPr>
                <w:sz w:val="20"/>
                <w:szCs w:val="20"/>
                <w:color w:val="auto"/>
              </w:rPr>
            </w:pPr>
            <w:r>
              <w:rPr>
                <w:rFonts w:ascii="Arial" w:cs="Arial" w:eastAsia="Arial" w:hAnsi="Arial"/>
                <w:sz w:val="18"/>
                <w:szCs w:val="18"/>
                <w:color w:val="auto"/>
              </w:rPr>
              <w:t>Information”)</w:t>
            </w:r>
          </w:p>
        </w:tc>
        <w:tc>
          <w:tcPr>
            <w:tcW w:w="2280" w:type="dxa"/>
            <w:vAlign w:val="bottom"/>
            <w:tcBorders>
              <w:right w:val="single" w:sz="8" w:color="auto"/>
            </w:tcBorders>
          </w:tcPr>
          <w:p>
            <w:pPr>
              <w:spacing w:after="0" w:line="193" w:lineRule="exact"/>
              <w:rPr>
                <w:sz w:val="20"/>
                <w:szCs w:val="20"/>
                <w:color w:val="auto"/>
              </w:rPr>
            </w:pPr>
            <w:r>
              <w:rPr>
                <w:rFonts w:ascii="Arial" w:cs="Arial" w:eastAsia="Arial" w:hAnsi="Arial"/>
                <w:sz w:val="18"/>
                <w:szCs w:val="18"/>
                <w:color w:val="auto"/>
              </w:rPr>
              <w:t>June 19, 2012</w:t>
            </w:r>
          </w:p>
        </w:tc>
        <w:tc>
          <w:tcPr>
            <w:tcW w:w="2300" w:type="dxa"/>
            <w:vAlign w:val="bottom"/>
            <w:tcBorders>
              <w:right w:val="single" w:sz="8" w:color="auto"/>
            </w:tcBorders>
          </w:tcPr>
          <w:p>
            <w:pPr>
              <w:ind w:left="20"/>
              <w:spacing w:after="0" w:line="193" w:lineRule="exact"/>
              <w:rPr>
                <w:sz w:val="20"/>
                <w:szCs w:val="20"/>
                <w:color w:val="auto"/>
              </w:rPr>
            </w:pPr>
            <w:r>
              <w:rPr>
                <w:rFonts w:ascii="Arial" w:cs="Arial" w:eastAsia="Arial" w:hAnsi="Arial"/>
                <w:sz w:val="18"/>
                <w:szCs w:val="18"/>
                <w:color w:val="auto"/>
              </w:rPr>
              <w:t>Preliminary Information</w:t>
            </w:r>
          </w:p>
        </w:tc>
        <w:tc>
          <w:tcPr>
            <w:tcW w:w="2260" w:type="dxa"/>
            <w:vAlign w:val="bottom"/>
            <w:tcBorders>
              <w:right w:val="single" w:sz="8" w:color="auto"/>
            </w:tcBorders>
          </w:tcPr>
          <w:p>
            <w:pPr>
              <w:spacing w:after="0" w:line="193" w:lineRule="exact"/>
              <w:rPr>
                <w:sz w:val="20"/>
                <w:szCs w:val="20"/>
                <w:color w:val="auto"/>
              </w:rPr>
            </w:pPr>
            <w:r>
              <w:rPr>
                <w:rFonts w:ascii="Arial" w:cs="Arial" w:eastAsia="Arial" w:hAnsi="Arial"/>
                <w:sz w:val="18"/>
                <w:szCs w:val="18"/>
                <w:color w:val="auto"/>
              </w:rPr>
              <w:t>Information</w:t>
            </w:r>
          </w:p>
        </w:tc>
        <w:tc>
          <w:tcPr>
            <w:tcW w:w="2280" w:type="dxa"/>
            <w:vAlign w:val="bottom"/>
            <w:tcBorders>
              <w:right w:val="single" w:sz="8" w:color="auto"/>
            </w:tcBorders>
          </w:tcPr>
          <w:p>
            <w:pPr>
              <w:ind w:left="240"/>
              <w:spacing w:after="0" w:line="193" w:lineRule="exact"/>
              <w:rPr>
                <w:sz w:val="20"/>
                <w:szCs w:val="20"/>
                <w:color w:val="auto"/>
              </w:rPr>
            </w:pPr>
            <w:r>
              <w:rPr>
                <w:rFonts w:ascii="Arial" w:cs="Arial" w:eastAsia="Arial" w:hAnsi="Arial"/>
                <w:sz w:val="18"/>
                <w:szCs w:val="18"/>
                <w:color w:val="auto"/>
              </w:rPr>
              <w:t>Non-Solicited Lives</w:t>
            </w:r>
          </w:p>
        </w:tc>
        <w:tc>
          <w:tcPr>
            <w:tcW w:w="0" w:type="dxa"/>
            <w:vAlign w:val="bottom"/>
          </w:tcPr>
          <w:p>
            <w:pPr>
              <w:spacing w:after="0"/>
              <w:rPr>
                <w:sz w:val="1"/>
                <w:szCs w:val="1"/>
                <w:color w:val="auto"/>
              </w:rPr>
            </w:pPr>
          </w:p>
        </w:tc>
      </w:tr>
      <w:tr>
        <w:trPr>
          <w:trHeight w:val="43"/>
        </w:trPr>
        <w:tc>
          <w:tcPr>
            <w:tcW w:w="40" w:type="dxa"/>
            <w:vAlign w:val="bottom"/>
            <w:tcBorders>
              <w:left w:val="single" w:sz="8" w:color="auto"/>
              <w:bottom w:val="single" w:sz="8" w:color="auto"/>
            </w:tcBorders>
          </w:tcPr>
          <w:p>
            <w:pPr>
              <w:spacing w:after="0"/>
              <w:rPr>
                <w:sz w:val="3"/>
                <w:szCs w:val="3"/>
                <w:color w:val="auto"/>
              </w:rPr>
            </w:pPr>
          </w:p>
        </w:tc>
        <w:tc>
          <w:tcPr>
            <w:tcW w:w="520" w:type="dxa"/>
            <w:vAlign w:val="bottom"/>
            <w:tcBorders>
              <w:top w:val="single" w:sz="8" w:color="auto"/>
              <w:bottom w:val="single" w:sz="8" w:color="auto"/>
            </w:tcBorders>
          </w:tcPr>
          <w:p>
            <w:pPr>
              <w:spacing w:after="0"/>
              <w:rPr>
                <w:sz w:val="3"/>
                <w:szCs w:val="3"/>
                <w:color w:val="auto"/>
              </w:rPr>
            </w:pPr>
          </w:p>
        </w:tc>
        <w:tc>
          <w:tcPr>
            <w:tcW w:w="200" w:type="dxa"/>
            <w:vAlign w:val="bottom"/>
            <w:tcBorders>
              <w:top w:val="single" w:sz="8" w:color="auto"/>
              <w:bottom w:val="single" w:sz="8" w:color="auto"/>
            </w:tcBorders>
          </w:tcPr>
          <w:p>
            <w:pPr>
              <w:spacing w:after="0"/>
              <w:rPr>
                <w:sz w:val="3"/>
                <w:szCs w:val="3"/>
                <w:color w:val="auto"/>
              </w:rPr>
            </w:pPr>
          </w:p>
        </w:tc>
        <w:tc>
          <w:tcPr>
            <w:tcW w:w="160" w:type="dxa"/>
            <w:vAlign w:val="bottom"/>
            <w:tcBorders>
              <w:top w:val="single" w:sz="8" w:color="auto"/>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40" w:type="dxa"/>
            <w:vAlign w:val="bottom"/>
            <w:tcBorders>
              <w:bottom w:val="single" w:sz="8" w:color="auto"/>
              <w:right w:val="single" w:sz="8" w:color="auto"/>
            </w:tcBorders>
          </w:tcPr>
          <w:p>
            <w:pPr>
              <w:spacing w:after="0"/>
              <w:rPr>
                <w:sz w:val="3"/>
                <w:szCs w:val="3"/>
                <w:color w:val="auto"/>
              </w:rPr>
            </w:pPr>
          </w:p>
        </w:tc>
        <w:tc>
          <w:tcPr>
            <w:tcW w:w="2280" w:type="dxa"/>
            <w:vAlign w:val="bottom"/>
            <w:tcBorders>
              <w:bottom w:val="single" w:sz="8" w:color="auto"/>
              <w:right w:val="single" w:sz="8" w:color="auto"/>
            </w:tcBorders>
          </w:tcPr>
          <w:p>
            <w:pPr>
              <w:spacing w:after="0"/>
              <w:rPr>
                <w:sz w:val="3"/>
                <w:szCs w:val="3"/>
                <w:color w:val="auto"/>
              </w:rPr>
            </w:pPr>
          </w:p>
        </w:tc>
        <w:tc>
          <w:tcPr>
            <w:tcW w:w="2300" w:type="dxa"/>
            <w:vAlign w:val="bottom"/>
            <w:tcBorders>
              <w:bottom w:val="single" w:sz="8" w:color="auto"/>
              <w:right w:val="single" w:sz="8" w:color="auto"/>
            </w:tcBorders>
          </w:tcPr>
          <w:p>
            <w:pPr>
              <w:spacing w:after="0"/>
              <w:rPr>
                <w:sz w:val="3"/>
                <w:szCs w:val="3"/>
                <w:color w:val="auto"/>
              </w:rPr>
            </w:pPr>
          </w:p>
        </w:tc>
        <w:tc>
          <w:tcPr>
            <w:tcW w:w="2260" w:type="dxa"/>
            <w:vAlign w:val="bottom"/>
            <w:tcBorders>
              <w:bottom w:val="single" w:sz="8" w:color="auto"/>
              <w:right w:val="single" w:sz="8" w:color="auto"/>
            </w:tcBorders>
          </w:tcPr>
          <w:p>
            <w:pPr>
              <w:spacing w:after="0"/>
              <w:rPr>
                <w:sz w:val="3"/>
                <w:szCs w:val="3"/>
                <w:color w:val="auto"/>
              </w:rPr>
            </w:pPr>
          </w:p>
        </w:tc>
        <w:tc>
          <w:tcPr>
            <w:tcW w:w="22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4"/>
        </w:trPr>
        <w:tc>
          <w:tcPr>
            <w:tcW w:w="2320" w:type="dxa"/>
            <w:vAlign w:val="bottom"/>
            <w:tcBorders>
              <w:left w:val="single" w:sz="8" w:color="auto"/>
              <w:right w:val="single" w:sz="8" w:color="auto"/>
            </w:tcBorders>
            <w:gridSpan w:val="10"/>
          </w:tcPr>
          <w:p>
            <w:pPr>
              <w:ind w:left="40"/>
              <w:spacing w:after="0"/>
              <w:rPr>
                <w:sz w:val="20"/>
                <w:szCs w:val="20"/>
                <w:color w:val="auto"/>
              </w:rPr>
            </w:pPr>
            <w:r>
              <w:rPr>
                <w:rFonts w:ascii="Arial" w:cs="Arial" w:eastAsia="Arial" w:hAnsi="Arial"/>
                <w:sz w:val="18"/>
                <w:szCs w:val="18"/>
                <w:b w:val="1"/>
                <w:bCs w:val="1"/>
                <w:color w:val="auto"/>
              </w:rPr>
              <w:t xml:space="preserve">Information Update </w:t>
            </w:r>
            <w:r>
              <w:rPr>
                <w:rFonts w:ascii="Arial" w:cs="Arial" w:eastAsia="Arial" w:hAnsi="Arial"/>
                <w:sz w:val="18"/>
                <w:szCs w:val="18"/>
                <w:color w:val="auto"/>
              </w:rPr>
              <w:t>-</w:t>
            </w:r>
          </w:p>
        </w:tc>
        <w:tc>
          <w:tcPr>
            <w:tcW w:w="2280" w:type="dxa"/>
            <w:vAlign w:val="bottom"/>
            <w:tcBorders>
              <w:right w:val="single" w:sz="8" w:color="auto"/>
            </w:tcBorders>
          </w:tcPr>
          <w:p>
            <w:pPr>
              <w:spacing w:after="0"/>
              <w:rPr>
                <w:sz w:val="18"/>
                <w:szCs w:val="18"/>
                <w:color w:val="auto"/>
              </w:rPr>
            </w:pPr>
          </w:p>
        </w:tc>
        <w:tc>
          <w:tcPr>
            <w:tcW w:w="2300" w:type="dxa"/>
            <w:vAlign w:val="bottom"/>
            <w:tcBorders>
              <w:right w:val="single" w:sz="8" w:color="auto"/>
            </w:tcBorders>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320" w:type="dxa"/>
            <w:vAlign w:val="bottom"/>
            <w:tcBorders>
              <w:left w:val="single" w:sz="8" w:color="auto"/>
              <w:right w:val="single" w:sz="8" w:color="auto"/>
            </w:tcBorders>
            <w:gridSpan w:val="10"/>
          </w:tcPr>
          <w:p>
            <w:pPr>
              <w:ind w:left="40"/>
              <w:spacing w:after="0"/>
              <w:rPr>
                <w:sz w:val="20"/>
                <w:szCs w:val="20"/>
                <w:color w:val="auto"/>
              </w:rPr>
            </w:pPr>
            <w:r>
              <w:rPr>
                <w:rFonts w:ascii="Arial" w:cs="Arial" w:eastAsia="Arial" w:hAnsi="Arial"/>
                <w:sz w:val="18"/>
                <w:szCs w:val="18"/>
                <w:color w:val="auto"/>
              </w:rPr>
              <w:t>Updated Data Load File &amp;</w:t>
            </w:r>
          </w:p>
        </w:tc>
        <w:tc>
          <w:tcPr>
            <w:tcW w:w="2280" w:type="dxa"/>
            <w:vAlign w:val="bottom"/>
            <w:tcBorders>
              <w:right w:val="single" w:sz="8" w:color="auto"/>
            </w:tcBorders>
          </w:tcPr>
          <w:p>
            <w:pPr>
              <w:spacing w:after="0"/>
              <w:rPr>
                <w:sz w:val="18"/>
                <w:szCs w:val="18"/>
                <w:color w:val="auto"/>
              </w:rPr>
            </w:pPr>
          </w:p>
        </w:tc>
        <w:tc>
          <w:tcPr>
            <w:tcW w:w="2300" w:type="dxa"/>
            <w:vAlign w:val="bottom"/>
            <w:tcBorders>
              <w:right w:val="single" w:sz="8" w:color="auto"/>
            </w:tcBorders>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320" w:type="dxa"/>
            <w:vAlign w:val="bottom"/>
            <w:tcBorders>
              <w:left w:val="single" w:sz="8" w:color="auto"/>
              <w:right w:val="single" w:sz="8" w:color="auto"/>
            </w:tcBorders>
            <w:gridSpan w:val="10"/>
          </w:tcPr>
          <w:p>
            <w:pPr>
              <w:ind w:left="40"/>
              <w:spacing w:after="0"/>
              <w:rPr>
                <w:sz w:val="20"/>
                <w:szCs w:val="20"/>
                <w:color w:val="auto"/>
              </w:rPr>
            </w:pPr>
            <w:r>
              <w:rPr>
                <w:rFonts w:ascii="Arial" w:cs="Arial" w:eastAsia="Arial" w:hAnsi="Arial"/>
                <w:sz w:val="18"/>
                <w:szCs w:val="18"/>
                <w:color w:val="auto"/>
              </w:rPr>
              <w:t>Check Register (data</w:t>
            </w:r>
          </w:p>
        </w:tc>
        <w:tc>
          <w:tcPr>
            <w:tcW w:w="2280" w:type="dxa"/>
            <w:vAlign w:val="bottom"/>
            <w:tcBorders>
              <w:right w:val="single" w:sz="8" w:color="auto"/>
            </w:tcBorders>
          </w:tcPr>
          <w:p>
            <w:pPr>
              <w:spacing w:after="0"/>
              <w:rPr>
                <w:sz w:val="18"/>
                <w:szCs w:val="18"/>
                <w:color w:val="auto"/>
              </w:rPr>
            </w:pPr>
          </w:p>
        </w:tc>
        <w:tc>
          <w:tcPr>
            <w:tcW w:w="2300" w:type="dxa"/>
            <w:vAlign w:val="bottom"/>
            <w:tcBorders>
              <w:right w:val="single" w:sz="8" w:color="auto"/>
            </w:tcBorders>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320" w:type="dxa"/>
            <w:vAlign w:val="bottom"/>
            <w:tcBorders>
              <w:left w:val="single" w:sz="8" w:color="auto"/>
              <w:right w:val="single" w:sz="8" w:color="auto"/>
            </w:tcBorders>
            <w:gridSpan w:val="10"/>
          </w:tcPr>
          <w:p>
            <w:pPr>
              <w:ind w:left="40"/>
              <w:spacing w:after="0"/>
              <w:rPr>
                <w:sz w:val="20"/>
                <w:szCs w:val="20"/>
                <w:color w:val="auto"/>
              </w:rPr>
            </w:pPr>
            <w:r>
              <w:rPr>
                <w:rFonts w:ascii="Arial" w:cs="Arial" w:eastAsia="Arial" w:hAnsi="Arial"/>
                <w:sz w:val="18"/>
                <w:szCs w:val="18"/>
                <w:color w:val="auto"/>
              </w:rPr>
              <w:t>supporting October 2012</w:t>
            </w:r>
          </w:p>
        </w:tc>
        <w:tc>
          <w:tcPr>
            <w:tcW w:w="2280" w:type="dxa"/>
            <w:vAlign w:val="bottom"/>
            <w:tcBorders>
              <w:right w:val="single" w:sz="8" w:color="auto"/>
            </w:tcBorders>
          </w:tcPr>
          <w:p>
            <w:pPr>
              <w:spacing w:after="0"/>
              <w:rPr>
                <w:sz w:val="18"/>
                <w:szCs w:val="18"/>
                <w:color w:val="auto"/>
              </w:rPr>
            </w:pPr>
          </w:p>
        </w:tc>
        <w:tc>
          <w:tcPr>
            <w:tcW w:w="2300" w:type="dxa"/>
            <w:vAlign w:val="bottom"/>
            <w:tcBorders>
              <w:right w:val="single" w:sz="8" w:color="auto"/>
            </w:tcBorders>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320" w:type="dxa"/>
            <w:vAlign w:val="bottom"/>
            <w:tcBorders>
              <w:left w:val="single" w:sz="8" w:color="auto"/>
              <w:right w:val="single" w:sz="8" w:color="auto"/>
            </w:tcBorders>
            <w:gridSpan w:val="10"/>
          </w:tcPr>
          <w:p>
            <w:pPr>
              <w:ind w:left="40"/>
              <w:spacing w:after="0"/>
              <w:rPr>
                <w:sz w:val="20"/>
                <w:szCs w:val="20"/>
                <w:color w:val="auto"/>
              </w:rPr>
            </w:pPr>
            <w:r>
              <w:rPr>
                <w:rFonts w:ascii="Arial" w:cs="Arial" w:eastAsia="Arial" w:hAnsi="Arial"/>
                <w:sz w:val="18"/>
                <w:szCs w:val="18"/>
                <w:color w:val="auto"/>
              </w:rPr>
              <w:t>payments) and report of</w:t>
            </w:r>
          </w:p>
        </w:tc>
        <w:tc>
          <w:tcPr>
            <w:tcW w:w="2280" w:type="dxa"/>
            <w:vAlign w:val="bottom"/>
            <w:tcBorders>
              <w:right w:val="single" w:sz="8" w:color="auto"/>
            </w:tcBorders>
          </w:tcPr>
          <w:p>
            <w:pPr>
              <w:spacing w:after="0"/>
              <w:rPr>
                <w:sz w:val="18"/>
                <w:szCs w:val="18"/>
                <w:color w:val="auto"/>
              </w:rPr>
            </w:pPr>
          </w:p>
        </w:tc>
        <w:tc>
          <w:tcPr>
            <w:tcW w:w="2300" w:type="dxa"/>
            <w:vAlign w:val="bottom"/>
            <w:tcBorders>
              <w:right w:val="single" w:sz="8" w:color="auto"/>
            </w:tcBorders>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c>
          <w:tcPr>
            <w:tcW w:w="2280" w:type="dxa"/>
            <w:vAlign w:val="bottom"/>
            <w:tcBorders>
              <w:right w:val="single" w:sz="8" w:color="auto"/>
            </w:tcBorders>
            <w:vMerge w:val="restart"/>
          </w:tcPr>
          <w:p>
            <w:pPr>
              <w:ind w:left="240"/>
              <w:spacing w:after="0"/>
              <w:rPr>
                <w:sz w:val="20"/>
                <w:szCs w:val="20"/>
                <w:color w:val="auto"/>
              </w:rPr>
            </w:pPr>
            <w:r>
              <w:rPr>
                <w:rFonts w:ascii="Arial" w:cs="Arial" w:eastAsia="Arial" w:hAnsi="Arial"/>
                <w:sz w:val="18"/>
                <w:szCs w:val="18"/>
                <w:color w:val="auto"/>
              </w:rPr>
              <w:t>ž Receive and continue</w:t>
            </w:r>
          </w:p>
        </w:tc>
        <w:tc>
          <w:tcPr>
            <w:tcW w:w="0" w:type="dxa"/>
            <w:vAlign w:val="bottom"/>
          </w:tcPr>
          <w:p>
            <w:pPr>
              <w:spacing w:after="0"/>
              <w:rPr>
                <w:sz w:val="1"/>
                <w:szCs w:val="1"/>
                <w:color w:val="auto"/>
              </w:rPr>
            </w:pPr>
          </w:p>
        </w:tc>
      </w:tr>
      <w:tr>
        <w:trPr>
          <w:trHeight w:val="200"/>
        </w:trPr>
        <w:tc>
          <w:tcPr>
            <w:tcW w:w="2320" w:type="dxa"/>
            <w:vAlign w:val="bottom"/>
            <w:tcBorders>
              <w:left w:val="single" w:sz="8" w:color="auto"/>
              <w:right w:val="single" w:sz="8" w:color="auto"/>
            </w:tcBorders>
            <w:gridSpan w:val="10"/>
          </w:tcPr>
          <w:p>
            <w:pPr>
              <w:ind w:left="40"/>
              <w:spacing w:after="0" w:line="201" w:lineRule="exact"/>
              <w:rPr>
                <w:sz w:val="20"/>
                <w:szCs w:val="20"/>
                <w:color w:val="auto"/>
              </w:rPr>
            </w:pPr>
            <w:r>
              <w:rPr>
                <w:rFonts w:ascii="Arial" w:cs="Arial" w:eastAsia="Arial" w:hAnsi="Arial"/>
                <w:sz w:val="18"/>
                <w:szCs w:val="18"/>
                <w:color w:val="auto"/>
              </w:rPr>
              <w:t>changes since Preliminary</w:t>
            </w:r>
          </w:p>
        </w:tc>
        <w:tc>
          <w:tcPr>
            <w:tcW w:w="2280" w:type="dxa"/>
            <w:vAlign w:val="bottom"/>
            <w:tcBorders>
              <w:right w:val="single" w:sz="8" w:color="auto"/>
            </w:tcBorders>
          </w:tcPr>
          <w:p>
            <w:pPr>
              <w:spacing w:after="0"/>
              <w:rPr>
                <w:sz w:val="17"/>
                <w:szCs w:val="17"/>
                <w:color w:val="auto"/>
              </w:rPr>
            </w:pPr>
          </w:p>
        </w:tc>
        <w:tc>
          <w:tcPr>
            <w:tcW w:w="2300" w:type="dxa"/>
            <w:vAlign w:val="bottom"/>
            <w:tcBorders>
              <w:right w:val="single" w:sz="8" w:color="auto"/>
            </w:tcBorders>
          </w:tcPr>
          <w:p>
            <w:pPr>
              <w:spacing w:after="0"/>
              <w:rPr>
                <w:sz w:val="17"/>
                <w:szCs w:val="17"/>
                <w:color w:val="auto"/>
              </w:rPr>
            </w:pPr>
          </w:p>
        </w:tc>
        <w:tc>
          <w:tcPr>
            <w:tcW w:w="2260" w:type="dxa"/>
            <w:vAlign w:val="bottom"/>
            <w:tcBorders>
              <w:right w:val="single" w:sz="8" w:color="auto"/>
            </w:tcBorders>
          </w:tcPr>
          <w:p>
            <w:pPr>
              <w:spacing w:after="0"/>
              <w:rPr>
                <w:sz w:val="17"/>
                <w:szCs w:val="17"/>
                <w:color w:val="auto"/>
              </w:rPr>
            </w:pPr>
          </w:p>
        </w:tc>
        <w:tc>
          <w:tcPr>
            <w:tcW w:w="228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320" w:type="dxa"/>
            <w:vAlign w:val="bottom"/>
            <w:tcBorders>
              <w:left w:val="single" w:sz="8" w:color="auto"/>
              <w:right w:val="single" w:sz="8" w:color="auto"/>
            </w:tcBorders>
            <w:gridSpan w:val="10"/>
          </w:tcPr>
          <w:p>
            <w:pPr>
              <w:ind w:left="40"/>
              <w:spacing w:after="0" w:line="205" w:lineRule="exact"/>
              <w:rPr>
                <w:sz w:val="20"/>
                <w:szCs w:val="20"/>
                <w:color w:val="auto"/>
              </w:rPr>
            </w:pPr>
            <w:r>
              <w:rPr>
                <w:rFonts w:ascii="Arial" w:cs="Arial" w:eastAsia="Arial" w:hAnsi="Arial"/>
                <w:sz w:val="18"/>
                <w:szCs w:val="18"/>
                <w:color w:val="auto"/>
              </w:rPr>
              <w:t>Information (“Information</w:t>
            </w:r>
          </w:p>
        </w:tc>
        <w:tc>
          <w:tcPr>
            <w:tcW w:w="2280" w:type="dxa"/>
            <w:vAlign w:val="bottom"/>
            <w:tcBorders>
              <w:right w:val="single" w:sz="8" w:color="auto"/>
            </w:tcBorders>
          </w:tcPr>
          <w:p>
            <w:pPr>
              <w:spacing w:after="0"/>
              <w:rPr>
                <w:sz w:val="17"/>
                <w:szCs w:val="17"/>
                <w:color w:val="auto"/>
              </w:rPr>
            </w:pPr>
          </w:p>
        </w:tc>
        <w:tc>
          <w:tcPr>
            <w:tcW w:w="2300" w:type="dxa"/>
            <w:vAlign w:val="bottom"/>
            <w:tcBorders>
              <w:right w:val="single" w:sz="8" w:color="auto"/>
            </w:tcBorders>
          </w:tcPr>
          <w:p>
            <w:pPr>
              <w:spacing w:after="0"/>
              <w:rPr>
                <w:sz w:val="17"/>
                <w:szCs w:val="17"/>
                <w:color w:val="auto"/>
              </w:rPr>
            </w:pPr>
          </w:p>
        </w:tc>
        <w:tc>
          <w:tcPr>
            <w:tcW w:w="2260" w:type="dxa"/>
            <w:vAlign w:val="bottom"/>
            <w:tcBorders>
              <w:right w:val="single" w:sz="8" w:color="auto"/>
            </w:tcBorders>
          </w:tcPr>
          <w:p>
            <w:pPr>
              <w:spacing w:after="0"/>
              <w:rPr>
                <w:sz w:val="17"/>
                <w:szCs w:val="17"/>
                <w:color w:val="auto"/>
              </w:rPr>
            </w:pPr>
          </w:p>
        </w:tc>
        <w:tc>
          <w:tcPr>
            <w:tcW w:w="2280" w:type="dxa"/>
            <w:vAlign w:val="bottom"/>
            <w:tcBorders>
              <w:right w:val="single" w:sz="8" w:color="auto"/>
            </w:tcBorders>
          </w:tcPr>
          <w:p>
            <w:pPr>
              <w:ind w:left="240"/>
              <w:spacing w:after="0" w:line="205" w:lineRule="exact"/>
              <w:rPr>
                <w:sz w:val="20"/>
                <w:szCs w:val="20"/>
                <w:color w:val="auto"/>
              </w:rPr>
            </w:pPr>
            <w:r>
              <w:rPr>
                <w:rFonts w:ascii="Arial" w:cs="Arial" w:eastAsia="Arial" w:hAnsi="Arial"/>
                <w:sz w:val="18"/>
                <w:szCs w:val="18"/>
                <w:color w:val="auto"/>
              </w:rPr>
              <w:t>data cleanse on Non-</w:t>
            </w:r>
          </w:p>
        </w:tc>
        <w:tc>
          <w:tcPr>
            <w:tcW w:w="0" w:type="dxa"/>
            <w:vAlign w:val="bottom"/>
          </w:tcPr>
          <w:p>
            <w:pPr>
              <w:spacing w:after="0"/>
              <w:rPr>
                <w:sz w:val="1"/>
                <w:szCs w:val="1"/>
                <w:color w:val="auto"/>
              </w:rPr>
            </w:pPr>
          </w:p>
        </w:tc>
      </w:tr>
      <w:tr>
        <w:trPr>
          <w:trHeight w:val="193"/>
        </w:trPr>
        <w:tc>
          <w:tcPr>
            <w:tcW w:w="1100" w:type="dxa"/>
            <w:vAlign w:val="bottom"/>
            <w:tcBorders>
              <w:left w:val="single" w:sz="8" w:color="auto"/>
            </w:tcBorders>
            <w:gridSpan w:val="6"/>
          </w:tcPr>
          <w:p>
            <w:pPr>
              <w:ind w:left="40"/>
              <w:spacing w:after="0" w:line="193" w:lineRule="exact"/>
              <w:rPr>
                <w:sz w:val="20"/>
                <w:szCs w:val="20"/>
                <w:color w:val="auto"/>
              </w:rPr>
            </w:pPr>
            <w:r>
              <w:rPr>
                <w:rFonts w:ascii="Arial" w:cs="Arial" w:eastAsia="Arial" w:hAnsi="Arial"/>
                <w:sz w:val="18"/>
                <w:szCs w:val="18"/>
                <w:color w:val="auto"/>
              </w:rPr>
              <w:t>Update”)</w:t>
            </w:r>
          </w:p>
        </w:tc>
        <w:tc>
          <w:tcPr>
            <w:tcW w:w="880" w:type="dxa"/>
            <w:vAlign w:val="bottom"/>
            <w:tcBorders>
              <w:top w:val="single" w:sz="8" w:color="auto"/>
            </w:tcBorders>
            <w:gridSpan w:val="3"/>
          </w:tcPr>
          <w:p>
            <w:pPr>
              <w:spacing w:after="0"/>
              <w:rPr>
                <w:sz w:val="16"/>
                <w:szCs w:val="16"/>
                <w:color w:val="auto"/>
              </w:rPr>
            </w:pPr>
          </w:p>
        </w:tc>
        <w:tc>
          <w:tcPr>
            <w:tcW w:w="340" w:type="dxa"/>
            <w:vAlign w:val="bottom"/>
            <w:tcBorders>
              <w:right w:val="single" w:sz="8" w:color="auto"/>
            </w:tcBorders>
          </w:tcPr>
          <w:p>
            <w:pPr>
              <w:spacing w:after="0"/>
              <w:rPr>
                <w:sz w:val="16"/>
                <w:szCs w:val="16"/>
                <w:color w:val="auto"/>
              </w:rPr>
            </w:pPr>
          </w:p>
        </w:tc>
        <w:tc>
          <w:tcPr>
            <w:tcW w:w="2280" w:type="dxa"/>
            <w:vAlign w:val="bottom"/>
            <w:tcBorders>
              <w:right w:val="single" w:sz="8" w:color="auto"/>
            </w:tcBorders>
          </w:tcPr>
          <w:p>
            <w:pPr>
              <w:spacing w:after="0"/>
              <w:rPr>
                <w:sz w:val="16"/>
                <w:szCs w:val="16"/>
                <w:color w:val="auto"/>
              </w:rPr>
            </w:pPr>
          </w:p>
        </w:tc>
        <w:tc>
          <w:tcPr>
            <w:tcW w:w="2300" w:type="dxa"/>
            <w:vAlign w:val="bottom"/>
            <w:tcBorders>
              <w:right w:val="single" w:sz="8" w:color="auto"/>
            </w:tcBorders>
          </w:tcPr>
          <w:p>
            <w:pPr>
              <w:spacing w:after="0"/>
              <w:rPr>
                <w:sz w:val="16"/>
                <w:szCs w:val="16"/>
                <w:color w:val="auto"/>
              </w:rPr>
            </w:pPr>
          </w:p>
        </w:tc>
        <w:tc>
          <w:tcPr>
            <w:tcW w:w="2260" w:type="dxa"/>
            <w:vAlign w:val="bottom"/>
            <w:tcBorders>
              <w:right w:val="single" w:sz="8" w:color="auto"/>
            </w:tcBorders>
          </w:tcPr>
          <w:p>
            <w:pPr>
              <w:spacing w:after="0"/>
              <w:rPr>
                <w:sz w:val="16"/>
                <w:szCs w:val="16"/>
                <w:color w:val="auto"/>
              </w:rPr>
            </w:pPr>
          </w:p>
        </w:tc>
        <w:tc>
          <w:tcPr>
            <w:tcW w:w="2280" w:type="dxa"/>
            <w:vAlign w:val="bottom"/>
            <w:tcBorders>
              <w:right w:val="single" w:sz="8" w:color="auto"/>
            </w:tcBorders>
          </w:tcPr>
          <w:p>
            <w:pPr>
              <w:ind w:left="240"/>
              <w:spacing w:after="0" w:line="193" w:lineRule="exact"/>
              <w:rPr>
                <w:sz w:val="20"/>
                <w:szCs w:val="20"/>
                <w:color w:val="auto"/>
              </w:rPr>
            </w:pPr>
            <w:r>
              <w:rPr>
                <w:rFonts w:ascii="Arial" w:cs="Arial" w:eastAsia="Arial" w:hAnsi="Arial"/>
                <w:sz w:val="18"/>
                <w:szCs w:val="18"/>
                <w:color w:val="auto"/>
              </w:rPr>
              <w:t>Solicited Lives</w:t>
            </w:r>
          </w:p>
        </w:tc>
        <w:tc>
          <w:tcPr>
            <w:tcW w:w="0" w:type="dxa"/>
            <w:vAlign w:val="bottom"/>
          </w:tcPr>
          <w:p>
            <w:pPr>
              <w:spacing w:after="0"/>
              <w:rPr>
                <w:sz w:val="1"/>
                <w:szCs w:val="1"/>
                <w:color w:val="auto"/>
              </w:rPr>
            </w:pPr>
          </w:p>
        </w:tc>
      </w:tr>
      <w:tr>
        <w:trPr>
          <w:trHeight w:val="201"/>
        </w:trPr>
        <w:tc>
          <w:tcPr>
            <w:tcW w:w="40" w:type="dxa"/>
            <w:vAlign w:val="bottom"/>
            <w:tcBorders>
              <w:left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Borders>
              <w:right w:val="single" w:sz="8" w:color="auto"/>
            </w:tcBorders>
          </w:tcPr>
          <w:p>
            <w:pPr>
              <w:spacing w:after="0"/>
              <w:rPr>
                <w:sz w:val="17"/>
                <w:szCs w:val="17"/>
                <w:color w:val="auto"/>
              </w:rPr>
            </w:pPr>
          </w:p>
        </w:tc>
        <w:tc>
          <w:tcPr>
            <w:tcW w:w="2280" w:type="dxa"/>
            <w:vAlign w:val="bottom"/>
            <w:tcBorders>
              <w:right w:val="single" w:sz="8" w:color="auto"/>
            </w:tcBorders>
          </w:tcPr>
          <w:p>
            <w:pPr>
              <w:spacing w:after="0"/>
              <w:rPr>
                <w:sz w:val="17"/>
                <w:szCs w:val="17"/>
                <w:color w:val="auto"/>
              </w:rPr>
            </w:pPr>
          </w:p>
        </w:tc>
        <w:tc>
          <w:tcPr>
            <w:tcW w:w="2300" w:type="dxa"/>
            <w:vAlign w:val="bottom"/>
            <w:tcBorders>
              <w:right w:val="single" w:sz="8" w:color="auto"/>
            </w:tcBorders>
          </w:tcPr>
          <w:p>
            <w:pPr>
              <w:ind w:left="20"/>
              <w:spacing w:after="0" w:line="201" w:lineRule="exact"/>
              <w:rPr>
                <w:sz w:val="20"/>
                <w:szCs w:val="20"/>
                <w:color w:val="auto"/>
              </w:rPr>
            </w:pPr>
            <w:r>
              <w:rPr>
                <w:rFonts w:ascii="Arial" w:cs="Arial" w:eastAsia="Arial" w:hAnsi="Arial"/>
                <w:sz w:val="18"/>
                <w:szCs w:val="18"/>
                <w:color w:val="auto"/>
              </w:rPr>
              <w:t>Provide for delivery by</w:t>
            </w:r>
          </w:p>
        </w:tc>
        <w:tc>
          <w:tcPr>
            <w:tcW w:w="2260" w:type="dxa"/>
            <w:vAlign w:val="bottom"/>
            <w:tcBorders>
              <w:right w:val="single" w:sz="8" w:color="auto"/>
            </w:tcBorders>
          </w:tcPr>
          <w:p>
            <w:pPr>
              <w:spacing w:after="0"/>
              <w:rPr>
                <w:sz w:val="17"/>
                <w:szCs w:val="17"/>
                <w:color w:val="auto"/>
              </w:rPr>
            </w:pPr>
          </w:p>
        </w:tc>
        <w:tc>
          <w:tcPr>
            <w:tcW w:w="2280" w:type="dxa"/>
            <w:vAlign w:val="bottom"/>
            <w:tcBorders>
              <w:right w:val="single" w:sz="8" w:color="auto"/>
            </w:tcBorders>
          </w:tcPr>
          <w:p>
            <w:pPr>
              <w:ind w:left="240"/>
              <w:spacing w:after="0" w:line="201" w:lineRule="exact"/>
              <w:rPr>
                <w:sz w:val="20"/>
                <w:szCs w:val="20"/>
                <w:color w:val="auto"/>
              </w:rPr>
            </w:pPr>
            <w:r>
              <w:rPr>
                <w:rFonts w:ascii="Arial" w:cs="Arial" w:eastAsia="Arial" w:hAnsi="Arial"/>
                <w:sz w:val="18"/>
                <w:szCs w:val="18"/>
                <w:color w:val="auto"/>
              </w:rPr>
              <w:t>ž Begin data cleanse on</w:t>
            </w:r>
          </w:p>
        </w:tc>
        <w:tc>
          <w:tcPr>
            <w:tcW w:w="0" w:type="dxa"/>
            <w:vAlign w:val="bottom"/>
          </w:tcPr>
          <w:p>
            <w:pPr>
              <w:spacing w:after="0"/>
              <w:rPr>
                <w:sz w:val="1"/>
                <w:szCs w:val="1"/>
                <w:color w:val="auto"/>
              </w:rPr>
            </w:pPr>
          </w:p>
        </w:tc>
      </w:tr>
      <w:tr>
        <w:trPr>
          <w:trHeight w:val="213"/>
        </w:trPr>
        <w:tc>
          <w:tcPr>
            <w:tcW w:w="2320" w:type="dxa"/>
            <w:vAlign w:val="bottom"/>
            <w:tcBorders>
              <w:left w:val="single" w:sz="8" w:color="auto"/>
              <w:right w:val="single" w:sz="8" w:color="auto"/>
            </w:tcBorders>
            <w:gridSpan w:val="10"/>
          </w:tcPr>
          <w:p>
            <w:pPr>
              <w:ind w:left="40"/>
              <w:spacing w:after="0"/>
              <w:rPr>
                <w:sz w:val="20"/>
                <w:szCs w:val="20"/>
                <w:color w:val="auto"/>
              </w:rPr>
            </w:pPr>
            <w:r>
              <w:rPr>
                <w:rFonts w:ascii="Arial" w:cs="Arial" w:eastAsia="Arial" w:hAnsi="Arial"/>
                <w:sz w:val="18"/>
                <w:szCs w:val="18"/>
                <w:i w:val="1"/>
                <w:iCs w:val="1"/>
                <w:color w:val="auto"/>
                <w:w w:val="98"/>
              </w:rPr>
              <w:t>First file that includes results</w:t>
            </w:r>
          </w:p>
        </w:tc>
        <w:tc>
          <w:tcPr>
            <w:tcW w:w="2280" w:type="dxa"/>
            <w:vAlign w:val="bottom"/>
            <w:tcBorders>
              <w:right w:val="single" w:sz="8" w:color="auto"/>
            </w:tcBorders>
            <w:vMerge w:val="restart"/>
          </w:tcPr>
          <w:p>
            <w:pPr>
              <w:spacing w:after="0"/>
              <w:rPr>
                <w:sz w:val="20"/>
                <w:szCs w:val="20"/>
                <w:color w:val="auto"/>
              </w:rPr>
            </w:pPr>
            <w:r>
              <w:rPr>
                <w:rFonts w:ascii="Arial" w:cs="Arial" w:eastAsia="Arial" w:hAnsi="Arial"/>
                <w:sz w:val="20"/>
                <w:szCs w:val="20"/>
                <w:color w:val="auto"/>
              </w:rPr>
              <w:t xml:space="preserve">[ *** </w:t>
            </w:r>
            <w:r>
              <w:rPr>
                <w:rFonts w:ascii="Arial" w:cs="Arial" w:eastAsia="Arial" w:hAnsi="Arial"/>
                <w:sz w:val="21"/>
                <w:szCs w:val="21"/>
                <w:color w:val="auto"/>
              </w:rPr>
              <w:t>]</w:t>
            </w:r>
          </w:p>
        </w:tc>
        <w:tc>
          <w:tcPr>
            <w:tcW w:w="23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8"/>
              </w:rPr>
              <w:t>Recordkeeper of Information</w:t>
            </w:r>
          </w:p>
        </w:tc>
        <w:tc>
          <w:tcPr>
            <w:tcW w:w="2260" w:type="dxa"/>
            <w:vAlign w:val="bottom"/>
            <w:tcBorders>
              <w:right w:val="single" w:sz="8" w:color="auto"/>
            </w:tcBorders>
          </w:tcPr>
          <w:p>
            <w:pPr>
              <w:spacing w:after="0"/>
              <w:rPr>
                <w:sz w:val="18"/>
                <w:szCs w:val="18"/>
                <w:color w:val="auto"/>
              </w:rPr>
            </w:pPr>
          </w:p>
        </w:tc>
        <w:tc>
          <w:tcPr>
            <w:tcW w:w="2280" w:type="dxa"/>
            <w:vAlign w:val="bottom"/>
            <w:tcBorders>
              <w:right w:val="single" w:sz="8" w:color="auto"/>
            </w:tcBorders>
          </w:tcPr>
          <w:p>
            <w:pPr>
              <w:ind w:left="240"/>
              <w:spacing w:after="0"/>
              <w:rPr>
                <w:sz w:val="20"/>
                <w:szCs w:val="20"/>
                <w:color w:val="auto"/>
              </w:rPr>
            </w:pPr>
            <w:r>
              <w:rPr>
                <w:rFonts w:ascii="Arial" w:cs="Arial" w:eastAsia="Arial" w:hAnsi="Arial"/>
                <w:sz w:val="18"/>
                <w:szCs w:val="18"/>
                <w:color w:val="auto"/>
              </w:rPr>
              <w:t>Solicited Non-Electing</w:t>
            </w:r>
          </w:p>
        </w:tc>
        <w:tc>
          <w:tcPr>
            <w:tcW w:w="0" w:type="dxa"/>
            <w:vAlign w:val="bottom"/>
          </w:tcPr>
          <w:p>
            <w:pPr>
              <w:spacing w:after="0"/>
              <w:rPr>
                <w:sz w:val="1"/>
                <w:szCs w:val="1"/>
                <w:color w:val="auto"/>
              </w:rPr>
            </w:pPr>
          </w:p>
        </w:tc>
      </w:tr>
      <w:tr>
        <w:trPr>
          <w:trHeight w:val="233"/>
        </w:trPr>
        <w:tc>
          <w:tcPr>
            <w:tcW w:w="2320" w:type="dxa"/>
            <w:vAlign w:val="bottom"/>
            <w:tcBorders>
              <w:left w:val="single" w:sz="8" w:color="auto"/>
              <w:right w:val="single" w:sz="8" w:color="auto"/>
            </w:tcBorders>
            <w:gridSpan w:val="10"/>
          </w:tcPr>
          <w:p>
            <w:pPr>
              <w:ind w:left="40"/>
              <w:spacing w:after="0"/>
              <w:rPr>
                <w:sz w:val="20"/>
                <w:szCs w:val="20"/>
                <w:color w:val="auto"/>
              </w:rPr>
            </w:pPr>
            <w:r>
              <w:rPr>
                <w:rFonts w:ascii="Arial" w:cs="Arial" w:eastAsia="Arial" w:hAnsi="Arial"/>
                <w:sz w:val="18"/>
                <w:szCs w:val="18"/>
                <w:i w:val="1"/>
                <w:iCs w:val="1"/>
                <w:color w:val="auto"/>
              </w:rPr>
              <w:t>of Lump-Sum Elections</w:t>
            </w:r>
          </w:p>
        </w:tc>
        <w:tc>
          <w:tcPr>
            <w:tcW w:w="2280" w:type="dxa"/>
            <w:vAlign w:val="bottom"/>
            <w:tcBorders>
              <w:right w:val="single" w:sz="8" w:color="auto"/>
            </w:tcBorders>
            <w:vMerge w:val="continue"/>
          </w:tcPr>
          <w:p>
            <w:pPr>
              <w:spacing w:after="0"/>
              <w:rPr>
                <w:sz w:val="20"/>
                <w:szCs w:val="20"/>
                <w:color w:val="auto"/>
              </w:rPr>
            </w:pPr>
          </w:p>
        </w:tc>
        <w:tc>
          <w:tcPr>
            <w:tcW w:w="23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Update</w:t>
            </w:r>
          </w:p>
        </w:tc>
        <w:tc>
          <w:tcPr>
            <w:tcW w:w="22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Deliver Information Update</w:t>
            </w:r>
          </w:p>
        </w:tc>
        <w:tc>
          <w:tcPr>
            <w:tcW w:w="2280" w:type="dxa"/>
            <w:vAlign w:val="bottom"/>
            <w:tcBorders>
              <w:right w:val="single" w:sz="8" w:color="auto"/>
            </w:tcBorders>
          </w:tcPr>
          <w:p>
            <w:pPr>
              <w:ind w:left="240"/>
              <w:spacing w:after="0"/>
              <w:rPr>
                <w:sz w:val="20"/>
                <w:szCs w:val="20"/>
                <w:color w:val="auto"/>
              </w:rPr>
            </w:pPr>
            <w:r>
              <w:rPr>
                <w:rFonts w:ascii="Arial" w:cs="Arial" w:eastAsia="Arial" w:hAnsi="Arial"/>
                <w:sz w:val="18"/>
                <w:szCs w:val="18"/>
                <w:color w:val="auto"/>
              </w:rPr>
              <w:t>Lives</w:t>
            </w:r>
          </w:p>
        </w:tc>
        <w:tc>
          <w:tcPr>
            <w:tcW w:w="0" w:type="dxa"/>
            <w:vAlign w:val="bottom"/>
          </w:tcPr>
          <w:p>
            <w:pPr>
              <w:spacing w:after="0"/>
              <w:rPr>
                <w:sz w:val="1"/>
                <w:szCs w:val="1"/>
                <w:color w:val="auto"/>
              </w:rPr>
            </w:pPr>
          </w:p>
        </w:tc>
      </w:tr>
      <w:tr>
        <w:trPr>
          <w:trHeight w:val="21"/>
        </w:trPr>
        <w:tc>
          <w:tcPr>
            <w:tcW w:w="40" w:type="dxa"/>
            <w:vAlign w:val="bottom"/>
            <w:tcBorders>
              <w:left w:val="single" w:sz="8" w:color="auto"/>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right w:val="single" w:sz="8" w:color="auto"/>
            </w:tcBorders>
          </w:tcPr>
          <w:p>
            <w:pPr>
              <w:spacing w:after="0" w:line="20" w:lineRule="exact"/>
              <w:rPr>
                <w:sz w:val="1"/>
                <w:szCs w:val="1"/>
                <w:color w:val="auto"/>
              </w:rPr>
            </w:pPr>
          </w:p>
        </w:tc>
        <w:tc>
          <w:tcPr>
            <w:tcW w:w="2280" w:type="dxa"/>
            <w:vAlign w:val="bottom"/>
            <w:tcBorders>
              <w:bottom w:val="single" w:sz="8" w:color="auto"/>
              <w:right w:val="single" w:sz="8" w:color="auto"/>
            </w:tcBorders>
          </w:tcPr>
          <w:p>
            <w:pPr>
              <w:spacing w:after="0" w:line="20" w:lineRule="exact"/>
              <w:rPr>
                <w:sz w:val="1"/>
                <w:szCs w:val="1"/>
                <w:color w:val="auto"/>
              </w:rPr>
            </w:pPr>
          </w:p>
        </w:tc>
        <w:tc>
          <w:tcPr>
            <w:tcW w:w="2300" w:type="dxa"/>
            <w:vAlign w:val="bottom"/>
            <w:tcBorders>
              <w:bottom w:val="single" w:sz="8" w:color="auto"/>
              <w:right w:val="single" w:sz="8" w:color="auto"/>
            </w:tcBorders>
          </w:tcPr>
          <w:p>
            <w:pPr>
              <w:spacing w:after="0" w:line="20" w:lineRule="exact"/>
              <w:rPr>
                <w:sz w:val="1"/>
                <w:szCs w:val="1"/>
                <w:color w:val="auto"/>
              </w:rPr>
            </w:pPr>
          </w:p>
        </w:tc>
        <w:tc>
          <w:tcPr>
            <w:tcW w:w="2260" w:type="dxa"/>
            <w:vAlign w:val="bottom"/>
            <w:tcBorders>
              <w:bottom w:val="single" w:sz="8" w:color="auto"/>
              <w:right w:val="single" w:sz="8" w:color="auto"/>
            </w:tcBorders>
          </w:tcPr>
          <w:p>
            <w:pPr>
              <w:spacing w:after="0" w:line="20" w:lineRule="exact"/>
              <w:rPr>
                <w:sz w:val="1"/>
                <w:szCs w:val="1"/>
                <w:color w:val="auto"/>
              </w:rPr>
            </w:pPr>
          </w:p>
        </w:tc>
        <w:tc>
          <w:tcPr>
            <w:tcW w:w="22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4"/>
        </w:trPr>
        <w:tc>
          <w:tcPr>
            <w:tcW w:w="2320" w:type="dxa"/>
            <w:vAlign w:val="bottom"/>
            <w:tcBorders>
              <w:left w:val="single" w:sz="8" w:color="auto"/>
              <w:right w:val="single" w:sz="8" w:color="auto"/>
            </w:tcBorders>
            <w:gridSpan w:val="10"/>
          </w:tcPr>
          <w:p>
            <w:pPr>
              <w:ind w:left="40"/>
              <w:spacing w:after="0"/>
              <w:rPr>
                <w:sz w:val="20"/>
                <w:szCs w:val="20"/>
                <w:color w:val="auto"/>
              </w:rPr>
            </w:pPr>
            <w:r>
              <w:rPr>
                <w:rFonts w:ascii="Arial" w:cs="Arial" w:eastAsia="Arial" w:hAnsi="Arial"/>
                <w:sz w:val="18"/>
                <w:szCs w:val="18"/>
                <w:b w:val="1"/>
                <w:bCs w:val="1"/>
                <w:color w:val="auto"/>
              </w:rPr>
              <w:t xml:space="preserve">Production Data File </w:t>
            </w:r>
            <w:r>
              <w:rPr>
                <w:rFonts w:ascii="Arial" w:cs="Arial" w:eastAsia="Arial" w:hAnsi="Arial"/>
                <w:sz w:val="18"/>
                <w:szCs w:val="18"/>
                <w:color w:val="auto"/>
              </w:rPr>
              <w:t>-</w:t>
            </w:r>
          </w:p>
        </w:tc>
        <w:tc>
          <w:tcPr>
            <w:tcW w:w="2280" w:type="dxa"/>
            <w:vAlign w:val="bottom"/>
            <w:tcBorders>
              <w:right w:val="single" w:sz="8" w:color="auto"/>
            </w:tcBorders>
          </w:tcPr>
          <w:p>
            <w:pPr>
              <w:spacing w:after="0"/>
              <w:rPr>
                <w:sz w:val="18"/>
                <w:szCs w:val="18"/>
                <w:color w:val="auto"/>
              </w:rPr>
            </w:pPr>
          </w:p>
        </w:tc>
        <w:tc>
          <w:tcPr>
            <w:tcW w:w="2300" w:type="dxa"/>
            <w:vAlign w:val="bottom"/>
            <w:tcBorders>
              <w:right w:val="single" w:sz="8" w:color="auto"/>
            </w:tcBorders>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320" w:type="dxa"/>
            <w:vAlign w:val="bottom"/>
            <w:tcBorders>
              <w:left w:val="single" w:sz="8" w:color="auto"/>
              <w:right w:val="single" w:sz="8" w:color="auto"/>
            </w:tcBorders>
            <w:gridSpan w:val="10"/>
          </w:tcPr>
          <w:p>
            <w:pPr>
              <w:ind w:left="40"/>
              <w:spacing w:after="0"/>
              <w:rPr>
                <w:sz w:val="20"/>
                <w:szCs w:val="20"/>
                <w:color w:val="auto"/>
              </w:rPr>
            </w:pPr>
            <w:r>
              <w:rPr>
                <w:rFonts w:ascii="Arial" w:cs="Arial" w:eastAsia="Arial" w:hAnsi="Arial"/>
                <w:sz w:val="18"/>
                <w:szCs w:val="18"/>
                <w:color w:val="auto"/>
              </w:rPr>
              <w:t>Closing Data Load File &amp;</w:t>
            </w:r>
          </w:p>
        </w:tc>
        <w:tc>
          <w:tcPr>
            <w:tcW w:w="2280" w:type="dxa"/>
            <w:vAlign w:val="bottom"/>
            <w:tcBorders>
              <w:right w:val="single" w:sz="8" w:color="auto"/>
            </w:tcBorders>
          </w:tcPr>
          <w:p>
            <w:pPr>
              <w:spacing w:after="0"/>
              <w:rPr>
                <w:sz w:val="18"/>
                <w:szCs w:val="18"/>
                <w:color w:val="auto"/>
              </w:rPr>
            </w:pPr>
          </w:p>
        </w:tc>
        <w:tc>
          <w:tcPr>
            <w:tcW w:w="2300" w:type="dxa"/>
            <w:vAlign w:val="bottom"/>
            <w:tcBorders>
              <w:right w:val="single" w:sz="8" w:color="auto"/>
            </w:tcBorders>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320" w:type="dxa"/>
            <w:vAlign w:val="bottom"/>
            <w:tcBorders>
              <w:left w:val="single" w:sz="8" w:color="auto"/>
              <w:right w:val="single" w:sz="8" w:color="auto"/>
            </w:tcBorders>
            <w:gridSpan w:val="10"/>
          </w:tcPr>
          <w:p>
            <w:pPr>
              <w:ind w:left="40"/>
              <w:spacing w:after="0"/>
              <w:rPr>
                <w:sz w:val="20"/>
                <w:szCs w:val="20"/>
                <w:color w:val="auto"/>
              </w:rPr>
            </w:pPr>
            <w:r>
              <w:rPr>
                <w:rFonts w:ascii="Arial" w:cs="Arial" w:eastAsia="Arial" w:hAnsi="Arial"/>
                <w:sz w:val="18"/>
                <w:szCs w:val="18"/>
                <w:color w:val="auto"/>
              </w:rPr>
              <w:t>Check Register (data</w:t>
            </w:r>
          </w:p>
        </w:tc>
        <w:tc>
          <w:tcPr>
            <w:tcW w:w="2280" w:type="dxa"/>
            <w:vAlign w:val="bottom"/>
            <w:tcBorders>
              <w:right w:val="single" w:sz="8" w:color="auto"/>
            </w:tcBorders>
          </w:tcPr>
          <w:p>
            <w:pPr>
              <w:spacing w:after="0"/>
              <w:rPr>
                <w:sz w:val="18"/>
                <w:szCs w:val="18"/>
                <w:color w:val="auto"/>
              </w:rPr>
            </w:pPr>
          </w:p>
        </w:tc>
        <w:tc>
          <w:tcPr>
            <w:tcW w:w="2300" w:type="dxa"/>
            <w:vAlign w:val="bottom"/>
            <w:tcBorders>
              <w:right w:val="single" w:sz="8" w:color="auto"/>
            </w:tcBorders>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320" w:type="dxa"/>
            <w:vAlign w:val="bottom"/>
            <w:tcBorders>
              <w:left w:val="single" w:sz="8" w:color="auto"/>
              <w:right w:val="single" w:sz="8" w:color="auto"/>
            </w:tcBorders>
            <w:gridSpan w:val="10"/>
          </w:tcPr>
          <w:p>
            <w:pPr>
              <w:ind w:left="40"/>
              <w:spacing w:after="0"/>
              <w:rPr>
                <w:sz w:val="20"/>
                <w:szCs w:val="20"/>
                <w:color w:val="auto"/>
              </w:rPr>
            </w:pPr>
            <w:r>
              <w:rPr>
                <w:rFonts w:ascii="Arial" w:cs="Arial" w:eastAsia="Arial" w:hAnsi="Arial"/>
                <w:sz w:val="18"/>
                <w:szCs w:val="18"/>
                <w:color w:val="auto"/>
              </w:rPr>
              <w:t>supporting December 2012</w:t>
            </w:r>
          </w:p>
        </w:tc>
        <w:tc>
          <w:tcPr>
            <w:tcW w:w="2280" w:type="dxa"/>
            <w:vAlign w:val="bottom"/>
            <w:tcBorders>
              <w:right w:val="single" w:sz="8" w:color="auto"/>
            </w:tcBorders>
          </w:tcPr>
          <w:p>
            <w:pPr>
              <w:spacing w:after="0"/>
              <w:rPr>
                <w:sz w:val="18"/>
                <w:szCs w:val="18"/>
                <w:color w:val="auto"/>
              </w:rPr>
            </w:pPr>
          </w:p>
        </w:tc>
        <w:tc>
          <w:tcPr>
            <w:tcW w:w="2300" w:type="dxa"/>
            <w:vAlign w:val="bottom"/>
            <w:tcBorders>
              <w:right w:val="single" w:sz="8" w:color="auto"/>
            </w:tcBorders>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320" w:type="dxa"/>
            <w:vAlign w:val="bottom"/>
            <w:tcBorders>
              <w:left w:val="single" w:sz="8" w:color="auto"/>
              <w:right w:val="single" w:sz="8" w:color="auto"/>
            </w:tcBorders>
            <w:gridSpan w:val="10"/>
          </w:tcPr>
          <w:p>
            <w:pPr>
              <w:ind w:left="40"/>
              <w:spacing w:after="0"/>
              <w:rPr>
                <w:sz w:val="20"/>
                <w:szCs w:val="20"/>
                <w:color w:val="auto"/>
              </w:rPr>
            </w:pPr>
            <w:r>
              <w:rPr>
                <w:rFonts w:ascii="Arial" w:cs="Arial" w:eastAsia="Arial" w:hAnsi="Arial"/>
                <w:sz w:val="18"/>
                <w:szCs w:val="18"/>
                <w:color w:val="auto"/>
              </w:rPr>
              <w:t>payments) and report of</w:t>
            </w:r>
          </w:p>
        </w:tc>
        <w:tc>
          <w:tcPr>
            <w:tcW w:w="2280" w:type="dxa"/>
            <w:vAlign w:val="bottom"/>
            <w:tcBorders>
              <w:right w:val="single" w:sz="8" w:color="auto"/>
            </w:tcBorders>
          </w:tcPr>
          <w:p>
            <w:pPr>
              <w:spacing w:after="0"/>
              <w:rPr>
                <w:sz w:val="18"/>
                <w:szCs w:val="18"/>
                <w:color w:val="auto"/>
              </w:rPr>
            </w:pPr>
          </w:p>
        </w:tc>
        <w:tc>
          <w:tcPr>
            <w:tcW w:w="23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Provide for delivery by</w:t>
            </w:r>
          </w:p>
        </w:tc>
        <w:tc>
          <w:tcPr>
            <w:tcW w:w="2260" w:type="dxa"/>
            <w:vAlign w:val="bottom"/>
            <w:tcBorders>
              <w:right w:val="single" w:sz="8" w:color="auto"/>
            </w:tcBorders>
          </w:tcPr>
          <w:p>
            <w:pPr>
              <w:spacing w:after="0"/>
              <w:rPr>
                <w:sz w:val="18"/>
                <w:szCs w:val="18"/>
                <w:color w:val="auto"/>
              </w:rPr>
            </w:pPr>
          </w:p>
        </w:tc>
        <w:tc>
          <w:tcPr>
            <w:tcW w:w="22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6"/>
              </w:rPr>
              <w:t>Receive and load Production</w:t>
            </w:r>
          </w:p>
        </w:tc>
        <w:tc>
          <w:tcPr>
            <w:tcW w:w="0" w:type="dxa"/>
            <w:vAlign w:val="bottom"/>
          </w:tcPr>
          <w:p>
            <w:pPr>
              <w:spacing w:after="0"/>
              <w:rPr>
                <w:sz w:val="1"/>
                <w:szCs w:val="1"/>
                <w:color w:val="auto"/>
              </w:rPr>
            </w:pPr>
          </w:p>
        </w:tc>
      </w:tr>
      <w:tr>
        <w:trPr>
          <w:trHeight w:val="213"/>
        </w:trPr>
        <w:tc>
          <w:tcPr>
            <w:tcW w:w="2320" w:type="dxa"/>
            <w:vAlign w:val="bottom"/>
            <w:tcBorders>
              <w:left w:val="single" w:sz="8" w:color="auto"/>
              <w:right w:val="single" w:sz="8" w:color="auto"/>
            </w:tcBorders>
            <w:gridSpan w:val="10"/>
          </w:tcPr>
          <w:p>
            <w:pPr>
              <w:ind w:left="40"/>
              <w:spacing w:after="0"/>
              <w:rPr>
                <w:sz w:val="20"/>
                <w:szCs w:val="20"/>
                <w:color w:val="auto"/>
              </w:rPr>
            </w:pPr>
            <w:r>
              <w:rPr>
                <w:rFonts w:ascii="Arial" w:cs="Arial" w:eastAsia="Arial" w:hAnsi="Arial"/>
                <w:sz w:val="18"/>
                <w:szCs w:val="18"/>
                <w:color w:val="auto"/>
              </w:rPr>
              <w:t>changes since Information</w:t>
            </w:r>
          </w:p>
        </w:tc>
        <w:tc>
          <w:tcPr>
            <w:tcW w:w="2280" w:type="dxa"/>
            <w:vAlign w:val="bottom"/>
            <w:tcBorders>
              <w:right w:val="single" w:sz="8" w:color="auto"/>
            </w:tcBorders>
            <w:vMerge w:val="restart"/>
          </w:tcPr>
          <w:p>
            <w:pPr>
              <w:spacing w:after="0"/>
              <w:rPr>
                <w:sz w:val="20"/>
                <w:szCs w:val="20"/>
                <w:color w:val="auto"/>
              </w:rPr>
            </w:pPr>
            <w:r>
              <w:rPr>
                <w:rFonts w:ascii="Arial" w:cs="Arial" w:eastAsia="Arial" w:hAnsi="Arial"/>
                <w:sz w:val="20"/>
                <w:szCs w:val="20"/>
                <w:color w:val="auto"/>
              </w:rPr>
              <w:t xml:space="preserve">[ *** </w:t>
            </w:r>
            <w:r>
              <w:rPr>
                <w:rFonts w:ascii="Arial" w:cs="Arial" w:eastAsia="Arial" w:hAnsi="Arial"/>
                <w:sz w:val="21"/>
                <w:szCs w:val="21"/>
                <w:color w:val="auto"/>
              </w:rPr>
              <w:t>]</w:t>
            </w:r>
          </w:p>
        </w:tc>
        <w:tc>
          <w:tcPr>
            <w:tcW w:w="23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9"/>
              </w:rPr>
              <w:t>Recordkeeper of Production</w:t>
            </w:r>
          </w:p>
        </w:tc>
        <w:tc>
          <w:tcPr>
            <w:tcW w:w="2260" w:type="dxa"/>
            <w:vAlign w:val="bottom"/>
            <w:tcBorders>
              <w:right w:val="single" w:sz="8" w:color="auto"/>
            </w:tcBorders>
          </w:tcPr>
          <w:p>
            <w:pPr>
              <w:spacing w:after="0"/>
              <w:rPr>
                <w:sz w:val="18"/>
                <w:szCs w:val="18"/>
                <w:color w:val="auto"/>
              </w:rPr>
            </w:pPr>
          </w:p>
        </w:tc>
        <w:tc>
          <w:tcPr>
            <w:tcW w:w="22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3"/>
              </w:rPr>
              <w:t>Data to Insurer recordkeeping</w:t>
            </w:r>
          </w:p>
        </w:tc>
        <w:tc>
          <w:tcPr>
            <w:tcW w:w="0" w:type="dxa"/>
            <w:vAlign w:val="bottom"/>
          </w:tcPr>
          <w:p>
            <w:pPr>
              <w:spacing w:after="0"/>
              <w:rPr>
                <w:sz w:val="1"/>
                <w:szCs w:val="1"/>
                <w:color w:val="auto"/>
              </w:rPr>
            </w:pPr>
          </w:p>
        </w:tc>
      </w:tr>
      <w:tr>
        <w:trPr>
          <w:trHeight w:val="192"/>
        </w:trPr>
        <w:tc>
          <w:tcPr>
            <w:tcW w:w="2320" w:type="dxa"/>
            <w:vAlign w:val="bottom"/>
            <w:tcBorders>
              <w:left w:val="single" w:sz="8" w:color="auto"/>
              <w:right w:val="single" w:sz="8" w:color="auto"/>
            </w:tcBorders>
            <w:gridSpan w:val="10"/>
          </w:tcPr>
          <w:p>
            <w:pPr>
              <w:ind w:left="40"/>
              <w:spacing w:after="0" w:line="192" w:lineRule="exact"/>
              <w:rPr>
                <w:sz w:val="20"/>
                <w:szCs w:val="20"/>
                <w:color w:val="auto"/>
              </w:rPr>
            </w:pPr>
            <w:r>
              <w:rPr>
                <w:rFonts w:ascii="Arial" w:cs="Arial" w:eastAsia="Arial" w:hAnsi="Arial"/>
                <w:sz w:val="18"/>
                <w:szCs w:val="18"/>
                <w:color w:val="auto"/>
              </w:rPr>
              <w:t>Update (“Production Data”)</w:t>
            </w:r>
          </w:p>
        </w:tc>
        <w:tc>
          <w:tcPr>
            <w:tcW w:w="2280" w:type="dxa"/>
            <w:vAlign w:val="bottom"/>
            <w:tcBorders>
              <w:right w:val="single" w:sz="8" w:color="auto"/>
            </w:tcBorders>
            <w:vMerge w:val="continue"/>
          </w:tcPr>
          <w:p>
            <w:pPr>
              <w:spacing w:after="0"/>
              <w:rPr>
                <w:sz w:val="16"/>
                <w:szCs w:val="16"/>
                <w:color w:val="auto"/>
              </w:rPr>
            </w:pPr>
          </w:p>
        </w:tc>
        <w:tc>
          <w:tcPr>
            <w:tcW w:w="2300" w:type="dxa"/>
            <w:vAlign w:val="bottom"/>
            <w:tcBorders>
              <w:right w:val="single" w:sz="8" w:color="auto"/>
            </w:tcBorders>
          </w:tcPr>
          <w:p>
            <w:pPr>
              <w:ind w:left="20"/>
              <w:spacing w:after="0" w:line="192" w:lineRule="exact"/>
              <w:rPr>
                <w:sz w:val="20"/>
                <w:szCs w:val="20"/>
                <w:color w:val="auto"/>
              </w:rPr>
            </w:pPr>
            <w:r>
              <w:rPr>
                <w:rFonts w:ascii="Arial" w:cs="Arial" w:eastAsia="Arial" w:hAnsi="Arial"/>
                <w:sz w:val="18"/>
                <w:szCs w:val="18"/>
                <w:color w:val="auto"/>
              </w:rPr>
              <w:t>Data</w:t>
            </w:r>
          </w:p>
        </w:tc>
        <w:tc>
          <w:tcPr>
            <w:tcW w:w="2260" w:type="dxa"/>
            <w:vAlign w:val="bottom"/>
            <w:tcBorders>
              <w:right w:val="single" w:sz="8" w:color="auto"/>
            </w:tcBorders>
          </w:tcPr>
          <w:p>
            <w:pPr>
              <w:spacing w:after="0" w:line="192" w:lineRule="exact"/>
              <w:rPr>
                <w:sz w:val="20"/>
                <w:szCs w:val="20"/>
                <w:color w:val="auto"/>
              </w:rPr>
            </w:pPr>
            <w:r>
              <w:rPr>
                <w:rFonts w:ascii="Arial" w:cs="Arial" w:eastAsia="Arial" w:hAnsi="Arial"/>
                <w:sz w:val="18"/>
                <w:szCs w:val="18"/>
                <w:color w:val="auto"/>
              </w:rPr>
              <w:t>Deliver Production Data</w:t>
            </w:r>
          </w:p>
        </w:tc>
        <w:tc>
          <w:tcPr>
            <w:tcW w:w="2280" w:type="dxa"/>
            <w:vAlign w:val="bottom"/>
            <w:tcBorders>
              <w:right w:val="single" w:sz="8" w:color="auto"/>
            </w:tcBorders>
          </w:tcPr>
          <w:p>
            <w:pPr>
              <w:ind w:left="20"/>
              <w:spacing w:after="0" w:line="192" w:lineRule="exact"/>
              <w:rPr>
                <w:sz w:val="20"/>
                <w:szCs w:val="20"/>
                <w:color w:val="auto"/>
              </w:rPr>
            </w:pPr>
            <w:r>
              <w:rPr>
                <w:rFonts w:ascii="Arial" w:cs="Arial" w:eastAsia="Arial" w:hAnsi="Arial"/>
                <w:sz w:val="18"/>
                <w:szCs w:val="18"/>
                <w:color w:val="auto"/>
              </w:rPr>
              <w:t>systems</w:t>
            </w:r>
          </w:p>
        </w:tc>
        <w:tc>
          <w:tcPr>
            <w:tcW w:w="0" w:type="dxa"/>
            <w:vAlign w:val="bottom"/>
          </w:tcPr>
          <w:p>
            <w:pPr>
              <w:spacing w:after="0"/>
              <w:rPr>
                <w:sz w:val="1"/>
                <w:szCs w:val="1"/>
                <w:color w:val="auto"/>
              </w:rPr>
            </w:pPr>
          </w:p>
        </w:tc>
      </w:tr>
      <w:tr>
        <w:trPr>
          <w:trHeight w:val="43"/>
        </w:trPr>
        <w:tc>
          <w:tcPr>
            <w:tcW w:w="40" w:type="dxa"/>
            <w:vAlign w:val="bottom"/>
            <w:tcBorders>
              <w:left w:val="single" w:sz="8" w:color="auto"/>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60" w:type="dxa"/>
            <w:vAlign w:val="bottom"/>
            <w:tcBorders>
              <w:top w:val="single" w:sz="8" w:color="auto"/>
              <w:bottom w:val="single" w:sz="8" w:color="auto"/>
            </w:tcBorders>
          </w:tcPr>
          <w:p>
            <w:pPr>
              <w:spacing w:after="0"/>
              <w:rPr>
                <w:sz w:val="3"/>
                <w:szCs w:val="3"/>
                <w:color w:val="auto"/>
              </w:rPr>
            </w:pPr>
          </w:p>
        </w:tc>
        <w:tc>
          <w:tcPr>
            <w:tcW w:w="80" w:type="dxa"/>
            <w:vAlign w:val="bottom"/>
            <w:tcBorders>
              <w:top w:val="single" w:sz="8" w:color="auto"/>
              <w:bottom w:val="single" w:sz="8" w:color="auto"/>
            </w:tcBorders>
          </w:tcPr>
          <w:p>
            <w:pPr>
              <w:spacing w:after="0"/>
              <w:rPr>
                <w:sz w:val="3"/>
                <w:szCs w:val="3"/>
                <w:color w:val="auto"/>
              </w:rPr>
            </w:pPr>
          </w:p>
        </w:tc>
        <w:tc>
          <w:tcPr>
            <w:tcW w:w="100" w:type="dxa"/>
            <w:vAlign w:val="bottom"/>
            <w:tcBorders>
              <w:top w:val="single" w:sz="8" w:color="auto"/>
              <w:bottom w:val="single" w:sz="8" w:color="auto"/>
            </w:tcBorders>
          </w:tcPr>
          <w:p>
            <w:pPr>
              <w:spacing w:after="0"/>
              <w:rPr>
                <w:sz w:val="3"/>
                <w:szCs w:val="3"/>
                <w:color w:val="auto"/>
              </w:rPr>
            </w:pPr>
          </w:p>
        </w:tc>
        <w:tc>
          <w:tcPr>
            <w:tcW w:w="760" w:type="dxa"/>
            <w:vAlign w:val="bottom"/>
            <w:tcBorders>
              <w:top w:val="single" w:sz="8" w:color="auto"/>
              <w:bottom w:val="single" w:sz="8" w:color="auto"/>
            </w:tcBorders>
          </w:tcPr>
          <w:p>
            <w:pPr>
              <w:spacing w:after="0"/>
              <w:rPr>
                <w:sz w:val="3"/>
                <w:szCs w:val="3"/>
                <w:color w:val="auto"/>
              </w:rPr>
            </w:pPr>
          </w:p>
        </w:tc>
        <w:tc>
          <w:tcPr>
            <w:tcW w:w="100" w:type="dxa"/>
            <w:vAlign w:val="bottom"/>
            <w:tcBorders>
              <w:top w:val="single" w:sz="8" w:color="auto"/>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40" w:type="dxa"/>
            <w:vAlign w:val="bottom"/>
            <w:tcBorders>
              <w:bottom w:val="single" w:sz="8" w:color="auto"/>
              <w:right w:val="single" w:sz="8" w:color="auto"/>
            </w:tcBorders>
          </w:tcPr>
          <w:p>
            <w:pPr>
              <w:spacing w:after="0"/>
              <w:rPr>
                <w:sz w:val="3"/>
                <w:szCs w:val="3"/>
                <w:color w:val="auto"/>
              </w:rPr>
            </w:pPr>
          </w:p>
        </w:tc>
        <w:tc>
          <w:tcPr>
            <w:tcW w:w="2280" w:type="dxa"/>
            <w:vAlign w:val="bottom"/>
            <w:tcBorders>
              <w:bottom w:val="single" w:sz="8" w:color="auto"/>
              <w:right w:val="single" w:sz="8" w:color="auto"/>
            </w:tcBorders>
          </w:tcPr>
          <w:p>
            <w:pPr>
              <w:spacing w:after="0"/>
              <w:rPr>
                <w:sz w:val="3"/>
                <w:szCs w:val="3"/>
                <w:color w:val="auto"/>
              </w:rPr>
            </w:pPr>
          </w:p>
        </w:tc>
        <w:tc>
          <w:tcPr>
            <w:tcW w:w="2300" w:type="dxa"/>
            <w:vAlign w:val="bottom"/>
            <w:tcBorders>
              <w:bottom w:val="single" w:sz="8" w:color="auto"/>
              <w:right w:val="single" w:sz="8" w:color="auto"/>
            </w:tcBorders>
          </w:tcPr>
          <w:p>
            <w:pPr>
              <w:spacing w:after="0"/>
              <w:rPr>
                <w:sz w:val="3"/>
                <w:szCs w:val="3"/>
                <w:color w:val="auto"/>
              </w:rPr>
            </w:pPr>
          </w:p>
        </w:tc>
        <w:tc>
          <w:tcPr>
            <w:tcW w:w="2260" w:type="dxa"/>
            <w:vAlign w:val="bottom"/>
            <w:tcBorders>
              <w:bottom w:val="single" w:sz="8" w:color="auto"/>
              <w:right w:val="single" w:sz="8" w:color="auto"/>
            </w:tcBorders>
          </w:tcPr>
          <w:p>
            <w:pPr>
              <w:spacing w:after="0"/>
              <w:rPr>
                <w:sz w:val="3"/>
                <w:szCs w:val="3"/>
                <w:color w:val="auto"/>
              </w:rPr>
            </w:pPr>
          </w:p>
        </w:tc>
        <w:tc>
          <w:tcPr>
            <w:tcW w:w="22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4"/>
        </w:trPr>
        <w:tc>
          <w:tcPr>
            <w:tcW w:w="2320" w:type="dxa"/>
            <w:vAlign w:val="bottom"/>
            <w:tcBorders>
              <w:left w:val="single" w:sz="8" w:color="auto"/>
              <w:right w:val="single" w:sz="8" w:color="auto"/>
            </w:tcBorders>
            <w:gridSpan w:val="10"/>
          </w:tcPr>
          <w:p>
            <w:pPr>
              <w:ind w:left="40"/>
              <w:spacing w:after="0"/>
              <w:rPr>
                <w:sz w:val="20"/>
                <w:szCs w:val="20"/>
                <w:color w:val="auto"/>
              </w:rPr>
            </w:pPr>
            <w:r>
              <w:rPr>
                <w:rFonts w:ascii="Arial" w:cs="Arial" w:eastAsia="Arial" w:hAnsi="Arial"/>
                <w:sz w:val="18"/>
                <w:szCs w:val="18"/>
                <w:color w:val="auto"/>
              </w:rPr>
              <w:t>Data Load File</w:t>
            </w:r>
          </w:p>
        </w:tc>
        <w:tc>
          <w:tcPr>
            <w:tcW w:w="2280" w:type="dxa"/>
            <w:vAlign w:val="bottom"/>
            <w:tcBorders>
              <w:right w:val="single" w:sz="8" w:color="auto"/>
            </w:tcBorders>
            <w:vMerge w:val="restart"/>
          </w:tcPr>
          <w:p>
            <w:pPr>
              <w:spacing w:after="0"/>
              <w:rPr>
                <w:sz w:val="20"/>
                <w:szCs w:val="20"/>
                <w:color w:val="auto"/>
              </w:rPr>
            </w:pPr>
            <w:r>
              <w:rPr>
                <w:rFonts w:ascii="Arial" w:cs="Arial" w:eastAsia="Arial" w:hAnsi="Arial"/>
                <w:sz w:val="20"/>
                <w:szCs w:val="20"/>
                <w:color w:val="auto"/>
              </w:rPr>
              <w:t xml:space="preserve">[ *** </w:t>
            </w:r>
            <w:r>
              <w:rPr>
                <w:rFonts w:ascii="Arial" w:cs="Arial" w:eastAsia="Arial" w:hAnsi="Arial"/>
                <w:sz w:val="21"/>
                <w:szCs w:val="21"/>
                <w:color w:val="auto"/>
              </w:rPr>
              <w:t>]</w:t>
            </w:r>
          </w:p>
        </w:tc>
        <w:tc>
          <w:tcPr>
            <w:tcW w:w="2300" w:type="dxa"/>
            <w:vAlign w:val="bottom"/>
            <w:tcBorders>
              <w:right w:val="single" w:sz="8" w:color="auto"/>
            </w:tcBorders>
          </w:tcPr>
          <w:p>
            <w:pPr>
              <w:spacing w:after="0"/>
              <w:rPr>
                <w:sz w:val="20"/>
                <w:szCs w:val="20"/>
                <w:color w:val="auto"/>
              </w:rPr>
            </w:pPr>
          </w:p>
        </w:tc>
        <w:tc>
          <w:tcPr>
            <w:tcW w:w="2260" w:type="dxa"/>
            <w:vAlign w:val="bottom"/>
            <w:tcBorders>
              <w:right w:val="single" w:sz="8" w:color="auto"/>
            </w:tcBorders>
          </w:tcPr>
          <w:p>
            <w:pPr>
              <w:spacing w:after="0"/>
              <w:rPr>
                <w:sz w:val="20"/>
                <w:szCs w:val="20"/>
                <w:color w:val="auto"/>
              </w:rPr>
            </w:pPr>
          </w:p>
        </w:tc>
        <w:tc>
          <w:tcPr>
            <w:tcW w:w="22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0" w:type="dxa"/>
            <w:vAlign w:val="bottom"/>
            <w:tcBorders>
              <w:left w:val="single" w:sz="8" w:color="auto"/>
            </w:tcBorders>
          </w:tcPr>
          <w:p>
            <w:pPr>
              <w:spacing w:after="0"/>
              <w:rPr>
                <w:sz w:val="21"/>
                <w:szCs w:val="21"/>
                <w:color w:val="auto"/>
              </w:rPr>
            </w:pPr>
          </w:p>
        </w:tc>
        <w:tc>
          <w:tcPr>
            <w:tcW w:w="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Borders>
              <w:right w:val="single" w:sz="8" w:color="auto"/>
            </w:tcBorders>
          </w:tcPr>
          <w:p>
            <w:pPr>
              <w:spacing w:after="0"/>
              <w:rPr>
                <w:sz w:val="21"/>
                <w:szCs w:val="21"/>
                <w:color w:val="auto"/>
              </w:rPr>
            </w:pPr>
          </w:p>
        </w:tc>
        <w:tc>
          <w:tcPr>
            <w:tcW w:w="2280" w:type="dxa"/>
            <w:vAlign w:val="bottom"/>
            <w:tcBorders>
              <w:right w:val="single" w:sz="8" w:color="auto"/>
            </w:tcBorders>
            <w:vMerge w:val="continue"/>
          </w:tcPr>
          <w:p>
            <w:pPr>
              <w:spacing w:after="0"/>
              <w:rPr>
                <w:sz w:val="21"/>
                <w:szCs w:val="21"/>
                <w:color w:val="auto"/>
              </w:rPr>
            </w:pPr>
          </w:p>
        </w:tc>
        <w:tc>
          <w:tcPr>
            <w:tcW w:w="23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Receive file</w:t>
            </w:r>
          </w:p>
        </w:tc>
        <w:tc>
          <w:tcPr>
            <w:tcW w:w="22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Receive file</w:t>
            </w:r>
          </w:p>
        </w:tc>
        <w:tc>
          <w:tcPr>
            <w:tcW w:w="22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Deliver Data Load File</w:t>
            </w:r>
          </w:p>
        </w:tc>
        <w:tc>
          <w:tcPr>
            <w:tcW w:w="0" w:type="dxa"/>
            <w:vAlign w:val="bottom"/>
          </w:tcPr>
          <w:p>
            <w:pPr>
              <w:spacing w:after="0"/>
              <w:rPr>
                <w:sz w:val="1"/>
                <w:szCs w:val="1"/>
                <w:color w:val="auto"/>
              </w:rPr>
            </w:pPr>
          </w:p>
        </w:tc>
      </w:tr>
      <w:tr>
        <w:trPr>
          <w:trHeight w:val="21"/>
        </w:trPr>
        <w:tc>
          <w:tcPr>
            <w:tcW w:w="40" w:type="dxa"/>
            <w:vAlign w:val="bottom"/>
            <w:tcBorders>
              <w:left w:val="single" w:sz="8" w:color="auto"/>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right w:val="single" w:sz="8" w:color="auto"/>
            </w:tcBorders>
          </w:tcPr>
          <w:p>
            <w:pPr>
              <w:spacing w:after="0" w:line="20" w:lineRule="exact"/>
              <w:rPr>
                <w:sz w:val="1"/>
                <w:szCs w:val="1"/>
                <w:color w:val="auto"/>
              </w:rPr>
            </w:pPr>
          </w:p>
        </w:tc>
        <w:tc>
          <w:tcPr>
            <w:tcW w:w="2280" w:type="dxa"/>
            <w:vAlign w:val="bottom"/>
            <w:tcBorders>
              <w:bottom w:val="single" w:sz="8" w:color="auto"/>
              <w:right w:val="single" w:sz="8" w:color="auto"/>
            </w:tcBorders>
          </w:tcPr>
          <w:p>
            <w:pPr>
              <w:spacing w:after="0" w:line="20" w:lineRule="exact"/>
              <w:rPr>
                <w:sz w:val="1"/>
                <w:szCs w:val="1"/>
                <w:color w:val="auto"/>
              </w:rPr>
            </w:pPr>
          </w:p>
        </w:tc>
        <w:tc>
          <w:tcPr>
            <w:tcW w:w="2300" w:type="dxa"/>
            <w:vAlign w:val="bottom"/>
            <w:tcBorders>
              <w:bottom w:val="single" w:sz="8" w:color="auto"/>
              <w:right w:val="single" w:sz="8" w:color="auto"/>
            </w:tcBorders>
          </w:tcPr>
          <w:p>
            <w:pPr>
              <w:spacing w:after="0" w:line="20" w:lineRule="exact"/>
              <w:rPr>
                <w:sz w:val="1"/>
                <w:szCs w:val="1"/>
                <w:color w:val="auto"/>
              </w:rPr>
            </w:pPr>
          </w:p>
        </w:tc>
        <w:tc>
          <w:tcPr>
            <w:tcW w:w="2260" w:type="dxa"/>
            <w:vAlign w:val="bottom"/>
            <w:tcBorders>
              <w:bottom w:val="single" w:sz="8" w:color="auto"/>
              <w:right w:val="single" w:sz="8" w:color="auto"/>
            </w:tcBorders>
          </w:tcPr>
          <w:p>
            <w:pPr>
              <w:spacing w:after="0" w:line="20" w:lineRule="exact"/>
              <w:rPr>
                <w:sz w:val="1"/>
                <w:szCs w:val="1"/>
                <w:color w:val="auto"/>
              </w:rPr>
            </w:pPr>
          </w:p>
        </w:tc>
        <w:tc>
          <w:tcPr>
            <w:tcW w:w="22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4"/>
        </w:trPr>
        <w:tc>
          <w:tcPr>
            <w:tcW w:w="40" w:type="dxa"/>
            <w:vAlign w:val="bottom"/>
            <w:tcBorders>
              <w:left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2280" w:type="dxa"/>
            <w:vAlign w:val="bottom"/>
            <w:tcBorders>
              <w:right w:val="single" w:sz="8" w:color="auto"/>
            </w:tcBorders>
            <w:vMerge w:val="restart"/>
          </w:tcPr>
          <w:p>
            <w:pPr>
              <w:spacing w:after="0"/>
              <w:rPr>
                <w:sz w:val="20"/>
                <w:szCs w:val="20"/>
                <w:color w:val="auto"/>
              </w:rPr>
            </w:pPr>
            <w:r>
              <w:rPr>
                <w:rFonts w:ascii="Arial" w:cs="Arial" w:eastAsia="Arial" w:hAnsi="Arial"/>
                <w:sz w:val="20"/>
                <w:szCs w:val="20"/>
                <w:color w:val="auto"/>
              </w:rPr>
              <w:t xml:space="preserve">[ *** </w:t>
            </w:r>
            <w:r>
              <w:rPr>
                <w:rFonts w:ascii="Arial" w:cs="Arial" w:eastAsia="Arial" w:hAnsi="Arial"/>
                <w:sz w:val="21"/>
                <w:szCs w:val="21"/>
                <w:color w:val="auto"/>
              </w:rPr>
              <w:t>]</w:t>
            </w:r>
          </w:p>
        </w:tc>
        <w:tc>
          <w:tcPr>
            <w:tcW w:w="2300" w:type="dxa"/>
            <w:vAlign w:val="bottom"/>
            <w:tcBorders>
              <w:right w:val="single" w:sz="8" w:color="auto"/>
            </w:tcBorders>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c>
          <w:tcPr>
            <w:tcW w:w="22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4"/>
              </w:rPr>
              <w:t>Receive Data Load File Sign-</w:t>
            </w:r>
          </w:p>
        </w:tc>
        <w:tc>
          <w:tcPr>
            <w:tcW w:w="0" w:type="dxa"/>
            <w:vAlign w:val="bottom"/>
          </w:tcPr>
          <w:p>
            <w:pPr>
              <w:spacing w:after="0"/>
              <w:rPr>
                <w:sz w:val="1"/>
                <w:szCs w:val="1"/>
                <w:color w:val="auto"/>
              </w:rPr>
            </w:pPr>
          </w:p>
        </w:tc>
      </w:tr>
      <w:tr>
        <w:trPr>
          <w:trHeight w:val="233"/>
        </w:trPr>
        <w:tc>
          <w:tcPr>
            <w:tcW w:w="2320" w:type="dxa"/>
            <w:vAlign w:val="bottom"/>
            <w:tcBorders>
              <w:left w:val="single" w:sz="8" w:color="auto"/>
              <w:right w:val="single" w:sz="8" w:color="auto"/>
            </w:tcBorders>
            <w:gridSpan w:val="10"/>
          </w:tcPr>
          <w:p>
            <w:pPr>
              <w:ind w:left="40"/>
              <w:spacing w:after="0"/>
              <w:rPr>
                <w:sz w:val="20"/>
                <w:szCs w:val="20"/>
                <w:color w:val="auto"/>
              </w:rPr>
            </w:pPr>
            <w:r>
              <w:rPr>
                <w:rFonts w:ascii="Arial" w:cs="Arial" w:eastAsia="Arial" w:hAnsi="Arial"/>
                <w:sz w:val="18"/>
                <w:szCs w:val="18"/>
                <w:color w:val="auto"/>
              </w:rPr>
              <w:t>Data Load File Sign-Off</w:t>
            </w:r>
          </w:p>
        </w:tc>
        <w:tc>
          <w:tcPr>
            <w:tcW w:w="2280" w:type="dxa"/>
            <w:vAlign w:val="bottom"/>
            <w:tcBorders>
              <w:right w:val="single" w:sz="8" w:color="auto"/>
            </w:tcBorders>
            <w:vMerge w:val="continue"/>
          </w:tcPr>
          <w:p>
            <w:pPr>
              <w:spacing w:after="0"/>
              <w:rPr>
                <w:sz w:val="20"/>
                <w:szCs w:val="20"/>
                <w:color w:val="auto"/>
              </w:rPr>
            </w:pPr>
          </w:p>
        </w:tc>
        <w:tc>
          <w:tcPr>
            <w:tcW w:w="23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Approve Data Load File</w:t>
            </w:r>
          </w:p>
        </w:tc>
        <w:tc>
          <w:tcPr>
            <w:tcW w:w="2260" w:type="dxa"/>
            <w:vAlign w:val="bottom"/>
            <w:tcBorders>
              <w:right w:val="single" w:sz="8" w:color="auto"/>
            </w:tcBorders>
          </w:tcPr>
          <w:p>
            <w:pPr>
              <w:spacing w:after="0"/>
              <w:rPr>
                <w:sz w:val="20"/>
                <w:szCs w:val="20"/>
                <w:color w:val="auto"/>
              </w:rPr>
            </w:pPr>
          </w:p>
        </w:tc>
        <w:tc>
          <w:tcPr>
            <w:tcW w:w="22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Off</w:t>
            </w:r>
          </w:p>
        </w:tc>
        <w:tc>
          <w:tcPr>
            <w:tcW w:w="0" w:type="dxa"/>
            <w:vAlign w:val="bottom"/>
          </w:tcPr>
          <w:p>
            <w:pPr>
              <w:spacing w:after="0"/>
              <w:rPr>
                <w:sz w:val="1"/>
                <w:szCs w:val="1"/>
                <w:color w:val="auto"/>
              </w:rPr>
            </w:pPr>
          </w:p>
        </w:tc>
      </w:tr>
      <w:tr>
        <w:trPr>
          <w:trHeight w:val="21"/>
        </w:trPr>
        <w:tc>
          <w:tcPr>
            <w:tcW w:w="40" w:type="dxa"/>
            <w:vAlign w:val="bottom"/>
            <w:tcBorders>
              <w:left w:val="single" w:sz="8" w:color="auto"/>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right w:val="single" w:sz="8" w:color="auto"/>
            </w:tcBorders>
          </w:tcPr>
          <w:p>
            <w:pPr>
              <w:spacing w:after="0" w:line="20" w:lineRule="exact"/>
              <w:rPr>
                <w:sz w:val="1"/>
                <w:szCs w:val="1"/>
                <w:color w:val="auto"/>
              </w:rPr>
            </w:pPr>
          </w:p>
        </w:tc>
        <w:tc>
          <w:tcPr>
            <w:tcW w:w="2280" w:type="dxa"/>
            <w:vAlign w:val="bottom"/>
            <w:tcBorders>
              <w:bottom w:val="single" w:sz="8" w:color="auto"/>
              <w:right w:val="single" w:sz="8" w:color="auto"/>
            </w:tcBorders>
          </w:tcPr>
          <w:p>
            <w:pPr>
              <w:spacing w:after="0" w:line="20" w:lineRule="exact"/>
              <w:rPr>
                <w:sz w:val="1"/>
                <w:szCs w:val="1"/>
                <w:color w:val="auto"/>
              </w:rPr>
            </w:pPr>
          </w:p>
        </w:tc>
        <w:tc>
          <w:tcPr>
            <w:tcW w:w="2300" w:type="dxa"/>
            <w:vAlign w:val="bottom"/>
            <w:tcBorders>
              <w:bottom w:val="single" w:sz="8" w:color="auto"/>
              <w:right w:val="single" w:sz="8" w:color="auto"/>
            </w:tcBorders>
          </w:tcPr>
          <w:p>
            <w:pPr>
              <w:spacing w:after="0" w:line="20" w:lineRule="exact"/>
              <w:rPr>
                <w:sz w:val="1"/>
                <w:szCs w:val="1"/>
                <w:color w:val="auto"/>
              </w:rPr>
            </w:pPr>
          </w:p>
        </w:tc>
        <w:tc>
          <w:tcPr>
            <w:tcW w:w="2260" w:type="dxa"/>
            <w:vAlign w:val="bottom"/>
            <w:tcBorders>
              <w:bottom w:val="single" w:sz="8" w:color="auto"/>
              <w:right w:val="single" w:sz="8" w:color="auto"/>
            </w:tcBorders>
          </w:tcPr>
          <w:p>
            <w:pPr>
              <w:spacing w:after="0" w:line="20" w:lineRule="exact"/>
              <w:rPr>
                <w:sz w:val="1"/>
                <w:szCs w:val="1"/>
                <w:color w:val="auto"/>
              </w:rPr>
            </w:pPr>
          </w:p>
        </w:tc>
        <w:tc>
          <w:tcPr>
            <w:tcW w:w="22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Appendix 6.7 - 2</w:t>
      </w:r>
    </w:p>
    <w:p>
      <w:pPr>
        <w:sectPr>
          <w:pgSz w:w="11900" w:h="16838" w:orient="portrait"/>
          <w:cols w:equalWidth="0" w:num="1">
            <w:col w:w="11440"/>
          </w:cols>
          <w:pgMar w:left="240" w:top="670" w:right="219" w:bottom="1440" w:gutter="0" w:footer="0" w:header="0"/>
        </w:sectPr>
      </w:pPr>
    </w:p>
    <w:bookmarkStart w:id="200" w:name="page201"/>
    <w:bookmarkEnd w:id="200"/>
    <w:p>
      <w:pPr>
        <w:jc w:val="center"/>
        <w:ind w:right="-139"/>
        <w:spacing w:after="0"/>
        <w:rPr>
          <w:sz w:val="20"/>
          <w:szCs w:val="20"/>
          <w:color w:val="auto"/>
        </w:rPr>
      </w:pPr>
      <w:r>
        <w:rPr>
          <w:rFonts w:ascii="Arial" w:cs="Arial" w:eastAsia="Arial" w:hAnsi="Arial"/>
          <w:sz w:val="20"/>
          <w:szCs w:val="20"/>
          <w:b w:val="1"/>
          <w:bCs w:val="1"/>
          <w:u w:val="single" w:color="auto"/>
          <w:color w:val="auto"/>
        </w:rPr>
        <w:t>Appendix 8.2(d)</w:t>
      </w:r>
    </w:p>
    <w:p>
      <w:pPr>
        <w:spacing w:after="0" w:line="208" w:lineRule="exact"/>
        <w:rPr>
          <w:sz w:val="20"/>
          <w:szCs w:val="20"/>
          <w:color w:val="auto"/>
        </w:rPr>
      </w:pPr>
    </w:p>
    <w:p>
      <w:pPr>
        <w:jc w:val="center"/>
        <w:ind w:right="-139"/>
        <w:spacing w:after="0"/>
        <w:rPr>
          <w:sz w:val="20"/>
          <w:szCs w:val="20"/>
          <w:color w:val="auto"/>
        </w:rPr>
      </w:pPr>
      <w:r>
        <w:rPr>
          <w:rFonts w:ascii="Arial" w:cs="Arial" w:eastAsia="Arial" w:hAnsi="Arial"/>
          <w:sz w:val="20"/>
          <w:szCs w:val="20"/>
          <w:b w:val="1"/>
          <w:bCs w:val="1"/>
          <w:color w:val="auto"/>
        </w:rPr>
        <w:t>Insurer Governmental Approvals</w:t>
      </w:r>
    </w:p>
    <w:p>
      <w:pPr>
        <w:spacing w:after="0" w:line="200" w:lineRule="exact"/>
        <w:rPr>
          <w:sz w:val="20"/>
          <w:szCs w:val="20"/>
          <w:color w:val="auto"/>
        </w:rPr>
      </w:pPr>
    </w:p>
    <w:p>
      <w:pPr>
        <w:spacing w:after="0" w:line="212" w:lineRule="exact"/>
        <w:rPr>
          <w:sz w:val="20"/>
          <w:szCs w:val="20"/>
          <w:color w:val="auto"/>
        </w:rPr>
      </w:pPr>
    </w:p>
    <w:p>
      <w:pPr>
        <w:ind w:left="600"/>
        <w:spacing w:after="0"/>
        <w:rPr>
          <w:sz w:val="20"/>
          <w:szCs w:val="20"/>
          <w:color w:val="auto"/>
        </w:rPr>
      </w:pPr>
      <w:r>
        <w:rPr>
          <w:rFonts w:ascii="Arial" w:cs="Arial" w:eastAsia="Arial" w:hAnsi="Arial"/>
          <w:sz w:val="20"/>
          <w:szCs w:val="20"/>
          <w:color w:val="auto"/>
        </w:rPr>
        <w:t>The Insurer considers the following agreements and documents as regulatory approvals “Required for Closing”:</w:t>
      </w:r>
    </w:p>
    <w:p>
      <w:pPr>
        <w:spacing w:after="0" w:line="200" w:lineRule="exact"/>
        <w:rPr>
          <w:sz w:val="20"/>
          <w:szCs w:val="20"/>
          <w:color w:val="auto"/>
        </w:rPr>
      </w:pPr>
    </w:p>
    <w:p>
      <w:pPr>
        <w:spacing w:after="0" w:line="208" w:lineRule="exact"/>
        <w:rPr>
          <w:sz w:val="20"/>
          <w:szCs w:val="20"/>
          <w:color w:val="auto"/>
        </w:rPr>
      </w:pPr>
    </w:p>
    <w:p>
      <w:pPr>
        <w:ind w:left="1200" w:hanging="599"/>
        <w:spacing w:after="0"/>
        <w:tabs>
          <w:tab w:leader="none" w:pos="1200" w:val="left"/>
        </w:tabs>
        <w:numPr>
          <w:ilvl w:val="0"/>
          <w:numId w:val="172"/>
        </w:numPr>
        <w:rPr>
          <w:rFonts w:ascii="Arial" w:cs="Arial" w:eastAsia="Arial" w:hAnsi="Arial"/>
          <w:sz w:val="20"/>
          <w:szCs w:val="20"/>
          <w:color w:val="auto"/>
        </w:rPr>
      </w:pPr>
      <w:r>
        <w:rPr>
          <w:rFonts w:ascii="Arial" w:cs="Arial" w:eastAsia="Arial" w:hAnsi="Arial"/>
          <w:sz w:val="20"/>
          <w:szCs w:val="20"/>
          <w:color w:val="auto"/>
        </w:rPr>
        <w:t>Group Annuity Contract: has been approved by the New York State Department of Financial Services.</w:t>
      </w:r>
    </w:p>
    <w:p>
      <w:pPr>
        <w:spacing w:after="0" w:line="200" w:lineRule="exact"/>
        <w:rPr>
          <w:rFonts w:ascii="Arial" w:cs="Arial" w:eastAsia="Arial" w:hAnsi="Arial"/>
          <w:sz w:val="20"/>
          <w:szCs w:val="20"/>
          <w:color w:val="auto"/>
        </w:rPr>
      </w:pPr>
    </w:p>
    <w:p>
      <w:pPr>
        <w:spacing w:after="0" w:line="208" w:lineRule="exact"/>
        <w:rPr>
          <w:rFonts w:ascii="Arial" w:cs="Arial" w:eastAsia="Arial" w:hAnsi="Arial"/>
          <w:sz w:val="20"/>
          <w:szCs w:val="20"/>
          <w:color w:val="auto"/>
        </w:rPr>
      </w:pPr>
    </w:p>
    <w:p>
      <w:pPr>
        <w:ind w:left="1200" w:hanging="599"/>
        <w:spacing w:after="0" w:line="261" w:lineRule="auto"/>
        <w:tabs>
          <w:tab w:leader="none" w:pos="1200" w:val="left"/>
        </w:tabs>
        <w:numPr>
          <w:ilvl w:val="0"/>
          <w:numId w:val="172"/>
        </w:numPr>
        <w:rPr>
          <w:rFonts w:ascii="Arial" w:cs="Arial" w:eastAsia="Arial" w:hAnsi="Arial"/>
          <w:sz w:val="20"/>
          <w:szCs w:val="20"/>
          <w:color w:val="auto"/>
        </w:rPr>
      </w:pPr>
      <w:r>
        <w:rPr>
          <w:rFonts w:ascii="Arial" w:cs="Arial" w:eastAsia="Arial" w:hAnsi="Arial"/>
          <w:sz w:val="20"/>
          <w:szCs w:val="20"/>
          <w:color w:val="auto"/>
        </w:rPr>
        <w:t>Amendment to Contract 300 Article P transferring liability for lives not in pay status under Contract 300 Article P but with a guaranteed annuity under such contract to a new group annuity contract, such contract to be determined by mutual agreement: has been approved by the Michigan Office of Financial &amp; Insurance Regulation.</w:t>
      </w:r>
    </w:p>
    <w:p>
      <w:pPr>
        <w:spacing w:after="0" w:line="363" w:lineRule="exact"/>
        <w:rPr>
          <w:rFonts w:ascii="Arial" w:cs="Arial" w:eastAsia="Arial" w:hAnsi="Arial"/>
          <w:sz w:val="20"/>
          <w:szCs w:val="20"/>
          <w:color w:val="auto"/>
        </w:rPr>
      </w:pPr>
    </w:p>
    <w:p>
      <w:pPr>
        <w:ind w:left="1200" w:right="80" w:hanging="599"/>
        <w:spacing w:after="0" w:line="275" w:lineRule="auto"/>
        <w:tabs>
          <w:tab w:leader="none" w:pos="1200" w:val="left"/>
        </w:tabs>
        <w:numPr>
          <w:ilvl w:val="0"/>
          <w:numId w:val="172"/>
        </w:numPr>
        <w:rPr>
          <w:rFonts w:ascii="Arial" w:cs="Arial" w:eastAsia="Arial" w:hAnsi="Arial"/>
          <w:sz w:val="20"/>
          <w:szCs w:val="20"/>
          <w:color w:val="auto"/>
        </w:rPr>
      </w:pPr>
      <w:r>
        <w:rPr>
          <w:rFonts w:ascii="Arial" w:cs="Arial" w:eastAsia="Arial" w:hAnsi="Arial"/>
          <w:sz w:val="20"/>
          <w:szCs w:val="20"/>
          <w:color w:val="auto"/>
        </w:rPr>
        <w:t>Plan of Operations: has been approved by the New York State Department of Financial Services and New Jersey Department of Banking and Insurance.</w:t>
      </w:r>
    </w:p>
    <w:p>
      <w:pPr>
        <w:spacing w:after="0" w:line="349" w:lineRule="exact"/>
        <w:rPr>
          <w:rFonts w:ascii="Arial" w:cs="Arial" w:eastAsia="Arial" w:hAnsi="Arial"/>
          <w:sz w:val="20"/>
          <w:szCs w:val="20"/>
          <w:color w:val="auto"/>
        </w:rPr>
      </w:pPr>
    </w:p>
    <w:p>
      <w:pPr>
        <w:ind w:left="1200" w:hanging="599"/>
        <w:spacing w:after="0"/>
        <w:tabs>
          <w:tab w:leader="none" w:pos="1200" w:val="left"/>
        </w:tabs>
        <w:numPr>
          <w:ilvl w:val="0"/>
          <w:numId w:val="172"/>
        </w:numPr>
        <w:rPr>
          <w:rFonts w:ascii="Arial" w:cs="Arial" w:eastAsia="Arial" w:hAnsi="Arial"/>
          <w:sz w:val="20"/>
          <w:szCs w:val="20"/>
          <w:color w:val="auto"/>
        </w:rPr>
      </w:pPr>
      <w:r>
        <w:rPr>
          <w:rFonts w:ascii="Arial" w:cs="Arial" w:eastAsia="Arial" w:hAnsi="Arial"/>
          <w:sz w:val="20"/>
          <w:szCs w:val="20"/>
          <w:color w:val="auto"/>
        </w:rPr>
        <w:t>Annuity Certificates: require filings with and approvals from the following states:</w:t>
      </w:r>
    </w:p>
    <w:p>
      <w:pPr>
        <w:spacing w:after="0" w:line="208" w:lineRule="exact"/>
        <w:rPr>
          <w:rFonts w:ascii="Arial" w:cs="Arial" w:eastAsia="Arial" w:hAnsi="Arial"/>
          <w:sz w:val="20"/>
          <w:szCs w:val="20"/>
          <w:color w:val="auto"/>
        </w:rPr>
      </w:pPr>
    </w:p>
    <w:p>
      <w:pPr>
        <w:ind w:left="1800" w:hanging="298"/>
        <w:spacing w:after="0"/>
        <w:tabs>
          <w:tab w:leader="none" w:pos="1800" w:val="left"/>
        </w:tabs>
        <w:numPr>
          <w:ilvl w:val="1"/>
          <w:numId w:val="172"/>
        </w:numPr>
        <w:rPr>
          <w:rFonts w:ascii="Arial" w:cs="Arial" w:eastAsia="Arial" w:hAnsi="Arial"/>
          <w:sz w:val="17"/>
          <w:szCs w:val="17"/>
          <w:color w:val="auto"/>
        </w:rPr>
      </w:pPr>
      <w:r>
        <w:rPr>
          <w:rFonts w:ascii="Arial" w:cs="Arial" w:eastAsia="Arial" w:hAnsi="Arial"/>
          <w:sz w:val="20"/>
          <w:szCs w:val="20"/>
          <w:color w:val="auto"/>
        </w:rPr>
        <w:t>New York</w:t>
      </w:r>
    </w:p>
    <w:p>
      <w:pPr>
        <w:spacing w:after="0" w:line="245" w:lineRule="exact"/>
        <w:rPr>
          <w:rFonts w:ascii="Arial" w:cs="Arial" w:eastAsia="Arial" w:hAnsi="Arial"/>
          <w:sz w:val="17"/>
          <w:szCs w:val="17"/>
          <w:color w:val="auto"/>
        </w:rPr>
      </w:pPr>
    </w:p>
    <w:p>
      <w:pPr>
        <w:ind w:left="1800" w:hanging="298"/>
        <w:spacing w:after="0"/>
        <w:tabs>
          <w:tab w:leader="none" w:pos="1800" w:val="left"/>
        </w:tabs>
        <w:numPr>
          <w:ilvl w:val="1"/>
          <w:numId w:val="172"/>
        </w:numPr>
        <w:rPr>
          <w:rFonts w:ascii="Arial" w:cs="Arial" w:eastAsia="Arial" w:hAnsi="Arial"/>
          <w:sz w:val="17"/>
          <w:szCs w:val="17"/>
          <w:color w:val="auto"/>
        </w:rPr>
      </w:pPr>
      <w:r>
        <w:rPr>
          <w:rFonts w:ascii="Arial" w:cs="Arial" w:eastAsia="Arial" w:hAnsi="Arial"/>
          <w:sz w:val="20"/>
          <w:szCs w:val="20"/>
          <w:color w:val="auto"/>
        </w:rPr>
        <w:t>Ohio</w:t>
      </w:r>
    </w:p>
    <w:p>
      <w:pPr>
        <w:spacing w:after="0" w:line="245" w:lineRule="exact"/>
        <w:rPr>
          <w:rFonts w:ascii="Arial" w:cs="Arial" w:eastAsia="Arial" w:hAnsi="Arial"/>
          <w:sz w:val="17"/>
          <w:szCs w:val="17"/>
          <w:color w:val="auto"/>
        </w:rPr>
      </w:pPr>
    </w:p>
    <w:p>
      <w:pPr>
        <w:ind w:left="1800" w:hanging="298"/>
        <w:spacing w:after="0"/>
        <w:tabs>
          <w:tab w:leader="none" w:pos="1800" w:val="left"/>
        </w:tabs>
        <w:numPr>
          <w:ilvl w:val="1"/>
          <w:numId w:val="172"/>
        </w:numPr>
        <w:rPr>
          <w:rFonts w:ascii="Arial" w:cs="Arial" w:eastAsia="Arial" w:hAnsi="Arial"/>
          <w:sz w:val="17"/>
          <w:szCs w:val="17"/>
          <w:color w:val="auto"/>
        </w:rPr>
      </w:pPr>
      <w:r>
        <w:rPr>
          <w:rFonts w:ascii="Arial" w:cs="Arial" w:eastAsia="Arial" w:hAnsi="Arial"/>
          <w:sz w:val="20"/>
          <w:szCs w:val="20"/>
          <w:color w:val="auto"/>
        </w:rPr>
        <w:t>Florida</w:t>
      </w:r>
    </w:p>
    <w:p>
      <w:pPr>
        <w:spacing w:after="0" w:line="204" w:lineRule="exact"/>
        <w:rPr>
          <w:sz w:val="20"/>
          <w:szCs w:val="20"/>
          <w:color w:val="auto"/>
        </w:rPr>
      </w:pPr>
    </w:p>
    <w:p>
      <w:pPr>
        <w:ind w:right="80" w:firstLine="601"/>
        <w:spacing w:after="0" w:line="279" w:lineRule="auto"/>
        <w:rPr>
          <w:sz w:val="20"/>
          <w:szCs w:val="20"/>
          <w:color w:val="auto"/>
        </w:rPr>
      </w:pPr>
      <w:r>
        <w:rPr>
          <w:rFonts w:ascii="Arial" w:cs="Arial" w:eastAsia="Arial" w:hAnsi="Arial"/>
          <w:sz w:val="20"/>
          <w:szCs w:val="20"/>
          <w:color w:val="auto"/>
        </w:rPr>
        <w:t xml:space="preserve">The Insurer is seeking the following regulatory approvals in accordance with the terms of the Agreement, but such approvals are </w:t>
      </w:r>
      <w:r>
        <w:rPr>
          <w:rFonts w:ascii="Arial" w:cs="Arial" w:eastAsia="Arial" w:hAnsi="Arial"/>
          <w:sz w:val="20"/>
          <w:szCs w:val="20"/>
          <w:b w:val="1"/>
          <w:bCs w:val="1"/>
          <w:u w:val="single" w:color="auto"/>
          <w:color w:val="auto"/>
        </w:rPr>
        <w:t>not</w:t>
      </w:r>
      <w:r>
        <w:rPr>
          <w:rFonts w:ascii="Arial" w:cs="Arial" w:eastAsia="Arial" w:hAnsi="Arial"/>
          <w:sz w:val="20"/>
          <w:szCs w:val="20"/>
          <w:color w:val="auto"/>
        </w:rPr>
        <w:t xml:space="preserve"> “Required for Closing”*:</w:t>
      </w:r>
    </w:p>
    <w:p>
      <w:pPr>
        <w:spacing w:after="0" w:line="345" w:lineRule="exact"/>
        <w:rPr>
          <w:sz w:val="20"/>
          <w:szCs w:val="20"/>
          <w:color w:val="auto"/>
        </w:rPr>
      </w:pPr>
    </w:p>
    <w:p>
      <w:pPr>
        <w:ind w:left="1200" w:hanging="599"/>
        <w:spacing w:after="0"/>
        <w:tabs>
          <w:tab w:leader="none" w:pos="1200" w:val="left"/>
        </w:tabs>
        <w:numPr>
          <w:ilvl w:val="0"/>
          <w:numId w:val="173"/>
        </w:numPr>
        <w:rPr>
          <w:rFonts w:ascii="Arial" w:cs="Arial" w:eastAsia="Arial" w:hAnsi="Arial"/>
          <w:sz w:val="20"/>
          <w:szCs w:val="20"/>
          <w:color w:val="auto"/>
        </w:rPr>
      </w:pPr>
      <w:r>
        <w:rPr>
          <w:rFonts w:ascii="Arial" w:cs="Arial" w:eastAsia="Arial" w:hAnsi="Arial"/>
          <w:sz w:val="20"/>
          <w:szCs w:val="20"/>
          <w:color w:val="auto"/>
        </w:rPr>
        <w:t>Annuity Certificates: require certificate filings with and approvals from the following states:</w:t>
      </w:r>
    </w:p>
    <w:p>
      <w:pPr>
        <w:spacing w:after="0" w:line="208" w:lineRule="exact"/>
        <w:rPr>
          <w:rFonts w:ascii="Arial" w:cs="Arial" w:eastAsia="Arial" w:hAnsi="Arial"/>
          <w:sz w:val="20"/>
          <w:szCs w:val="20"/>
          <w:color w:val="auto"/>
        </w:rPr>
      </w:pPr>
    </w:p>
    <w:p>
      <w:pPr>
        <w:ind w:left="1800" w:hanging="298"/>
        <w:spacing w:after="0"/>
        <w:tabs>
          <w:tab w:leader="none" w:pos="1800" w:val="left"/>
        </w:tabs>
        <w:numPr>
          <w:ilvl w:val="1"/>
          <w:numId w:val="173"/>
        </w:numPr>
        <w:rPr>
          <w:rFonts w:ascii="Arial" w:cs="Arial" w:eastAsia="Arial" w:hAnsi="Arial"/>
          <w:sz w:val="17"/>
          <w:szCs w:val="17"/>
          <w:color w:val="auto"/>
        </w:rPr>
      </w:pPr>
      <w:r>
        <w:rPr>
          <w:rFonts w:ascii="Arial" w:cs="Arial" w:eastAsia="Arial" w:hAnsi="Arial"/>
          <w:sz w:val="20"/>
          <w:szCs w:val="20"/>
          <w:color w:val="auto"/>
        </w:rPr>
        <w:t>Arkansas</w:t>
      </w:r>
    </w:p>
    <w:p>
      <w:pPr>
        <w:spacing w:after="0" w:line="245" w:lineRule="exact"/>
        <w:rPr>
          <w:rFonts w:ascii="Arial" w:cs="Arial" w:eastAsia="Arial" w:hAnsi="Arial"/>
          <w:sz w:val="17"/>
          <w:szCs w:val="17"/>
          <w:color w:val="auto"/>
        </w:rPr>
      </w:pPr>
    </w:p>
    <w:p>
      <w:pPr>
        <w:ind w:left="1800" w:hanging="298"/>
        <w:spacing w:after="0"/>
        <w:tabs>
          <w:tab w:leader="none" w:pos="1800" w:val="left"/>
        </w:tabs>
        <w:numPr>
          <w:ilvl w:val="1"/>
          <w:numId w:val="173"/>
        </w:numPr>
        <w:rPr>
          <w:rFonts w:ascii="Arial" w:cs="Arial" w:eastAsia="Arial" w:hAnsi="Arial"/>
          <w:sz w:val="17"/>
          <w:szCs w:val="17"/>
          <w:color w:val="auto"/>
        </w:rPr>
      </w:pPr>
      <w:r>
        <w:rPr>
          <w:rFonts w:ascii="Arial" w:cs="Arial" w:eastAsia="Arial" w:hAnsi="Arial"/>
          <w:sz w:val="20"/>
          <w:szCs w:val="20"/>
          <w:color w:val="auto"/>
        </w:rPr>
        <w:t>Idaho</w:t>
      </w:r>
    </w:p>
    <w:p>
      <w:pPr>
        <w:spacing w:after="0" w:line="245" w:lineRule="exact"/>
        <w:rPr>
          <w:rFonts w:ascii="Arial" w:cs="Arial" w:eastAsia="Arial" w:hAnsi="Arial"/>
          <w:sz w:val="17"/>
          <w:szCs w:val="17"/>
          <w:color w:val="auto"/>
        </w:rPr>
      </w:pPr>
    </w:p>
    <w:p>
      <w:pPr>
        <w:ind w:left="1800" w:hanging="298"/>
        <w:spacing w:after="0"/>
        <w:tabs>
          <w:tab w:leader="none" w:pos="1800" w:val="left"/>
        </w:tabs>
        <w:numPr>
          <w:ilvl w:val="1"/>
          <w:numId w:val="173"/>
        </w:numPr>
        <w:rPr>
          <w:rFonts w:ascii="Arial" w:cs="Arial" w:eastAsia="Arial" w:hAnsi="Arial"/>
          <w:sz w:val="17"/>
          <w:szCs w:val="17"/>
          <w:color w:val="auto"/>
        </w:rPr>
      </w:pPr>
      <w:r>
        <w:rPr>
          <w:rFonts w:ascii="Arial" w:cs="Arial" w:eastAsia="Arial" w:hAnsi="Arial"/>
          <w:sz w:val="20"/>
          <w:szCs w:val="20"/>
          <w:color w:val="auto"/>
        </w:rPr>
        <w:t>Iowa</w:t>
      </w:r>
    </w:p>
    <w:p>
      <w:pPr>
        <w:spacing w:after="0" w:line="245" w:lineRule="exact"/>
        <w:rPr>
          <w:rFonts w:ascii="Arial" w:cs="Arial" w:eastAsia="Arial" w:hAnsi="Arial"/>
          <w:sz w:val="17"/>
          <w:szCs w:val="17"/>
          <w:color w:val="auto"/>
        </w:rPr>
      </w:pPr>
    </w:p>
    <w:p>
      <w:pPr>
        <w:ind w:left="1800" w:hanging="298"/>
        <w:spacing w:after="0"/>
        <w:tabs>
          <w:tab w:leader="none" w:pos="1800" w:val="left"/>
        </w:tabs>
        <w:numPr>
          <w:ilvl w:val="1"/>
          <w:numId w:val="173"/>
        </w:numPr>
        <w:rPr>
          <w:rFonts w:ascii="Arial" w:cs="Arial" w:eastAsia="Arial" w:hAnsi="Arial"/>
          <w:sz w:val="17"/>
          <w:szCs w:val="17"/>
          <w:color w:val="auto"/>
        </w:rPr>
      </w:pPr>
      <w:r>
        <w:rPr>
          <w:rFonts w:ascii="Arial" w:cs="Arial" w:eastAsia="Arial" w:hAnsi="Arial"/>
          <w:sz w:val="20"/>
          <w:szCs w:val="20"/>
          <w:color w:val="auto"/>
        </w:rPr>
        <w:t>Louisiana</w:t>
      </w:r>
    </w:p>
    <w:p>
      <w:pPr>
        <w:spacing w:after="0" w:line="245" w:lineRule="exact"/>
        <w:rPr>
          <w:rFonts w:ascii="Arial" w:cs="Arial" w:eastAsia="Arial" w:hAnsi="Arial"/>
          <w:sz w:val="17"/>
          <w:szCs w:val="17"/>
          <w:color w:val="auto"/>
        </w:rPr>
      </w:pPr>
    </w:p>
    <w:p>
      <w:pPr>
        <w:ind w:left="1800" w:hanging="298"/>
        <w:spacing w:after="0"/>
        <w:tabs>
          <w:tab w:leader="none" w:pos="1800" w:val="left"/>
        </w:tabs>
        <w:numPr>
          <w:ilvl w:val="1"/>
          <w:numId w:val="173"/>
        </w:numPr>
        <w:rPr>
          <w:rFonts w:ascii="Arial" w:cs="Arial" w:eastAsia="Arial" w:hAnsi="Arial"/>
          <w:sz w:val="17"/>
          <w:szCs w:val="17"/>
          <w:color w:val="auto"/>
        </w:rPr>
      </w:pPr>
      <w:r>
        <w:rPr>
          <w:rFonts w:ascii="Arial" w:cs="Arial" w:eastAsia="Arial" w:hAnsi="Arial"/>
          <w:sz w:val="20"/>
          <w:szCs w:val="20"/>
          <w:color w:val="auto"/>
        </w:rPr>
        <w:t>Minnesota</w:t>
      </w:r>
    </w:p>
    <w:p>
      <w:pPr>
        <w:spacing w:after="0" w:line="245" w:lineRule="exact"/>
        <w:rPr>
          <w:rFonts w:ascii="Arial" w:cs="Arial" w:eastAsia="Arial" w:hAnsi="Arial"/>
          <w:sz w:val="17"/>
          <w:szCs w:val="17"/>
          <w:color w:val="auto"/>
        </w:rPr>
      </w:pPr>
    </w:p>
    <w:p>
      <w:pPr>
        <w:ind w:left="1800" w:hanging="298"/>
        <w:spacing w:after="0"/>
        <w:tabs>
          <w:tab w:leader="none" w:pos="1800" w:val="left"/>
        </w:tabs>
        <w:numPr>
          <w:ilvl w:val="1"/>
          <w:numId w:val="173"/>
        </w:numPr>
        <w:rPr>
          <w:rFonts w:ascii="Arial" w:cs="Arial" w:eastAsia="Arial" w:hAnsi="Arial"/>
          <w:sz w:val="17"/>
          <w:szCs w:val="17"/>
          <w:color w:val="auto"/>
        </w:rPr>
      </w:pPr>
      <w:r>
        <w:rPr>
          <w:rFonts w:ascii="Arial" w:cs="Arial" w:eastAsia="Arial" w:hAnsi="Arial"/>
          <w:sz w:val="20"/>
          <w:szCs w:val="20"/>
          <w:color w:val="auto"/>
        </w:rPr>
        <w:t>Mississippi</w:t>
      </w:r>
    </w:p>
    <w:p>
      <w:pPr>
        <w:spacing w:after="0" w:line="245" w:lineRule="exact"/>
        <w:rPr>
          <w:rFonts w:ascii="Arial" w:cs="Arial" w:eastAsia="Arial" w:hAnsi="Arial"/>
          <w:sz w:val="17"/>
          <w:szCs w:val="17"/>
          <w:color w:val="auto"/>
        </w:rPr>
      </w:pPr>
    </w:p>
    <w:p>
      <w:pPr>
        <w:ind w:left="1800" w:hanging="298"/>
        <w:spacing w:after="0"/>
        <w:tabs>
          <w:tab w:leader="none" w:pos="1800" w:val="left"/>
        </w:tabs>
        <w:numPr>
          <w:ilvl w:val="1"/>
          <w:numId w:val="173"/>
        </w:numPr>
        <w:rPr>
          <w:rFonts w:ascii="Arial" w:cs="Arial" w:eastAsia="Arial" w:hAnsi="Arial"/>
          <w:sz w:val="17"/>
          <w:szCs w:val="17"/>
          <w:color w:val="auto"/>
        </w:rPr>
      </w:pPr>
      <w:r>
        <w:rPr>
          <w:rFonts w:ascii="Arial" w:cs="Arial" w:eastAsia="Arial" w:hAnsi="Arial"/>
          <w:sz w:val="20"/>
          <w:szCs w:val="20"/>
          <w:color w:val="auto"/>
        </w:rPr>
        <w:t>Montana</w:t>
      </w:r>
    </w:p>
    <w:p>
      <w:pPr>
        <w:spacing w:after="0" w:line="245" w:lineRule="exact"/>
        <w:rPr>
          <w:rFonts w:ascii="Arial" w:cs="Arial" w:eastAsia="Arial" w:hAnsi="Arial"/>
          <w:sz w:val="17"/>
          <w:szCs w:val="17"/>
          <w:color w:val="auto"/>
        </w:rPr>
      </w:pPr>
    </w:p>
    <w:p>
      <w:pPr>
        <w:ind w:left="1800" w:hanging="298"/>
        <w:spacing w:after="0"/>
        <w:tabs>
          <w:tab w:leader="none" w:pos="1800" w:val="left"/>
        </w:tabs>
        <w:numPr>
          <w:ilvl w:val="1"/>
          <w:numId w:val="173"/>
        </w:numPr>
        <w:rPr>
          <w:rFonts w:ascii="Arial" w:cs="Arial" w:eastAsia="Arial" w:hAnsi="Arial"/>
          <w:sz w:val="17"/>
          <w:szCs w:val="17"/>
          <w:color w:val="auto"/>
        </w:rPr>
      </w:pPr>
      <w:r>
        <w:rPr>
          <w:rFonts w:ascii="Arial" w:cs="Arial" w:eastAsia="Arial" w:hAnsi="Arial"/>
          <w:sz w:val="20"/>
          <w:szCs w:val="20"/>
          <w:color w:val="auto"/>
        </w:rPr>
        <w:t>New Hampshire</w:t>
      </w:r>
    </w:p>
    <w:p>
      <w:pPr>
        <w:spacing w:after="0" w:line="245" w:lineRule="exact"/>
        <w:rPr>
          <w:rFonts w:ascii="Arial" w:cs="Arial" w:eastAsia="Arial" w:hAnsi="Arial"/>
          <w:sz w:val="17"/>
          <w:szCs w:val="17"/>
          <w:color w:val="auto"/>
        </w:rPr>
      </w:pPr>
    </w:p>
    <w:p>
      <w:pPr>
        <w:ind w:left="1800" w:hanging="298"/>
        <w:spacing w:after="0"/>
        <w:tabs>
          <w:tab w:leader="none" w:pos="1800" w:val="left"/>
        </w:tabs>
        <w:numPr>
          <w:ilvl w:val="1"/>
          <w:numId w:val="173"/>
        </w:numPr>
        <w:rPr>
          <w:rFonts w:ascii="Arial" w:cs="Arial" w:eastAsia="Arial" w:hAnsi="Arial"/>
          <w:sz w:val="17"/>
          <w:szCs w:val="17"/>
          <w:color w:val="auto"/>
        </w:rPr>
      </w:pPr>
      <w:r>
        <w:rPr>
          <w:rFonts w:ascii="Arial" w:cs="Arial" w:eastAsia="Arial" w:hAnsi="Arial"/>
          <w:sz w:val="20"/>
          <w:szCs w:val="20"/>
          <w:color w:val="auto"/>
        </w:rPr>
        <w:t>Oklahoma</w:t>
      </w:r>
    </w:p>
    <w:p>
      <w:pPr>
        <w:spacing w:after="0" w:line="229"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Appendix 8.2(d) - 1</w:t>
      </w:r>
    </w:p>
    <w:p>
      <w:pPr>
        <w:sectPr>
          <w:pgSz w:w="11900" w:h="16838" w:orient="portrait"/>
          <w:cols w:equalWidth="0" w:num="1">
            <w:col w:w="11300"/>
          </w:cols>
          <w:pgMar w:left="240" w:top="903" w:right="359" w:bottom="1440" w:gutter="0" w:footer="0" w:header="0"/>
        </w:sectPr>
      </w:pPr>
    </w:p>
    <w:bookmarkStart w:id="201" w:name="page202"/>
    <w:bookmarkEnd w:id="201"/>
    <w:p>
      <w:pPr>
        <w:ind w:left="600" w:hanging="298"/>
        <w:spacing w:after="0"/>
        <w:tabs>
          <w:tab w:leader="none" w:pos="600" w:val="left"/>
        </w:tabs>
        <w:numPr>
          <w:ilvl w:val="0"/>
          <w:numId w:val="174"/>
        </w:numPr>
        <w:rPr>
          <w:rFonts w:ascii="Arial" w:cs="Arial" w:eastAsia="Arial" w:hAnsi="Arial"/>
          <w:sz w:val="17"/>
          <w:szCs w:val="17"/>
          <w:color w:val="auto"/>
        </w:rPr>
      </w:pPr>
      <w:r>
        <w:rPr>
          <w:rFonts w:ascii="Arial" w:cs="Arial" w:eastAsia="Arial" w:hAnsi="Arial"/>
          <w:sz w:val="20"/>
          <w:szCs w:val="20"/>
          <w:color w:val="auto"/>
        </w:rPr>
        <w:t>South Dakota</w:t>
      </w:r>
    </w:p>
    <w:p>
      <w:pPr>
        <w:spacing w:after="0" w:line="245" w:lineRule="exact"/>
        <w:rPr>
          <w:rFonts w:ascii="Arial" w:cs="Arial" w:eastAsia="Arial" w:hAnsi="Arial"/>
          <w:sz w:val="17"/>
          <w:szCs w:val="17"/>
          <w:color w:val="auto"/>
        </w:rPr>
      </w:pPr>
    </w:p>
    <w:p>
      <w:pPr>
        <w:ind w:left="600" w:hanging="298"/>
        <w:spacing w:after="0"/>
        <w:tabs>
          <w:tab w:leader="none" w:pos="600" w:val="left"/>
        </w:tabs>
        <w:numPr>
          <w:ilvl w:val="0"/>
          <w:numId w:val="174"/>
        </w:numPr>
        <w:rPr>
          <w:rFonts w:ascii="Arial" w:cs="Arial" w:eastAsia="Arial" w:hAnsi="Arial"/>
          <w:sz w:val="17"/>
          <w:szCs w:val="17"/>
          <w:color w:val="auto"/>
        </w:rPr>
      </w:pPr>
      <w:r>
        <w:rPr>
          <w:rFonts w:ascii="Arial" w:cs="Arial" w:eastAsia="Arial" w:hAnsi="Arial"/>
          <w:sz w:val="20"/>
          <w:szCs w:val="20"/>
          <w:color w:val="auto"/>
        </w:rPr>
        <w:t>Vermont</w:t>
      </w:r>
    </w:p>
    <w:p>
      <w:pPr>
        <w:spacing w:after="0" w:line="245" w:lineRule="exact"/>
        <w:rPr>
          <w:rFonts w:ascii="Arial" w:cs="Arial" w:eastAsia="Arial" w:hAnsi="Arial"/>
          <w:sz w:val="17"/>
          <w:szCs w:val="17"/>
          <w:color w:val="auto"/>
        </w:rPr>
      </w:pPr>
    </w:p>
    <w:p>
      <w:pPr>
        <w:ind w:left="600" w:hanging="298"/>
        <w:spacing w:after="0"/>
        <w:tabs>
          <w:tab w:leader="none" w:pos="600" w:val="left"/>
        </w:tabs>
        <w:numPr>
          <w:ilvl w:val="0"/>
          <w:numId w:val="174"/>
        </w:numPr>
        <w:rPr>
          <w:rFonts w:ascii="Arial" w:cs="Arial" w:eastAsia="Arial" w:hAnsi="Arial"/>
          <w:sz w:val="17"/>
          <w:szCs w:val="17"/>
          <w:color w:val="auto"/>
        </w:rPr>
      </w:pPr>
      <w:r>
        <w:rPr>
          <w:rFonts w:ascii="Arial" w:cs="Arial" w:eastAsia="Arial" w:hAnsi="Arial"/>
          <w:sz w:val="20"/>
          <w:szCs w:val="20"/>
          <w:color w:val="auto"/>
        </w:rPr>
        <w:t>Washington</w:t>
      </w:r>
    </w:p>
    <w:p>
      <w:pPr>
        <w:spacing w:after="0" w:line="245" w:lineRule="exact"/>
        <w:rPr>
          <w:rFonts w:ascii="Arial" w:cs="Arial" w:eastAsia="Arial" w:hAnsi="Arial"/>
          <w:sz w:val="17"/>
          <w:szCs w:val="17"/>
          <w:color w:val="auto"/>
        </w:rPr>
      </w:pPr>
    </w:p>
    <w:p>
      <w:pPr>
        <w:ind w:left="600" w:hanging="298"/>
        <w:spacing w:after="0"/>
        <w:tabs>
          <w:tab w:leader="none" w:pos="600" w:val="left"/>
        </w:tabs>
        <w:numPr>
          <w:ilvl w:val="0"/>
          <w:numId w:val="174"/>
        </w:numPr>
        <w:rPr>
          <w:rFonts w:ascii="Arial" w:cs="Arial" w:eastAsia="Arial" w:hAnsi="Arial"/>
          <w:sz w:val="20"/>
          <w:szCs w:val="20"/>
          <w:color w:val="auto"/>
        </w:rPr>
      </w:pPr>
      <w:r>
        <w:rPr>
          <w:rFonts w:ascii="Arial" w:cs="Arial" w:eastAsia="Arial" w:hAnsi="Arial"/>
          <w:sz w:val="20"/>
          <w:szCs w:val="20"/>
          <w:color w:val="auto"/>
        </w:rPr>
        <w:t>West Virginia</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Appendix 8.2(d) - 2</w:t>
      </w:r>
    </w:p>
    <w:p>
      <w:pPr>
        <w:sectPr>
          <w:pgSz w:w="11900" w:h="16838" w:orient="portrait"/>
          <w:cols w:equalWidth="0" w:num="1">
            <w:col w:w="9019"/>
          </w:cols>
          <w:pgMar w:left="1440" w:top="557" w:right="1440" w:bottom="1440" w:gutter="0" w:footer="0" w:header="0"/>
        </w:sectPr>
      </w:pPr>
    </w:p>
    <w:bookmarkStart w:id="202" w:name="page203"/>
    <w:bookmarkEnd w:id="202"/>
    <w:p>
      <w:pPr>
        <w:jc w:val="center"/>
        <w:ind w:right="-39"/>
        <w:spacing w:after="0"/>
        <w:rPr>
          <w:sz w:val="20"/>
          <w:szCs w:val="20"/>
          <w:color w:val="auto"/>
        </w:rPr>
      </w:pPr>
      <w:r>
        <w:rPr>
          <w:rFonts w:ascii="Arial" w:cs="Arial" w:eastAsia="Arial" w:hAnsi="Arial"/>
          <w:sz w:val="20"/>
          <w:szCs w:val="20"/>
          <w:b w:val="1"/>
          <w:bCs w:val="1"/>
          <w:color w:val="auto"/>
        </w:rPr>
        <w:t>Appendix 8.2(e)</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PLAN GOVERNMENTAL APPROVALS</w:t>
      </w:r>
    </w:p>
    <w:p>
      <w:pPr>
        <w:spacing w:after="0" w:line="200" w:lineRule="exact"/>
        <w:rPr>
          <w:sz w:val="20"/>
          <w:szCs w:val="20"/>
          <w:color w:val="auto"/>
        </w:rPr>
      </w:pPr>
    </w:p>
    <w:p>
      <w:pPr>
        <w:spacing w:after="0" w:line="212" w:lineRule="exact"/>
        <w:rPr>
          <w:sz w:val="20"/>
          <w:szCs w:val="20"/>
          <w:color w:val="auto"/>
        </w:rPr>
      </w:pPr>
    </w:p>
    <w:p>
      <w:pPr>
        <w:jc w:val="both"/>
        <w:ind w:firstLine="601"/>
        <w:spacing w:after="0" w:line="282" w:lineRule="auto"/>
        <w:rPr>
          <w:sz w:val="20"/>
          <w:szCs w:val="20"/>
          <w:color w:val="auto"/>
        </w:rPr>
      </w:pPr>
      <w:r>
        <w:rPr>
          <w:rFonts w:ascii="Arial" w:cs="Arial" w:eastAsia="Arial" w:hAnsi="Arial"/>
          <w:sz w:val="19"/>
          <w:szCs w:val="19"/>
          <w:color w:val="auto"/>
        </w:rPr>
        <w:t>The relevant notification shall have been sent by the Company to the PBGC in respect of the contemplated transactions and the 60 day statutory waiting period shall have expired without the issuance of a notice of non-compliance (or, if such notice of non-compliance has been issued, any non-compliance issues shall have been resolved to the reasonable satisfaction of the Parties).</w:t>
      </w: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Appendix 8.2(e) - 1</w:t>
      </w:r>
    </w:p>
    <w:p>
      <w:pPr>
        <w:sectPr>
          <w:pgSz w:w="11900" w:h="16838" w:orient="portrait"/>
          <w:cols w:equalWidth="0" w:num="1">
            <w:col w:w="11380"/>
          </w:cols>
          <w:pgMar w:left="240" w:top="903" w:right="279" w:bottom="1440" w:gutter="0" w:footer="0" w:header="0"/>
        </w:sectPr>
      </w:pPr>
    </w:p>
    <w:bookmarkStart w:id="203" w:name="page204"/>
    <w:bookmarkEnd w:id="203"/>
    <w:p>
      <w:pPr>
        <w:jc w:val="right"/>
        <w:spacing w:after="0"/>
        <w:rPr>
          <w:sz w:val="20"/>
          <w:szCs w:val="20"/>
          <w:color w:val="auto"/>
        </w:rPr>
      </w:pPr>
      <w:r>
        <w:rPr>
          <w:rFonts w:ascii="Arial" w:cs="Arial" w:eastAsia="Arial" w:hAnsi="Arial"/>
          <w:sz w:val="20"/>
          <w:szCs w:val="20"/>
          <w:b w:val="1"/>
          <w:bCs w:val="1"/>
          <w:color w:val="auto"/>
        </w:rPr>
        <w:t>Date: [November 1, 2012]</w:t>
      </w:r>
    </w:p>
    <w:p>
      <w:pPr>
        <w:spacing w:after="0" w:line="208" w:lineRule="exact"/>
        <w:rPr>
          <w:sz w:val="20"/>
          <w:szCs w:val="20"/>
          <w:color w:val="auto"/>
        </w:rPr>
      </w:pPr>
    </w:p>
    <w:p>
      <w:pPr>
        <w:jc w:val="center"/>
        <w:ind w:right="640"/>
        <w:spacing w:after="0"/>
        <w:rPr>
          <w:sz w:val="20"/>
          <w:szCs w:val="20"/>
          <w:color w:val="auto"/>
        </w:rPr>
      </w:pPr>
      <w:r>
        <w:rPr>
          <w:rFonts w:ascii="Arial" w:cs="Arial" w:eastAsia="Arial" w:hAnsi="Arial"/>
          <w:sz w:val="20"/>
          <w:szCs w:val="20"/>
          <w:b w:val="1"/>
          <w:bCs w:val="1"/>
          <w:u w:val="single" w:color="auto"/>
          <w:color w:val="auto"/>
        </w:rPr>
        <w:t>Exhibit A</w:t>
      </w:r>
    </w:p>
    <w:p>
      <w:pPr>
        <w:spacing w:after="0" w:line="208" w:lineRule="exact"/>
        <w:rPr>
          <w:sz w:val="20"/>
          <w:szCs w:val="20"/>
          <w:color w:val="auto"/>
        </w:rPr>
      </w:pPr>
    </w:p>
    <w:p>
      <w:pPr>
        <w:jc w:val="center"/>
        <w:ind w:right="640"/>
        <w:spacing w:after="0"/>
        <w:rPr>
          <w:sz w:val="20"/>
          <w:szCs w:val="20"/>
          <w:color w:val="auto"/>
        </w:rPr>
      </w:pPr>
      <w:r>
        <w:rPr>
          <w:rFonts w:ascii="Arial" w:cs="Arial" w:eastAsia="Arial" w:hAnsi="Arial"/>
          <w:sz w:val="20"/>
          <w:szCs w:val="20"/>
          <w:b w:val="1"/>
          <w:bCs w:val="1"/>
          <w:u w:val="single" w:color="auto"/>
          <w:color w:val="auto"/>
        </w:rPr>
        <w:t>TRANSFERRED ASSETS SCHEDULE [CLOSING]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10" w:type="dxa"/>
        <w:tblCellMar>
          <w:top w:w="0" w:type="dxa"/>
          <w:left w:w="0" w:type="dxa"/>
          <w:bottom w:w="0" w:type="dxa"/>
          <w:right w:w="0" w:type="dxa"/>
        </w:tblCellMar>
      </w:tblPr>
      <w:tr>
        <w:trPr>
          <w:trHeight w:val="726"/>
        </w:trPr>
        <w:tc>
          <w:tcPr>
            <w:tcW w:w="7940" w:type="dxa"/>
            <w:vAlign w:val="bottom"/>
            <w:tcBorders>
              <w:top w:val="single" w:sz="8" w:color="auto"/>
              <w:left w:val="single" w:sz="8" w:color="auto"/>
              <w:bottom w:val="single" w:sz="8" w:color="auto"/>
              <w:right w:val="single" w:sz="8" w:color="auto"/>
            </w:tcBorders>
          </w:tcPr>
          <w:p>
            <w:pPr>
              <w:spacing w:after="0"/>
              <w:rPr>
                <w:sz w:val="24"/>
                <w:szCs w:val="24"/>
                <w:color w:val="auto"/>
              </w:rPr>
            </w:pPr>
          </w:p>
        </w:tc>
        <w:tc>
          <w:tcPr>
            <w:tcW w:w="2220" w:type="dxa"/>
            <w:vAlign w:val="bottom"/>
            <w:tcBorders>
              <w:top w:val="single" w:sz="8" w:color="auto"/>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22"/>
        </w:trPr>
        <w:tc>
          <w:tcPr>
            <w:tcW w:w="79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Total Contribution Amount</w:t>
            </w:r>
          </w:p>
        </w:tc>
        <w:tc>
          <w:tcPr>
            <w:tcW w:w="2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79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(as of [November 1, 2012])</w:t>
            </w:r>
          </w:p>
        </w:tc>
        <w:tc>
          <w:tcPr>
            <w:tcW w:w="2220" w:type="dxa"/>
            <w:vAlign w:val="bottom"/>
            <w:tcBorders>
              <w:right w:val="single" w:sz="8" w:color="auto"/>
            </w:tcBorders>
            <w:vMerge w:val="restart"/>
          </w:tcPr>
          <w:p>
            <w:pPr>
              <w:ind w:left="1880"/>
              <w:spacing w:after="0"/>
              <w:rPr>
                <w:sz w:val="20"/>
                <w:szCs w:val="20"/>
                <w:color w:val="auto"/>
              </w:rPr>
            </w:pPr>
            <w:r>
              <w:rPr>
                <w:rFonts w:ascii="Arial" w:cs="Arial" w:eastAsia="Arial" w:hAnsi="Arial"/>
                <w:sz w:val="20"/>
                <w:szCs w:val="20"/>
                <w:b w:val="1"/>
                <w:bCs w:val="1"/>
                <w:color w:val="auto"/>
                <w:w w:val="95"/>
              </w:rPr>
              <w:t>[$•]</w:t>
            </w:r>
          </w:p>
        </w:tc>
        <w:tc>
          <w:tcPr>
            <w:tcW w:w="0" w:type="dxa"/>
            <w:vAlign w:val="bottom"/>
          </w:tcPr>
          <w:p>
            <w:pPr>
              <w:spacing w:after="0"/>
              <w:rPr>
                <w:sz w:val="1"/>
                <w:szCs w:val="1"/>
                <w:color w:val="auto"/>
              </w:rPr>
            </w:pPr>
          </w:p>
        </w:tc>
      </w:tr>
      <w:tr>
        <w:trPr>
          <w:trHeight w:val="208"/>
        </w:trPr>
        <w:tc>
          <w:tcPr>
            <w:tcW w:w="7940" w:type="dxa"/>
            <w:vAlign w:val="bottom"/>
            <w:tcBorders>
              <w:left w:val="single" w:sz="8" w:color="auto"/>
              <w:bottom w:val="single" w:sz="8" w:color="auto"/>
              <w:right w:val="single" w:sz="8" w:color="auto"/>
            </w:tcBorders>
          </w:tcPr>
          <w:p>
            <w:pPr>
              <w:spacing w:after="0"/>
              <w:rPr>
                <w:sz w:val="18"/>
                <w:szCs w:val="18"/>
                <w:color w:val="auto"/>
              </w:rPr>
            </w:pPr>
          </w:p>
        </w:tc>
        <w:tc>
          <w:tcPr>
            <w:tcW w:w="2220" w:type="dxa"/>
            <w:vAlign w:val="bottom"/>
            <w:tcBorders>
              <w:bottom w:val="single" w:sz="8" w:color="auto"/>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54"/>
        </w:trPr>
        <w:tc>
          <w:tcPr>
            <w:tcW w:w="79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 xml:space="preserve">A. CONTRIBUTION PREVIOUSLY RECEIVED [ *** </w:t>
            </w:r>
            <w:r>
              <w:rPr>
                <w:rFonts w:ascii="Arial" w:cs="Arial" w:eastAsia="Arial" w:hAnsi="Arial"/>
                <w:sz w:val="21"/>
                <w:szCs w:val="21"/>
                <w:color w:val="auto"/>
              </w:rPr>
              <w:t>]</w:t>
            </w:r>
          </w:p>
        </w:tc>
        <w:tc>
          <w:tcPr>
            <w:tcW w:w="2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7940" w:type="dxa"/>
            <w:vAlign w:val="bottom"/>
            <w:tcBorders>
              <w:left w:val="single" w:sz="8" w:color="auto"/>
              <w:right w:val="single" w:sz="8" w:color="auto"/>
            </w:tcBorders>
          </w:tcPr>
          <w:p>
            <w:pPr>
              <w:ind w:left="640"/>
              <w:spacing w:after="0" w:line="223" w:lineRule="exact"/>
              <w:rPr>
                <w:sz w:val="20"/>
                <w:szCs w:val="20"/>
                <w:color w:val="auto"/>
              </w:rPr>
            </w:pPr>
            <w:r>
              <w:rPr>
                <w:rFonts w:ascii="Arial" w:cs="Arial" w:eastAsia="Arial" w:hAnsi="Arial"/>
                <w:sz w:val="20"/>
                <w:szCs w:val="20"/>
                <w:color w:val="auto"/>
              </w:rPr>
              <w:t>Agreed Market Value of</w:t>
            </w:r>
          </w:p>
        </w:tc>
        <w:tc>
          <w:tcPr>
            <w:tcW w:w="22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7940" w:type="dxa"/>
            <w:vAlign w:val="bottom"/>
            <w:tcBorders>
              <w:left w:val="single" w:sz="8" w:color="auto"/>
              <w:right w:val="single" w:sz="8" w:color="auto"/>
            </w:tcBorders>
          </w:tcPr>
          <w:p>
            <w:pPr>
              <w:ind w:left="640"/>
              <w:spacing w:after="0"/>
              <w:rPr>
                <w:sz w:val="20"/>
                <w:szCs w:val="20"/>
                <w:color w:val="auto"/>
              </w:rPr>
            </w:pPr>
            <w:r>
              <w:rPr>
                <w:rFonts w:ascii="Arial" w:cs="Arial" w:eastAsia="Arial" w:hAnsi="Arial"/>
                <w:sz w:val="20"/>
                <w:szCs w:val="20"/>
                <w:color w:val="auto"/>
              </w:rPr>
              <w:t xml:space="preserve">[ *** </w:t>
            </w:r>
            <w:r>
              <w:rPr>
                <w:rFonts w:ascii="Arial" w:cs="Arial" w:eastAsia="Arial" w:hAnsi="Arial"/>
                <w:sz w:val="21"/>
                <w:szCs w:val="21"/>
                <w:color w:val="auto"/>
              </w:rPr>
              <w:t>]</w:t>
            </w:r>
          </w:p>
        </w:tc>
        <w:tc>
          <w:tcPr>
            <w:tcW w:w="22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940" w:type="dxa"/>
            <w:vAlign w:val="bottom"/>
            <w:tcBorders>
              <w:left w:val="single" w:sz="8" w:color="auto"/>
              <w:right w:val="single" w:sz="8" w:color="auto"/>
            </w:tcBorders>
          </w:tcPr>
          <w:p>
            <w:pPr>
              <w:ind w:left="640"/>
              <w:spacing w:after="0"/>
              <w:rPr>
                <w:sz w:val="20"/>
                <w:szCs w:val="20"/>
                <w:color w:val="auto"/>
              </w:rPr>
            </w:pPr>
            <w:r>
              <w:rPr>
                <w:rFonts w:ascii="Arial" w:cs="Arial" w:eastAsia="Arial" w:hAnsi="Arial"/>
                <w:sz w:val="20"/>
                <w:szCs w:val="20"/>
                <w:color w:val="auto"/>
              </w:rPr>
              <w:t>(as of [October [•], 2012])</w:t>
            </w:r>
          </w:p>
        </w:tc>
        <w:tc>
          <w:tcPr>
            <w:tcW w:w="2220" w:type="dxa"/>
            <w:vAlign w:val="bottom"/>
            <w:tcBorders>
              <w:right w:val="single" w:sz="8" w:color="auto"/>
            </w:tcBorders>
            <w:vMerge w:val="restart"/>
          </w:tcPr>
          <w:p>
            <w:pPr>
              <w:ind w:left="1880"/>
              <w:spacing w:after="0"/>
              <w:rPr>
                <w:sz w:val="20"/>
                <w:szCs w:val="20"/>
                <w:color w:val="auto"/>
              </w:rPr>
            </w:pPr>
            <w:r>
              <w:rPr>
                <w:rFonts w:ascii="Arial" w:cs="Arial" w:eastAsia="Arial" w:hAnsi="Arial"/>
                <w:sz w:val="20"/>
                <w:szCs w:val="20"/>
                <w:b w:val="1"/>
                <w:bCs w:val="1"/>
                <w:color w:val="auto"/>
                <w:w w:val="95"/>
              </w:rPr>
              <w:t>[$•]</w:t>
            </w:r>
          </w:p>
        </w:tc>
        <w:tc>
          <w:tcPr>
            <w:tcW w:w="0" w:type="dxa"/>
            <w:vAlign w:val="bottom"/>
          </w:tcPr>
          <w:p>
            <w:pPr>
              <w:spacing w:after="0"/>
              <w:rPr>
                <w:sz w:val="1"/>
                <w:szCs w:val="1"/>
                <w:color w:val="auto"/>
              </w:rPr>
            </w:pPr>
          </w:p>
        </w:tc>
      </w:tr>
      <w:tr>
        <w:trPr>
          <w:trHeight w:val="208"/>
        </w:trPr>
        <w:tc>
          <w:tcPr>
            <w:tcW w:w="7940" w:type="dxa"/>
            <w:vAlign w:val="bottom"/>
            <w:tcBorders>
              <w:left w:val="single" w:sz="8" w:color="auto"/>
              <w:bottom w:val="single" w:sz="8" w:color="auto"/>
              <w:right w:val="single" w:sz="8" w:color="auto"/>
            </w:tcBorders>
          </w:tcPr>
          <w:p>
            <w:pPr>
              <w:spacing w:after="0"/>
              <w:rPr>
                <w:sz w:val="18"/>
                <w:szCs w:val="18"/>
                <w:color w:val="auto"/>
              </w:rPr>
            </w:pPr>
          </w:p>
        </w:tc>
        <w:tc>
          <w:tcPr>
            <w:tcW w:w="2220" w:type="dxa"/>
            <w:vAlign w:val="bottom"/>
            <w:tcBorders>
              <w:bottom w:val="single" w:sz="8" w:color="auto"/>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54"/>
        </w:trPr>
        <w:tc>
          <w:tcPr>
            <w:tcW w:w="79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 xml:space="preserve">B. ADJUSTED CONTRIBUTION [ *** </w:t>
            </w:r>
            <w:r>
              <w:rPr>
                <w:rFonts w:ascii="Arial" w:cs="Arial" w:eastAsia="Arial" w:hAnsi="Arial"/>
                <w:sz w:val="21"/>
                <w:szCs w:val="21"/>
                <w:color w:val="auto"/>
              </w:rPr>
              <w:t>]</w:t>
            </w:r>
          </w:p>
        </w:tc>
        <w:tc>
          <w:tcPr>
            <w:tcW w:w="2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7940" w:type="dxa"/>
            <w:vAlign w:val="bottom"/>
            <w:tcBorders>
              <w:left w:val="single" w:sz="8" w:color="auto"/>
              <w:right w:val="single" w:sz="8" w:color="auto"/>
            </w:tcBorders>
          </w:tcPr>
          <w:p>
            <w:pPr>
              <w:ind w:left="640"/>
              <w:spacing w:after="0" w:line="223" w:lineRule="exact"/>
              <w:rPr>
                <w:sz w:val="20"/>
                <w:szCs w:val="20"/>
                <w:color w:val="auto"/>
              </w:rPr>
            </w:pPr>
            <w:r>
              <w:rPr>
                <w:rFonts w:ascii="Arial" w:cs="Arial" w:eastAsia="Arial" w:hAnsi="Arial"/>
                <w:sz w:val="20"/>
                <w:szCs w:val="20"/>
                <w:color w:val="auto"/>
              </w:rPr>
              <w:t>Agreed Market Value of</w:t>
            </w:r>
          </w:p>
        </w:tc>
        <w:tc>
          <w:tcPr>
            <w:tcW w:w="22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7940" w:type="dxa"/>
            <w:vAlign w:val="bottom"/>
            <w:tcBorders>
              <w:left w:val="single" w:sz="8" w:color="auto"/>
              <w:right w:val="single" w:sz="8" w:color="auto"/>
            </w:tcBorders>
          </w:tcPr>
          <w:p>
            <w:pPr>
              <w:ind w:left="640"/>
              <w:spacing w:after="0"/>
              <w:rPr>
                <w:sz w:val="20"/>
                <w:szCs w:val="20"/>
                <w:color w:val="auto"/>
              </w:rPr>
            </w:pPr>
            <w:r>
              <w:rPr>
                <w:rFonts w:ascii="Arial" w:cs="Arial" w:eastAsia="Arial" w:hAnsi="Arial"/>
                <w:sz w:val="20"/>
                <w:szCs w:val="20"/>
                <w:color w:val="auto"/>
              </w:rPr>
              <w:t xml:space="preserve">Adjusted Contribution Amount [ *** </w:t>
            </w:r>
            <w:r>
              <w:rPr>
                <w:rFonts w:ascii="Arial" w:cs="Arial" w:eastAsia="Arial" w:hAnsi="Arial"/>
                <w:sz w:val="21"/>
                <w:szCs w:val="21"/>
                <w:color w:val="auto"/>
              </w:rPr>
              <w:t>]</w:t>
            </w:r>
          </w:p>
        </w:tc>
        <w:tc>
          <w:tcPr>
            <w:tcW w:w="22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940" w:type="dxa"/>
            <w:vAlign w:val="bottom"/>
            <w:tcBorders>
              <w:left w:val="single" w:sz="8" w:color="auto"/>
              <w:right w:val="single" w:sz="8" w:color="auto"/>
            </w:tcBorders>
          </w:tcPr>
          <w:p>
            <w:pPr>
              <w:ind w:left="640"/>
              <w:spacing w:after="0"/>
              <w:rPr>
                <w:sz w:val="20"/>
                <w:szCs w:val="20"/>
                <w:color w:val="auto"/>
              </w:rPr>
            </w:pPr>
            <w:r>
              <w:rPr>
                <w:rFonts w:ascii="Arial" w:cs="Arial" w:eastAsia="Arial" w:hAnsi="Arial"/>
                <w:sz w:val="20"/>
                <w:szCs w:val="20"/>
                <w:color w:val="auto"/>
              </w:rPr>
              <w:t>(as of [October [•], 2012])</w:t>
            </w:r>
          </w:p>
        </w:tc>
        <w:tc>
          <w:tcPr>
            <w:tcW w:w="2220" w:type="dxa"/>
            <w:vAlign w:val="bottom"/>
            <w:tcBorders>
              <w:right w:val="single" w:sz="8" w:color="auto"/>
            </w:tcBorders>
            <w:vMerge w:val="restart"/>
          </w:tcPr>
          <w:p>
            <w:pPr>
              <w:ind w:left="1880"/>
              <w:spacing w:after="0"/>
              <w:rPr>
                <w:sz w:val="20"/>
                <w:szCs w:val="20"/>
                <w:color w:val="auto"/>
              </w:rPr>
            </w:pPr>
            <w:r>
              <w:rPr>
                <w:rFonts w:ascii="Arial" w:cs="Arial" w:eastAsia="Arial" w:hAnsi="Arial"/>
                <w:sz w:val="20"/>
                <w:szCs w:val="20"/>
                <w:b w:val="1"/>
                <w:bCs w:val="1"/>
                <w:color w:val="auto"/>
                <w:w w:val="95"/>
              </w:rPr>
              <w:t>[$•]</w:t>
            </w:r>
          </w:p>
        </w:tc>
        <w:tc>
          <w:tcPr>
            <w:tcW w:w="0" w:type="dxa"/>
            <w:vAlign w:val="bottom"/>
          </w:tcPr>
          <w:p>
            <w:pPr>
              <w:spacing w:after="0"/>
              <w:rPr>
                <w:sz w:val="1"/>
                <w:szCs w:val="1"/>
                <w:color w:val="auto"/>
              </w:rPr>
            </w:pPr>
          </w:p>
        </w:tc>
      </w:tr>
      <w:tr>
        <w:trPr>
          <w:trHeight w:val="208"/>
        </w:trPr>
        <w:tc>
          <w:tcPr>
            <w:tcW w:w="7940" w:type="dxa"/>
            <w:vAlign w:val="bottom"/>
            <w:tcBorders>
              <w:left w:val="single" w:sz="8" w:color="auto"/>
              <w:bottom w:val="single" w:sz="8" w:color="auto"/>
              <w:right w:val="single" w:sz="8" w:color="auto"/>
            </w:tcBorders>
          </w:tcPr>
          <w:p>
            <w:pPr>
              <w:spacing w:after="0"/>
              <w:rPr>
                <w:sz w:val="18"/>
                <w:szCs w:val="18"/>
                <w:color w:val="auto"/>
              </w:rPr>
            </w:pPr>
          </w:p>
        </w:tc>
        <w:tc>
          <w:tcPr>
            <w:tcW w:w="2220" w:type="dxa"/>
            <w:vAlign w:val="bottom"/>
            <w:tcBorders>
              <w:bottom w:val="single" w:sz="8" w:color="auto"/>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54"/>
        </w:trPr>
        <w:tc>
          <w:tcPr>
            <w:tcW w:w="79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 xml:space="preserve">C. ADJUSTED CONTRIBUTION [ *** </w:t>
            </w:r>
            <w:r>
              <w:rPr>
                <w:rFonts w:ascii="Arial" w:cs="Arial" w:eastAsia="Arial" w:hAnsi="Arial"/>
                <w:sz w:val="21"/>
                <w:szCs w:val="21"/>
                <w:color w:val="auto"/>
              </w:rPr>
              <w:t>]</w:t>
            </w:r>
            <w:r>
              <w:rPr>
                <w:rFonts w:ascii="Arial" w:cs="Arial" w:eastAsia="Arial" w:hAnsi="Arial"/>
                <w:sz w:val="20"/>
                <w:szCs w:val="20"/>
                <w:color w:val="auto"/>
              </w:rPr>
              <w:t>, IF ANY</w:t>
            </w:r>
          </w:p>
        </w:tc>
        <w:tc>
          <w:tcPr>
            <w:tcW w:w="2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7940" w:type="dxa"/>
            <w:vAlign w:val="bottom"/>
            <w:tcBorders>
              <w:left w:val="single" w:sz="8" w:color="auto"/>
              <w:right w:val="single" w:sz="8" w:color="auto"/>
            </w:tcBorders>
          </w:tcPr>
          <w:p>
            <w:pPr>
              <w:ind w:left="640"/>
              <w:spacing w:after="0" w:line="223" w:lineRule="exact"/>
              <w:rPr>
                <w:sz w:val="20"/>
                <w:szCs w:val="20"/>
                <w:color w:val="auto"/>
              </w:rPr>
            </w:pPr>
            <w:r>
              <w:rPr>
                <w:rFonts w:ascii="Arial" w:cs="Arial" w:eastAsia="Arial" w:hAnsi="Arial"/>
                <w:sz w:val="20"/>
                <w:szCs w:val="20"/>
                <w:color w:val="auto"/>
              </w:rPr>
              <w:t>Agreed Market Value of</w:t>
            </w:r>
          </w:p>
        </w:tc>
        <w:tc>
          <w:tcPr>
            <w:tcW w:w="22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7940" w:type="dxa"/>
            <w:vAlign w:val="bottom"/>
            <w:tcBorders>
              <w:left w:val="single" w:sz="8" w:color="auto"/>
              <w:right w:val="single" w:sz="8" w:color="auto"/>
            </w:tcBorders>
          </w:tcPr>
          <w:p>
            <w:pPr>
              <w:ind w:left="640"/>
              <w:spacing w:after="0"/>
              <w:rPr>
                <w:sz w:val="20"/>
                <w:szCs w:val="20"/>
                <w:color w:val="auto"/>
              </w:rPr>
            </w:pPr>
            <w:r>
              <w:rPr>
                <w:rFonts w:ascii="Arial" w:cs="Arial" w:eastAsia="Arial" w:hAnsi="Arial"/>
                <w:sz w:val="20"/>
                <w:szCs w:val="20"/>
                <w:color w:val="auto"/>
              </w:rPr>
              <w:t xml:space="preserve">Adjusted Contribution Amount to [ *** </w:t>
            </w:r>
            <w:r>
              <w:rPr>
                <w:rFonts w:ascii="Arial" w:cs="Arial" w:eastAsia="Arial" w:hAnsi="Arial"/>
                <w:sz w:val="21"/>
                <w:szCs w:val="21"/>
                <w:color w:val="auto"/>
              </w:rPr>
              <w:t>]</w:t>
            </w:r>
          </w:p>
        </w:tc>
        <w:tc>
          <w:tcPr>
            <w:tcW w:w="22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940" w:type="dxa"/>
            <w:vAlign w:val="bottom"/>
            <w:tcBorders>
              <w:left w:val="single" w:sz="8" w:color="auto"/>
              <w:right w:val="single" w:sz="8" w:color="auto"/>
            </w:tcBorders>
          </w:tcPr>
          <w:p>
            <w:pPr>
              <w:ind w:left="640"/>
              <w:spacing w:after="0"/>
              <w:rPr>
                <w:sz w:val="20"/>
                <w:szCs w:val="20"/>
                <w:color w:val="auto"/>
              </w:rPr>
            </w:pPr>
            <w:r>
              <w:rPr>
                <w:rFonts w:ascii="Arial" w:cs="Arial" w:eastAsia="Arial" w:hAnsi="Arial"/>
                <w:sz w:val="20"/>
                <w:szCs w:val="20"/>
                <w:color w:val="auto"/>
              </w:rPr>
              <w:t>(as of [October [•], 2012])</w:t>
            </w:r>
          </w:p>
        </w:tc>
        <w:tc>
          <w:tcPr>
            <w:tcW w:w="2220" w:type="dxa"/>
            <w:vAlign w:val="bottom"/>
            <w:tcBorders>
              <w:right w:val="single" w:sz="8" w:color="auto"/>
            </w:tcBorders>
            <w:vMerge w:val="restart"/>
          </w:tcPr>
          <w:p>
            <w:pPr>
              <w:ind w:left="1880"/>
              <w:spacing w:after="0"/>
              <w:rPr>
                <w:sz w:val="20"/>
                <w:szCs w:val="20"/>
                <w:color w:val="auto"/>
              </w:rPr>
            </w:pPr>
            <w:r>
              <w:rPr>
                <w:rFonts w:ascii="Arial" w:cs="Arial" w:eastAsia="Arial" w:hAnsi="Arial"/>
                <w:sz w:val="20"/>
                <w:szCs w:val="20"/>
                <w:b w:val="1"/>
                <w:bCs w:val="1"/>
                <w:color w:val="auto"/>
                <w:w w:val="95"/>
              </w:rPr>
              <w:t>[$•]</w:t>
            </w:r>
          </w:p>
        </w:tc>
        <w:tc>
          <w:tcPr>
            <w:tcW w:w="0" w:type="dxa"/>
            <w:vAlign w:val="bottom"/>
          </w:tcPr>
          <w:p>
            <w:pPr>
              <w:spacing w:after="0"/>
              <w:rPr>
                <w:sz w:val="1"/>
                <w:szCs w:val="1"/>
                <w:color w:val="auto"/>
              </w:rPr>
            </w:pPr>
          </w:p>
        </w:tc>
      </w:tr>
      <w:tr>
        <w:trPr>
          <w:trHeight w:val="208"/>
        </w:trPr>
        <w:tc>
          <w:tcPr>
            <w:tcW w:w="7940" w:type="dxa"/>
            <w:vAlign w:val="bottom"/>
            <w:tcBorders>
              <w:left w:val="single" w:sz="8" w:color="auto"/>
              <w:bottom w:val="single" w:sz="8" w:color="auto"/>
              <w:right w:val="single" w:sz="8" w:color="auto"/>
            </w:tcBorders>
          </w:tcPr>
          <w:p>
            <w:pPr>
              <w:spacing w:after="0"/>
              <w:rPr>
                <w:sz w:val="18"/>
                <w:szCs w:val="18"/>
                <w:color w:val="auto"/>
              </w:rPr>
            </w:pPr>
          </w:p>
        </w:tc>
        <w:tc>
          <w:tcPr>
            <w:tcW w:w="2220" w:type="dxa"/>
            <w:vAlign w:val="bottom"/>
            <w:tcBorders>
              <w:bottom w:val="single" w:sz="8" w:color="auto"/>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8"/>
        </w:trPr>
        <w:tc>
          <w:tcPr>
            <w:tcW w:w="79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Agreed Market Value of Assets Retained by and Transferred to Prudential</w:t>
            </w:r>
          </w:p>
        </w:tc>
        <w:tc>
          <w:tcPr>
            <w:tcW w:w="2220" w:type="dxa"/>
            <w:vAlign w:val="bottom"/>
            <w:tcBorders>
              <w:bottom w:val="single" w:sz="8" w:color="auto"/>
              <w:right w:val="single" w:sz="8" w:color="auto"/>
            </w:tcBorders>
          </w:tcPr>
          <w:p>
            <w:pPr>
              <w:ind w:left="1880"/>
              <w:spacing w:after="0"/>
              <w:rPr>
                <w:sz w:val="20"/>
                <w:szCs w:val="20"/>
                <w:color w:val="auto"/>
              </w:rPr>
            </w:pPr>
            <w:r>
              <w:rPr>
                <w:rFonts w:ascii="Arial" w:cs="Arial" w:eastAsia="Arial" w:hAnsi="Arial"/>
                <w:sz w:val="20"/>
                <w:szCs w:val="20"/>
                <w:b w:val="1"/>
                <w:bCs w:val="1"/>
                <w:color w:val="auto"/>
                <w:w w:val="95"/>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560"/>
        <w:spacing w:after="0"/>
        <w:rPr>
          <w:sz w:val="20"/>
          <w:szCs w:val="20"/>
          <w:color w:val="auto"/>
        </w:rPr>
      </w:pPr>
      <w:r>
        <w:rPr>
          <w:rFonts w:ascii="Arial" w:cs="Arial" w:eastAsia="Arial" w:hAnsi="Arial"/>
          <w:sz w:val="17"/>
          <w:szCs w:val="17"/>
          <w:color w:val="auto"/>
        </w:rPr>
        <w:t>Exhibit A-1 - 1</w:t>
      </w:r>
    </w:p>
    <w:p>
      <w:pPr>
        <w:sectPr>
          <w:pgSz w:w="11900" w:h="16838" w:orient="portrait"/>
          <w:cols w:equalWidth="0" w:num="1">
            <w:col w:w="10780"/>
          </w:cols>
          <w:pgMar w:left="880" w:top="753" w:right="239" w:bottom="1440" w:gutter="0" w:footer="0" w:header="0"/>
        </w:sectPr>
      </w:pPr>
    </w:p>
    <w:bookmarkStart w:id="204" w:name="page205"/>
    <w:bookmarkEnd w:id="204"/>
    <w:p>
      <w:pPr>
        <w:ind w:left="9240"/>
        <w:spacing w:after="0"/>
        <w:rPr>
          <w:sz w:val="20"/>
          <w:szCs w:val="20"/>
          <w:color w:val="auto"/>
        </w:rPr>
      </w:pPr>
      <w:r>
        <w:rPr>
          <w:rFonts w:ascii="Arial" w:cs="Arial" w:eastAsia="Arial" w:hAnsi="Arial"/>
          <w:sz w:val="18"/>
          <w:szCs w:val="18"/>
          <w:b w:val="1"/>
          <w:bCs w:val="1"/>
          <w:color w:val="auto"/>
        </w:rPr>
        <w:t>Date: [November 1, 2012]</w:t>
      </w:r>
    </w:p>
    <w:p>
      <w:pPr>
        <w:spacing w:after="0" w:line="231"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u w:val="single" w:color="auto"/>
          <w:color w:val="auto"/>
        </w:rPr>
        <w:t>Attachment A to Transferred Assets Schedule [Closing]</w:t>
      </w:r>
    </w:p>
    <w:p>
      <w:pPr>
        <w:spacing w:after="0" w:line="398"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 xml:space="preserve">CONTRIBUTION PREVIOUSLY RECEIVED BY </w:t>
      </w:r>
      <w:r>
        <w:rPr>
          <w:rFonts w:ascii="Arial" w:cs="Arial" w:eastAsia="Arial" w:hAnsi="Arial"/>
          <w:sz w:val="20"/>
          <w:szCs w:val="20"/>
          <w:color w:val="auto"/>
        </w:rPr>
        <w:t>[ ***</w:t>
      </w:r>
      <w:r>
        <w:rPr>
          <w:rFonts w:ascii="Arial" w:cs="Arial" w:eastAsia="Arial" w:hAnsi="Arial"/>
          <w:sz w:val="20"/>
          <w:szCs w:val="20"/>
          <w:b w:val="1"/>
          <w:bCs w:val="1"/>
          <w:color w:val="auto"/>
        </w:rPr>
        <w:t xml:space="preserve"> </w:t>
      </w:r>
      <w:r>
        <w:rPr>
          <w:rFonts w:ascii="Arial" w:cs="Arial" w:eastAsia="Arial" w:hAnsi="Arial"/>
          <w:sz w:val="21"/>
          <w:szCs w:val="21"/>
          <w:color w:val="auto"/>
        </w:rPr>
        <w:t>]</w:t>
      </w:r>
      <w:r>
        <w:rPr>
          <w:rFonts w:ascii="Arial" w:cs="Arial" w:eastAsia="Arial" w:hAnsi="Arial"/>
          <w:sz w:val="20"/>
          <w:szCs w:val="20"/>
          <w:b w:val="1"/>
          <w:bCs w:val="1"/>
          <w:color w:val="auto"/>
        </w:rPr>
        <w:t xml:space="preserve"> (as of MM/DD/YY)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Cash Assets: $ ________________</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Fixed Income Assets: $_____________________</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Total: $_____________________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Fixed Income Assets</w:t>
      </w:r>
    </w:p>
    <w:p>
      <w:pPr>
        <w:spacing w:after="0" w:line="326" w:lineRule="exact"/>
        <w:rPr>
          <w:sz w:val="20"/>
          <w:szCs w:val="20"/>
          <w:color w:val="auto"/>
        </w:rPr>
      </w:pPr>
    </w:p>
    <w:tbl>
      <w:tblPr>
        <w:tblLayout w:type="fixed"/>
        <w:tblInd w:w="10" w:type="dxa"/>
        <w:tblCellMar>
          <w:top w:w="0" w:type="dxa"/>
          <w:left w:w="0" w:type="dxa"/>
          <w:bottom w:w="0" w:type="dxa"/>
          <w:right w:w="0" w:type="dxa"/>
        </w:tblCellMar>
      </w:tblPr>
      <w:tr>
        <w:trPr>
          <w:trHeight w:val="242"/>
        </w:trPr>
        <w:tc>
          <w:tcPr>
            <w:tcW w:w="1740" w:type="dxa"/>
            <w:vAlign w:val="bottom"/>
            <w:tcBorders>
              <w:top w:val="single" w:sz="8" w:color="auto"/>
              <w:left w:val="single" w:sz="8" w:color="auto"/>
              <w:right w:val="single" w:sz="8" w:color="auto"/>
            </w:tcBorders>
          </w:tcPr>
          <w:p>
            <w:pPr>
              <w:spacing w:after="0"/>
              <w:rPr>
                <w:sz w:val="21"/>
                <w:szCs w:val="21"/>
                <w:color w:val="auto"/>
              </w:rPr>
            </w:pPr>
          </w:p>
        </w:tc>
        <w:tc>
          <w:tcPr>
            <w:tcW w:w="1840" w:type="dxa"/>
            <w:vAlign w:val="bottom"/>
            <w:tcBorders>
              <w:top w:val="single" w:sz="8" w:color="auto"/>
              <w:right w:val="single" w:sz="8" w:color="auto"/>
            </w:tcBorders>
          </w:tcPr>
          <w:p>
            <w:pPr>
              <w:spacing w:after="0"/>
              <w:rPr>
                <w:sz w:val="21"/>
                <w:szCs w:val="21"/>
                <w:color w:val="auto"/>
              </w:rPr>
            </w:pPr>
          </w:p>
        </w:tc>
        <w:tc>
          <w:tcPr>
            <w:tcW w:w="1380" w:type="dxa"/>
            <w:vAlign w:val="bottom"/>
            <w:tcBorders>
              <w:top w:val="single" w:sz="8" w:color="auto"/>
              <w:right w:val="single" w:sz="8" w:color="auto"/>
            </w:tcBorders>
          </w:tcPr>
          <w:p>
            <w:pPr>
              <w:spacing w:after="0"/>
              <w:rPr>
                <w:sz w:val="21"/>
                <w:szCs w:val="21"/>
                <w:color w:val="auto"/>
              </w:rPr>
            </w:pPr>
          </w:p>
        </w:tc>
        <w:tc>
          <w:tcPr>
            <w:tcW w:w="1700" w:type="dxa"/>
            <w:vAlign w:val="bottom"/>
            <w:tcBorders>
              <w:top w:val="single" w:sz="8" w:color="auto"/>
              <w:right w:val="single" w:sz="8" w:color="auto"/>
            </w:tcBorders>
          </w:tcPr>
          <w:p>
            <w:pPr>
              <w:spacing w:after="0"/>
              <w:rPr>
                <w:sz w:val="21"/>
                <w:szCs w:val="21"/>
                <w:color w:val="auto"/>
              </w:rPr>
            </w:pPr>
          </w:p>
        </w:tc>
        <w:tc>
          <w:tcPr>
            <w:tcW w:w="1480" w:type="dxa"/>
            <w:vAlign w:val="bottom"/>
            <w:tcBorders>
              <w:top w:val="single" w:sz="8" w:color="auto"/>
              <w:right w:val="single" w:sz="8" w:color="auto"/>
            </w:tcBorders>
          </w:tcPr>
          <w:p>
            <w:pPr>
              <w:spacing w:after="0"/>
              <w:rPr>
                <w:sz w:val="21"/>
                <w:szCs w:val="21"/>
                <w:color w:val="auto"/>
              </w:rPr>
            </w:pPr>
          </w:p>
        </w:tc>
        <w:tc>
          <w:tcPr>
            <w:tcW w:w="1480" w:type="dxa"/>
            <w:vAlign w:val="bottom"/>
            <w:tcBorders>
              <w:top w:val="single" w:sz="8" w:color="auto"/>
              <w:right w:val="single" w:sz="8" w:color="auto"/>
            </w:tcBorders>
          </w:tcPr>
          <w:p>
            <w:pPr>
              <w:spacing w:after="0"/>
              <w:rPr>
                <w:sz w:val="21"/>
                <w:szCs w:val="21"/>
                <w:color w:val="auto"/>
              </w:rPr>
            </w:pPr>
          </w:p>
        </w:tc>
        <w:tc>
          <w:tcPr>
            <w:tcW w:w="18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MKT</w:t>
            </w:r>
          </w:p>
        </w:tc>
      </w:tr>
      <w:tr>
        <w:trPr>
          <w:trHeight w:val="225"/>
        </w:trPr>
        <w:tc>
          <w:tcPr>
            <w:tcW w:w="1740" w:type="dxa"/>
            <w:vAlign w:val="bottom"/>
            <w:tcBorders>
              <w:left w:val="single" w:sz="8" w:color="auto"/>
              <w:right w:val="single" w:sz="8" w:color="auto"/>
            </w:tcBorders>
          </w:tcPr>
          <w:p>
            <w:pPr>
              <w:spacing w:after="0"/>
              <w:rPr>
                <w:sz w:val="19"/>
                <w:szCs w:val="19"/>
                <w:color w:val="auto"/>
              </w:rPr>
            </w:pPr>
          </w:p>
        </w:tc>
        <w:tc>
          <w:tcPr>
            <w:tcW w:w="1840" w:type="dxa"/>
            <w:vAlign w:val="bottom"/>
            <w:tcBorders>
              <w:right w:val="single" w:sz="8" w:color="auto"/>
            </w:tcBorders>
          </w:tcPr>
          <w:p>
            <w:pPr>
              <w:spacing w:after="0"/>
              <w:rPr>
                <w:sz w:val="19"/>
                <w:szCs w:val="19"/>
                <w:color w:val="auto"/>
              </w:rPr>
            </w:pPr>
          </w:p>
        </w:tc>
        <w:tc>
          <w:tcPr>
            <w:tcW w:w="138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spacing w:after="0"/>
              <w:rPr>
                <w:sz w:val="19"/>
                <w:szCs w:val="19"/>
                <w:color w:val="auto"/>
              </w:rPr>
            </w:pPr>
          </w:p>
        </w:tc>
        <w:tc>
          <w:tcPr>
            <w:tcW w:w="1480" w:type="dxa"/>
            <w:vAlign w:val="bottom"/>
            <w:tcBorders>
              <w:right w:val="single" w:sz="8" w:color="auto"/>
            </w:tcBorders>
          </w:tcPr>
          <w:p>
            <w:pPr>
              <w:spacing w:after="0"/>
              <w:rPr>
                <w:sz w:val="19"/>
                <w:szCs w:val="19"/>
                <w:color w:val="auto"/>
              </w:rPr>
            </w:pPr>
          </w:p>
        </w:tc>
        <w:tc>
          <w:tcPr>
            <w:tcW w:w="1480" w:type="dxa"/>
            <w:vAlign w:val="bottom"/>
            <w:tcBorders>
              <w:right w:val="single" w:sz="8" w:color="auto"/>
            </w:tcBorders>
          </w:tcPr>
          <w:p>
            <w:pPr>
              <w:spacing w:after="0"/>
              <w:rPr>
                <w:sz w:val="19"/>
                <w:szCs w:val="19"/>
                <w:color w:val="auto"/>
              </w:rPr>
            </w:pPr>
          </w:p>
        </w:tc>
        <w:tc>
          <w:tcPr>
            <w:tcW w:w="1820" w:type="dxa"/>
            <w:vAlign w:val="bottom"/>
            <w:tcBorders>
              <w:right w:val="single" w:sz="8" w:color="auto"/>
            </w:tcBorders>
          </w:tcPr>
          <w:p>
            <w:pPr>
              <w:jc w:val="center"/>
              <w:spacing w:after="0" w:line="226" w:lineRule="exact"/>
              <w:rPr>
                <w:sz w:val="20"/>
                <w:szCs w:val="20"/>
                <w:color w:val="auto"/>
              </w:rPr>
            </w:pPr>
            <w:r>
              <w:rPr>
                <w:rFonts w:ascii="Arial" w:cs="Arial" w:eastAsia="Arial" w:hAnsi="Arial"/>
                <w:sz w:val="20"/>
                <w:szCs w:val="20"/>
                <w:color w:val="auto"/>
                <w:w w:val="97"/>
              </w:rPr>
              <w:t>VALUE</w:t>
            </w:r>
          </w:p>
        </w:tc>
      </w:tr>
      <w:tr>
        <w:trPr>
          <w:trHeight w:val="225"/>
        </w:trPr>
        <w:tc>
          <w:tcPr>
            <w:tcW w:w="1740" w:type="dxa"/>
            <w:vAlign w:val="bottom"/>
            <w:tcBorders>
              <w:left w:val="single" w:sz="8" w:color="auto"/>
              <w:right w:val="single" w:sz="8" w:color="auto"/>
            </w:tcBorders>
          </w:tcPr>
          <w:p>
            <w:pPr>
              <w:spacing w:after="0"/>
              <w:rPr>
                <w:sz w:val="19"/>
                <w:szCs w:val="19"/>
                <w:color w:val="auto"/>
              </w:rPr>
            </w:pPr>
          </w:p>
        </w:tc>
        <w:tc>
          <w:tcPr>
            <w:tcW w:w="1840" w:type="dxa"/>
            <w:vAlign w:val="bottom"/>
            <w:tcBorders>
              <w:right w:val="single" w:sz="8" w:color="auto"/>
            </w:tcBorders>
          </w:tcPr>
          <w:p>
            <w:pPr>
              <w:spacing w:after="0"/>
              <w:rPr>
                <w:sz w:val="19"/>
                <w:szCs w:val="19"/>
                <w:color w:val="auto"/>
              </w:rPr>
            </w:pPr>
          </w:p>
        </w:tc>
        <w:tc>
          <w:tcPr>
            <w:tcW w:w="138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jc w:val="center"/>
              <w:spacing w:after="0" w:line="226" w:lineRule="exact"/>
              <w:rPr>
                <w:sz w:val="20"/>
                <w:szCs w:val="20"/>
                <w:color w:val="auto"/>
              </w:rPr>
            </w:pPr>
            <w:r>
              <w:rPr>
                <w:rFonts w:ascii="Arial" w:cs="Arial" w:eastAsia="Arial" w:hAnsi="Arial"/>
                <w:sz w:val="20"/>
                <w:szCs w:val="20"/>
                <w:color w:val="auto"/>
              </w:rPr>
              <w:t>MATURITY</w:t>
            </w:r>
          </w:p>
        </w:tc>
        <w:tc>
          <w:tcPr>
            <w:tcW w:w="1480" w:type="dxa"/>
            <w:vAlign w:val="bottom"/>
            <w:tcBorders>
              <w:right w:val="single" w:sz="8" w:color="auto"/>
            </w:tcBorders>
          </w:tcPr>
          <w:p>
            <w:pPr>
              <w:jc w:val="center"/>
              <w:spacing w:after="0" w:line="226" w:lineRule="exact"/>
              <w:rPr>
                <w:sz w:val="20"/>
                <w:szCs w:val="20"/>
                <w:color w:val="auto"/>
              </w:rPr>
            </w:pPr>
            <w:r>
              <w:rPr>
                <w:rFonts w:ascii="Arial" w:cs="Arial" w:eastAsia="Arial" w:hAnsi="Arial"/>
                <w:sz w:val="20"/>
                <w:szCs w:val="20"/>
                <w:color w:val="auto"/>
                <w:w w:val="92"/>
              </w:rPr>
              <w:t>PAR</w:t>
            </w:r>
          </w:p>
        </w:tc>
        <w:tc>
          <w:tcPr>
            <w:tcW w:w="1480" w:type="dxa"/>
            <w:vAlign w:val="bottom"/>
            <w:tcBorders>
              <w:right w:val="single" w:sz="8" w:color="auto"/>
            </w:tcBorders>
          </w:tcPr>
          <w:p>
            <w:pPr>
              <w:jc w:val="center"/>
              <w:spacing w:after="0" w:line="226" w:lineRule="exact"/>
              <w:rPr>
                <w:sz w:val="20"/>
                <w:szCs w:val="20"/>
                <w:color w:val="auto"/>
              </w:rPr>
            </w:pPr>
            <w:r>
              <w:rPr>
                <w:rFonts w:ascii="Arial" w:cs="Arial" w:eastAsia="Arial" w:hAnsi="Arial"/>
                <w:sz w:val="20"/>
                <w:szCs w:val="20"/>
                <w:color w:val="auto"/>
                <w:w w:val="96"/>
              </w:rPr>
              <w:t>CREDIT</w:t>
            </w:r>
          </w:p>
        </w:tc>
        <w:tc>
          <w:tcPr>
            <w:tcW w:w="1820" w:type="dxa"/>
            <w:vAlign w:val="bottom"/>
            <w:tcBorders>
              <w:right w:val="single" w:sz="8" w:color="auto"/>
            </w:tcBorders>
          </w:tcPr>
          <w:p>
            <w:pPr>
              <w:jc w:val="center"/>
              <w:spacing w:after="0" w:line="226" w:lineRule="exact"/>
              <w:rPr>
                <w:sz w:val="20"/>
                <w:szCs w:val="20"/>
                <w:color w:val="auto"/>
              </w:rPr>
            </w:pPr>
            <w:r>
              <w:rPr>
                <w:rFonts w:ascii="Arial" w:cs="Arial" w:eastAsia="Arial" w:hAnsi="Arial"/>
                <w:sz w:val="20"/>
                <w:szCs w:val="20"/>
                <w:color w:val="auto"/>
                <w:w w:val="95"/>
              </w:rPr>
              <w:t>(AS OF</w:t>
            </w:r>
          </w:p>
        </w:tc>
      </w:tr>
      <w:tr>
        <w:trPr>
          <w:trHeight w:val="264"/>
        </w:trPr>
        <w:tc>
          <w:tcPr>
            <w:tcW w:w="1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1"/>
              </w:rPr>
              <w:t>CUSIP</w:t>
            </w:r>
          </w:p>
        </w:tc>
        <w:tc>
          <w:tcPr>
            <w:tcW w:w="1840" w:type="dxa"/>
            <w:vAlign w:val="bottom"/>
            <w:tcBorders>
              <w:bottom w:val="single" w:sz="8" w:color="auto"/>
              <w:right w:val="single" w:sz="8" w:color="auto"/>
            </w:tcBorders>
          </w:tcPr>
          <w:p>
            <w:pPr>
              <w:ind w:left="560"/>
              <w:spacing w:after="0"/>
              <w:rPr>
                <w:sz w:val="20"/>
                <w:szCs w:val="20"/>
                <w:color w:val="auto"/>
              </w:rPr>
            </w:pPr>
            <w:r>
              <w:rPr>
                <w:rFonts w:ascii="Arial" w:cs="Arial" w:eastAsia="Arial" w:hAnsi="Arial"/>
                <w:sz w:val="20"/>
                <w:szCs w:val="20"/>
                <w:color w:val="auto"/>
              </w:rPr>
              <w:t>ISSUER</w:t>
            </w:r>
          </w:p>
        </w:tc>
        <w:tc>
          <w:tcPr>
            <w:tcW w:w="138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20"/>
                <w:szCs w:val="20"/>
                <w:color w:val="auto"/>
              </w:rPr>
              <w:t>COUPON</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7"/>
              </w:rPr>
              <w:t>DATE</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AMOUNT</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QUALITY</w:t>
            </w:r>
          </w:p>
        </w:tc>
        <w:tc>
          <w:tcPr>
            <w:tcW w:w="1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MM/DD/YY)</w:t>
            </w:r>
          </w:p>
        </w:tc>
      </w:tr>
      <w:tr>
        <w:trPr>
          <w:trHeight w:val="713"/>
        </w:trPr>
        <w:tc>
          <w:tcPr>
            <w:tcW w:w="1740" w:type="dxa"/>
            <w:vAlign w:val="bottom"/>
            <w:tcBorders>
              <w:left w:val="single" w:sz="8" w:color="auto"/>
              <w:bottom w:val="single" w:sz="8" w:color="auto"/>
              <w:right w:val="single" w:sz="8" w:color="auto"/>
            </w:tcBorders>
          </w:tcPr>
          <w:p>
            <w:pPr>
              <w:spacing w:after="0"/>
              <w:rPr>
                <w:sz w:val="24"/>
                <w:szCs w:val="24"/>
                <w:color w:val="auto"/>
              </w:rPr>
            </w:pPr>
          </w:p>
        </w:tc>
        <w:tc>
          <w:tcPr>
            <w:tcW w:w="1840" w:type="dxa"/>
            <w:vAlign w:val="bottom"/>
            <w:tcBorders>
              <w:bottom w:val="single" w:sz="8" w:color="auto"/>
              <w:right w:val="single" w:sz="8" w:color="auto"/>
            </w:tcBorders>
          </w:tcPr>
          <w:p>
            <w:pPr>
              <w:spacing w:after="0"/>
              <w:rPr>
                <w:sz w:val="24"/>
                <w:szCs w:val="24"/>
                <w:color w:val="auto"/>
              </w:rPr>
            </w:pPr>
          </w:p>
        </w:tc>
        <w:tc>
          <w:tcPr>
            <w:tcW w:w="13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1480" w:type="dxa"/>
            <w:vAlign w:val="bottom"/>
            <w:tcBorders>
              <w:bottom w:val="single" w:sz="8" w:color="auto"/>
              <w:right w:val="single" w:sz="8" w:color="auto"/>
            </w:tcBorders>
          </w:tcPr>
          <w:p>
            <w:pPr>
              <w:spacing w:after="0"/>
              <w:rPr>
                <w:sz w:val="24"/>
                <w:szCs w:val="24"/>
                <w:color w:val="auto"/>
              </w:rPr>
            </w:pPr>
          </w:p>
        </w:tc>
        <w:tc>
          <w:tcPr>
            <w:tcW w:w="1480" w:type="dxa"/>
            <w:vAlign w:val="bottom"/>
            <w:tcBorders>
              <w:bottom w:val="single" w:sz="8" w:color="auto"/>
              <w:right w:val="single" w:sz="8" w:color="auto"/>
            </w:tcBorders>
          </w:tcPr>
          <w:p>
            <w:pPr>
              <w:spacing w:after="0"/>
              <w:rPr>
                <w:sz w:val="24"/>
                <w:szCs w:val="24"/>
                <w:color w:val="auto"/>
              </w:rPr>
            </w:pPr>
          </w:p>
        </w:tc>
        <w:tc>
          <w:tcPr>
            <w:tcW w:w="1820" w:type="dxa"/>
            <w:vAlign w:val="bottom"/>
            <w:tcBorders>
              <w:bottom w:val="single" w:sz="8" w:color="auto"/>
              <w:right w:val="single" w:sz="8" w:color="auto"/>
            </w:tcBorders>
          </w:tcPr>
          <w:p>
            <w:pPr>
              <w:spacing w:after="0"/>
              <w:rPr>
                <w:sz w:val="24"/>
                <w:szCs w:val="24"/>
                <w:color w:val="auto"/>
              </w:rPr>
            </w:pPr>
          </w:p>
        </w:tc>
      </w:tr>
      <w:tr>
        <w:trPr>
          <w:trHeight w:val="706"/>
        </w:trPr>
        <w:tc>
          <w:tcPr>
            <w:tcW w:w="1740" w:type="dxa"/>
            <w:vAlign w:val="bottom"/>
            <w:tcBorders>
              <w:left w:val="single" w:sz="8" w:color="auto"/>
              <w:bottom w:val="single" w:sz="8" w:color="auto"/>
              <w:right w:val="single" w:sz="8" w:color="auto"/>
            </w:tcBorders>
          </w:tcPr>
          <w:p>
            <w:pPr>
              <w:spacing w:after="0"/>
              <w:rPr>
                <w:sz w:val="24"/>
                <w:szCs w:val="24"/>
                <w:color w:val="auto"/>
              </w:rPr>
            </w:pPr>
          </w:p>
        </w:tc>
        <w:tc>
          <w:tcPr>
            <w:tcW w:w="1840" w:type="dxa"/>
            <w:vAlign w:val="bottom"/>
            <w:tcBorders>
              <w:bottom w:val="single" w:sz="8" w:color="auto"/>
              <w:right w:val="single" w:sz="8" w:color="auto"/>
            </w:tcBorders>
          </w:tcPr>
          <w:p>
            <w:pPr>
              <w:spacing w:after="0"/>
              <w:rPr>
                <w:sz w:val="24"/>
                <w:szCs w:val="24"/>
                <w:color w:val="auto"/>
              </w:rPr>
            </w:pPr>
          </w:p>
        </w:tc>
        <w:tc>
          <w:tcPr>
            <w:tcW w:w="13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1480" w:type="dxa"/>
            <w:vAlign w:val="bottom"/>
            <w:tcBorders>
              <w:bottom w:val="single" w:sz="8" w:color="auto"/>
              <w:right w:val="single" w:sz="8" w:color="auto"/>
            </w:tcBorders>
          </w:tcPr>
          <w:p>
            <w:pPr>
              <w:spacing w:after="0"/>
              <w:rPr>
                <w:sz w:val="24"/>
                <w:szCs w:val="24"/>
                <w:color w:val="auto"/>
              </w:rPr>
            </w:pPr>
          </w:p>
        </w:tc>
        <w:tc>
          <w:tcPr>
            <w:tcW w:w="1480" w:type="dxa"/>
            <w:vAlign w:val="bottom"/>
            <w:tcBorders>
              <w:bottom w:val="single" w:sz="8" w:color="auto"/>
              <w:right w:val="single" w:sz="8" w:color="auto"/>
            </w:tcBorders>
          </w:tcPr>
          <w:p>
            <w:pPr>
              <w:spacing w:after="0"/>
              <w:rPr>
                <w:sz w:val="24"/>
                <w:szCs w:val="24"/>
                <w:color w:val="auto"/>
              </w:rPr>
            </w:pPr>
          </w:p>
        </w:tc>
        <w:tc>
          <w:tcPr>
            <w:tcW w:w="1820" w:type="dxa"/>
            <w:vAlign w:val="bottom"/>
            <w:tcBorders>
              <w:bottom w:val="single" w:sz="8" w:color="auto"/>
              <w:right w:val="single" w:sz="8" w:color="auto"/>
            </w:tcBorders>
          </w:tcPr>
          <w:p>
            <w:pPr>
              <w:spacing w:after="0"/>
              <w:rPr>
                <w:sz w:val="24"/>
                <w:szCs w:val="24"/>
                <w:color w:val="auto"/>
              </w:rPr>
            </w:pPr>
          </w:p>
        </w:tc>
      </w:tr>
      <w:tr>
        <w:trPr>
          <w:trHeight w:val="260"/>
        </w:trPr>
        <w:tc>
          <w:tcPr>
            <w:tcW w:w="1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7"/>
              </w:rPr>
              <w:t>SUB TOTAL</w:t>
            </w:r>
          </w:p>
        </w:tc>
        <w:tc>
          <w:tcPr>
            <w:tcW w:w="1840" w:type="dxa"/>
            <w:vAlign w:val="bottom"/>
            <w:tcBorders>
              <w:bottom w:val="single" w:sz="8" w:color="auto"/>
              <w:right w:val="single" w:sz="8" w:color="auto"/>
            </w:tcBorders>
          </w:tcPr>
          <w:p>
            <w:pPr>
              <w:spacing w:after="0"/>
              <w:rPr>
                <w:sz w:val="22"/>
                <w:szCs w:val="22"/>
                <w:color w:val="auto"/>
              </w:rPr>
            </w:pPr>
          </w:p>
        </w:tc>
        <w:tc>
          <w:tcPr>
            <w:tcW w:w="1380" w:type="dxa"/>
            <w:vAlign w:val="bottom"/>
            <w:tcBorders>
              <w:bottom w:val="single" w:sz="8" w:color="auto"/>
              <w:right w:val="single" w:sz="8" w:color="auto"/>
            </w:tcBorders>
          </w:tcPr>
          <w:p>
            <w:pPr>
              <w:spacing w:after="0"/>
              <w:rPr>
                <w:sz w:val="22"/>
                <w:szCs w:val="22"/>
                <w:color w:val="auto"/>
              </w:rPr>
            </w:pPr>
          </w:p>
        </w:tc>
        <w:tc>
          <w:tcPr>
            <w:tcW w:w="1700" w:type="dxa"/>
            <w:vAlign w:val="bottom"/>
            <w:tcBorders>
              <w:bottom w:val="single" w:sz="8" w:color="auto"/>
              <w:right w:val="single" w:sz="8" w:color="auto"/>
            </w:tcBorders>
          </w:tcPr>
          <w:p>
            <w:pPr>
              <w:spacing w:after="0"/>
              <w:rPr>
                <w:sz w:val="22"/>
                <w:szCs w:val="22"/>
                <w:color w:val="auto"/>
              </w:rPr>
            </w:pPr>
          </w:p>
        </w:tc>
        <w:tc>
          <w:tcPr>
            <w:tcW w:w="1480" w:type="dxa"/>
            <w:vAlign w:val="bottom"/>
            <w:tcBorders>
              <w:bottom w:val="single" w:sz="8" w:color="auto"/>
              <w:right w:val="single" w:sz="8" w:color="auto"/>
            </w:tcBorders>
          </w:tcPr>
          <w:p>
            <w:pPr>
              <w:spacing w:after="0"/>
              <w:rPr>
                <w:sz w:val="22"/>
                <w:szCs w:val="22"/>
                <w:color w:val="auto"/>
              </w:rPr>
            </w:pPr>
          </w:p>
        </w:tc>
        <w:tc>
          <w:tcPr>
            <w:tcW w:w="1480" w:type="dxa"/>
            <w:vAlign w:val="bottom"/>
            <w:tcBorders>
              <w:bottom w:val="single" w:sz="8" w:color="auto"/>
              <w:right w:val="single" w:sz="8" w:color="auto"/>
            </w:tcBorders>
          </w:tcPr>
          <w:p>
            <w:pPr>
              <w:spacing w:after="0"/>
              <w:rPr>
                <w:sz w:val="22"/>
                <w:szCs w:val="22"/>
                <w:color w:val="auto"/>
              </w:rPr>
            </w:pPr>
          </w:p>
        </w:tc>
        <w:tc>
          <w:tcPr>
            <w:tcW w:w="1820" w:type="dxa"/>
            <w:vAlign w:val="bottom"/>
            <w:tcBorders>
              <w:bottom w:val="single" w:sz="8" w:color="auto"/>
              <w:right w:val="single" w:sz="8" w:color="auto"/>
            </w:tcBorders>
          </w:tcPr>
          <w:p>
            <w:pPr>
              <w:spacing w:after="0"/>
              <w:rPr>
                <w:sz w:val="22"/>
                <w:szCs w:val="2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Exhibit A-1 - 2</w:t>
      </w:r>
    </w:p>
    <w:p>
      <w:pPr>
        <w:sectPr>
          <w:pgSz w:w="11900" w:h="16838" w:orient="portrait"/>
          <w:cols w:equalWidth="0" w:num="1">
            <w:col w:w="11440"/>
          </w:cols>
          <w:pgMar w:left="240" w:top="991" w:right="219" w:bottom="1440" w:gutter="0" w:footer="0" w:header="0"/>
        </w:sectPr>
      </w:pPr>
    </w:p>
    <w:bookmarkStart w:id="205" w:name="page206"/>
    <w:bookmarkEnd w:id="205"/>
    <w:p>
      <w:pPr>
        <w:jc w:val="right"/>
        <w:spacing w:after="0"/>
        <w:rPr>
          <w:sz w:val="20"/>
          <w:szCs w:val="20"/>
          <w:color w:val="auto"/>
        </w:rPr>
      </w:pPr>
      <w:r>
        <w:rPr>
          <w:rFonts w:ascii="Arial" w:cs="Arial" w:eastAsia="Arial" w:hAnsi="Arial"/>
          <w:sz w:val="20"/>
          <w:szCs w:val="20"/>
          <w:b w:val="1"/>
          <w:bCs w:val="1"/>
          <w:color w:val="auto"/>
        </w:rPr>
        <w:t>Date: [November 1, 2012]</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Attachment B to Transferred Assets Schedule [Closing]</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 xml:space="preserve">ADJUSTED CONTRIBUTION TO [ *** </w:t>
      </w:r>
      <w:r>
        <w:rPr>
          <w:rFonts w:ascii="Arial" w:cs="Arial" w:eastAsia="Arial" w:hAnsi="Arial"/>
          <w:sz w:val="21"/>
          <w:szCs w:val="21"/>
          <w:b w:val="1"/>
          <w:bCs w:val="1"/>
          <w:color w:val="auto"/>
        </w:rPr>
        <w:t>]</w:t>
      </w:r>
      <w:r>
        <w:rPr>
          <w:rFonts w:ascii="Arial" w:cs="Arial" w:eastAsia="Arial" w:hAnsi="Arial"/>
          <w:sz w:val="20"/>
          <w:szCs w:val="20"/>
          <w:b w:val="1"/>
          <w:bCs w:val="1"/>
          <w:color w:val="auto"/>
        </w:rPr>
        <w:t xml:space="preserve"> (as of MM/DD/YY)</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Cash Assets: $ ________________</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Fixed Income Assets: $_____________________</w:t>
      </w:r>
    </w:p>
    <w:p>
      <w:pPr>
        <w:spacing w:after="0" w:line="200" w:lineRule="exact"/>
        <w:rPr>
          <w:sz w:val="20"/>
          <w:szCs w:val="20"/>
          <w:color w:val="auto"/>
        </w:rPr>
      </w:pPr>
    </w:p>
    <w:p>
      <w:pPr>
        <w:spacing w:after="0" w:line="205" w:lineRule="exact"/>
        <w:rPr>
          <w:sz w:val="20"/>
          <w:szCs w:val="20"/>
          <w:color w:val="auto"/>
        </w:rPr>
      </w:pPr>
    </w:p>
    <w:p>
      <w:pPr>
        <w:ind w:left="100" w:hanging="100"/>
        <w:spacing w:after="0"/>
        <w:tabs>
          <w:tab w:leader="none" w:pos="100" w:val="left"/>
        </w:tabs>
        <w:numPr>
          <w:ilvl w:val="0"/>
          <w:numId w:val="175"/>
        </w:numPr>
        <w:rPr>
          <w:rFonts w:ascii="Arial" w:cs="Arial" w:eastAsia="Arial" w:hAnsi="Arial"/>
          <w:sz w:val="17"/>
          <w:szCs w:val="17"/>
          <w:color w:val="auto"/>
        </w:rPr>
      </w:pPr>
      <w:r>
        <w:rPr>
          <w:rFonts w:ascii="Arial" w:cs="Arial" w:eastAsia="Arial" w:hAnsi="Arial"/>
          <w:sz w:val="17"/>
          <w:szCs w:val="17"/>
          <w:color w:val="auto"/>
        </w:rPr>
        <w:t xml:space="preserve">*** ] </w:t>
      </w:r>
      <w:r>
        <w:rPr>
          <w:rFonts w:ascii="Arial" w:cs="Arial" w:eastAsia="Arial" w:hAnsi="Arial"/>
          <w:sz w:val="17"/>
          <w:szCs w:val="17"/>
          <w:b w:val="1"/>
          <w:bCs w:val="1"/>
          <w:color w:val="auto"/>
        </w:rPr>
        <w:t>$_____________________</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Assets: $_____________________</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Total: $_____________________</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Fixed Income Assets</w:t>
      </w:r>
    </w:p>
    <w:p>
      <w:pPr>
        <w:spacing w:after="0" w:line="126" w:lineRule="exact"/>
        <w:rPr>
          <w:sz w:val="20"/>
          <w:szCs w:val="20"/>
          <w:color w:val="auto"/>
        </w:rPr>
      </w:pPr>
    </w:p>
    <w:tbl>
      <w:tblPr>
        <w:tblLayout w:type="fixed"/>
        <w:tblInd w:w="10" w:type="dxa"/>
        <w:tblCellMar>
          <w:top w:w="0" w:type="dxa"/>
          <w:left w:w="0" w:type="dxa"/>
          <w:bottom w:w="0" w:type="dxa"/>
          <w:right w:w="0" w:type="dxa"/>
        </w:tblCellMar>
      </w:tblPr>
      <w:tr>
        <w:trPr>
          <w:trHeight w:val="225"/>
        </w:trPr>
        <w:tc>
          <w:tcPr>
            <w:tcW w:w="1080" w:type="dxa"/>
            <w:vAlign w:val="bottom"/>
            <w:tcBorders>
              <w:top w:val="single" w:sz="8" w:color="auto"/>
              <w:left w:val="single" w:sz="8" w:color="auto"/>
              <w:right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20" w:type="dxa"/>
            <w:vAlign w:val="bottom"/>
            <w:tcBorders>
              <w:top w:val="single" w:sz="8" w:color="auto"/>
              <w:right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440" w:type="dxa"/>
            <w:vAlign w:val="bottom"/>
            <w:tcBorders>
              <w:top w:val="single" w:sz="8" w:color="auto"/>
              <w:right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420" w:type="dxa"/>
            <w:vAlign w:val="bottom"/>
            <w:tcBorders>
              <w:top w:val="single" w:sz="8" w:color="auto"/>
              <w:right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40" w:type="dxa"/>
            <w:vAlign w:val="bottom"/>
            <w:tcBorders>
              <w:top w:val="single" w:sz="8" w:color="auto"/>
              <w:right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380" w:type="dxa"/>
            <w:vAlign w:val="bottom"/>
            <w:tcBorders>
              <w:top w:val="single" w:sz="8" w:color="auto"/>
              <w:right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760" w:type="dxa"/>
            <w:vAlign w:val="bottom"/>
            <w:tcBorders>
              <w:top w:val="single" w:sz="8" w:color="auto"/>
              <w:right w:val="single" w:sz="8" w:color="auto"/>
            </w:tcBorders>
          </w:tcPr>
          <w:p>
            <w:pPr>
              <w:jc w:val="center"/>
              <w:ind w:right="37"/>
              <w:spacing w:after="0"/>
              <w:rPr>
                <w:sz w:val="20"/>
                <w:szCs w:val="20"/>
                <w:color w:val="auto"/>
              </w:rPr>
            </w:pPr>
            <w:r>
              <w:rPr>
                <w:rFonts w:ascii="Arial" w:cs="Arial" w:eastAsia="Arial" w:hAnsi="Arial"/>
                <w:sz w:val="17"/>
                <w:szCs w:val="17"/>
                <w:color w:val="auto"/>
              </w:rPr>
              <w:t>MKT</w:t>
            </w:r>
          </w:p>
        </w:tc>
      </w:tr>
      <w:tr>
        <w:trPr>
          <w:trHeight w:val="200"/>
        </w:trPr>
        <w:tc>
          <w:tcPr>
            <w:tcW w:w="1080" w:type="dxa"/>
            <w:vAlign w:val="bottom"/>
            <w:tcBorders>
              <w:left w:val="single" w:sz="8" w:color="auto"/>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40" w:type="dxa"/>
            <w:vAlign w:val="bottom"/>
            <w:tcBorders>
              <w:right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20" w:type="dxa"/>
            <w:vAlign w:val="bottom"/>
            <w:tcBorders>
              <w:righ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tcBorders>
              <w:right w:val="single" w:sz="8" w:color="auto"/>
            </w:tcBorders>
          </w:tcPr>
          <w:p>
            <w:pPr>
              <w:jc w:val="center"/>
              <w:ind w:right="57"/>
              <w:spacing w:after="0"/>
              <w:rPr>
                <w:sz w:val="20"/>
                <w:szCs w:val="20"/>
                <w:color w:val="auto"/>
              </w:rPr>
            </w:pPr>
            <w:r>
              <w:rPr>
                <w:rFonts w:ascii="Arial" w:cs="Arial" w:eastAsia="Arial" w:hAnsi="Arial"/>
                <w:sz w:val="17"/>
                <w:szCs w:val="17"/>
                <w:color w:val="auto"/>
                <w:w w:val="96"/>
              </w:rPr>
              <w:t>VALUE</w:t>
            </w:r>
          </w:p>
        </w:tc>
      </w:tr>
      <w:tr>
        <w:trPr>
          <w:trHeight w:val="200"/>
        </w:trPr>
        <w:tc>
          <w:tcPr>
            <w:tcW w:w="1080" w:type="dxa"/>
            <w:vAlign w:val="bottom"/>
            <w:tcBorders>
              <w:left w:val="single" w:sz="8" w:color="auto"/>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40" w:type="dxa"/>
            <w:vAlign w:val="bottom"/>
            <w:tcBorders>
              <w:right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480" w:type="dxa"/>
            <w:vAlign w:val="bottom"/>
            <w:tcBorders>
              <w:right w:val="single" w:sz="8" w:color="auto"/>
            </w:tcBorders>
            <w:gridSpan w:val="2"/>
          </w:tcPr>
          <w:p>
            <w:pPr>
              <w:jc w:val="center"/>
              <w:ind w:right="340"/>
              <w:spacing w:after="0"/>
              <w:rPr>
                <w:sz w:val="20"/>
                <w:szCs w:val="20"/>
                <w:color w:val="auto"/>
              </w:rPr>
            </w:pPr>
            <w:r>
              <w:rPr>
                <w:rFonts w:ascii="Arial" w:cs="Arial" w:eastAsia="Arial" w:hAnsi="Arial"/>
                <w:sz w:val="17"/>
                <w:szCs w:val="17"/>
                <w:color w:val="auto"/>
                <w:w w:val="98"/>
              </w:rPr>
              <w:t>MATURITY</w:t>
            </w:r>
          </w:p>
        </w:tc>
        <w:tc>
          <w:tcPr>
            <w:tcW w:w="320" w:type="dxa"/>
            <w:vAlign w:val="bottom"/>
          </w:tcPr>
          <w:p>
            <w:pPr>
              <w:spacing w:after="0"/>
              <w:rPr>
                <w:sz w:val="17"/>
                <w:szCs w:val="17"/>
                <w:color w:val="auto"/>
              </w:rPr>
            </w:pPr>
          </w:p>
        </w:tc>
        <w:tc>
          <w:tcPr>
            <w:tcW w:w="1140" w:type="dxa"/>
            <w:vAlign w:val="bottom"/>
            <w:tcBorders>
              <w:right w:val="single" w:sz="8" w:color="auto"/>
            </w:tcBorders>
          </w:tcPr>
          <w:p>
            <w:pPr>
              <w:jc w:val="center"/>
              <w:ind w:right="257"/>
              <w:spacing w:after="0"/>
              <w:rPr>
                <w:sz w:val="20"/>
                <w:szCs w:val="20"/>
                <w:color w:val="auto"/>
              </w:rPr>
            </w:pPr>
            <w:r>
              <w:rPr>
                <w:rFonts w:ascii="Arial" w:cs="Arial" w:eastAsia="Arial" w:hAnsi="Arial"/>
                <w:sz w:val="17"/>
                <w:szCs w:val="17"/>
                <w:color w:val="auto"/>
                <w:w w:val="91"/>
              </w:rPr>
              <w:t>PAR</w:t>
            </w:r>
          </w:p>
        </w:tc>
        <w:tc>
          <w:tcPr>
            <w:tcW w:w="200" w:type="dxa"/>
            <w:vAlign w:val="bottom"/>
          </w:tcPr>
          <w:p>
            <w:pPr>
              <w:spacing w:after="0"/>
              <w:rPr>
                <w:sz w:val="17"/>
                <w:szCs w:val="17"/>
                <w:color w:val="auto"/>
              </w:rPr>
            </w:pPr>
          </w:p>
        </w:tc>
        <w:tc>
          <w:tcPr>
            <w:tcW w:w="1380" w:type="dxa"/>
            <w:vAlign w:val="bottom"/>
            <w:tcBorders>
              <w:right w:val="single" w:sz="8" w:color="auto"/>
            </w:tcBorders>
          </w:tcPr>
          <w:p>
            <w:pPr>
              <w:jc w:val="center"/>
              <w:ind w:right="137"/>
              <w:spacing w:after="0"/>
              <w:rPr>
                <w:sz w:val="20"/>
                <w:szCs w:val="20"/>
                <w:color w:val="auto"/>
              </w:rPr>
            </w:pPr>
            <w:r>
              <w:rPr>
                <w:rFonts w:ascii="Arial" w:cs="Arial" w:eastAsia="Arial" w:hAnsi="Arial"/>
                <w:sz w:val="17"/>
                <w:szCs w:val="17"/>
                <w:color w:val="auto"/>
                <w:w w:val="94"/>
              </w:rPr>
              <w:t>CREDIT</w:t>
            </w:r>
          </w:p>
        </w:tc>
        <w:tc>
          <w:tcPr>
            <w:tcW w:w="100" w:type="dxa"/>
            <w:vAlign w:val="bottom"/>
          </w:tcPr>
          <w:p>
            <w:pPr>
              <w:spacing w:after="0"/>
              <w:rPr>
                <w:sz w:val="17"/>
                <w:szCs w:val="17"/>
                <w:color w:val="auto"/>
              </w:rPr>
            </w:pPr>
          </w:p>
        </w:tc>
        <w:tc>
          <w:tcPr>
            <w:tcW w:w="1760" w:type="dxa"/>
            <w:vAlign w:val="bottom"/>
            <w:tcBorders>
              <w:right w:val="single" w:sz="8" w:color="auto"/>
            </w:tcBorders>
          </w:tcPr>
          <w:p>
            <w:pPr>
              <w:jc w:val="center"/>
              <w:ind w:right="37"/>
              <w:spacing w:after="0"/>
              <w:rPr>
                <w:sz w:val="20"/>
                <w:szCs w:val="20"/>
                <w:color w:val="auto"/>
              </w:rPr>
            </w:pPr>
            <w:r>
              <w:rPr>
                <w:rFonts w:ascii="Arial" w:cs="Arial" w:eastAsia="Arial" w:hAnsi="Arial"/>
                <w:sz w:val="17"/>
                <w:szCs w:val="17"/>
                <w:color w:val="auto"/>
                <w:w w:val="91"/>
              </w:rPr>
              <w:t>(AS OF</w:t>
            </w:r>
          </w:p>
        </w:tc>
      </w:tr>
      <w:tr>
        <w:trPr>
          <w:trHeight w:val="213"/>
        </w:trPr>
        <w:tc>
          <w:tcPr>
            <w:tcW w:w="10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8"/>
              </w:rPr>
              <w:t>CUSIP</w:t>
            </w:r>
          </w:p>
        </w:tc>
        <w:tc>
          <w:tcPr>
            <w:tcW w:w="200" w:type="dxa"/>
            <w:vAlign w:val="bottom"/>
          </w:tcPr>
          <w:p>
            <w:pPr>
              <w:spacing w:after="0"/>
              <w:rPr>
                <w:sz w:val="18"/>
                <w:szCs w:val="18"/>
                <w:color w:val="auto"/>
              </w:rPr>
            </w:pPr>
          </w:p>
        </w:tc>
        <w:tc>
          <w:tcPr>
            <w:tcW w:w="940" w:type="dxa"/>
            <w:vAlign w:val="bottom"/>
            <w:gridSpan w:val="2"/>
          </w:tcPr>
          <w:p>
            <w:pPr>
              <w:ind w:left="120"/>
              <w:spacing w:after="0"/>
              <w:rPr>
                <w:sz w:val="20"/>
                <w:szCs w:val="20"/>
                <w:color w:val="auto"/>
              </w:rPr>
            </w:pPr>
            <w:r>
              <w:rPr>
                <w:rFonts w:ascii="Arial" w:cs="Arial" w:eastAsia="Arial" w:hAnsi="Arial"/>
                <w:sz w:val="17"/>
                <w:szCs w:val="17"/>
                <w:color w:val="auto"/>
              </w:rPr>
              <w:t>ISSUER</w:t>
            </w:r>
          </w:p>
        </w:tc>
        <w:tc>
          <w:tcPr>
            <w:tcW w:w="12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Borders>
              <w:right w:val="single" w:sz="8" w:color="auto"/>
            </w:tcBorders>
            <w:gridSpan w:val="2"/>
          </w:tcPr>
          <w:p>
            <w:pPr>
              <w:ind w:left="180"/>
              <w:spacing w:after="0"/>
              <w:rPr>
                <w:sz w:val="20"/>
                <w:szCs w:val="20"/>
                <w:color w:val="auto"/>
              </w:rPr>
            </w:pPr>
            <w:r>
              <w:rPr>
                <w:rFonts w:ascii="Arial" w:cs="Arial" w:eastAsia="Arial" w:hAnsi="Arial"/>
                <w:sz w:val="17"/>
                <w:szCs w:val="17"/>
                <w:color w:val="auto"/>
              </w:rPr>
              <w:t>COUPON</w:t>
            </w:r>
          </w:p>
        </w:tc>
        <w:tc>
          <w:tcPr>
            <w:tcW w:w="300" w:type="dxa"/>
            <w:vAlign w:val="bottom"/>
          </w:tcPr>
          <w:p>
            <w:pPr>
              <w:spacing w:after="0"/>
              <w:rPr>
                <w:sz w:val="18"/>
                <w:szCs w:val="18"/>
                <w:color w:val="auto"/>
              </w:rPr>
            </w:pPr>
          </w:p>
        </w:tc>
        <w:tc>
          <w:tcPr>
            <w:tcW w:w="1480" w:type="dxa"/>
            <w:vAlign w:val="bottom"/>
            <w:tcBorders>
              <w:right w:val="single" w:sz="8" w:color="auto"/>
            </w:tcBorders>
            <w:gridSpan w:val="2"/>
          </w:tcPr>
          <w:p>
            <w:pPr>
              <w:jc w:val="center"/>
              <w:ind w:right="340"/>
              <w:spacing w:after="0"/>
              <w:rPr>
                <w:sz w:val="20"/>
                <w:szCs w:val="20"/>
                <w:color w:val="auto"/>
              </w:rPr>
            </w:pPr>
            <w:r>
              <w:rPr>
                <w:rFonts w:ascii="Arial" w:cs="Arial" w:eastAsia="Arial" w:hAnsi="Arial"/>
                <w:sz w:val="17"/>
                <w:szCs w:val="17"/>
                <w:color w:val="auto"/>
                <w:w w:val="92"/>
              </w:rPr>
              <w:t>DATE</w:t>
            </w:r>
          </w:p>
        </w:tc>
        <w:tc>
          <w:tcPr>
            <w:tcW w:w="320" w:type="dxa"/>
            <w:vAlign w:val="bottom"/>
          </w:tcPr>
          <w:p>
            <w:pPr>
              <w:spacing w:after="0"/>
              <w:rPr>
                <w:sz w:val="18"/>
                <w:szCs w:val="18"/>
                <w:color w:val="auto"/>
              </w:rPr>
            </w:pPr>
          </w:p>
        </w:tc>
        <w:tc>
          <w:tcPr>
            <w:tcW w:w="1140" w:type="dxa"/>
            <w:vAlign w:val="bottom"/>
            <w:tcBorders>
              <w:right w:val="single" w:sz="8" w:color="auto"/>
            </w:tcBorders>
          </w:tcPr>
          <w:p>
            <w:pPr>
              <w:jc w:val="center"/>
              <w:ind w:right="257"/>
              <w:spacing w:after="0"/>
              <w:rPr>
                <w:sz w:val="20"/>
                <w:szCs w:val="20"/>
                <w:color w:val="auto"/>
              </w:rPr>
            </w:pPr>
            <w:r>
              <w:rPr>
                <w:rFonts w:ascii="Arial" w:cs="Arial" w:eastAsia="Arial" w:hAnsi="Arial"/>
                <w:sz w:val="17"/>
                <w:szCs w:val="17"/>
                <w:color w:val="auto"/>
                <w:w w:val="97"/>
              </w:rPr>
              <w:t>AMOUNT</w:t>
            </w:r>
          </w:p>
        </w:tc>
        <w:tc>
          <w:tcPr>
            <w:tcW w:w="200" w:type="dxa"/>
            <w:vAlign w:val="bottom"/>
          </w:tcPr>
          <w:p>
            <w:pPr>
              <w:spacing w:after="0"/>
              <w:rPr>
                <w:sz w:val="18"/>
                <w:szCs w:val="18"/>
                <w:color w:val="auto"/>
              </w:rPr>
            </w:pPr>
          </w:p>
        </w:tc>
        <w:tc>
          <w:tcPr>
            <w:tcW w:w="1380" w:type="dxa"/>
            <w:vAlign w:val="bottom"/>
            <w:tcBorders>
              <w:right w:val="single" w:sz="8" w:color="auto"/>
            </w:tcBorders>
          </w:tcPr>
          <w:p>
            <w:pPr>
              <w:jc w:val="center"/>
              <w:ind w:right="157"/>
              <w:spacing w:after="0"/>
              <w:rPr>
                <w:sz w:val="20"/>
                <w:szCs w:val="20"/>
                <w:color w:val="auto"/>
              </w:rPr>
            </w:pPr>
            <w:r>
              <w:rPr>
                <w:rFonts w:ascii="Arial" w:cs="Arial" w:eastAsia="Arial" w:hAnsi="Arial"/>
                <w:sz w:val="17"/>
                <w:szCs w:val="17"/>
                <w:color w:val="auto"/>
              </w:rPr>
              <w:t>QUALITY</w:t>
            </w:r>
          </w:p>
        </w:tc>
        <w:tc>
          <w:tcPr>
            <w:tcW w:w="100" w:type="dxa"/>
            <w:vAlign w:val="bottom"/>
          </w:tcPr>
          <w:p>
            <w:pPr>
              <w:spacing w:after="0"/>
              <w:rPr>
                <w:sz w:val="18"/>
                <w:szCs w:val="18"/>
                <w:color w:val="auto"/>
              </w:rPr>
            </w:pPr>
          </w:p>
        </w:tc>
        <w:tc>
          <w:tcPr>
            <w:tcW w:w="1760" w:type="dxa"/>
            <w:vAlign w:val="bottom"/>
            <w:tcBorders>
              <w:right w:val="single" w:sz="8" w:color="auto"/>
            </w:tcBorders>
          </w:tcPr>
          <w:p>
            <w:pPr>
              <w:jc w:val="center"/>
              <w:ind w:right="37"/>
              <w:spacing w:after="0"/>
              <w:rPr>
                <w:sz w:val="20"/>
                <w:szCs w:val="20"/>
                <w:color w:val="auto"/>
              </w:rPr>
            </w:pPr>
            <w:r>
              <w:rPr>
                <w:rFonts w:ascii="Arial" w:cs="Arial" w:eastAsia="Arial" w:hAnsi="Arial"/>
                <w:sz w:val="17"/>
                <w:szCs w:val="17"/>
                <w:color w:val="auto"/>
              </w:rPr>
              <w:t>MM/DD/YY)</w:t>
            </w:r>
          </w:p>
        </w:tc>
      </w:tr>
      <w:tr>
        <w:trPr>
          <w:trHeight w:val="25"/>
        </w:trPr>
        <w:tc>
          <w:tcPr>
            <w:tcW w:w="1080" w:type="dxa"/>
            <w:vAlign w:val="bottom"/>
            <w:tcBorders>
              <w:left w:val="single" w:sz="8" w:color="auto"/>
              <w:bottom w:val="single" w:sz="8" w:color="auto"/>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40" w:type="dxa"/>
            <w:vAlign w:val="bottom"/>
            <w:tcBorders>
              <w:bottom w:val="single" w:sz="8" w:color="auto"/>
              <w:right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r>
      <w:tr>
        <w:trPr>
          <w:trHeight w:val="706"/>
        </w:trPr>
        <w:tc>
          <w:tcPr>
            <w:tcW w:w="1080" w:type="dxa"/>
            <w:vAlign w:val="bottom"/>
            <w:tcBorders>
              <w:left w:val="single" w:sz="8" w:color="auto"/>
              <w:bottom w:val="single" w:sz="8" w:color="auto"/>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40" w:type="dxa"/>
            <w:vAlign w:val="bottom"/>
            <w:tcBorders>
              <w:bottom w:val="single" w:sz="8" w:color="auto"/>
              <w:right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8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60" w:type="dxa"/>
            <w:vAlign w:val="bottom"/>
            <w:tcBorders>
              <w:bottom w:val="single" w:sz="8" w:color="auto"/>
              <w:right w:val="single" w:sz="8" w:color="auto"/>
            </w:tcBorders>
          </w:tcPr>
          <w:p>
            <w:pPr>
              <w:spacing w:after="0"/>
              <w:rPr>
                <w:sz w:val="24"/>
                <w:szCs w:val="24"/>
                <w:color w:val="auto"/>
              </w:rPr>
            </w:pPr>
          </w:p>
        </w:tc>
      </w:tr>
      <w:tr>
        <w:trPr>
          <w:trHeight w:val="706"/>
        </w:trPr>
        <w:tc>
          <w:tcPr>
            <w:tcW w:w="1080" w:type="dxa"/>
            <w:vAlign w:val="bottom"/>
            <w:tcBorders>
              <w:left w:val="single" w:sz="8" w:color="auto"/>
              <w:bottom w:val="single" w:sz="8" w:color="auto"/>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40" w:type="dxa"/>
            <w:vAlign w:val="bottom"/>
            <w:tcBorders>
              <w:bottom w:val="single" w:sz="8" w:color="auto"/>
              <w:right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8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60" w:type="dxa"/>
            <w:vAlign w:val="bottom"/>
            <w:tcBorders>
              <w:bottom w:val="single" w:sz="8" w:color="auto"/>
              <w:right w:val="single" w:sz="8" w:color="auto"/>
            </w:tcBorders>
          </w:tcPr>
          <w:p>
            <w:pPr>
              <w:spacing w:after="0"/>
              <w:rPr>
                <w:sz w:val="24"/>
                <w:szCs w:val="24"/>
                <w:color w:val="auto"/>
              </w:rPr>
            </w:pPr>
          </w:p>
        </w:tc>
      </w:tr>
      <w:tr>
        <w:trPr>
          <w:trHeight w:val="205"/>
        </w:trPr>
        <w:tc>
          <w:tcPr>
            <w:tcW w:w="10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7"/>
              </w:rPr>
              <w:t>SUB</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40" w:type="dxa"/>
            <w:vAlign w:val="bottom"/>
            <w:tcBorders>
              <w:right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20" w:type="dxa"/>
            <w:vAlign w:val="bottom"/>
            <w:tcBorders>
              <w:righ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tcBorders>
              <w:right w:val="single" w:sz="8" w:color="auto"/>
            </w:tcBorders>
          </w:tcPr>
          <w:p>
            <w:pPr>
              <w:spacing w:after="0"/>
              <w:rPr>
                <w:sz w:val="17"/>
                <w:szCs w:val="17"/>
                <w:color w:val="auto"/>
              </w:rPr>
            </w:pPr>
          </w:p>
        </w:tc>
      </w:tr>
      <w:tr>
        <w:trPr>
          <w:trHeight w:val="213"/>
        </w:trPr>
        <w:tc>
          <w:tcPr>
            <w:tcW w:w="10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8"/>
              </w:rPr>
              <w:t>TOTAL</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Borders>
              <w:right w:val="single" w:sz="8" w:color="auto"/>
            </w:tcBorders>
          </w:tcPr>
          <w:p>
            <w:pPr>
              <w:spacing w:after="0"/>
              <w:rPr>
                <w:sz w:val="18"/>
                <w:szCs w:val="18"/>
                <w:color w:val="auto"/>
              </w:rPr>
            </w:pPr>
          </w:p>
        </w:tc>
      </w:tr>
      <w:tr>
        <w:trPr>
          <w:trHeight w:val="25"/>
        </w:trPr>
        <w:tc>
          <w:tcPr>
            <w:tcW w:w="1080" w:type="dxa"/>
            <w:vAlign w:val="bottom"/>
            <w:tcBorders>
              <w:left w:val="single" w:sz="8" w:color="auto"/>
              <w:bottom w:val="single" w:sz="8" w:color="auto"/>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40" w:type="dxa"/>
            <w:vAlign w:val="bottom"/>
            <w:tcBorders>
              <w:bottom w:val="single" w:sz="8" w:color="auto"/>
              <w:right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r>
      <w:tr>
        <w:trPr>
          <w:trHeight w:val="593"/>
        </w:trPr>
        <w:tc>
          <w:tcPr>
            <w:tcW w:w="1080" w:type="dxa"/>
            <w:vAlign w:val="bottom"/>
          </w:tcPr>
          <w:p>
            <w:pPr>
              <w:spacing w:after="0"/>
              <w:rPr>
                <w:sz w:val="20"/>
                <w:szCs w:val="20"/>
                <w:color w:val="auto"/>
              </w:rPr>
            </w:pPr>
            <w:r>
              <w:rPr>
                <w:rFonts w:ascii="Arial" w:cs="Arial" w:eastAsia="Arial" w:hAnsi="Arial"/>
                <w:sz w:val="17"/>
                <w:szCs w:val="17"/>
                <w:color w:val="auto"/>
              </w:rPr>
              <w:t>[ *** ]</w:t>
            </w: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125"/>
        </w:trPr>
        <w:tc>
          <w:tcPr>
            <w:tcW w:w="10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gridSpan w:val="3"/>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760" w:type="dxa"/>
            <w:vAlign w:val="bottom"/>
            <w:tcBorders>
              <w:bottom w:val="single" w:sz="8" w:color="auto"/>
            </w:tcBorders>
          </w:tcPr>
          <w:p>
            <w:pPr>
              <w:spacing w:after="0"/>
              <w:rPr>
                <w:sz w:val="10"/>
                <w:szCs w:val="10"/>
                <w:color w:val="auto"/>
              </w:rPr>
            </w:pPr>
          </w:p>
        </w:tc>
      </w:tr>
      <w:tr>
        <w:trPr>
          <w:trHeight w:val="205"/>
        </w:trPr>
        <w:tc>
          <w:tcPr>
            <w:tcW w:w="1080" w:type="dxa"/>
            <w:vAlign w:val="bottom"/>
            <w:tcBorders>
              <w:lef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gridSpan w:val="4"/>
          </w:tcPr>
          <w:p>
            <w:pPr>
              <w:jc w:val="center"/>
              <w:spacing w:after="0"/>
              <w:rPr>
                <w:sz w:val="20"/>
                <w:szCs w:val="20"/>
                <w:color w:val="auto"/>
              </w:rPr>
            </w:pPr>
            <w:r>
              <w:rPr>
                <w:rFonts w:ascii="Arial" w:cs="Arial" w:eastAsia="Arial" w:hAnsi="Arial"/>
                <w:sz w:val="17"/>
                <w:szCs w:val="17"/>
                <w:color w:val="auto"/>
                <w:w w:val="92"/>
              </w:rPr>
              <w:t>NEWCO</w:t>
            </w: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760" w:type="dxa"/>
            <w:vAlign w:val="bottom"/>
            <w:tcBorders>
              <w:right w:val="single" w:sz="8" w:color="auto"/>
            </w:tcBorders>
          </w:tcPr>
          <w:p>
            <w:pPr>
              <w:spacing w:after="0"/>
              <w:rPr>
                <w:sz w:val="17"/>
                <w:szCs w:val="17"/>
                <w:color w:val="auto"/>
              </w:rPr>
            </w:pPr>
          </w:p>
        </w:tc>
      </w:tr>
      <w:tr>
        <w:trPr>
          <w:trHeight w:val="213"/>
        </w:trPr>
        <w:tc>
          <w:tcPr>
            <w:tcW w:w="1080" w:type="dxa"/>
            <w:vAlign w:val="bottom"/>
            <w:tcBorders>
              <w:left w:val="single" w:sz="8" w:color="auto"/>
            </w:tcBorders>
          </w:tcPr>
          <w:p>
            <w:pPr>
              <w:jc w:val="center"/>
              <w:ind w:left="437"/>
              <w:spacing w:after="0"/>
              <w:rPr>
                <w:sz w:val="20"/>
                <w:szCs w:val="20"/>
                <w:color w:val="auto"/>
              </w:rPr>
            </w:pPr>
            <w:r>
              <w:rPr>
                <w:rFonts w:ascii="Arial" w:cs="Arial" w:eastAsia="Arial" w:hAnsi="Arial"/>
                <w:sz w:val="17"/>
                <w:szCs w:val="17"/>
                <w:color w:val="auto"/>
              </w:rPr>
              <w:t>[ *** ]</w:t>
            </w:r>
          </w:p>
        </w:tc>
        <w:tc>
          <w:tcPr>
            <w:tcW w:w="20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1160" w:type="dxa"/>
            <w:vAlign w:val="bottom"/>
            <w:tcBorders>
              <w:right w:val="single" w:sz="8" w:color="auto"/>
            </w:tcBorders>
            <w:gridSpan w:val="3"/>
          </w:tcPr>
          <w:p>
            <w:pPr>
              <w:jc w:val="right"/>
              <w:ind w:right="597"/>
              <w:spacing w:after="0"/>
              <w:rPr>
                <w:sz w:val="20"/>
                <w:szCs w:val="20"/>
                <w:color w:val="auto"/>
              </w:rPr>
            </w:pPr>
            <w:r>
              <w:rPr>
                <w:rFonts w:ascii="Arial" w:cs="Arial" w:eastAsia="Arial" w:hAnsi="Arial"/>
                <w:sz w:val="17"/>
                <w:szCs w:val="17"/>
                <w:color w:val="auto"/>
              </w:rPr>
              <w:t>[ *** ]</w:t>
            </w:r>
          </w:p>
        </w:tc>
        <w:tc>
          <w:tcPr>
            <w:tcW w:w="440" w:type="dxa"/>
            <w:vAlign w:val="bottom"/>
          </w:tcPr>
          <w:p>
            <w:pPr>
              <w:spacing w:after="0"/>
              <w:rPr>
                <w:sz w:val="18"/>
                <w:szCs w:val="18"/>
                <w:color w:val="auto"/>
              </w:rPr>
            </w:pPr>
          </w:p>
        </w:tc>
        <w:tc>
          <w:tcPr>
            <w:tcW w:w="1360" w:type="dxa"/>
            <w:vAlign w:val="bottom"/>
            <w:tcBorders>
              <w:right w:val="single" w:sz="8" w:color="auto"/>
            </w:tcBorders>
            <w:gridSpan w:val="2"/>
          </w:tcPr>
          <w:p>
            <w:pPr>
              <w:jc w:val="right"/>
              <w:ind w:right="597"/>
              <w:spacing w:after="0"/>
              <w:rPr>
                <w:sz w:val="20"/>
                <w:szCs w:val="20"/>
                <w:color w:val="auto"/>
              </w:rPr>
            </w:pPr>
            <w:r>
              <w:rPr>
                <w:rFonts w:ascii="Arial" w:cs="Arial" w:eastAsia="Arial" w:hAnsi="Arial"/>
                <w:sz w:val="17"/>
                <w:szCs w:val="17"/>
                <w:color w:val="auto"/>
              </w:rPr>
              <w:t>[ *** ]</w:t>
            </w:r>
          </w:p>
        </w:tc>
        <w:tc>
          <w:tcPr>
            <w:tcW w:w="420" w:type="dxa"/>
            <w:vAlign w:val="bottom"/>
          </w:tcPr>
          <w:p>
            <w:pPr>
              <w:spacing w:after="0"/>
              <w:rPr>
                <w:sz w:val="18"/>
                <w:szCs w:val="18"/>
                <w:color w:val="auto"/>
              </w:rPr>
            </w:pPr>
          </w:p>
        </w:tc>
        <w:tc>
          <w:tcPr>
            <w:tcW w:w="1460" w:type="dxa"/>
            <w:vAlign w:val="bottom"/>
            <w:gridSpan w:val="2"/>
          </w:tcPr>
          <w:p>
            <w:pPr>
              <w:jc w:val="right"/>
              <w:ind w:right="537"/>
              <w:spacing w:after="0"/>
              <w:rPr>
                <w:sz w:val="20"/>
                <w:szCs w:val="20"/>
                <w:color w:val="auto"/>
              </w:rPr>
            </w:pPr>
            <w:r>
              <w:rPr>
                <w:rFonts w:ascii="Arial" w:cs="Arial" w:eastAsia="Arial" w:hAnsi="Arial"/>
                <w:sz w:val="17"/>
                <w:szCs w:val="17"/>
                <w:color w:val="auto"/>
              </w:rPr>
              <w:t>[ *** ]</w:t>
            </w:r>
          </w:p>
        </w:tc>
        <w:tc>
          <w:tcPr>
            <w:tcW w:w="200" w:type="dxa"/>
            <w:vAlign w:val="bottom"/>
            <w:tcBorders>
              <w:right w:val="single" w:sz="8" w:color="auto"/>
            </w:tcBorders>
          </w:tcPr>
          <w:p>
            <w:pPr>
              <w:spacing w:after="0"/>
              <w:rPr>
                <w:sz w:val="18"/>
                <w:szCs w:val="18"/>
                <w:color w:val="auto"/>
              </w:rPr>
            </w:pPr>
          </w:p>
        </w:tc>
        <w:tc>
          <w:tcPr>
            <w:tcW w:w="1380" w:type="dxa"/>
            <w:vAlign w:val="bottom"/>
          </w:tcPr>
          <w:p>
            <w:pPr>
              <w:ind w:left="400"/>
              <w:spacing w:after="0"/>
              <w:rPr>
                <w:sz w:val="20"/>
                <w:szCs w:val="20"/>
                <w:color w:val="auto"/>
              </w:rPr>
            </w:pPr>
            <w:r>
              <w:rPr>
                <w:rFonts w:ascii="Arial" w:cs="Arial" w:eastAsia="Arial" w:hAnsi="Arial"/>
                <w:sz w:val="17"/>
                <w:szCs w:val="17"/>
                <w:color w:val="auto"/>
              </w:rPr>
              <w:t>[OTHER]</w:t>
            </w:r>
          </w:p>
        </w:tc>
        <w:tc>
          <w:tcPr>
            <w:tcW w:w="100" w:type="dxa"/>
            <w:vAlign w:val="bottom"/>
            <w:tcBorders>
              <w:right w:val="single" w:sz="8" w:color="auto"/>
            </w:tcBorders>
          </w:tcPr>
          <w:p>
            <w:pPr>
              <w:spacing w:after="0"/>
              <w:rPr>
                <w:sz w:val="18"/>
                <w:szCs w:val="18"/>
                <w:color w:val="auto"/>
              </w:rPr>
            </w:pPr>
          </w:p>
        </w:tc>
        <w:tc>
          <w:tcPr>
            <w:tcW w:w="1760" w:type="dxa"/>
            <w:vAlign w:val="bottom"/>
            <w:tcBorders>
              <w:right w:val="single" w:sz="8" w:color="auto"/>
            </w:tcBorders>
          </w:tcPr>
          <w:p>
            <w:pPr>
              <w:jc w:val="right"/>
              <w:ind w:right="597"/>
              <w:spacing w:after="0"/>
              <w:rPr>
                <w:sz w:val="20"/>
                <w:szCs w:val="20"/>
                <w:color w:val="auto"/>
              </w:rPr>
            </w:pPr>
            <w:r>
              <w:rPr>
                <w:rFonts w:ascii="Arial" w:cs="Arial" w:eastAsia="Arial" w:hAnsi="Arial"/>
                <w:sz w:val="17"/>
                <w:szCs w:val="17"/>
                <w:color w:val="auto"/>
              </w:rPr>
              <w:t>[ *** ]</w:t>
            </w:r>
          </w:p>
        </w:tc>
      </w:tr>
      <w:tr>
        <w:trPr>
          <w:trHeight w:val="25"/>
        </w:trPr>
        <w:tc>
          <w:tcPr>
            <w:tcW w:w="1080" w:type="dxa"/>
            <w:vAlign w:val="bottom"/>
            <w:tcBorders>
              <w:left w:val="single" w:sz="8" w:color="auto"/>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20" w:type="dxa"/>
            <w:vAlign w:val="bottom"/>
            <w:tcBorders>
              <w:bottom w:val="single" w:sz="8" w:color="auto"/>
              <w:right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r>
      <w:tr>
        <w:trPr>
          <w:trHeight w:val="706"/>
        </w:trPr>
        <w:tc>
          <w:tcPr>
            <w:tcW w:w="1080" w:type="dxa"/>
            <w:vAlign w:val="bottom"/>
            <w:tcBorders>
              <w:left w:val="single" w:sz="8" w:color="auto"/>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right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right w:val="single" w:sz="8" w:color="auto"/>
            </w:tcBorders>
          </w:tcPr>
          <w:p>
            <w:pPr>
              <w:spacing w:after="0"/>
              <w:rPr>
                <w:sz w:val="24"/>
                <w:szCs w:val="24"/>
                <w:color w:val="auto"/>
              </w:rPr>
            </w:pPr>
          </w:p>
        </w:tc>
      </w:tr>
      <w:tr>
        <w:trPr>
          <w:trHeight w:val="205"/>
        </w:trPr>
        <w:tc>
          <w:tcPr>
            <w:tcW w:w="1080" w:type="dxa"/>
            <w:vAlign w:val="bottom"/>
            <w:tcBorders>
              <w:left w:val="single" w:sz="8" w:color="auto"/>
            </w:tcBorders>
          </w:tcPr>
          <w:p>
            <w:pPr>
              <w:jc w:val="center"/>
              <w:ind w:left="437"/>
              <w:spacing w:after="0"/>
              <w:rPr>
                <w:sz w:val="20"/>
                <w:szCs w:val="20"/>
                <w:color w:val="auto"/>
              </w:rPr>
            </w:pPr>
            <w:r>
              <w:rPr>
                <w:rFonts w:ascii="Arial" w:cs="Arial" w:eastAsia="Arial" w:hAnsi="Arial"/>
                <w:sz w:val="17"/>
                <w:szCs w:val="17"/>
                <w:color w:val="auto"/>
                <w:w w:val="91"/>
              </w:rPr>
              <w:t>SUB</w:t>
            </w:r>
          </w:p>
        </w:tc>
        <w:tc>
          <w:tcPr>
            <w:tcW w:w="200" w:type="dxa"/>
            <w:vAlign w:val="bottom"/>
          </w:tcPr>
          <w:p>
            <w:pPr>
              <w:spacing w:after="0"/>
              <w:rPr>
                <w:sz w:val="17"/>
                <w:szCs w:val="17"/>
                <w:color w:val="auto"/>
              </w:rPr>
            </w:pPr>
          </w:p>
        </w:tc>
        <w:tc>
          <w:tcPr>
            <w:tcW w:w="320" w:type="dxa"/>
            <w:vAlign w:val="bottom"/>
            <w:tcBorders>
              <w:right w:val="single" w:sz="8" w:color="auto"/>
            </w:tcBorders>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760" w:type="dxa"/>
            <w:vAlign w:val="bottom"/>
            <w:tcBorders>
              <w:right w:val="single" w:sz="8" w:color="auto"/>
            </w:tcBorders>
          </w:tcPr>
          <w:p>
            <w:pPr>
              <w:spacing w:after="0"/>
              <w:rPr>
                <w:sz w:val="17"/>
                <w:szCs w:val="17"/>
                <w:color w:val="auto"/>
              </w:rPr>
            </w:pPr>
          </w:p>
        </w:tc>
      </w:tr>
      <w:tr>
        <w:trPr>
          <w:trHeight w:val="213"/>
        </w:trPr>
        <w:tc>
          <w:tcPr>
            <w:tcW w:w="1080" w:type="dxa"/>
            <w:vAlign w:val="bottom"/>
            <w:tcBorders>
              <w:left w:val="single" w:sz="8" w:color="auto"/>
            </w:tcBorders>
          </w:tcPr>
          <w:p>
            <w:pPr>
              <w:jc w:val="center"/>
              <w:ind w:left="417"/>
              <w:spacing w:after="0"/>
              <w:rPr>
                <w:sz w:val="20"/>
                <w:szCs w:val="20"/>
                <w:color w:val="auto"/>
              </w:rPr>
            </w:pPr>
            <w:r>
              <w:rPr>
                <w:rFonts w:ascii="Arial" w:cs="Arial" w:eastAsia="Arial" w:hAnsi="Arial"/>
                <w:sz w:val="17"/>
                <w:szCs w:val="17"/>
                <w:color w:val="auto"/>
                <w:w w:val="98"/>
              </w:rPr>
              <w:t>TOTAL</w:t>
            </w:r>
          </w:p>
        </w:tc>
        <w:tc>
          <w:tcPr>
            <w:tcW w:w="20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760" w:type="dxa"/>
            <w:vAlign w:val="bottom"/>
            <w:tcBorders>
              <w:right w:val="single" w:sz="8" w:color="auto"/>
            </w:tcBorders>
          </w:tcPr>
          <w:p>
            <w:pPr>
              <w:spacing w:after="0"/>
              <w:rPr>
                <w:sz w:val="18"/>
                <w:szCs w:val="18"/>
                <w:color w:val="auto"/>
              </w:rPr>
            </w:pPr>
          </w:p>
        </w:tc>
      </w:tr>
      <w:tr>
        <w:trPr>
          <w:trHeight w:val="25"/>
        </w:trPr>
        <w:tc>
          <w:tcPr>
            <w:tcW w:w="1080" w:type="dxa"/>
            <w:vAlign w:val="bottom"/>
            <w:tcBorders>
              <w:left w:val="single" w:sz="8" w:color="auto"/>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20" w:type="dxa"/>
            <w:vAlign w:val="bottom"/>
            <w:tcBorders>
              <w:bottom w:val="single" w:sz="8" w:color="auto"/>
              <w:right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r>
      <w:tr>
        <w:trPr>
          <w:trHeight w:val="593"/>
        </w:trPr>
        <w:tc>
          <w:tcPr>
            <w:tcW w:w="1080" w:type="dxa"/>
            <w:vAlign w:val="bottom"/>
          </w:tcPr>
          <w:p>
            <w:pPr>
              <w:spacing w:after="0"/>
              <w:rPr>
                <w:sz w:val="20"/>
                <w:szCs w:val="20"/>
                <w:color w:val="auto"/>
              </w:rPr>
            </w:pPr>
            <w:r>
              <w:rPr>
                <w:rFonts w:ascii="Arial" w:cs="Arial" w:eastAsia="Arial" w:hAnsi="Arial"/>
                <w:sz w:val="17"/>
                <w:szCs w:val="17"/>
                <w:b w:val="1"/>
                <w:bCs w:val="1"/>
                <w:color w:val="auto"/>
                <w:w w:val="98"/>
              </w:rPr>
              <w:t>Other Assets</w:t>
            </w: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125"/>
        </w:trPr>
        <w:tc>
          <w:tcPr>
            <w:tcW w:w="10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760" w:type="dxa"/>
            <w:vAlign w:val="bottom"/>
            <w:tcBorders>
              <w:bottom w:val="single" w:sz="8" w:color="auto"/>
            </w:tcBorders>
          </w:tcPr>
          <w:p>
            <w:pPr>
              <w:spacing w:after="0"/>
              <w:rPr>
                <w:sz w:val="10"/>
                <w:szCs w:val="10"/>
                <w:color w:val="auto"/>
              </w:rPr>
            </w:pPr>
          </w:p>
        </w:tc>
      </w:tr>
      <w:tr>
        <w:trPr>
          <w:trHeight w:val="205"/>
        </w:trPr>
        <w:tc>
          <w:tcPr>
            <w:tcW w:w="1080" w:type="dxa"/>
            <w:vAlign w:val="bottom"/>
            <w:tcBorders>
              <w:left w:val="single" w:sz="8" w:color="auto"/>
            </w:tcBorders>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Borders>
              <w:right w:val="single" w:sz="8" w:color="auto"/>
            </w:tcBorders>
          </w:tcPr>
          <w:p>
            <w:pPr>
              <w:spacing w:after="0"/>
              <w:rPr>
                <w:sz w:val="17"/>
                <w:szCs w:val="17"/>
                <w:color w:val="auto"/>
              </w:rPr>
            </w:pPr>
          </w:p>
        </w:tc>
        <w:tc>
          <w:tcPr>
            <w:tcW w:w="1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Borders>
              <w:right w:val="single" w:sz="8" w:color="auto"/>
            </w:tcBorders>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tcBorders>
              <w:right w:val="single" w:sz="8" w:color="auto"/>
            </w:tcBorders>
          </w:tcPr>
          <w:p>
            <w:pPr>
              <w:jc w:val="center"/>
              <w:ind w:right="37"/>
              <w:spacing w:after="0"/>
              <w:rPr>
                <w:sz w:val="20"/>
                <w:szCs w:val="20"/>
                <w:color w:val="auto"/>
              </w:rPr>
            </w:pPr>
            <w:r>
              <w:rPr>
                <w:rFonts w:ascii="Arial" w:cs="Arial" w:eastAsia="Arial" w:hAnsi="Arial"/>
                <w:sz w:val="17"/>
                <w:szCs w:val="17"/>
                <w:color w:val="auto"/>
                <w:w w:val="98"/>
              </w:rPr>
              <w:t>[MKT VALUE</w:t>
            </w:r>
          </w:p>
        </w:tc>
      </w:tr>
      <w:tr>
        <w:trPr>
          <w:trHeight w:val="200"/>
        </w:trPr>
        <w:tc>
          <w:tcPr>
            <w:tcW w:w="1080" w:type="dxa"/>
            <w:vAlign w:val="bottom"/>
            <w:tcBorders>
              <w:left w:val="single" w:sz="8" w:color="auto"/>
            </w:tcBorders>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Borders>
              <w:right w:val="single" w:sz="8" w:color="auto"/>
            </w:tcBorders>
          </w:tcPr>
          <w:p>
            <w:pPr>
              <w:spacing w:after="0"/>
              <w:rPr>
                <w:sz w:val="17"/>
                <w:szCs w:val="17"/>
                <w:color w:val="auto"/>
              </w:rPr>
            </w:pPr>
          </w:p>
        </w:tc>
        <w:tc>
          <w:tcPr>
            <w:tcW w:w="1480" w:type="dxa"/>
            <w:vAlign w:val="bottom"/>
            <w:gridSpan w:val="2"/>
          </w:tcPr>
          <w:p>
            <w:pPr>
              <w:jc w:val="center"/>
              <w:ind w:left="197"/>
              <w:spacing w:after="0"/>
              <w:rPr>
                <w:sz w:val="20"/>
                <w:szCs w:val="20"/>
                <w:color w:val="auto"/>
              </w:rPr>
            </w:pPr>
            <w:r>
              <w:rPr>
                <w:rFonts w:ascii="Arial" w:cs="Arial" w:eastAsia="Arial" w:hAnsi="Arial"/>
                <w:sz w:val="17"/>
                <w:szCs w:val="17"/>
                <w:color w:val="auto"/>
              </w:rPr>
              <w:t>[MATURITY</w:t>
            </w:r>
          </w:p>
        </w:tc>
        <w:tc>
          <w:tcPr>
            <w:tcW w:w="320" w:type="dxa"/>
            <w:vAlign w:val="bottom"/>
            <w:tcBorders>
              <w:right w:val="single" w:sz="8" w:color="auto"/>
            </w:tcBorders>
          </w:tcPr>
          <w:p>
            <w:pPr>
              <w:spacing w:after="0"/>
              <w:rPr>
                <w:sz w:val="17"/>
                <w:szCs w:val="17"/>
                <w:color w:val="auto"/>
              </w:rPr>
            </w:pP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0"/>
              </w:rPr>
              <w:t>[PAR</w:t>
            </w:r>
          </w:p>
        </w:tc>
        <w:tc>
          <w:tcPr>
            <w:tcW w:w="200" w:type="dxa"/>
            <w:vAlign w:val="bottom"/>
          </w:tcPr>
          <w:p>
            <w:pPr>
              <w:spacing w:after="0"/>
              <w:rPr>
                <w:sz w:val="17"/>
                <w:szCs w:val="17"/>
                <w:color w:val="auto"/>
              </w:rPr>
            </w:pPr>
          </w:p>
        </w:tc>
        <w:tc>
          <w:tcPr>
            <w:tcW w:w="1380" w:type="dxa"/>
            <w:vAlign w:val="bottom"/>
            <w:tcBorders>
              <w:right w:val="single" w:sz="8" w:color="auto"/>
            </w:tcBorders>
          </w:tcPr>
          <w:p>
            <w:pPr>
              <w:jc w:val="center"/>
              <w:ind w:right="157"/>
              <w:spacing w:after="0"/>
              <w:rPr>
                <w:sz w:val="20"/>
                <w:szCs w:val="20"/>
                <w:color w:val="auto"/>
              </w:rPr>
            </w:pPr>
            <w:r>
              <w:rPr>
                <w:rFonts w:ascii="Arial" w:cs="Arial" w:eastAsia="Arial" w:hAnsi="Arial"/>
                <w:sz w:val="17"/>
                <w:szCs w:val="17"/>
                <w:color w:val="auto"/>
                <w:w w:val="96"/>
              </w:rPr>
              <w:t>[CREDIT</w:t>
            </w:r>
          </w:p>
        </w:tc>
        <w:tc>
          <w:tcPr>
            <w:tcW w:w="100" w:type="dxa"/>
            <w:vAlign w:val="bottom"/>
          </w:tcPr>
          <w:p>
            <w:pPr>
              <w:spacing w:after="0"/>
              <w:rPr>
                <w:sz w:val="17"/>
                <w:szCs w:val="17"/>
                <w:color w:val="auto"/>
              </w:rPr>
            </w:pPr>
          </w:p>
        </w:tc>
        <w:tc>
          <w:tcPr>
            <w:tcW w:w="1760" w:type="dxa"/>
            <w:vAlign w:val="bottom"/>
            <w:tcBorders>
              <w:right w:val="single" w:sz="8" w:color="auto"/>
            </w:tcBorders>
          </w:tcPr>
          <w:p>
            <w:pPr>
              <w:jc w:val="center"/>
              <w:ind w:right="37"/>
              <w:spacing w:after="0"/>
              <w:rPr>
                <w:sz w:val="20"/>
                <w:szCs w:val="20"/>
                <w:color w:val="auto"/>
              </w:rPr>
            </w:pPr>
            <w:r>
              <w:rPr>
                <w:rFonts w:ascii="Arial" w:cs="Arial" w:eastAsia="Arial" w:hAnsi="Arial"/>
                <w:sz w:val="17"/>
                <w:szCs w:val="17"/>
                <w:color w:val="auto"/>
                <w:w w:val="91"/>
              </w:rPr>
              <w:t>(AS OF</w:t>
            </w:r>
          </w:p>
        </w:tc>
      </w:tr>
      <w:tr>
        <w:trPr>
          <w:trHeight w:val="213"/>
        </w:trPr>
        <w:tc>
          <w:tcPr>
            <w:tcW w:w="1080" w:type="dxa"/>
            <w:vAlign w:val="bottom"/>
            <w:tcBorders>
              <w:left w:val="single" w:sz="8" w:color="auto"/>
            </w:tcBorders>
          </w:tcPr>
          <w:p>
            <w:pPr>
              <w:jc w:val="center"/>
              <w:ind w:left="117"/>
              <w:spacing w:after="0"/>
              <w:rPr>
                <w:sz w:val="20"/>
                <w:szCs w:val="20"/>
                <w:color w:val="auto"/>
              </w:rPr>
            </w:pPr>
            <w:r>
              <w:rPr>
                <w:rFonts w:ascii="Arial" w:cs="Arial" w:eastAsia="Arial" w:hAnsi="Arial"/>
                <w:sz w:val="17"/>
                <w:szCs w:val="17"/>
                <w:color w:val="auto"/>
                <w:w w:val="92"/>
              </w:rPr>
              <w:t>CUSIP</w:t>
            </w:r>
          </w:p>
        </w:tc>
        <w:tc>
          <w:tcPr>
            <w:tcW w:w="2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ind w:left="20"/>
              <w:spacing w:after="0"/>
              <w:rPr>
                <w:sz w:val="20"/>
                <w:szCs w:val="20"/>
                <w:color w:val="auto"/>
              </w:rPr>
            </w:pPr>
            <w:r>
              <w:rPr>
                <w:rFonts w:ascii="Arial" w:cs="Arial" w:eastAsia="Arial" w:hAnsi="Arial"/>
                <w:sz w:val="17"/>
                <w:szCs w:val="17"/>
                <w:color w:val="auto"/>
                <w:w w:val="91"/>
              </w:rPr>
              <w:t>ISSUER</w:t>
            </w:r>
          </w:p>
        </w:tc>
        <w:tc>
          <w:tcPr>
            <w:tcW w:w="12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280" w:type="dxa"/>
            <w:vAlign w:val="bottom"/>
            <w:gridSpan w:val="2"/>
          </w:tcPr>
          <w:p>
            <w:pPr>
              <w:ind w:left="380"/>
              <w:spacing w:after="0"/>
              <w:rPr>
                <w:sz w:val="20"/>
                <w:szCs w:val="20"/>
                <w:color w:val="auto"/>
              </w:rPr>
            </w:pPr>
            <w:r>
              <w:rPr>
                <w:rFonts w:ascii="Arial" w:cs="Arial" w:eastAsia="Arial" w:hAnsi="Arial"/>
                <w:sz w:val="17"/>
                <w:szCs w:val="17"/>
                <w:color w:val="auto"/>
              </w:rPr>
              <w:t>[COUPON]</w:t>
            </w:r>
          </w:p>
        </w:tc>
        <w:tc>
          <w:tcPr>
            <w:tcW w:w="300" w:type="dxa"/>
            <w:vAlign w:val="bottom"/>
            <w:tcBorders>
              <w:right w:val="single" w:sz="8" w:color="auto"/>
            </w:tcBorders>
          </w:tcPr>
          <w:p>
            <w:pPr>
              <w:spacing w:after="0"/>
              <w:rPr>
                <w:sz w:val="18"/>
                <w:szCs w:val="18"/>
                <w:color w:val="auto"/>
              </w:rPr>
            </w:pPr>
          </w:p>
        </w:tc>
        <w:tc>
          <w:tcPr>
            <w:tcW w:w="1480" w:type="dxa"/>
            <w:vAlign w:val="bottom"/>
            <w:gridSpan w:val="2"/>
          </w:tcPr>
          <w:p>
            <w:pPr>
              <w:jc w:val="center"/>
              <w:ind w:left="197"/>
              <w:spacing w:after="0"/>
              <w:rPr>
                <w:sz w:val="20"/>
                <w:szCs w:val="20"/>
                <w:color w:val="auto"/>
              </w:rPr>
            </w:pPr>
            <w:r>
              <w:rPr>
                <w:rFonts w:ascii="Arial" w:cs="Arial" w:eastAsia="Arial" w:hAnsi="Arial"/>
                <w:sz w:val="17"/>
                <w:szCs w:val="17"/>
                <w:color w:val="auto"/>
                <w:w w:val="95"/>
              </w:rPr>
              <w:t>DATE]</w:t>
            </w:r>
          </w:p>
        </w:tc>
        <w:tc>
          <w:tcPr>
            <w:tcW w:w="32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AMNT]</w:t>
            </w:r>
          </w:p>
        </w:tc>
        <w:tc>
          <w:tcPr>
            <w:tcW w:w="200" w:type="dxa"/>
            <w:vAlign w:val="bottom"/>
          </w:tcPr>
          <w:p>
            <w:pPr>
              <w:spacing w:after="0"/>
              <w:rPr>
                <w:sz w:val="18"/>
                <w:szCs w:val="18"/>
                <w:color w:val="auto"/>
              </w:rPr>
            </w:pPr>
          </w:p>
        </w:tc>
        <w:tc>
          <w:tcPr>
            <w:tcW w:w="1380" w:type="dxa"/>
            <w:vAlign w:val="bottom"/>
            <w:tcBorders>
              <w:right w:val="single" w:sz="8" w:color="auto"/>
            </w:tcBorders>
          </w:tcPr>
          <w:p>
            <w:pPr>
              <w:jc w:val="center"/>
              <w:ind w:right="137"/>
              <w:spacing w:after="0"/>
              <w:rPr>
                <w:sz w:val="20"/>
                <w:szCs w:val="20"/>
                <w:color w:val="auto"/>
              </w:rPr>
            </w:pPr>
            <w:r>
              <w:rPr>
                <w:rFonts w:ascii="Arial" w:cs="Arial" w:eastAsia="Arial" w:hAnsi="Arial"/>
                <w:sz w:val="17"/>
                <w:szCs w:val="17"/>
                <w:color w:val="auto"/>
              </w:rPr>
              <w:t>QUALITY]</w:t>
            </w:r>
          </w:p>
        </w:tc>
        <w:tc>
          <w:tcPr>
            <w:tcW w:w="100" w:type="dxa"/>
            <w:vAlign w:val="bottom"/>
          </w:tcPr>
          <w:p>
            <w:pPr>
              <w:spacing w:after="0"/>
              <w:rPr>
                <w:sz w:val="18"/>
                <w:szCs w:val="18"/>
                <w:color w:val="auto"/>
              </w:rPr>
            </w:pPr>
          </w:p>
        </w:tc>
        <w:tc>
          <w:tcPr>
            <w:tcW w:w="1760" w:type="dxa"/>
            <w:vAlign w:val="bottom"/>
            <w:tcBorders>
              <w:right w:val="single" w:sz="8" w:color="auto"/>
            </w:tcBorders>
          </w:tcPr>
          <w:p>
            <w:pPr>
              <w:jc w:val="center"/>
              <w:ind w:right="57"/>
              <w:spacing w:after="0"/>
              <w:rPr>
                <w:sz w:val="20"/>
                <w:szCs w:val="20"/>
                <w:color w:val="auto"/>
              </w:rPr>
            </w:pPr>
            <w:r>
              <w:rPr>
                <w:rFonts w:ascii="Arial" w:cs="Arial" w:eastAsia="Arial" w:hAnsi="Arial"/>
                <w:sz w:val="17"/>
                <w:szCs w:val="17"/>
                <w:color w:val="auto"/>
              </w:rPr>
              <w:t>MM/DD/YY)]</w:t>
            </w:r>
          </w:p>
        </w:tc>
      </w:tr>
      <w:tr>
        <w:trPr>
          <w:trHeight w:val="25"/>
        </w:trPr>
        <w:tc>
          <w:tcPr>
            <w:tcW w:w="1080" w:type="dxa"/>
            <w:vAlign w:val="bottom"/>
            <w:tcBorders>
              <w:left w:val="single" w:sz="8" w:color="auto"/>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00" w:type="dxa"/>
            <w:vAlign w:val="bottom"/>
            <w:tcBorders>
              <w:bottom w:val="single" w:sz="8" w:color="auto"/>
              <w:right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2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r>
      <w:tr>
        <w:trPr>
          <w:trHeight w:val="443"/>
        </w:trPr>
        <w:tc>
          <w:tcPr>
            <w:tcW w:w="1080" w:type="dxa"/>
            <w:vAlign w:val="bottom"/>
            <w:tcBorders>
              <w:left w:val="single" w:sz="8" w:color="auto"/>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8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60" w:type="dxa"/>
            <w:vAlign w:val="bottom"/>
            <w:tcBorders>
              <w:bottom w:val="single" w:sz="8" w:color="auto"/>
              <w:right w:val="single" w:sz="8" w:color="auto"/>
            </w:tcBorders>
          </w:tcPr>
          <w:p>
            <w:pPr>
              <w:spacing w:after="0"/>
              <w:rPr>
                <w:sz w:val="24"/>
                <w:szCs w:val="24"/>
                <w:color w:val="auto"/>
              </w:rPr>
            </w:pPr>
          </w:p>
        </w:tc>
      </w:tr>
      <w:tr>
        <w:trPr>
          <w:trHeight w:val="418"/>
        </w:trPr>
        <w:tc>
          <w:tcPr>
            <w:tcW w:w="1080" w:type="dxa"/>
            <w:vAlign w:val="bottom"/>
            <w:tcBorders>
              <w:left w:val="single" w:sz="8" w:color="auto"/>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8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60" w:type="dxa"/>
            <w:vAlign w:val="bottom"/>
            <w:tcBorders>
              <w:bottom w:val="single" w:sz="8" w:color="auto"/>
              <w:right w:val="single" w:sz="8" w:color="auto"/>
            </w:tcBorders>
          </w:tcPr>
          <w:p>
            <w:pPr>
              <w:spacing w:after="0"/>
              <w:rPr>
                <w:sz w:val="24"/>
                <w:szCs w:val="24"/>
                <w:color w:val="auto"/>
              </w:rPr>
            </w:pPr>
          </w:p>
        </w:tc>
      </w:tr>
      <w:tr>
        <w:trPr>
          <w:trHeight w:val="205"/>
        </w:trPr>
        <w:tc>
          <w:tcPr>
            <w:tcW w:w="1080" w:type="dxa"/>
            <w:vAlign w:val="bottom"/>
            <w:tcBorders>
              <w:left w:val="single" w:sz="8" w:color="auto"/>
            </w:tcBorders>
          </w:tcPr>
          <w:p>
            <w:pPr>
              <w:jc w:val="center"/>
              <w:ind w:left="117"/>
              <w:spacing w:after="0"/>
              <w:rPr>
                <w:sz w:val="20"/>
                <w:szCs w:val="20"/>
                <w:color w:val="auto"/>
              </w:rPr>
            </w:pPr>
            <w:r>
              <w:rPr>
                <w:rFonts w:ascii="Arial" w:cs="Arial" w:eastAsia="Arial" w:hAnsi="Arial"/>
                <w:sz w:val="17"/>
                <w:szCs w:val="17"/>
                <w:color w:val="auto"/>
                <w:w w:val="91"/>
              </w:rPr>
              <w:t>SUB</w:t>
            </w:r>
          </w:p>
        </w:tc>
        <w:tc>
          <w:tcPr>
            <w:tcW w:w="200" w:type="dxa"/>
            <w:vAlign w:val="bottom"/>
            <w:tcBorders>
              <w:righ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Borders>
              <w:right w:val="single" w:sz="8" w:color="auto"/>
            </w:tcBorders>
          </w:tcPr>
          <w:p>
            <w:pPr>
              <w:spacing w:after="0"/>
              <w:rPr>
                <w:sz w:val="17"/>
                <w:szCs w:val="17"/>
                <w:color w:val="auto"/>
              </w:rPr>
            </w:pPr>
          </w:p>
        </w:tc>
        <w:tc>
          <w:tcPr>
            <w:tcW w:w="1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Borders>
              <w:right w:val="single" w:sz="8" w:color="auto"/>
            </w:tcBorders>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tcBorders>
              <w:right w:val="single" w:sz="8" w:color="auto"/>
            </w:tcBorders>
          </w:tcPr>
          <w:p>
            <w:pPr>
              <w:spacing w:after="0"/>
              <w:rPr>
                <w:sz w:val="17"/>
                <w:szCs w:val="17"/>
                <w:color w:val="auto"/>
              </w:rPr>
            </w:pPr>
          </w:p>
        </w:tc>
      </w:tr>
      <w:tr>
        <w:trPr>
          <w:trHeight w:val="213"/>
        </w:trPr>
        <w:tc>
          <w:tcPr>
            <w:tcW w:w="1080" w:type="dxa"/>
            <w:vAlign w:val="bottom"/>
            <w:tcBorders>
              <w:left w:val="single" w:sz="8" w:color="auto"/>
            </w:tcBorders>
          </w:tcPr>
          <w:p>
            <w:pPr>
              <w:jc w:val="center"/>
              <w:ind w:left="117"/>
              <w:spacing w:after="0"/>
              <w:rPr>
                <w:sz w:val="20"/>
                <w:szCs w:val="20"/>
                <w:color w:val="auto"/>
              </w:rPr>
            </w:pPr>
            <w:r>
              <w:rPr>
                <w:rFonts w:ascii="Arial" w:cs="Arial" w:eastAsia="Arial" w:hAnsi="Arial"/>
                <w:sz w:val="17"/>
                <w:szCs w:val="17"/>
                <w:color w:val="auto"/>
                <w:w w:val="94"/>
              </w:rPr>
              <w:t>TOTAL</w:t>
            </w:r>
          </w:p>
        </w:tc>
        <w:tc>
          <w:tcPr>
            <w:tcW w:w="2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1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Borders>
              <w:right w:val="single" w:sz="8" w:color="auto"/>
            </w:tcBorders>
          </w:tcPr>
          <w:p>
            <w:pPr>
              <w:spacing w:after="0"/>
              <w:rPr>
                <w:sz w:val="18"/>
                <w:szCs w:val="18"/>
                <w:color w:val="auto"/>
              </w:rPr>
            </w:pPr>
          </w:p>
        </w:tc>
      </w:tr>
      <w:tr>
        <w:trPr>
          <w:trHeight w:val="25"/>
        </w:trPr>
        <w:tc>
          <w:tcPr>
            <w:tcW w:w="1080" w:type="dxa"/>
            <w:vAlign w:val="bottom"/>
            <w:tcBorders>
              <w:left w:val="single" w:sz="8" w:color="auto"/>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00" w:type="dxa"/>
            <w:vAlign w:val="bottom"/>
            <w:tcBorders>
              <w:bottom w:val="single" w:sz="8" w:color="auto"/>
              <w:right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2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903" w:right="239" w:bottom="1440" w:gutter="0" w:footer="0" w:header="0"/>
        </w:sect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Exhibit A-1 - 3</w:t>
      </w:r>
    </w:p>
    <w:p>
      <w:pPr>
        <w:sectPr>
          <w:pgSz w:w="11900" w:h="16838" w:orient="portrait"/>
          <w:cols w:equalWidth="0" w:num="1">
            <w:col w:w="11420"/>
          </w:cols>
          <w:pgMar w:left="240" w:top="903" w:right="239" w:bottom="1440" w:gutter="0" w:footer="0" w:header="0"/>
          <w:type w:val="continuous"/>
        </w:sectPr>
      </w:pPr>
    </w:p>
    <w:bookmarkStart w:id="206" w:name="page207"/>
    <w:bookmarkEnd w:id="206"/>
    <w:p>
      <w:pPr>
        <w:jc w:val="right"/>
        <w:spacing w:after="0"/>
        <w:rPr>
          <w:sz w:val="20"/>
          <w:szCs w:val="20"/>
          <w:color w:val="auto"/>
        </w:rPr>
      </w:pPr>
      <w:r>
        <w:rPr>
          <w:rFonts w:ascii="Arial" w:cs="Arial" w:eastAsia="Arial" w:hAnsi="Arial"/>
          <w:sz w:val="20"/>
          <w:szCs w:val="20"/>
          <w:b w:val="1"/>
          <w:bCs w:val="1"/>
          <w:color w:val="auto"/>
        </w:rPr>
        <w:t>Date: [November 1, 2012]</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Attachment C to Transferred Assets Schedule [Closing]</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 xml:space="preserve">ADJUSTED CONTRIBUTION TO [ *** </w:t>
      </w:r>
      <w:r>
        <w:rPr>
          <w:rFonts w:ascii="Arial" w:cs="Arial" w:eastAsia="Arial" w:hAnsi="Arial"/>
          <w:sz w:val="21"/>
          <w:szCs w:val="21"/>
          <w:b w:val="1"/>
          <w:bCs w:val="1"/>
          <w:color w:val="auto"/>
        </w:rPr>
        <w:t>]</w:t>
      </w:r>
      <w:r>
        <w:rPr>
          <w:rFonts w:ascii="Arial" w:cs="Arial" w:eastAsia="Arial" w:hAnsi="Arial"/>
          <w:sz w:val="20"/>
          <w:szCs w:val="20"/>
          <w:b w:val="1"/>
          <w:bCs w:val="1"/>
          <w:color w:val="auto"/>
        </w:rPr>
        <w:t>, IF ANY (as of MM/DD/YY)</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Cash Assets: $ ________________</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Fixed Income Assets: $_____________________</w:t>
      </w:r>
    </w:p>
    <w:p>
      <w:pPr>
        <w:spacing w:after="0" w:line="200" w:lineRule="exact"/>
        <w:rPr>
          <w:sz w:val="20"/>
          <w:szCs w:val="20"/>
          <w:color w:val="auto"/>
        </w:rPr>
      </w:pPr>
    </w:p>
    <w:p>
      <w:pPr>
        <w:spacing w:after="0" w:line="205" w:lineRule="exact"/>
        <w:rPr>
          <w:sz w:val="20"/>
          <w:szCs w:val="20"/>
          <w:color w:val="auto"/>
        </w:rPr>
      </w:pPr>
    </w:p>
    <w:p>
      <w:pPr>
        <w:ind w:left="100" w:hanging="100"/>
        <w:spacing w:after="0"/>
        <w:tabs>
          <w:tab w:leader="none" w:pos="100" w:val="left"/>
        </w:tabs>
        <w:numPr>
          <w:ilvl w:val="0"/>
          <w:numId w:val="176"/>
        </w:numPr>
        <w:rPr>
          <w:rFonts w:ascii="Arial" w:cs="Arial" w:eastAsia="Arial" w:hAnsi="Arial"/>
          <w:sz w:val="17"/>
          <w:szCs w:val="17"/>
          <w:color w:val="auto"/>
        </w:rPr>
      </w:pPr>
      <w:r>
        <w:rPr>
          <w:rFonts w:ascii="Arial" w:cs="Arial" w:eastAsia="Arial" w:hAnsi="Arial"/>
          <w:sz w:val="17"/>
          <w:szCs w:val="17"/>
          <w:color w:val="auto"/>
        </w:rPr>
        <w:t xml:space="preserve">*** ] </w:t>
      </w:r>
      <w:r>
        <w:rPr>
          <w:rFonts w:ascii="Arial" w:cs="Arial" w:eastAsia="Arial" w:hAnsi="Arial"/>
          <w:sz w:val="17"/>
          <w:szCs w:val="17"/>
          <w:b w:val="1"/>
          <w:bCs w:val="1"/>
          <w:color w:val="auto"/>
        </w:rPr>
        <w:t>$_____________________</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Assets: $_____________________</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Total: $_____________________</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Fixed Income Assets</w:t>
      </w:r>
    </w:p>
    <w:p>
      <w:pPr>
        <w:spacing w:after="0" w:line="126" w:lineRule="exact"/>
        <w:rPr>
          <w:sz w:val="20"/>
          <w:szCs w:val="20"/>
          <w:color w:val="auto"/>
        </w:rPr>
      </w:pPr>
    </w:p>
    <w:tbl>
      <w:tblPr>
        <w:tblLayout w:type="fixed"/>
        <w:tblInd w:w="10" w:type="dxa"/>
        <w:tblCellMar>
          <w:top w:w="0" w:type="dxa"/>
          <w:left w:w="0" w:type="dxa"/>
          <w:bottom w:w="0" w:type="dxa"/>
          <w:right w:w="0" w:type="dxa"/>
        </w:tblCellMar>
      </w:tblPr>
      <w:tr>
        <w:trPr>
          <w:trHeight w:val="225"/>
        </w:trPr>
        <w:tc>
          <w:tcPr>
            <w:tcW w:w="1300" w:type="dxa"/>
            <w:vAlign w:val="bottom"/>
            <w:tcBorders>
              <w:top w:val="single" w:sz="8" w:color="auto"/>
              <w:left w:val="single" w:sz="8" w:color="auto"/>
              <w:right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80" w:type="dxa"/>
            <w:vAlign w:val="bottom"/>
            <w:tcBorders>
              <w:top w:val="single" w:sz="8" w:color="auto"/>
              <w:right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0" w:type="dxa"/>
            <w:vAlign w:val="bottom"/>
            <w:tcBorders>
              <w:top w:val="single" w:sz="8" w:color="auto"/>
              <w:right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260" w:type="dxa"/>
            <w:vAlign w:val="bottom"/>
            <w:tcBorders>
              <w:top w:val="single" w:sz="8" w:color="auto"/>
              <w:right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420" w:type="dxa"/>
            <w:vAlign w:val="bottom"/>
            <w:tcBorders>
              <w:top w:val="single" w:sz="8" w:color="auto"/>
              <w:right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60" w:type="dxa"/>
            <w:vAlign w:val="bottom"/>
            <w:tcBorders>
              <w:top w:val="single" w:sz="8" w:color="auto"/>
              <w:right w:val="single" w:sz="8" w:color="auto"/>
            </w:tcBorders>
          </w:tcPr>
          <w:p>
            <w:pPr>
              <w:spacing w:after="0"/>
              <w:rPr>
                <w:sz w:val="19"/>
                <w:szCs w:val="19"/>
                <w:color w:val="auto"/>
              </w:rPr>
            </w:pPr>
          </w:p>
        </w:tc>
        <w:tc>
          <w:tcPr>
            <w:tcW w:w="1800" w:type="dxa"/>
            <w:vAlign w:val="bottom"/>
            <w:tcBorders>
              <w:top w:val="single" w:sz="8" w:color="auto"/>
              <w:right w:val="single" w:sz="8" w:color="auto"/>
            </w:tcBorders>
            <w:gridSpan w:val="2"/>
          </w:tcPr>
          <w:p>
            <w:pPr>
              <w:ind w:left="420"/>
              <w:spacing w:after="0"/>
              <w:rPr>
                <w:sz w:val="20"/>
                <w:szCs w:val="20"/>
                <w:color w:val="auto"/>
              </w:rPr>
            </w:pPr>
            <w:r>
              <w:rPr>
                <w:rFonts w:ascii="Arial" w:cs="Arial" w:eastAsia="Arial" w:hAnsi="Arial"/>
                <w:sz w:val="17"/>
                <w:szCs w:val="17"/>
                <w:color w:val="auto"/>
              </w:rPr>
              <w:t>MKT VALUE</w:t>
            </w:r>
          </w:p>
        </w:tc>
      </w:tr>
      <w:tr>
        <w:trPr>
          <w:trHeight w:val="200"/>
        </w:trPr>
        <w:tc>
          <w:tcPr>
            <w:tcW w:w="1300" w:type="dxa"/>
            <w:vAlign w:val="bottom"/>
            <w:tcBorders>
              <w:left w:val="single" w:sz="8" w:color="auto"/>
              <w:right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1460" w:type="dxa"/>
            <w:vAlign w:val="bottom"/>
            <w:gridSpan w:val="2"/>
          </w:tcPr>
          <w:p>
            <w:pPr>
              <w:jc w:val="right"/>
              <w:ind w:right="117"/>
              <w:spacing w:after="0"/>
              <w:rPr>
                <w:sz w:val="20"/>
                <w:szCs w:val="20"/>
                <w:color w:val="auto"/>
              </w:rPr>
            </w:pPr>
            <w:r>
              <w:rPr>
                <w:rFonts w:ascii="Arial" w:cs="Arial" w:eastAsia="Arial" w:hAnsi="Arial"/>
                <w:sz w:val="17"/>
                <w:szCs w:val="17"/>
                <w:color w:val="auto"/>
              </w:rPr>
              <w:t>MATURITY</w:t>
            </w:r>
          </w:p>
        </w:tc>
        <w:tc>
          <w:tcPr>
            <w:tcW w:w="260" w:type="dxa"/>
            <w:vAlign w:val="bottom"/>
            <w:tcBorders>
              <w:right w:val="single" w:sz="8" w:color="auto"/>
            </w:tcBorders>
          </w:tcPr>
          <w:p>
            <w:pPr>
              <w:spacing w:after="0"/>
              <w:rPr>
                <w:sz w:val="17"/>
                <w:szCs w:val="17"/>
                <w:color w:val="auto"/>
              </w:rPr>
            </w:pPr>
          </w:p>
        </w:tc>
        <w:tc>
          <w:tcPr>
            <w:tcW w:w="1160" w:type="dxa"/>
            <w:vAlign w:val="bottom"/>
          </w:tcPr>
          <w:p>
            <w:pPr>
              <w:jc w:val="center"/>
              <w:ind w:left="297"/>
              <w:spacing w:after="0"/>
              <w:rPr>
                <w:sz w:val="20"/>
                <w:szCs w:val="20"/>
                <w:color w:val="auto"/>
              </w:rPr>
            </w:pPr>
            <w:r>
              <w:rPr>
                <w:rFonts w:ascii="Arial" w:cs="Arial" w:eastAsia="Arial" w:hAnsi="Arial"/>
                <w:sz w:val="17"/>
                <w:szCs w:val="17"/>
                <w:color w:val="auto"/>
                <w:w w:val="85"/>
              </w:rPr>
              <w:t>PAR</w:t>
            </w:r>
          </w:p>
        </w:tc>
        <w:tc>
          <w:tcPr>
            <w:tcW w:w="420" w:type="dxa"/>
            <w:vAlign w:val="bottom"/>
            <w:tcBorders>
              <w:right w:val="single" w:sz="8" w:color="auto"/>
            </w:tcBorders>
          </w:tcPr>
          <w:p>
            <w:pPr>
              <w:spacing w:after="0"/>
              <w:rPr>
                <w:sz w:val="17"/>
                <w:szCs w:val="17"/>
                <w:color w:val="auto"/>
              </w:rPr>
            </w:pPr>
          </w:p>
        </w:tc>
        <w:tc>
          <w:tcPr>
            <w:tcW w:w="1400" w:type="dxa"/>
            <w:vAlign w:val="bottom"/>
            <w:tcBorders>
              <w:right w:val="single" w:sz="8" w:color="auto"/>
            </w:tcBorders>
            <w:gridSpan w:val="3"/>
          </w:tcPr>
          <w:p>
            <w:pPr>
              <w:jc w:val="center"/>
              <w:ind w:right="40"/>
              <w:spacing w:after="0"/>
              <w:rPr>
                <w:sz w:val="20"/>
                <w:szCs w:val="20"/>
                <w:color w:val="auto"/>
              </w:rPr>
            </w:pPr>
            <w:r>
              <w:rPr>
                <w:rFonts w:ascii="Arial" w:cs="Arial" w:eastAsia="Arial" w:hAnsi="Arial"/>
                <w:sz w:val="17"/>
                <w:szCs w:val="17"/>
                <w:color w:val="auto"/>
                <w:w w:val="94"/>
              </w:rPr>
              <w:t>CREDIT</w:t>
            </w:r>
          </w:p>
        </w:tc>
        <w:tc>
          <w:tcPr>
            <w:tcW w:w="1800" w:type="dxa"/>
            <w:vAlign w:val="bottom"/>
            <w:tcBorders>
              <w:right w:val="single" w:sz="8" w:color="auto"/>
            </w:tcBorders>
            <w:gridSpan w:val="2"/>
          </w:tcPr>
          <w:p>
            <w:pPr>
              <w:jc w:val="right"/>
              <w:ind w:right="640"/>
              <w:spacing w:after="0"/>
              <w:rPr>
                <w:sz w:val="20"/>
                <w:szCs w:val="20"/>
                <w:color w:val="auto"/>
              </w:rPr>
            </w:pPr>
            <w:r>
              <w:rPr>
                <w:rFonts w:ascii="Arial" w:cs="Arial" w:eastAsia="Arial" w:hAnsi="Arial"/>
                <w:sz w:val="17"/>
                <w:szCs w:val="17"/>
                <w:color w:val="auto"/>
              </w:rPr>
              <w:t>(AS OF</w:t>
            </w:r>
          </w:p>
        </w:tc>
      </w:tr>
      <w:tr>
        <w:trPr>
          <w:trHeight w:val="213"/>
        </w:trPr>
        <w:tc>
          <w:tcPr>
            <w:tcW w:w="13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8"/>
              </w:rPr>
              <w:t>CUSIP</w:t>
            </w:r>
          </w:p>
        </w:tc>
        <w:tc>
          <w:tcPr>
            <w:tcW w:w="400" w:type="dxa"/>
            <w:vAlign w:val="bottom"/>
          </w:tcPr>
          <w:p>
            <w:pPr>
              <w:spacing w:after="0"/>
              <w:rPr>
                <w:sz w:val="18"/>
                <w:szCs w:val="18"/>
                <w:color w:val="auto"/>
              </w:rPr>
            </w:pPr>
          </w:p>
        </w:tc>
        <w:tc>
          <w:tcPr>
            <w:tcW w:w="1020" w:type="dxa"/>
            <w:vAlign w:val="bottom"/>
            <w:tcBorders>
              <w:right w:val="single" w:sz="8" w:color="auto"/>
            </w:tcBorders>
            <w:gridSpan w:val="2"/>
          </w:tcPr>
          <w:p>
            <w:pPr>
              <w:spacing w:after="0"/>
              <w:rPr>
                <w:sz w:val="20"/>
                <w:szCs w:val="20"/>
                <w:color w:val="auto"/>
              </w:rPr>
            </w:pPr>
            <w:r>
              <w:rPr>
                <w:rFonts w:ascii="Arial" w:cs="Arial" w:eastAsia="Arial" w:hAnsi="Arial"/>
                <w:sz w:val="17"/>
                <w:szCs w:val="17"/>
                <w:color w:val="auto"/>
              </w:rPr>
              <w:t>ISSUER</w:t>
            </w:r>
          </w:p>
        </w:tc>
        <w:tc>
          <w:tcPr>
            <w:tcW w:w="160" w:type="dxa"/>
            <w:vAlign w:val="bottom"/>
          </w:tcPr>
          <w:p>
            <w:pPr>
              <w:spacing w:after="0"/>
              <w:rPr>
                <w:sz w:val="18"/>
                <w:szCs w:val="18"/>
                <w:color w:val="auto"/>
              </w:rPr>
            </w:pPr>
          </w:p>
        </w:tc>
        <w:tc>
          <w:tcPr>
            <w:tcW w:w="1020" w:type="dxa"/>
            <w:vAlign w:val="bottom"/>
            <w:gridSpan w:val="2"/>
          </w:tcPr>
          <w:p>
            <w:pPr>
              <w:ind w:left="220"/>
              <w:spacing w:after="0"/>
              <w:rPr>
                <w:sz w:val="20"/>
                <w:szCs w:val="20"/>
                <w:color w:val="auto"/>
              </w:rPr>
            </w:pPr>
            <w:r>
              <w:rPr>
                <w:rFonts w:ascii="Arial" w:cs="Arial" w:eastAsia="Arial" w:hAnsi="Arial"/>
                <w:sz w:val="17"/>
                <w:szCs w:val="17"/>
                <w:color w:val="auto"/>
              </w:rPr>
              <w:t>COUPON</w:t>
            </w:r>
          </w:p>
        </w:tc>
        <w:tc>
          <w:tcPr>
            <w:tcW w:w="22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1460" w:type="dxa"/>
            <w:vAlign w:val="bottom"/>
            <w:gridSpan w:val="2"/>
          </w:tcPr>
          <w:p>
            <w:pPr>
              <w:jc w:val="right"/>
              <w:ind w:right="317"/>
              <w:spacing w:after="0"/>
              <w:rPr>
                <w:sz w:val="20"/>
                <w:szCs w:val="20"/>
                <w:color w:val="auto"/>
              </w:rPr>
            </w:pPr>
            <w:r>
              <w:rPr>
                <w:rFonts w:ascii="Arial" w:cs="Arial" w:eastAsia="Arial" w:hAnsi="Arial"/>
                <w:sz w:val="17"/>
                <w:szCs w:val="17"/>
                <w:color w:val="auto"/>
              </w:rPr>
              <w:t>DATE</w:t>
            </w:r>
          </w:p>
        </w:tc>
        <w:tc>
          <w:tcPr>
            <w:tcW w:w="260" w:type="dxa"/>
            <w:vAlign w:val="bottom"/>
            <w:tcBorders>
              <w:right w:val="single" w:sz="8" w:color="auto"/>
            </w:tcBorders>
          </w:tcPr>
          <w:p>
            <w:pPr>
              <w:spacing w:after="0"/>
              <w:rPr>
                <w:sz w:val="18"/>
                <w:szCs w:val="18"/>
                <w:color w:val="auto"/>
              </w:rPr>
            </w:pPr>
          </w:p>
        </w:tc>
        <w:tc>
          <w:tcPr>
            <w:tcW w:w="1160" w:type="dxa"/>
            <w:vAlign w:val="bottom"/>
          </w:tcPr>
          <w:p>
            <w:pPr>
              <w:jc w:val="center"/>
              <w:ind w:left="297"/>
              <w:spacing w:after="0"/>
              <w:rPr>
                <w:sz w:val="20"/>
                <w:szCs w:val="20"/>
                <w:color w:val="auto"/>
              </w:rPr>
            </w:pPr>
            <w:r>
              <w:rPr>
                <w:rFonts w:ascii="Arial" w:cs="Arial" w:eastAsia="Arial" w:hAnsi="Arial"/>
                <w:sz w:val="17"/>
                <w:szCs w:val="17"/>
                <w:color w:val="auto"/>
              </w:rPr>
              <w:t>AMOUNT</w:t>
            </w:r>
          </w:p>
        </w:tc>
        <w:tc>
          <w:tcPr>
            <w:tcW w:w="42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gridSpan w:val="3"/>
          </w:tcPr>
          <w:p>
            <w:pPr>
              <w:jc w:val="center"/>
              <w:ind w:right="20"/>
              <w:spacing w:after="0"/>
              <w:rPr>
                <w:sz w:val="20"/>
                <w:szCs w:val="20"/>
                <w:color w:val="auto"/>
              </w:rPr>
            </w:pPr>
            <w:r>
              <w:rPr>
                <w:rFonts w:ascii="Arial" w:cs="Arial" w:eastAsia="Arial" w:hAnsi="Arial"/>
                <w:sz w:val="17"/>
                <w:szCs w:val="17"/>
                <w:color w:val="auto"/>
              </w:rPr>
              <w:t>QUALITY</w:t>
            </w:r>
          </w:p>
        </w:tc>
        <w:tc>
          <w:tcPr>
            <w:tcW w:w="1800" w:type="dxa"/>
            <w:vAlign w:val="bottom"/>
            <w:tcBorders>
              <w:right w:val="single" w:sz="8" w:color="auto"/>
            </w:tcBorders>
            <w:gridSpan w:val="2"/>
          </w:tcPr>
          <w:p>
            <w:pPr>
              <w:ind w:left="420"/>
              <w:spacing w:after="0"/>
              <w:rPr>
                <w:sz w:val="20"/>
                <w:szCs w:val="20"/>
                <w:color w:val="auto"/>
              </w:rPr>
            </w:pPr>
            <w:r>
              <w:rPr>
                <w:rFonts w:ascii="Arial" w:cs="Arial" w:eastAsia="Arial" w:hAnsi="Arial"/>
                <w:sz w:val="17"/>
                <w:szCs w:val="17"/>
                <w:color w:val="auto"/>
              </w:rPr>
              <w:t>MM/DD/YY)</w:t>
            </w:r>
          </w:p>
        </w:tc>
      </w:tr>
      <w:tr>
        <w:trPr>
          <w:trHeight w:val="25"/>
        </w:trPr>
        <w:tc>
          <w:tcPr>
            <w:tcW w:w="1300" w:type="dxa"/>
            <w:vAlign w:val="bottom"/>
            <w:tcBorders>
              <w:left w:val="single" w:sz="8" w:color="auto"/>
              <w:bottom w:val="single" w:sz="8" w:color="auto"/>
              <w:right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r>
      <w:tr>
        <w:trPr>
          <w:trHeight w:val="418"/>
        </w:trPr>
        <w:tc>
          <w:tcPr>
            <w:tcW w:w="1300" w:type="dxa"/>
            <w:vAlign w:val="bottom"/>
            <w:tcBorders>
              <w:left w:val="single" w:sz="8" w:color="auto"/>
              <w:bottom w:val="single" w:sz="8" w:color="auto"/>
              <w:right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right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r>
      <w:tr>
        <w:trPr>
          <w:trHeight w:val="406"/>
        </w:trPr>
        <w:tc>
          <w:tcPr>
            <w:tcW w:w="1300" w:type="dxa"/>
            <w:vAlign w:val="bottom"/>
            <w:tcBorders>
              <w:left w:val="single" w:sz="8" w:color="auto"/>
              <w:bottom w:val="single" w:sz="8" w:color="auto"/>
              <w:right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right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r>
      <w:tr>
        <w:trPr>
          <w:trHeight w:val="205"/>
        </w:trPr>
        <w:tc>
          <w:tcPr>
            <w:tcW w:w="13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7"/>
              </w:rPr>
              <w:t>SUB</w:t>
            </w:r>
          </w:p>
        </w:tc>
        <w:tc>
          <w:tcPr>
            <w:tcW w:w="4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9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1160" w:type="dxa"/>
            <w:vAlign w:val="bottom"/>
          </w:tcPr>
          <w:p>
            <w:pPr>
              <w:spacing w:after="0"/>
              <w:rPr>
                <w:sz w:val="17"/>
                <w:szCs w:val="17"/>
                <w:color w:val="auto"/>
              </w:rPr>
            </w:pPr>
          </w:p>
        </w:tc>
        <w:tc>
          <w:tcPr>
            <w:tcW w:w="420" w:type="dxa"/>
            <w:vAlign w:val="bottom"/>
            <w:tcBorders>
              <w:right w:val="single" w:sz="8" w:color="auto"/>
            </w:tcBorders>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160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r>
      <w:tr>
        <w:trPr>
          <w:trHeight w:val="213"/>
        </w:trPr>
        <w:tc>
          <w:tcPr>
            <w:tcW w:w="13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8"/>
              </w:rPr>
              <w:t>TOTAL</w:t>
            </w: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1160" w:type="dxa"/>
            <w:vAlign w:val="bottom"/>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60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r>
      <w:tr>
        <w:trPr>
          <w:trHeight w:val="25"/>
        </w:trPr>
        <w:tc>
          <w:tcPr>
            <w:tcW w:w="1300" w:type="dxa"/>
            <w:vAlign w:val="bottom"/>
            <w:tcBorders>
              <w:left w:val="single" w:sz="8" w:color="auto"/>
              <w:bottom w:val="single" w:sz="8" w:color="auto"/>
              <w:right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r>
      <w:tr>
        <w:trPr>
          <w:trHeight w:val="645"/>
        </w:trPr>
        <w:tc>
          <w:tcPr>
            <w:tcW w:w="1300" w:type="dxa"/>
            <w:vAlign w:val="bottom"/>
          </w:tcPr>
          <w:p>
            <w:pPr>
              <w:spacing w:after="0"/>
              <w:rPr>
                <w:sz w:val="20"/>
                <w:szCs w:val="20"/>
                <w:color w:val="auto"/>
              </w:rPr>
            </w:pPr>
            <w:r>
              <w:rPr>
                <w:rFonts w:ascii="Arial" w:cs="Arial" w:eastAsia="Arial" w:hAnsi="Arial"/>
                <w:sz w:val="20"/>
                <w:szCs w:val="20"/>
                <w:color w:val="auto"/>
              </w:rPr>
              <w:t xml:space="preserve">[ *** </w:t>
            </w:r>
            <w:r>
              <w:rPr>
                <w:rFonts w:ascii="Arial" w:cs="Arial" w:eastAsia="Arial" w:hAnsi="Arial"/>
                <w:sz w:val="21"/>
                <w:szCs w:val="21"/>
                <w:color w:val="auto"/>
              </w:rPr>
              <w:t>]</w:t>
            </w: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124"/>
        </w:trPr>
        <w:tc>
          <w:tcPr>
            <w:tcW w:w="13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gridSpan w:val="2"/>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gridSpan w:val="2"/>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60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r>
      <w:tr>
        <w:trPr>
          <w:trHeight w:val="269"/>
        </w:trPr>
        <w:tc>
          <w:tcPr>
            <w:tcW w:w="1300" w:type="dxa"/>
            <w:vAlign w:val="bottom"/>
            <w:tcBorders>
              <w:left w:val="single" w:sz="8" w:color="auto"/>
            </w:tcBorders>
          </w:tcPr>
          <w:p>
            <w:pPr>
              <w:jc w:val="center"/>
              <w:ind w:left="314"/>
              <w:spacing w:after="0"/>
              <w:rPr>
                <w:sz w:val="20"/>
                <w:szCs w:val="20"/>
                <w:color w:val="auto"/>
              </w:rPr>
            </w:pPr>
            <w:r>
              <w:rPr>
                <w:rFonts w:ascii="Arial" w:cs="Arial" w:eastAsia="Arial" w:hAnsi="Arial"/>
                <w:sz w:val="20"/>
                <w:szCs w:val="20"/>
                <w:color w:val="auto"/>
              </w:rPr>
              <w:t xml:space="preserve">[ *** </w:t>
            </w:r>
            <w:r>
              <w:rPr>
                <w:rFonts w:ascii="Arial" w:cs="Arial" w:eastAsia="Arial" w:hAnsi="Arial"/>
                <w:sz w:val="21"/>
                <w:szCs w:val="21"/>
                <w:color w:val="auto"/>
              </w:rPr>
              <w:t>]</w:t>
            </w:r>
          </w:p>
        </w:tc>
        <w:tc>
          <w:tcPr>
            <w:tcW w:w="400" w:type="dxa"/>
            <w:vAlign w:val="bottom"/>
            <w:tcBorders>
              <w:right w:val="single" w:sz="8" w:color="auto"/>
            </w:tcBorders>
          </w:tcPr>
          <w:p>
            <w:pPr>
              <w:spacing w:after="0"/>
              <w:rPr>
                <w:sz w:val="23"/>
                <w:szCs w:val="23"/>
                <w:color w:val="auto"/>
              </w:rPr>
            </w:pPr>
          </w:p>
        </w:tc>
        <w:tc>
          <w:tcPr>
            <w:tcW w:w="1180" w:type="dxa"/>
            <w:vAlign w:val="bottom"/>
            <w:gridSpan w:val="3"/>
          </w:tcPr>
          <w:p>
            <w:pPr>
              <w:ind w:left="540"/>
              <w:spacing w:after="0"/>
              <w:rPr>
                <w:sz w:val="20"/>
                <w:szCs w:val="20"/>
                <w:color w:val="auto"/>
              </w:rPr>
            </w:pPr>
            <w:r>
              <w:rPr>
                <w:rFonts w:ascii="Arial" w:cs="Arial" w:eastAsia="Arial" w:hAnsi="Arial"/>
                <w:sz w:val="17"/>
                <w:szCs w:val="17"/>
                <w:color w:val="auto"/>
                <w:w w:val="95"/>
              </w:rPr>
              <w:t>NEWCO</w:t>
            </w:r>
          </w:p>
        </w:tc>
        <w:tc>
          <w:tcPr>
            <w:tcW w:w="520" w:type="dxa"/>
            <w:vAlign w:val="bottom"/>
            <w:tcBorders>
              <w:right w:val="single" w:sz="8" w:color="auto"/>
            </w:tcBorders>
          </w:tcPr>
          <w:p>
            <w:pPr>
              <w:spacing w:after="0"/>
              <w:rPr>
                <w:sz w:val="23"/>
                <w:szCs w:val="23"/>
                <w:color w:val="auto"/>
              </w:rPr>
            </w:pPr>
          </w:p>
        </w:tc>
        <w:tc>
          <w:tcPr>
            <w:tcW w:w="500" w:type="dxa"/>
            <w:vAlign w:val="bottom"/>
          </w:tcPr>
          <w:p>
            <w:pPr>
              <w:spacing w:after="0"/>
              <w:rPr>
                <w:sz w:val="23"/>
                <w:szCs w:val="23"/>
                <w:color w:val="auto"/>
              </w:rPr>
            </w:pPr>
          </w:p>
        </w:tc>
        <w:tc>
          <w:tcPr>
            <w:tcW w:w="1280" w:type="dxa"/>
            <w:vAlign w:val="bottom"/>
            <w:tcBorders>
              <w:right w:val="single" w:sz="8" w:color="auto"/>
            </w:tcBorders>
            <w:gridSpan w:val="3"/>
          </w:tcPr>
          <w:p>
            <w:pPr>
              <w:jc w:val="right"/>
              <w:ind w:right="557"/>
              <w:spacing w:after="0"/>
              <w:rPr>
                <w:sz w:val="20"/>
                <w:szCs w:val="20"/>
                <w:color w:val="auto"/>
              </w:rPr>
            </w:pPr>
            <w:r>
              <w:rPr>
                <w:rFonts w:ascii="Arial" w:cs="Arial" w:eastAsia="Arial" w:hAnsi="Arial"/>
                <w:sz w:val="20"/>
                <w:szCs w:val="20"/>
                <w:color w:val="auto"/>
              </w:rPr>
              <w:t xml:space="preserve">[ *** </w:t>
            </w:r>
            <w:r>
              <w:rPr>
                <w:rFonts w:ascii="Arial" w:cs="Arial" w:eastAsia="Arial" w:hAnsi="Arial"/>
                <w:sz w:val="21"/>
                <w:szCs w:val="21"/>
                <w:color w:val="auto"/>
              </w:rPr>
              <w:t>]</w:t>
            </w:r>
          </w:p>
        </w:tc>
        <w:tc>
          <w:tcPr>
            <w:tcW w:w="480" w:type="dxa"/>
            <w:vAlign w:val="bottom"/>
          </w:tcPr>
          <w:p>
            <w:pPr>
              <w:spacing w:after="0"/>
              <w:rPr>
                <w:sz w:val="23"/>
                <w:szCs w:val="23"/>
                <w:color w:val="auto"/>
              </w:rPr>
            </w:pPr>
          </w:p>
        </w:tc>
        <w:tc>
          <w:tcPr>
            <w:tcW w:w="1420" w:type="dxa"/>
            <w:vAlign w:val="bottom"/>
            <w:tcBorders>
              <w:right w:val="single" w:sz="8" w:color="auto"/>
            </w:tcBorders>
            <w:gridSpan w:val="2"/>
          </w:tcPr>
          <w:p>
            <w:pPr>
              <w:jc w:val="right"/>
              <w:ind w:right="617"/>
              <w:spacing w:after="0"/>
              <w:rPr>
                <w:sz w:val="20"/>
                <w:szCs w:val="20"/>
                <w:color w:val="auto"/>
              </w:rPr>
            </w:pPr>
            <w:r>
              <w:rPr>
                <w:rFonts w:ascii="Arial" w:cs="Arial" w:eastAsia="Arial" w:hAnsi="Arial"/>
                <w:sz w:val="20"/>
                <w:szCs w:val="20"/>
                <w:color w:val="auto"/>
              </w:rPr>
              <w:t xml:space="preserve">[ *** </w:t>
            </w:r>
            <w:r>
              <w:rPr>
                <w:rFonts w:ascii="Arial" w:cs="Arial" w:eastAsia="Arial" w:hAnsi="Arial"/>
                <w:sz w:val="21"/>
                <w:szCs w:val="21"/>
                <w:color w:val="auto"/>
              </w:rPr>
              <w:t>]</w:t>
            </w:r>
          </w:p>
        </w:tc>
        <w:tc>
          <w:tcPr>
            <w:tcW w:w="420" w:type="dxa"/>
            <w:vAlign w:val="bottom"/>
          </w:tcPr>
          <w:p>
            <w:pPr>
              <w:spacing w:after="0"/>
              <w:rPr>
                <w:sz w:val="23"/>
                <w:szCs w:val="23"/>
                <w:color w:val="auto"/>
              </w:rPr>
            </w:pPr>
          </w:p>
        </w:tc>
        <w:tc>
          <w:tcPr>
            <w:tcW w:w="1240" w:type="dxa"/>
            <w:vAlign w:val="bottom"/>
            <w:tcBorders>
              <w:right w:val="single" w:sz="8" w:color="auto"/>
            </w:tcBorders>
            <w:gridSpan w:val="2"/>
          </w:tcPr>
          <w:p>
            <w:pPr>
              <w:ind w:left="40"/>
              <w:spacing w:after="0"/>
              <w:rPr>
                <w:sz w:val="20"/>
                <w:szCs w:val="20"/>
                <w:color w:val="auto"/>
              </w:rPr>
            </w:pPr>
            <w:r>
              <w:rPr>
                <w:rFonts w:ascii="Arial" w:cs="Arial" w:eastAsia="Arial" w:hAnsi="Arial"/>
                <w:sz w:val="17"/>
                <w:szCs w:val="17"/>
                <w:color w:val="auto"/>
              </w:rPr>
              <w:t>[OTHER]</w:t>
            </w:r>
          </w:p>
        </w:tc>
        <w:tc>
          <w:tcPr>
            <w:tcW w:w="160" w:type="dxa"/>
            <w:vAlign w:val="bottom"/>
          </w:tcPr>
          <w:p>
            <w:pPr>
              <w:spacing w:after="0"/>
              <w:rPr>
                <w:sz w:val="23"/>
                <w:szCs w:val="23"/>
                <w:color w:val="auto"/>
              </w:rPr>
            </w:pPr>
          </w:p>
        </w:tc>
        <w:tc>
          <w:tcPr>
            <w:tcW w:w="1600" w:type="dxa"/>
            <w:vAlign w:val="bottom"/>
            <w:tcBorders>
              <w:right w:val="single" w:sz="8" w:color="auto"/>
            </w:tcBorders>
          </w:tcPr>
          <w:p>
            <w:pPr>
              <w:ind w:left="440"/>
              <w:spacing w:after="0"/>
              <w:rPr>
                <w:sz w:val="20"/>
                <w:szCs w:val="20"/>
                <w:color w:val="auto"/>
              </w:rPr>
            </w:pPr>
            <w:r>
              <w:rPr>
                <w:rFonts w:ascii="Arial" w:cs="Arial" w:eastAsia="Arial" w:hAnsi="Arial"/>
                <w:sz w:val="20"/>
                <w:szCs w:val="20"/>
                <w:color w:val="auto"/>
              </w:rPr>
              <w:t xml:space="preserve">[ *** </w:t>
            </w:r>
            <w:r>
              <w:rPr>
                <w:rFonts w:ascii="Arial" w:cs="Arial" w:eastAsia="Arial" w:hAnsi="Arial"/>
                <w:sz w:val="21"/>
                <w:szCs w:val="21"/>
                <w:color w:val="auto"/>
              </w:rPr>
              <w:t>]</w:t>
            </w:r>
          </w:p>
        </w:tc>
        <w:tc>
          <w:tcPr>
            <w:tcW w:w="200" w:type="dxa"/>
            <w:vAlign w:val="bottom"/>
          </w:tcPr>
          <w:p>
            <w:pPr>
              <w:spacing w:after="0"/>
              <w:rPr>
                <w:sz w:val="23"/>
                <w:szCs w:val="23"/>
                <w:color w:val="auto"/>
              </w:rPr>
            </w:pPr>
          </w:p>
        </w:tc>
      </w:tr>
      <w:tr>
        <w:trPr>
          <w:trHeight w:val="24"/>
        </w:trPr>
        <w:tc>
          <w:tcPr>
            <w:tcW w:w="1300" w:type="dxa"/>
            <w:vAlign w:val="bottom"/>
            <w:tcBorders>
              <w:left w:val="single" w:sz="8" w:color="auto"/>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200" w:type="dxa"/>
            <w:vAlign w:val="bottom"/>
          </w:tcPr>
          <w:p>
            <w:pPr>
              <w:spacing w:after="0"/>
              <w:rPr>
                <w:sz w:val="2"/>
                <w:szCs w:val="2"/>
                <w:color w:val="auto"/>
              </w:rPr>
            </w:pPr>
          </w:p>
        </w:tc>
      </w:tr>
      <w:tr>
        <w:trPr>
          <w:trHeight w:val="443"/>
        </w:trPr>
        <w:tc>
          <w:tcPr>
            <w:tcW w:w="1300" w:type="dxa"/>
            <w:vAlign w:val="bottom"/>
            <w:tcBorders>
              <w:left w:val="single" w:sz="8" w:color="auto"/>
              <w:bottom w:val="single" w:sz="8" w:color="auto"/>
            </w:tcBorders>
          </w:tcPr>
          <w:p>
            <w:pPr>
              <w:spacing w:after="0"/>
              <w:rPr>
                <w:sz w:val="24"/>
                <w:szCs w:val="24"/>
                <w:color w:val="auto"/>
              </w:rPr>
            </w:pPr>
          </w:p>
        </w:tc>
        <w:tc>
          <w:tcPr>
            <w:tcW w:w="40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20" w:type="dxa"/>
            <w:vAlign w:val="bottom"/>
            <w:tcBorders>
              <w:bottom w:val="single" w:sz="8" w:color="auto"/>
              <w:right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80" w:type="dxa"/>
            <w:vAlign w:val="bottom"/>
            <w:tcBorders>
              <w:bottom w:val="single" w:sz="8" w:color="auto"/>
              <w:right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60" w:type="dxa"/>
            <w:vAlign w:val="bottom"/>
            <w:tcBorders>
              <w:bottom w:val="single" w:sz="8" w:color="auto"/>
              <w:right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0" w:type="dxa"/>
            <w:vAlign w:val="bottom"/>
            <w:tcBorders>
              <w:bottom w:val="single" w:sz="8" w:color="auto"/>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r>
      <w:tr>
        <w:trPr>
          <w:trHeight w:val="205"/>
        </w:trPr>
        <w:tc>
          <w:tcPr>
            <w:tcW w:w="1300" w:type="dxa"/>
            <w:vAlign w:val="bottom"/>
            <w:tcBorders>
              <w:left w:val="single" w:sz="8" w:color="auto"/>
            </w:tcBorders>
          </w:tcPr>
          <w:p>
            <w:pPr>
              <w:jc w:val="center"/>
              <w:ind w:left="314"/>
              <w:spacing w:after="0"/>
              <w:rPr>
                <w:sz w:val="20"/>
                <w:szCs w:val="20"/>
                <w:color w:val="auto"/>
              </w:rPr>
            </w:pPr>
            <w:r>
              <w:rPr>
                <w:rFonts w:ascii="Arial" w:cs="Arial" w:eastAsia="Arial" w:hAnsi="Arial"/>
                <w:sz w:val="17"/>
                <w:szCs w:val="17"/>
                <w:color w:val="auto"/>
                <w:w w:val="97"/>
              </w:rPr>
              <w:t>SUB</w:t>
            </w:r>
          </w:p>
        </w:tc>
        <w:tc>
          <w:tcPr>
            <w:tcW w:w="400" w:type="dxa"/>
            <w:vAlign w:val="bottom"/>
            <w:tcBorders>
              <w:right w:val="single" w:sz="8" w:color="auto"/>
            </w:tcBorders>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Borders>
              <w:right w:val="single" w:sz="8" w:color="auto"/>
            </w:tcBorders>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Borders>
              <w:right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r>
      <w:tr>
        <w:trPr>
          <w:trHeight w:val="213"/>
        </w:trPr>
        <w:tc>
          <w:tcPr>
            <w:tcW w:w="1300" w:type="dxa"/>
            <w:vAlign w:val="bottom"/>
            <w:tcBorders>
              <w:left w:val="single" w:sz="8" w:color="auto"/>
            </w:tcBorders>
          </w:tcPr>
          <w:p>
            <w:pPr>
              <w:jc w:val="center"/>
              <w:ind w:left="314"/>
              <w:spacing w:after="0"/>
              <w:rPr>
                <w:sz w:val="20"/>
                <w:szCs w:val="20"/>
                <w:color w:val="auto"/>
              </w:rPr>
            </w:pPr>
            <w:r>
              <w:rPr>
                <w:rFonts w:ascii="Arial" w:cs="Arial" w:eastAsia="Arial" w:hAnsi="Arial"/>
                <w:sz w:val="17"/>
                <w:szCs w:val="17"/>
                <w:color w:val="auto"/>
                <w:w w:val="98"/>
              </w:rPr>
              <w:t>TOTAL</w:t>
            </w:r>
          </w:p>
        </w:tc>
        <w:tc>
          <w:tcPr>
            <w:tcW w:w="400" w:type="dxa"/>
            <w:vAlign w:val="bottom"/>
            <w:tcBorders>
              <w:right w:val="single" w:sz="8" w:color="auto"/>
            </w:tcBorders>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r>
      <w:tr>
        <w:trPr>
          <w:trHeight w:val="25"/>
        </w:trPr>
        <w:tc>
          <w:tcPr>
            <w:tcW w:w="1300" w:type="dxa"/>
            <w:vAlign w:val="bottom"/>
            <w:tcBorders>
              <w:left w:val="single" w:sz="8" w:color="auto"/>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200" w:type="dxa"/>
            <w:vAlign w:val="bottom"/>
          </w:tcPr>
          <w:p>
            <w:pPr>
              <w:spacing w:after="0"/>
              <w:rPr>
                <w:sz w:val="2"/>
                <w:szCs w:val="2"/>
                <w:color w:val="auto"/>
              </w:rPr>
            </w:pPr>
          </w:p>
        </w:tc>
      </w:tr>
      <w:tr>
        <w:trPr>
          <w:trHeight w:val="593"/>
        </w:trPr>
        <w:tc>
          <w:tcPr>
            <w:tcW w:w="1300" w:type="dxa"/>
            <w:vAlign w:val="bottom"/>
          </w:tcPr>
          <w:p>
            <w:pPr>
              <w:spacing w:after="0"/>
              <w:rPr>
                <w:sz w:val="20"/>
                <w:szCs w:val="20"/>
                <w:color w:val="auto"/>
              </w:rPr>
            </w:pPr>
            <w:r>
              <w:rPr>
                <w:rFonts w:ascii="Arial" w:cs="Arial" w:eastAsia="Arial" w:hAnsi="Arial"/>
                <w:sz w:val="17"/>
                <w:szCs w:val="17"/>
                <w:b w:val="1"/>
                <w:bCs w:val="1"/>
                <w:color w:val="auto"/>
              </w:rPr>
              <w:t>Other Assets</w:t>
            </w: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125"/>
        </w:trPr>
        <w:tc>
          <w:tcPr>
            <w:tcW w:w="1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0" w:type="dxa"/>
            <w:vAlign w:val="bottom"/>
            <w:gridSpan w:val="2"/>
          </w:tcPr>
          <w:p>
            <w:pPr>
              <w:spacing w:after="0"/>
              <w:rPr>
                <w:sz w:val="10"/>
                <w:szCs w:val="10"/>
                <w:color w:val="auto"/>
              </w:rPr>
            </w:pPr>
          </w:p>
        </w:tc>
      </w:tr>
      <w:tr>
        <w:trPr>
          <w:trHeight w:val="205"/>
        </w:trPr>
        <w:tc>
          <w:tcPr>
            <w:tcW w:w="1300" w:type="dxa"/>
            <w:vAlign w:val="bottom"/>
            <w:tcBorders>
              <w:top w:val="single" w:sz="8" w:color="auto"/>
              <w:left w:val="single" w:sz="8" w:color="auto"/>
              <w:right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840" w:type="dxa"/>
            <w:vAlign w:val="bottom"/>
            <w:tcBorders>
              <w:top w:val="single" w:sz="8" w:color="auto"/>
              <w:right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220" w:type="dxa"/>
            <w:vAlign w:val="bottom"/>
            <w:tcBorders>
              <w:top w:val="single" w:sz="8" w:color="auto"/>
              <w:right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260" w:type="dxa"/>
            <w:vAlign w:val="bottom"/>
            <w:tcBorders>
              <w:top w:val="single" w:sz="8" w:color="auto"/>
              <w:right w:val="single" w:sz="8" w:color="auto"/>
            </w:tcBorders>
          </w:tcPr>
          <w:p>
            <w:pPr>
              <w:spacing w:after="0"/>
              <w:rPr>
                <w:sz w:val="17"/>
                <w:szCs w:val="17"/>
                <w:color w:val="auto"/>
              </w:rPr>
            </w:pPr>
          </w:p>
        </w:tc>
        <w:tc>
          <w:tcPr>
            <w:tcW w:w="1160" w:type="dxa"/>
            <w:vAlign w:val="bottom"/>
            <w:tcBorders>
              <w:top w:val="single" w:sz="8" w:color="auto"/>
              <w:right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140" w:type="dxa"/>
            <w:vAlign w:val="bottom"/>
            <w:tcBorders>
              <w:top w:val="single" w:sz="8" w:color="auto"/>
              <w:right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600" w:type="dxa"/>
            <w:vAlign w:val="bottom"/>
            <w:tcBorders>
              <w:top w:val="single" w:sz="8" w:color="auto"/>
              <w:right w:val="single" w:sz="8" w:color="auto"/>
            </w:tcBorders>
          </w:tcPr>
          <w:p>
            <w:pPr>
              <w:jc w:val="right"/>
              <w:ind w:right="354"/>
              <w:spacing w:after="0"/>
              <w:rPr>
                <w:sz w:val="20"/>
                <w:szCs w:val="20"/>
                <w:color w:val="auto"/>
              </w:rPr>
            </w:pPr>
            <w:r>
              <w:rPr>
                <w:rFonts w:ascii="Arial" w:cs="Arial" w:eastAsia="Arial" w:hAnsi="Arial"/>
                <w:sz w:val="17"/>
                <w:szCs w:val="17"/>
                <w:color w:val="auto"/>
              </w:rPr>
              <w:t>[MKT VALUE</w:t>
            </w:r>
          </w:p>
        </w:tc>
        <w:tc>
          <w:tcPr>
            <w:tcW w:w="200" w:type="dxa"/>
            <w:vAlign w:val="bottom"/>
          </w:tcPr>
          <w:p>
            <w:pPr>
              <w:spacing w:after="0"/>
              <w:rPr>
                <w:sz w:val="17"/>
                <w:szCs w:val="17"/>
                <w:color w:val="auto"/>
              </w:rPr>
            </w:pPr>
          </w:p>
        </w:tc>
      </w:tr>
      <w:tr>
        <w:trPr>
          <w:trHeight w:val="200"/>
        </w:trPr>
        <w:tc>
          <w:tcPr>
            <w:tcW w:w="1300" w:type="dxa"/>
            <w:vAlign w:val="bottom"/>
            <w:tcBorders>
              <w:left w:val="single" w:sz="8" w:color="auto"/>
              <w:right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60" w:type="dxa"/>
            <w:vAlign w:val="bottom"/>
            <w:gridSpan w:val="2"/>
          </w:tcPr>
          <w:p>
            <w:pPr>
              <w:jc w:val="right"/>
              <w:ind w:right="117"/>
              <w:spacing w:after="0"/>
              <w:rPr>
                <w:sz w:val="20"/>
                <w:szCs w:val="20"/>
                <w:color w:val="auto"/>
              </w:rPr>
            </w:pPr>
            <w:r>
              <w:rPr>
                <w:rFonts w:ascii="Arial" w:cs="Arial" w:eastAsia="Arial" w:hAnsi="Arial"/>
                <w:sz w:val="17"/>
                <w:szCs w:val="17"/>
                <w:color w:val="auto"/>
              </w:rPr>
              <w:t>[MATURITY</w:t>
            </w:r>
          </w:p>
        </w:tc>
        <w:tc>
          <w:tcPr>
            <w:tcW w:w="260" w:type="dxa"/>
            <w:vAlign w:val="bottom"/>
            <w:tcBorders>
              <w:right w:val="single" w:sz="8" w:color="auto"/>
            </w:tcBorders>
          </w:tcPr>
          <w:p>
            <w:pPr>
              <w:spacing w:after="0"/>
              <w:rPr>
                <w:sz w:val="17"/>
                <w:szCs w:val="17"/>
                <w:color w:val="auto"/>
              </w:rPr>
            </w:pPr>
          </w:p>
        </w:tc>
        <w:tc>
          <w:tcPr>
            <w:tcW w:w="1160" w:type="dxa"/>
            <w:vAlign w:val="bottom"/>
            <w:tcBorders>
              <w:right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1140" w:type="dxa"/>
            <w:vAlign w:val="bottom"/>
            <w:tcBorders>
              <w:right w:val="single" w:sz="8" w:color="auto"/>
            </w:tcBorders>
          </w:tcPr>
          <w:p>
            <w:pPr>
              <w:jc w:val="center"/>
              <w:ind w:right="397"/>
              <w:spacing w:after="0"/>
              <w:rPr>
                <w:sz w:val="20"/>
                <w:szCs w:val="20"/>
                <w:color w:val="auto"/>
              </w:rPr>
            </w:pPr>
            <w:r>
              <w:rPr>
                <w:rFonts w:ascii="Arial" w:cs="Arial" w:eastAsia="Arial" w:hAnsi="Arial"/>
                <w:sz w:val="17"/>
                <w:szCs w:val="17"/>
                <w:color w:val="auto"/>
                <w:w w:val="96"/>
              </w:rPr>
              <w:t>[CREDIT</w:t>
            </w:r>
          </w:p>
        </w:tc>
        <w:tc>
          <w:tcPr>
            <w:tcW w:w="260" w:type="dxa"/>
            <w:vAlign w:val="bottom"/>
            <w:gridSpan w:val="2"/>
          </w:tcPr>
          <w:p>
            <w:pPr>
              <w:spacing w:after="0"/>
              <w:rPr>
                <w:sz w:val="17"/>
                <w:szCs w:val="17"/>
                <w:color w:val="auto"/>
              </w:rPr>
            </w:pPr>
          </w:p>
        </w:tc>
        <w:tc>
          <w:tcPr>
            <w:tcW w:w="1600" w:type="dxa"/>
            <w:vAlign w:val="bottom"/>
            <w:tcBorders>
              <w:right w:val="single" w:sz="8" w:color="auto"/>
            </w:tcBorders>
          </w:tcPr>
          <w:p>
            <w:pPr>
              <w:ind w:left="400"/>
              <w:spacing w:after="0"/>
              <w:rPr>
                <w:sz w:val="20"/>
                <w:szCs w:val="20"/>
                <w:color w:val="auto"/>
              </w:rPr>
            </w:pPr>
            <w:r>
              <w:rPr>
                <w:rFonts w:ascii="Arial" w:cs="Arial" w:eastAsia="Arial" w:hAnsi="Arial"/>
                <w:sz w:val="17"/>
                <w:szCs w:val="17"/>
                <w:color w:val="auto"/>
              </w:rPr>
              <w:t>(AS OF</w:t>
            </w:r>
          </w:p>
        </w:tc>
        <w:tc>
          <w:tcPr>
            <w:tcW w:w="200" w:type="dxa"/>
            <w:vAlign w:val="bottom"/>
          </w:tcPr>
          <w:p>
            <w:pPr>
              <w:spacing w:after="0"/>
              <w:rPr>
                <w:sz w:val="17"/>
                <w:szCs w:val="17"/>
                <w:color w:val="auto"/>
              </w:rPr>
            </w:pPr>
          </w:p>
        </w:tc>
      </w:tr>
      <w:tr>
        <w:trPr>
          <w:trHeight w:val="213"/>
        </w:trPr>
        <w:tc>
          <w:tcPr>
            <w:tcW w:w="13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2"/>
              </w:rPr>
              <w:t>CUSIP</w:t>
            </w:r>
          </w:p>
        </w:tc>
        <w:tc>
          <w:tcPr>
            <w:tcW w:w="1240" w:type="dxa"/>
            <w:vAlign w:val="bottom"/>
            <w:tcBorders>
              <w:right w:val="single" w:sz="8" w:color="auto"/>
            </w:tcBorders>
            <w:gridSpan w:val="2"/>
          </w:tcPr>
          <w:p>
            <w:pPr>
              <w:ind w:left="320"/>
              <w:spacing w:after="0"/>
              <w:rPr>
                <w:sz w:val="20"/>
                <w:szCs w:val="20"/>
                <w:color w:val="auto"/>
              </w:rPr>
            </w:pPr>
            <w:r>
              <w:rPr>
                <w:rFonts w:ascii="Arial" w:cs="Arial" w:eastAsia="Arial" w:hAnsi="Arial"/>
                <w:sz w:val="17"/>
                <w:szCs w:val="17"/>
                <w:color w:val="auto"/>
              </w:rPr>
              <w:t>ISSUER</w:t>
            </w:r>
          </w:p>
        </w:tc>
        <w:tc>
          <w:tcPr>
            <w:tcW w:w="340" w:type="dxa"/>
            <w:vAlign w:val="bottom"/>
            <w:gridSpan w:val="2"/>
          </w:tcPr>
          <w:p>
            <w:pPr>
              <w:spacing w:after="0"/>
              <w:rPr>
                <w:sz w:val="18"/>
                <w:szCs w:val="18"/>
                <w:color w:val="auto"/>
              </w:rPr>
            </w:pPr>
          </w:p>
        </w:tc>
        <w:tc>
          <w:tcPr>
            <w:tcW w:w="1020" w:type="dxa"/>
            <w:vAlign w:val="bottom"/>
            <w:gridSpan w:val="2"/>
          </w:tcPr>
          <w:p>
            <w:pPr>
              <w:ind w:left="40"/>
              <w:spacing w:after="0"/>
              <w:rPr>
                <w:sz w:val="20"/>
                <w:szCs w:val="20"/>
                <w:color w:val="auto"/>
              </w:rPr>
            </w:pPr>
            <w:r>
              <w:rPr>
                <w:rFonts w:ascii="Arial" w:cs="Arial" w:eastAsia="Arial" w:hAnsi="Arial"/>
                <w:sz w:val="17"/>
                <w:szCs w:val="17"/>
                <w:color w:val="auto"/>
              </w:rPr>
              <w:t>[COUPON]</w:t>
            </w:r>
          </w:p>
        </w:tc>
        <w:tc>
          <w:tcPr>
            <w:tcW w:w="2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gridSpan w:val="2"/>
          </w:tcPr>
          <w:p>
            <w:pPr>
              <w:jc w:val="right"/>
              <w:ind w:right="337"/>
              <w:spacing w:after="0"/>
              <w:rPr>
                <w:sz w:val="20"/>
                <w:szCs w:val="20"/>
                <w:color w:val="auto"/>
              </w:rPr>
            </w:pPr>
            <w:r>
              <w:rPr>
                <w:rFonts w:ascii="Arial" w:cs="Arial" w:eastAsia="Arial" w:hAnsi="Arial"/>
                <w:sz w:val="17"/>
                <w:szCs w:val="17"/>
                <w:color w:val="auto"/>
              </w:rPr>
              <w:t>DATE]</w:t>
            </w:r>
          </w:p>
        </w:tc>
        <w:tc>
          <w:tcPr>
            <w:tcW w:w="260" w:type="dxa"/>
            <w:vAlign w:val="bottom"/>
            <w:tcBorders>
              <w:right w:val="single" w:sz="8" w:color="auto"/>
            </w:tcBorders>
          </w:tcPr>
          <w:p>
            <w:pPr>
              <w:spacing w:after="0"/>
              <w:rPr>
                <w:sz w:val="18"/>
                <w:szCs w:val="18"/>
                <w:color w:val="auto"/>
              </w:rPr>
            </w:pPr>
          </w:p>
        </w:tc>
        <w:tc>
          <w:tcPr>
            <w:tcW w:w="1160" w:type="dxa"/>
            <w:vAlign w:val="bottom"/>
            <w:tcBorders>
              <w:right w:val="single" w:sz="8" w:color="auto"/>
            </w:tcBorders>
          </w:tcPr>
          <w:p>
            <w:pPr>
              <w:jc w:val="right"/>
              <w:ind w:right="37"/>
              <w:spacing w:after="0"/>
              <w:rPr>
                <w:sz w:val="20"/>
                <w:szCs w:val="20"/>
                <w:color w:val="auto"/>
              </w:rPr>
            </w:pPr>
            <w:r>
              <w:rPr>
                <w:rFonts w:ascii="Arial" w:cs="Arial" w:eastAsia="Arial" w:hAnsi="Arial"/>
                <w:sz w:val="17"/>
                <w:szCs w:val="17"/>
                <w:color w:val="auto"/>
              </w:rPr>
              <w:t>[PAR AMNT]</w:t>
            </w:r>
          </w:p>
        </w:tc>
        <w:tc>
          <w:tcPr>
            <w:tcW w:w="1560" w:type="dxa"/>
            <w:vAlign w:val="bottom"/>
            <w:tcBorders>
              <w:right w:val="single" w:sz="8" w:color="auto"/>
            </w:tcBorders>
            <w:gridSpan w:val="2"/>
          </w:tcPr>
          <w:p>
            <w:pPr>
              <w:jc w:val="center"/>
              <w:spacing w:after="0"/>
              <w:rPr>
                <w:sz w:val="20"/>
                <w:szCs w:val="20"/>
                <w:color w:val="auto"/>
              </w:rPr>
            </w:pPr>
            <w:r>
              <w:rPr>
                <w:rFonts w:ascii="Arial" w:cs="Arial" w:eastAsia="Arial" w:hAnsi="Arial"/>
                <w:sz w:val="17"/>
                <w:szCs w:val="17"/>
                <w:color w:val="auto"/>
              </w:rPr>
              <w:t>QUALITY]</w:t>
            </w:r>
          </w:p>
        </w:tc>
        <w:tc>
          <w:tcPr>
            <w:tcW w:w="260" w:type="dxa"/>
            <w:vAlign w:val="bottom"/>
            <w:gridSpan w:val="2"/>
          </w:tcPr>
          <w:p>
            <w:pPr>
              <w:spacing w:after="0"/>
              <w:rPr>
                <w:sz w:val="18"/>
                <w:szCs w:val="18"/>
                <w:color w:val="auto"/>
              </w:rPr>
            </w:pPr>
          </w:p>
        </w:tc>
        <w:tc>
          <w:tcPr>
            <w:tcW w:w="1600" w:type="dxa"/>
            <w:vAlign w:val="bottom"/>
            <w:tcBorders>
              <w:right w:val="single" w:sz="8" w:color="auto"/>
            </w:tcBorders>
          </w:tcPr>
          <w:p>
            <w:pPr>
              <w:jc w:val="right"/>
              <w:ind w:right="374"/>
              <w:spacing w:after="0"/>
              <w:rPr>
                <w:sz w:val="20"/>
                <w:szCs w:val="20"/>
                <w:color w:val="auto"/>
              </w:rPr>
            </w:pPr>
            <w:r>
              <w:rPr>
                <w:rFonts w:ascii="Arial" w:cs="Arial" w:eastAsia="Arial" w:hAnsi="Arial"/>
                <w:sz w:val="17"/>
                <w:szCs w:val="17"/>
                <w:color w:val="auto"/>
              </w:rPr>
              <w:t>MM/DD/YY)]</w:t>
            </w:r>
          </w:p>
        </w:tc>
        <w:tc>
          <w:tcPr>
            <w:tcW w:w="200" w:type="dxa"/>
            <w:vAlign w:val="bottom"/>
          </w:tcPr>
          <w:p>
            <w:pPr>
              <w:spacing w:after="0"/>
              <w:rPr>
                <w:sz w:val="18"/>
                <w:szCs w:val="18"/>
                <w:color w:val="auto"/>
              </w:rPr>
            </w:pPr>
          </w:p>
        </w:tc>
      </w:tr>
      <w:tr>
        <w:trPr>
          <w:trHeight w:val="25"/>
        </w:trPr>
        <w:tc>
          <w:tcPr>
            <w:tcW w:w="1300" w:type="dxa"/>
            <w:vAlign w:val="bottom"/>
            <w:tcBorders>
              <w:left w:val="single" w:sz="8" w:color="auto"/>
              <w:bottom w:val="single" w:sz="8" w:color="auto"/>
              <w:right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200" w:type="dxa"/>
            <w:vAlign w:val="bottom"/>
          </w:tcPr>
          <w:p>
            <w:pPr>
              <w:spacing w:after="0"/>
              <w:rPr>
                <w:sz w:val="2"/>
                <w:szCs w:val="2"/>
                <w:color w:val="auto"/>
              </w:rPr>
            </w:pPr>
          </w:p>
        </w:tc>
      </w:tr>
      <w:tr>
        <w:trPr>
          <w:trHeight w:val="443"/>
        </w:trPr>
        <w:tc>
          <w:tcPr>
            <w:tcW w:w="1300" w:type="dxa"/>
            <w:vAlign w:val="bottom"/>
            <w:tcBorders>
              <w:left w:val="single" w:sz="8" w:color="auto"/>
              <w:bottom w:val="single" w:sz="8" w:color="auto"/>
              <w:right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1160" w:type="dxa"/>
            <w:vAlign w:val="bottom"/>
            <w:tcBorders>
              <w:bottom w:val="single" w:sz="8" w:color="auto"/>
              <w:right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14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0" w:type="dxa"/>
            <w:vAlign w:val="bottom"/>
            <w:tcBorders>
              <w:bottom w:val="single" w:sz="8" w:color="auto"/>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r>
      <w:tr>
        <w:trPr>
          <w:trHeight w:val="456"/>
        </w:trPr>
        <w:tc>
          <w:tcPr>
            <w:tcW w:w="1300" w:type="dxa"/>
            <w:vAlign w:val="bottom"/>
            <w:tcBorders>
              <w:left w:val="single" w:sz="8" w:color="auto"/>
              <w:bottom w:val="single" w:sz="8" w:color="auto"/>
              <w:right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1160" w:type="dxa"/>
            <w:vAlign w:val="bottom"/>
            <w:tcBorders>
              <w:bottom w:val="single" w:sz="8" w:color="auto"/>
              <w:right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14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0" w:type="dxa"/>
            <w:vAlign w:val="bottom"/>
            <w:tcBorders>
              <w:bottom w:val="single" w:sz="8" w:color="auto"/>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r>
      <w:tr>
        <w:trPr>
          <w:trHeight w:val="205"/>
        </w:trPr>
        <w:tc>
          <w:tcPr>
            <w:tcW w:w="13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1"/>
              </w:rPr>
              <w:t>SUB</w:t>
            </w:r>
          </w:p>
        </w:tc>
        <w:tc>
          <w:tcPr>
            <w:tcW w:w="400" w:type="dxa"/>
            <w:vAlign w:val="bottom"/>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1160" w:type="dxa"/>
            <w:vAlign w:val="bottom"/>
            <w:tcBorders>
              <w:right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r>
      <w:tr>
        <w:trPr>
          <w:trHeight w:val="213"/>
        </w:trPr>
        <w:tc>
          <w:tcPr>
            <w:tcW w:w="13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4"/>
              </w:rPr>
              <w:t>TOTAL</w:t>
            </w:r>
          </w:p>
        </w:tc>
        <w:tc>
          <w:tcPr>
            <w:tcW w:w="40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r>
      <w:tr>
        <w:trPr>
          <w:trHeight w:val="25"/>
        </w:trPr>
        <w:tc>
          <w:tcPr>
            <w:tcW w:w="1300" w:type="dxa"/>
            <w:vAlign w:val="bottom"/>
            <w:tcBorders>
              <w:left w:val="single" w:sz="8" w:color="auto"/>
              <w:bottom w:val="single" w:sz="8" w:color="auto"/>
              <w:right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740" w:type="dxa"/>
            <w:vAlign w:val="bottom"/>
            <w:tcBorders>
              <w:bottom w:val="single" w:sz="8" w:color="auto"/>
              <w:right w:val="single" w:sz="8" w:color="auto"/>
            </w:tcBorders>
            <w:gridSpan w:val="2"/>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200" w:type="dxa"/>
            <w:vAlign w:val="bottom"/>
          </w:tcPr>
          <w:p>
            <w:pPr>
              <w:spacing w:after="0"/>
              <w:rPr>
                <w:sz w:val="2"/>
                <w:szCs w:val="2"/>
                <w:color w:val="auto"/>
              </w:rPr>
            </w:pPr>
          </w:p>
        </w:tc>
      </w:tr>
      <w:tr>
        <w:trPr>
          <w:trHeight w:val="819"/>
        </w:trPr>
        <w:tc>
          <w:tcPr>
            <w:tcW w:w="1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900" w:type="dxa"/>
            <w:vAlign w:val="bottom"/>
            <w:gridSpan w:val="3"/>
          </w:tcPr>
          <w:p>
            <w:pPr>
              <w:jc w:val="right"/>
              <w:ind w:right="777"/>
              <w:spacing w:after="0"/>
              <w:rPr>
                <w:sz w:val="20"/>
                <w:szCs w:val="20"/>
                <w:color w:val="auto"/>
              </w:rPr>
            </w:pPr>
            <w:r>
              <w:rPr>
                <w:rFonts w:ascii="Arial" w:cs="Arial" w:eastAsia="Arial" w:hAnsi="Arial"/>
                <w:sz w:val="17"/>
                <w:szCs w:val="17"/>
                <w:color w:val="auto"/>
                <w:w w:val="95"/>
              </w:rPr>
              <w:t>Exhibit A-1 - 4</w:t>
            </w: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420"/>
          </w:cols>
          <w:pgMar w:left="240" w:top="553" w:right="239" w:bottom="1440" w:gutter="0" w:footer="0" w:header="0"/>
        </w:sectPr>
      </w:pPr>
    </w:p>
    <w:bookmarkStart w:id="207" w:name="page208"/>
    <w:bookmarkEnd w:id="20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60"/>
        </w:trPr>
        <w:tc>
          <w:tcPr>
            <w:tcW w:w="2280" w:type="dxa"/>
            <w:vAlign w:val="bottom"/>
          </w:tcPr>
          <w:p>
            <w:pPr>
              <w:spacing w:after="0"/>
              <w:rPr>
                <w:sz w:val="22"/>
                <w:szCs w:val="22"/>
                <w:color w:val="auto"/>
              </w:rPr>
            </w:pPr>
          </w:p>
        </w:tc>
        <w:tc>
          <w:tcPr>
            <w:tcW w:w="48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140" w:type="dxa"/>
            <w:vAlign w:val="bottom"/>
            <w:gridSpan w:val="2"/>
          </w:tcPr>
          <w:p>
            <w:pPr>
              <w:ind w:left="880"/>
              <w:spacing w:after="0"/>
              <w:rPr>
                <w:sz w:val="20"/>
                <w:szCs w:val="20"/>
                <w:color w:val="auto"/>
              </w:rPr>
            </w:pPr>
            <w:r>
              <w:rPr>
                <w:rFonts w:ascii="Arial" w:cs="Arial" w:eastAsia="Arial" w:hAnsi="Arial"/>
                <w:sz w:val="20"/>
                <w:szCs w:val="20"/>
                <w:b w:val="1"/>
                <w:bCs w:val="1"/>
                <w:color w:val="auto"/>
                <w:w w:val="89"/>
              </w:rPr>
              <w:t>Date: [December 15, 2012]</w:t>
            </w:r>
          </w:p>
        </w:tc>
        <w:tc>
          <w:tcPr>
            <w:tcW w:w="0" w:type="dxa"/>
            <w:vAlign w:val="bottom"/>
          </w:tcPr>
          <w:p>
            <w:pPr>
              <w:spacing w:after="0"/>
              <w:rPr>
                <w:sz w:val="1"/>
                <w:szCs w:val="1"/>
                <w:color w:val="auto"/>
              </w:rPr>
            </w:pPr>
          </w:p>
        </w:tc>
      </w:tr>
      <w:tr>
        <w:trPr>
          <w:trHeight w:val="591"/>
        </w:trPr>
        <w:tc>
          <w:tcPr>
            <w:tcW w:w="7420" w:type="dxa"/>
            <w:vAlign w:val="bottom"/>
            <w:gridSpan w:val="3"/>
          </w:tcPr>
          <w:p>
            <w:pPr>
              <w:ind w:left="2280"/>
              <w:spacing w:after="0"/>
              <w:rPr>
                <w:sz w:val="20"/>
                <w:szCs w:val="20"/>
                <w:color w:val="auto"/>
              </w:rPr>
            </w:pPr>
            <w:r>
              <w:rPr>
                <w:rFonts w:ascii="Arial" w:cs="Arial" w:eastAsia="Arial" w:hAnsi="Arial"/>
                <w:sz w:val="20"/>
                <w:szCs w:val="20"/>
                <w:b w:val="1"/>
                <w:bCs w:val="1"/>
                <w:color w:val="auto"/>
                <w:w w:val="97"/>
              </w:rPr>
              <w:t>TRANSFERRED ASSETS SCHEDULE [POST-CLOSING]</w:t>
            </w:r>
          </w:p>
        </w:tc>
        <w:tc>
          <w:tcPr>
            <w:tcW w:w="2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4"/>
        </w:trPr>
        <w:tc>
          <w:tcPr>
            <w:tcW w:w="2280" w:type="dxa"/>
            <w:vAlign w:val="bottom"/>
            <w:tcBorders>
              <w:bottom w:val="single" w:sz="8" w:color="auto"/>
            </w:tcBorders>
          </w:tcPr>
          <w:p>
            <w:pPr>
              <w:spacing w:after="0"/>
              <w:rPr>
                <w:sz w:val="24"/>
                <w:szCs w:val="24"/>
                <w:color w:val="auto"/>
              </w:rPr>
            </w:pPr>
          </w:p>
        </w:tc>
        <w:tc>
          <w:tcPr>
            <w:tcW w:w="4840" w:type="dxa"/>
            <w:vAlign w:val="bottom"/>
            <w:tcBorders>
              <w:top w:val="single" w:sz="8" w:color="auto"/>
              <w:bottom w:val="single" w:sz="8" w:color="auto"/>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6"/>
        </w:trPr>
        <w:tc>
          <w:tcPr>
            <w:tcW w:w="2280" w:type="dxa"/>
            <w:vAlign w:val="bottom"/>
            <w:tcBorders>
              <w:left w:val="single" w:sz="8" w:color="auto"/>
              <w:bottom w:val="single" w:sz="8" w:color="auto"/>
            </w:tcBorders>
          </w:tcPr>
          <w:p>
            <w:pPr>
              <w:spacing w:after="0"/>
              <w:rPr>
                <w:sz w:val="24"/>
                <w:szCs w:val="24"/>
                <w:color w:val="auto"/>
              </w:rPr>
            </w:pPr>
          </w:p>
        </w:tc>
        <w:tc>
          <w:tcPr>
            <w:tcW w:w="4840" w:type="dxa"/>
            <w:vAlign w:val="bottom"/>
            <w:tcBorders>
              <w:bottom w:val="single" w:sz="8" w:color="auto"/>
              <w:right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320" w:type="dxa"/>
            <w:vAlign w:val="bottom"/>
            <w:tcBorders>
              <w:bottom w:val="single" w:sz="8" w:color="auto"/>
              <w:right w:val="single" w:sz="8" w:color="auto"/>
            </w:tcBorders>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712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20"/>
                <w:szCs w:val="20"/>
                <w:color w:val="auto"/>
              </w:rPr>
              <w:t>Initial Total Contribution Amount determined as of [November 1, 2012]:</w:t>
            </w:r>
          </w:p>
        </w:tc>
        <w:tc>
          <w:tcPr>
            <w:tcW w:w="300" w:type="dxa"/>
            <w:vAlign w:val="bottom"/>
            <w:tcBorders>
              <w:bottom w:val="single" w:sz="8" w:color="auto"/>
            </w:tcBorders>
          </w:tcPr>
          <w:p>
            <w:pPr>
              <w:spacing w:after="0"/>
              <w:rPr>
                <w:sz w:val="22"/>
                <w:szCs w:val="22"/>
                <w:color w:val="auto"/>
              </w:rPr>
            </w:pPr>
          </w:p>
        </w:tc>
        <w:tc>
          <w:tcPr>
            <w:tcW w:w="23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20"/>
                <w:szCs w:val="20"/>
                <w:b w:val="1"/>
                <w:bCs w:val="1"/>
                <w:color w:val="auto"/>
              </w:rPr>
              <w:t>[$•]</w:t>
            </w: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29"/>
        </w:trPr>
        <w:tc>
          <w:tcPr>
            <w:tcW w:w="7120" w:type="dxa"/>
            <w:vAlign w:val="bottom"/>
            <w:tcBorders>
              <w:left w:val="single" w:sz="8" w:color="auto"/>
              <w:right w:val="single" w:sz="8" w:color="auto"/>
            </w:tcBorders>
            <w:gridSpan w:val="2"/>
          </w:tcPr>
          <w:p>
            <w:pPr>
              <w:ind w:left="20"/>
              <w:spacing w:after="0"/>
              <w:rPr>
                <w:sz w:val="20"/>
                <w:szCs w:val="20"/>
                <w:color w:val="auto"/>
              </w:rPr>
            </w:pPr>
            <w:r>
              <w:rPr>
                <w:rFonts w:ascii="Arial" w:cs="Arial" w:eastAsia="Arial" w:hAnsi="Arial"/>
                <w:sz w:val="20"/>
                <w:szCs w:val="20"/>
                <w:color w:val="auto"/>
              </w:rPr>
              <w:t>Re-Calculated Total Contribution Amount</w:t>
            </w:r>
          </w:p>
        </w:tc>
        <w:tc>
          <w:tcPr>
            <w:tcW w:w="300" w:type="dxa"/>
            <w:vAlign w:val="bottom"/>
          </w:tcPr>
          <w:p>
            <w:pPr>
              <w:spacing w:after="0"/>
              <w:rPr>
                <w:sz w:val="24"/>
                <w:szCs w:val="24"/>
                <w:color w:val="auto"/>
              </w:rPr>
            </w:pPr>
          </w:p>
        </w:tc>
        <w:tc>
          <w:tcPr>
            <w:tcW w:w="2320" w:type="dxa"/>
            <w:vAlign w:val="bottom"/>
            <w:tcBorders>
              <w:right w:val="single" w:sz="8" w:color="auto"/>
            </w:tcBorders>
            <w:vMerge w:val="restart"/>
          </w:tcPr>
          <w:p>
            <w:pPr>
              <w:jc w:val="right"/>
              <w:spacing w:after="0"/>
              <w:rPr>
                <w:sz w:val="20"/>
                <w:szCs w:val="20"/>
                <w:color w:val="auto"/>
              </w:rPr>
            </w:pPr>
            <w:r>
              <w:rPr>
                <w:rFonts w:ascii="Arial" w:cs="Arial" w:eastAsia="Arial" w:hAnsi="Arial"/>
                <w:sz w:val="20"/>
                <w:szCs w:val="20"/>
                <w:b w:val="1"/>
                <w:bCs w:val="1"/>
                <w:color w:val="auto"/>
              </w:rPr>
              <w:t>[$•]</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12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20"/>
                <w:szCs w:val="20"/>
                <w:color w:val="auto"/>
              </w:rPr>
              <w:t>as of [December 15, 2012]</w:t>
            </w:r>
          </w:p>
        </w:tc>
        <w:tc>
          <w:tcPr>
            <w:tcW w:w="300" w:type="dxa"/>
            <w:vAlign w:val="bottom"/>
            <w:tcBorders>
              <w:bottom w:val="single" w:sz="8" w:color="auto"/>
            </w:tcBorders>
          </w:tcPr>
          <w:p>
            <w:pPr>
              <w:spacing w:after="0"/>
              <w:rPr>
                <w:sz w:val="22"/>
                <w:szCs w:val="22"/>
                <w:color w:val="auto"/>
              </w:rPr>
            </w:pPr>
          </w:p>
        </w:tc>
        <w:tc>
          <w:tcPr>
            <w:tcW w:w="2320" w:type="dxa"/>
            <w:vAlign w:val="bottom"/>
            <w:tcBorders>
              <w:bottom w:val="single" w:sz="8" w:color="auto"/>
              <w:right w:val="single" w:sz="8" w:color="auto"/>
            </w:tcBorders>
            <w:vMerge w:val="continue"/>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29"/>
        </w:trPr>
        <w:tc>
          <w:tcPr>
            <w:tcW w:w="7120" w:type="dxa"/>
            <w:vAlign w:val="bottom"/>
            <w:tcBorders>
              <w:left w:val="single" w:sz="8" w:color="auto"/>
              <w:right w:val="single" w:sz="8" w:color="auto"/>
            </w:tcBorders>
            <w:gridSpan w:val="2"/>
          </w:tcPr>
          <w:p>
            <w:pPr>
              <w:ind w:left="20"/>
              <w:spacing w:after="0"/>
              <w:rPr>
                <w:sz w:val="20"/>
                <w:szCs w:val="20"/>
                <w:color w:val="auto"/>
              </w:rPr>
            </w:pPr>
            <w:r>
              <w:rPr>
                <w:rFonts w:ascii="Arial" w:cs="Arial" w:eastAsia="Arial" w:hAnsi="Arial"/>
                <w:sz w:val="20"/>
                <w:szCs w:val="20"/>
                <w:color w:val="auto"/>
              </w:rPr>
              <w:t>Underpayment (Overpayment) of Adjusted Contribution Amount resulting from</w:t>
            </w:r>
          </w:p>
        </w:tc>
        <w:tc>
          <w:tcPr>
            <w:tcW w:w="300" w:type="dxa"/>
            <w:vAlign w:val="bottom"/>
          </w:tcPr>
          <w:p>
            <w:pPr>
              <w:spacing w:after="0"/>
              <w:rPr>
                <w:sz w:val="24"/>
                <w:szCs w:val="24"/>
                <w:color w:val="auto"/>
              </w:rPr>
            </w:pPr>
          </w:p>
        </w:tc>
        <w:tc>
          <w:tcPr>
            <w:tcW w:w="2320" w:type="dxa"/>
            <w:vAlign w:val="bottom"/>
            <w:tcBorders>
              <w:right w:val="single" w:sz="8" w:color="auto"/>
            </w:tcBorders>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7120" w:type="dxa"/>
            <w:vAlign w:val="bottom"/>
            <w:tcBorders>
              <w:left w:val="single" w:sz="8" w:color="auto"/>
              <w:right w:val="single" w:sz="8" w:color="auto"/>
            </w:tcBorders>
            <w:gridSpan w:val="2"/>
          </w:tcPr>
          <w:p>
            <w:pPr>
              <w:ind w:left="20"/>
              <w:spacing w:after="0" w:line="226" w:lineRule="exact"/>
              <w:rPr>
                <w:sz w:val="20"/>
                <w:szCs w:val="20"/>
                <w:color w:val="auto"/>
              </w:rPr>
            </w:pPr>
            <w:r>
              <w:rPr>
                <w:rFonts w:ascii="Arial" w:cs="Arial" w:eastAsia="Arial" w:hAnsi="Arial"/>
                <w:sz w:val="20"/>
                <w:szCs w:val="20"/>
                <w:color w:val="auto"/>
              </w:rPr>
              <w:t>Change in Total Contribution Amount between</w:t>
            </w:r>
          </w:p>
        </w:tc>
        <w:tc>
          <w:tcPr>
            <w:tcW w:w="300" w:type="dxa"/>
            <w:vAlign w:val="bottom"/>
          </w:tcPr>
          <w:p>
            <w:pPr>
              <w:spacing w:after="0"/>
              <w:rPr>
                <w:sz w:val="19"/>
                <w:szCs w:val="19"/>
                <w:color w:val="auto"/>
              </w:rPr>
            </w:pPr>
          </w:p>
        </w:tc>
        <w:tc>
          <w:tcPr>
            <w:tcW w:w="2320" w:type="dxa"/>
            <w:vAlign w:val="bottom"/>
            <w:tcBorders>
              <w:right w:val="single" w:sz="8" w:color="auto"/>
            </w:tcBorders>
            <w:vMerge w:val="restart"/>
          </w:tcPr>
          <w:p>
            <w:pPr>
              <w:jc w:val="right"/>
              <w:spacing w:after="0"/>
              <w:rPr>
                <w:sz w:val="20"/>
                <w:szCs w:val="20"/>
                <w:color w:val="auto"/>
              </w:rPr>
            </w:pPr>
            <w:r>
              <w:rPr>
                <w:rFonts w:ascii="Arial" w:cs="Arial" w:eastAsia="Arial" w:hAnsi="Arial"/>
                <w:sz w:val="20"/>
                <w:szCs w:val="20"/>
                <w:b w:val="1"/>
                <w:bCs w:val="1"/>
                <w:color w:val="auto"/>
              </w:rPr>
              <w:t>[$•]</w:t>
            </w: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712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20"/>
                <w:szCs w:val="20"/>
                <w:color w:val="auto"/>
              </w:rPr>
              <w:t>[November 1, 2012] and [December 15, 2012]:</w:t>
            </w:r>
          </w:p>
        </w:tc>
        <w:tc>
          <w:tcPr>
            <w:tcW w:w="300" w:type="dxa"/>
            <w:vAlign w:val="bottom"/>
            <w:tcBorders>
              <w:bottom w:val="single" w:sz="8" w:color="auto"/>
            </w:tcBorders>
          </w:tcPr>
          <w:p>
            <w:pPr>
              <w:spacing w:after="0"/>
              <w:rPr>
                <w:sz w:val="22"/>
                <w:szCs w:val="22"/>
                <w:color w:val="auto"/>
              </w:rPr>
            </w:pPr>
          </w:p>
        </w:tc>
        <w:tc>
          <w:tcPr>
            <w:tcW w:w="2320" w:type="dxa"/>
            <w:vAlign w:val="bottom"/>
            <w:tcBorders>
              <w:bottom w:val="single" w:sz="8" w:color="auto"/>
              <w:right w:val="single" w:sz="8" w:color="auto"/>
            </w:tcBorders>
            <w:vMerge w:val="continue"/>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712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20"/>
                <w:szCs w:val="20"/>
                <w:color w:val="auto"/>
              </w:rPr>
              <w:t>Market Value of Transferred Securities as determined on [November 1, 2012]</w:t>
            </w:r>
          </w:p>
        </w:tc>
        <w:tc>
          <w:tcPr>
            <w:tcW w:w="300" w:type="dxa"/>
            <w:vAlign w:val="bottom"/>
            <w:tcBorders>
              <w:bottom w:val="single" w:sz="8" w:color="auto"/>
            </w:tcBorders>
          </w:tcPr>
          <w:p>
            <w:pPr>
              <w:spacing w:after="0"/>
              <w:rPr>
                <w:sz w:val="23"/>
                <w:szCs w:val="23"/>
                <w:color w:val="auto"/>
              </w:rPr>
            </w:pPr>
          </w:p>
        </w:tc>
        <w:tc>
          <w:tcPr>
            <w:tcW w:w="23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20"/>
                <w:szCs w:val="20"/>
                <w:b w:val="1"/>
                <w:bCs w:val="1"/>
                <w:color w:val="auto"/>
              </w:rPr>
              <w:t>[$•]</w:t>
            </w: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9"/>
        </w:trPr>
        <w:tc>
          <w:tcPr>
            <w:tcW w:w="7120" w:type="dxa"/>
            <w:vAlign w:val="bottom"/>
            <w:tcBorders>
              <w:left w:val="single" w:sz="8" w:color="auto"/>
              <w:right w:val="single" w:sz="8" w:color="auto"/>
            </w:tcBorders>
            <w:gridSpan w:val="2"/>
          </w:tcPr>
          <w:p>
            <w:pPr>
              <w:ind w:left="20"/>
              <w:spacing w:after="0"/>
              <w:rPr>
                <w:sz w:val="20"/>
                <w:szCs w:val="20"/>
                <w:color w:val="auto"/>
              </w:rPr>
            </w:pPr>
            <w:r>
              <w:rPr>
                <w:rFonts w:ascii="Arial" w:cs="Arial" w:eastAsia="Arial" w:hAnsi="Arial"/>
                <w:sz w:val="20"/>
                <w:szCs w:val="20"/>
                <w:color w:val="auto"/>
              </w:rPr>
              <w:t>Market Value of Transferred Securities as determined on</w:t>
            </w:r>
          </w:p>
        </w:tc>
        <w:tc>
          <w:tcPr>
            <w:tcW w:w="300" w:type="dxa"/>
            <w:vAlign w:val="bottom"/>
          </w:tcPr>
          <w:p>
            <w:pPr>
              <w:spacing w:after="0"/>
              <w:rPr>
                <w:sz w:val="24"/>
                <w:szCs w:val="24"/>
                <w:color w:val="auto"/>
              </w:rPr>
            </w:pPr>
          </w:p>
        </w:tc>
        <w:tc>
          <w:tcPr>
            <w:tcW w:w="2320" w:type="dxa"/>
            <w:vAlign w:val="bottom"/>
            <w:tcBorders>
              <w:right w:val="single" w:sz="8" w:color="auto"/>
            </w:tcBorders>
            <w:vMerge w:val="restart"/>
          </w:tcPr>
          <w:p>
            <w:pPr>
              <w:jc w:val="right"/>
              <w:spacing w:after="0"/>
              <w:rPr>
                <w:sz w:val="20"/>
                <w:szCs w:val="20"/>
                <w:color w:val="auto"/>
              </w:rPr>
            </w:pPr>
            <w:r>
              <w:rPr>
                <w:rFonts w:ascii="Arial" w:cs="Arial" w:eastAsia="Arial" w:hAnsi="Arial"/>
                <w:sz w:val="20"/>
                <w:szCs w:val="20"/>
                <w:b w:val="1"/>
                <w:bCs w:val="1"/>
                <w:color w:val="auto"/>
              </w:rPr>
              <w:t>[$•]</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12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20"/>
                <w:szCs w:val="20"/>
                <w:color w:val="auto"/>
              </w:rPr>
              <w:t>[December 15, 2012]</w:t>
            </w:r>
          </w:p>
        </w:tc>
        <w:tc>
          <w:tcPr>
            <w:tcW w:w="300" w:type="dxa"/>
            <w:vAlign w:val="bottom"/>
            <w:tcBorders>
              <w:bottom w:val="single" w:sz="8" w:color="auto"/>
            </w:tcBorders>
          </w:tcPr>
          <w:p>
            <w:pPr>
              <w:spacing w:after="0"/>
              <w:rPr>
                <w:sz w:val="22"/>
                <w:szCs w:val="22"/>
                <w:color w:val="auto"/>
              </w:rPr>
            </w:pPr>
          </w:p>
        </w:tc>
        <w:tc>
          <w:tcPr>
            <w:tcW w:w="2320" w:type="dxa"/>
            <w:vAlign w:val="bottom"/>
            <w:tcBorders>
              <w:bottom w:val="single" w:sz="8" w:color="auto"/>
              <w:right w:val="single" w:sz="8" w:color="auto"/>
            </w:tcBorders>
            <w:vMerge w:val="continue"/>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7120" w:type="dxa"/>
            <w:vAlign w:val="bottom"/>
            <w:tcBorders>
              <w:left w:val="single" w:sz="8" w:color="auto"/>
              <w:right w:val="single" w:sz="8" w:color="auto"/>
            </w:tcBorders>
            <w:gridSpan w:val="2"/>
          </w:tcPr>
          <w:p>
            <w:pPr>
              <w:ind w:left="20"/>
              <w:spacing w:after="0"/>
              <w:rPr>
                <w:sz w:val="20"/>
                <w:szCs w:val="20"/>
                <w:color w:val="auto"/>
              </w:rPr>
            </w:pPr>
            <w:r>
              <w:rPr>
                <w:rFonts w:ascii="Arial" w:cs="Arial" w:eastAsia="Arial" w:hAnsi="Arial"/>
                <w:sz w:val="20"/>
                <w:szCs w:val="20"/>
                <w:color w:val="auto"/>
                <w:w w:val="97"/>
              </w:rPr>
              <w:t>Underpayment (Overpayment) resulting from revised assessment of Market Value</w:t>
            </w:r>
          </w:p>
        </w:tc>
        <w:tc>
          <w:tcPr>
            <w:tcW w:w="300" w:type="dxa"/>
            <w:vAlign w:val="bottom"/>
          </w:tcPr>
          <w:p>
            <w:pPr>
              <w:spacing w:after="0"/>
              <w:rPr>
                <w:sz w:val="19"/>
                <w:szCs w:val="19"/>
                <w:color w:val="auto"/>
              </w:rPr>
            </w:pPr>
          </w:p>
        </w:tc>
        <w:tc>
          <w:tcPr>
            <w:tcW w:w="2320" w:type="dxa"/>
            <w:vAlign w:val="bottom"/>
            <w:tcBorders>
              <w:right w:val="single" w:sz="8" w:color="auto"/>
            </w:tcBorders>
            <w:vMerge w:val="restart"/>
          </w:tcPr>
          <w:p>
            <w:pPr>
              <w:jc w:val="right"/>
              <w:spacing w:after="0"/>
              <w:rPr>
                <w:sz w:val="20"/>
                <w:szCs w:val="20"/>
                <w:color w:val="auto"/>
              </w:rPr>
            </w:pPr>
            <w:r>
              <w:rPr>
                <w:rFonts w:ascii="Arial" w:cs="Arial" w:eastAsia="Arial" w:hAnsi="Arial"/>
                <w:sz w:val="20"/>
                <w:szCs w:val="20"/>
                <w:b w:val="1"/>
                <w:bCs w:val="1"/>
                <w:color w:val="auto"/>
              </w:rPr>
              <w:t>[$•]</w:t>
            </w: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712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20"/>
                <w:szCs w:val="20"/>
                <w:color w:val="auto"/>
              </w:rPr>
              <w:t>between [November 1, 2012] and [December 15, 2012]:</w:t>
            </w:r>
          </w:p>
        </w:tc>
        <w:tc>
          <w:tcPr>
            <w:tcW w:w="300" w:type="dxa"/>
            <w:vAlign w:val="bottom"/>
            <w:tcBorders>
              <w:bottom w:val="single" w:sz="8" w:color="auto"/>
            </w:tcBorders>
          </w:tcPr>
          <w:p>
            <w:pPr>
              <w:spacing w:after="0"/>
              <w:rPr>
                <w:sz w:val="22"/>
                <w:szCs w:val="22"/>
                <w:color w:val="auto"/>
              </w:rPr>
            </w:pPr>
          </w:p>
        </w:tc>
        <w:tc>
          <w:tcPr>
            <w:tcW w:w="2320" w:type="dxa"/>
            <w:vAlign w:val="bottom"/>
            <w:tcBorders>
              <w:bottom w:val="single" w:sz="8" w:color="auto"/>
              <w:right w:val="single" w:sz="8" w:color="auto"/>
            </w:tcBorders>
            <w:vMerge w:val="continue"/>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27"/>
        </w:trPr>
        <w:tc>
          <w:tcPr>
            <w:tcW w:w="7120" w:type="dxa"/>
            <w:vAlign w:val="bottom"/>
            <w:tcBorders>
              <w:left w:val="single" w:sz="8" w:color="auto"/>
              <w:right w:val="single" w:sz="8" w:color="auto"/>
            </w:tcBorders>
            <w:gridSpan w:val="2"/>
          </w:tcPr>
          <w:p>
            <w:pPr>
              <w:ind w:left="20"/>
              <w:spacing w:after="0"/>
              <w:rPr>
                <w:sz w:val="20"/>
                <w:szCs w:val="20"/>
                <w:color w:val="auto"/>
              </w:rPr>
            </w:pPr>
            <w:r>
              <w:rPr>
                <w:rFonts w:ascii="Arial" w:cs="Arial" w:eastAsia="Arial" w:hAnsi="Arial"/>
                <w:sz w:val="20"/>
                <w:szCs w:val="20"/>
                <w:color w:val="auto"/>
              </w:rPr>
              <w:t>Payment to Prudential (from Prudential): Total</w:t>
            </w:r>
          </w:p>
        </w:tc>
        <w:tc>
          <w:tcPr>
            <w:tcW w:w="300" w:type="dxa"/>
            <w:vAlign w:val="bottom"/>
          </w:tcPr>
          <w:p>
            <w:pPr>
              <w:spacing w:after="0"/>
              <w:rPr>
                <w:sz w:val="24"/>
                <w:szCs w:val="24"/>
                <w:color w:val="auto"/>
              </w:rPr>
            </w:pPr>
          </w:p>
        </w:tc>
        <w:tc>
          <w:tcPr>
            <w:tcW w:w="2320" w:type="dxa"/>
            <w:vAlign w:val="bottom"/>
            <w:tcBorders>
              <w:right w:val="single" w:sz="8" w:color="auto"/>
            </w:tcBorders>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7120" w:type="dxa"/>
            <w:vAlign w:val="bottom"/>
            <w:tcBorders>
              <w:left w:val="single" w:sz="8" w:color="auto"/>
              <w:right w:val="single" w:sz="8" w:color="auto"/>
            </w:tcBorders>
            <w:gridSpan w:val="2"/>
          </w:tcPr>
          <w:p>
            <w:pPr>
              <w:ind w:left="620"/>
              <w:spacing w:after="0"/>
              <w:rPr>
                <w:sz w:val="20"/>
                <w:szCs w:val="20"/>
                <w:color w:val="auto"/>
              </w:rPr>
            </w:pPr>
            <w:r>
              <w:rPr>
                <w:rFonts w:ascii="Arial" w:cs="Arial" w:eastAsia="Arial" w:hAnsi="Arial"/>
                <w:sz w:val="20"/>
                <w:szCs w:val="20"/>
                <w:color w:val="auto"/>
              </w:rPr>
              <w:t xml:space="preserve">To (From) [ *** </w:t>
            </w:r>
            <w:r>
              <w:rPr>
                <w:rFonts w:ascii="Arial" w:cs="Arial" w:eastAsia="Arial" w:hAnsi="Arial"/>
                <w:sz w:val="21"/>
                <w:szCs w:val="21"/>
                <w:color w:val="auto"/>
              </w:rPr>
              <w:t>]</w:t>
            </w:r>
          </w:p>
        </w:tc>
        <w:tc>
          <w:tcPr>
            <w:tcW w:w="300" w:type="dxa"/>
            <w:vAlign w:val="bottom"/>
          </w:tcPr>
          <w:p>
            <w:pPr>
              <w:spacing w:after="0"/>
              <w:rPr>
                <w:sz w:val="21"/>
                <w:szCs w:val="21"/>
                <w:color w:val="auto"/>
              </w:rPr>
            </w:pPr>
          </w:p>
        </w:tc>
        <w:tc>
          <w:tcPr>
            <w:tcW w:w="2320" w:type="dxa"/>
            <w:vAlign w:val="bottom"/>
            <w:tcBorders>
              <w:right w:val="single" w:sz="8" w:color="auto"/>
            </w:tcBorders>
          </w:tcPr>
          <w:p>
            <w:pPr>
              <w:jc w:val="right"/>
              <w:spacing w:after="0"/>
              <w:rPr>
                <w:sz w:val="20"/>
                <w:szCs w:val="20"/>
                <w:color w:val="auto"/>
              </w:rPr>
            </w:pPr>
            <w:r>
              <w:rPr>
                <w:rFonts w:ascii="Arial" w:cs="Arial" w:eastAsia="Arial" w:hAnsi="Arial"/>
                <w:sz w:val="20"/>
                <w:szCs w:val="20"/>
                <w:b w:val="1"/>
                <w:bCs w:val="1"/>
                <w:color w:val="auto"/>
              </w:rPr>
              <w:t>[($•]</w:t>
            </w: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7120" w:type="dxa"/>
            <w:vAlign w:val="bottom"/>
            <w:tcBorders>
              <w:left w:val="single" w:sz="8" w:color="auto"/>
              <w:right w:val="single" w:sz="8" w:color="auto"/>
            </w:tcBorders>
            <w:gridSpan w:val="2"/>
          </w:tcPr>
          <w:p>
            <w:pPr>
              <w:ind w:left="620"/>
              <w:spacing w:after="0" w:line="225" w:lineRule="exact"/>
              <w:rPr>
                <w:sz w:val="20"/>
                <w:szCs w:val="20"/>
                <w:color w:val="auto"/>
              </w:rPr>
            </w:pPr>
            <w:r>
              <w:rPr>
                <w:rFonts w:ascii="Arial" w:cs="Arial" w:eastAsia="Arial" w:hAnsi="Arial"/>
                <w:sz w:val="20"/>
                <w:szCs w:val="20"/>
                <w:color w:val="auto"/>
              </w:rPr>
              <w:t xml:space="preserve">To (From) [ *** </w:t>
            </w:r>
            <w:r>
              <w:rPr>
                <w:rFonts w:ascii="Arial" w:cs="Arial" w:eastAsia="Arial" w:hAnsi="Arial"/>
                <w:sz w:val="21"/>
                <w:szCs w:val="21"/>
                <w:color w:val="auto"/>
              </w:rPr>
              <w:t>]</w:t>
            </w:r>
          </w:p>
        </w:tc>
        <w:tc>
          <w:tcPr>
            <w:tcW w:w="300" w:type="dxa"/>
            <w:vAlign w:val="bottom"/>
          </w:tcPr>
          <w:p>
            <w:pPr>
              <w:spacing w:after="0"/>
              <w:rPr>
                <w:sz w:val="19"/>
                <w:szCs w:val="19"/>
                <w:color w:val="auto"/>
              </w:rPr>
            </w:pPr>
          </w:p>
        </w:tc>
        <w:tc>
          <w:tcPr>
            <w:tcW w:w="2320" w:type="dxa"/>
            <w:vAlign w:val="bottom"/>
            <w:tcBorders>
              <w:right w:val="single" w:sz="8" w:color="auto"/>
            </w:tcBorders>
          </w:tcPr>
          <w:p>
            <w:pPr>
              <w:jc w:val="right"/>
              <w:spacing w:after="0" w:line="226" w:lineRule="exact"/>
              <w:rPr>
                <w:sz w:val="20"/>
                <w:szCs w:val="20"/>
                <w:color w:val="auto"/>
              </w:rPr>
            </w:pPr>
            <w:r>
              <w:rPr>
                <w:rFonts w:ascii="Arial" w:cs="Arial" w:eastAsia="Arial" w:hAnsi="Arial"/>
                <w:sz w:val="20"/>
                <w:szCs w:val="20"/>
                <w:b w:val="1"/>
                <w:bCs w:val="1"/>
                <w:color w:val="auto"/>
              </w:rPr>
              <w:t>[($XXX,XXX,XXX)]</w:t>
            </w: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8"/>
        </w:trPr>
        <w:tc>
          <w:tcPr>
            <w:tcW w:w="2280" w:type="dxa"/>
            <w:vAlign w:val="bottom"/>
            <w:tcBorders>
              <w:left w:val="single" w:sz="8" w:color="auto"/>
              <w:bottom w:val="single" w:sz="8" w:color="auto"/>
            </w:tcBorders>
          </w:tcPr>
          <w:p>
            <w:pPr>
              <w:spacing w:after="0"/>
              <w:rPr>
                <w:sz w:val="23"/>
                <w:szCs w:val="23"/>
                <w:color w:val="auto"/>
              </w:rPr>
            </w:pPr>
          </w:p>
        </w:tc>
        <w:tc>
          <w:tcPr>
            <w:tcW w:w="4840" w:type="dxa"/>
            <w:vAlign w:val="bottom"/>
            <w:tcBorders>
              <w:bottom w:val="single" w:sz="8" w:color="auto"/>
              <w:right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23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20"/>
                <w:szCs w:val="20"/>
                <w:b w:val="1"/>
                <w:bCs w:val="1"/>
                <w:color w:val="auto"/>
              </w:rPr>
              <w:t>[($XXX,XXX,XXX)]</w:t>
            </w: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4"/>
        </w:trPr>
        <w:tc>
          <w:tcPr>
            <w:tcW w:w="7120" w:type="dxa"/>
            <w:vAlign w:val="bottom"/>
            <w:tcBorders>
              <w:left w:val="single" w:sz="8" w:color="auto"/>
              <w:right w:val="single" w:sz="8" w:color="auto"/>
            </w:tcBorders>
            <w:gridSpan w:val="2"/>
          </w:tcPr>
          <w:p>
            <w:pPr>
              <w:ind w:left="20"/>
              <w:spacing w:after="0"/>
              <w:rPr>
                <w:sz w:val="20"/>
                <w:szCs w:val="20"/>
                <w:color w:val="auto"/>
              </w:rPr>
            </w:pPr>
            <w:r>
              <w:rPr>
                <w:rFonts w:ascii="Arial" w:cs="Arial" w:eastAsia="Arial" w:hAnsi="Arial"/>
                <w:sz w:val="20"/>
                <w:szCs w:val="20"/>
                <w:color w:val="auto"/>
              </w:rPr>
              <w:t xml:space="preserve">A. AGGREGATE CONTRIBUTION RETAINED BY OR RECEIVED [ *** </w:t>
            </w:r>
            <w:r>
              <w:rPr>
                <w:rFonts w:ascii="Arial" w:cs="Arial" w:eastAsia="Arial" w:hAnsi="Arial"/>
                <w:sz w:val="21"/>
                <w:szCs w:val="21"/>
                <w:color w:val="auto"/>
              </w:rPr>
              <w:t>]</w:t>
            </w:r>
            <w:r>
              <w:rPr>
                <w:rFonts w:ascii="Arial" w:cs="Arial" w:eastAsia="Arial" w:hAnsi="Arial"/>
                <w:sz w:val="20"/>
                <w:szCs w:val="20"/>
                <w:color w:val="auto"/>
              </w:rPr>
              <w:t xml:space="preserve"> at</w:t>
            </w:r>
          </w:p>
        </w:tc>
        <w:tc>
          <w:tcPr>
            <w:tcW w:w="300" w:type="dxa"/>
            <w:vAlign w:val="bottom"/>
          </w:tcPr>
          <w:p>
            <w:pPr>
              <w:spacing w:after="0"/>
              <w:rPr>
                <w:sz w:val="24"/>
                <w:szCs w:val="24"/>
                <w:color w:val="auto"/>
              </w:rPr>
            </w:pPr>
          </w:p>
        </w:tc>
        <w:tc>
          <w:tcPr>
            <w:tcW w:w="2320" w:type="dxa"/>
            <w:vAlign w:val="bottom"/>
            <w:tcBorders>
              <w:right w:val="single" w:sz="8" w:color="auto"/>
            </w:tcBorders>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7120" w:type="dxa"/>
            <w:vAlign w:val="bottom"/>
            <w:tcBorders>
              <w:left w:val="single" w:sz="8" w:color="auto"/>
              <w:right w:val="single" w:sz="8" w:color="auto"/>
            </w:tcBorders>
            <w:gridSpan w:val="2"/>
          </w:tcPr>
          <w:p>
            <w:pPr>
              <w:ind w:left="20"/>
              <w:spacing w:after="0"/>
              <w:rPr>
                <w:sz w:val="20"/>
                <w:szCs w:val="20"/>
                <w:color w:val="auto"/>
              </w:rPr>
            </w:pPr>
            <w:r>
              <w:rPr>
                <w:rFonts w:ascii="Arial" w:cs="Arial" w:eastAsia="Arial" w:hAnsi="Arial"/>
                <w:sz w:val="20"/>
                <w:szCs w:val="20"/>
                <w:color w:val="auto"/>
              </w:rPr>
              <w:t>Closing:</w:t>
            </w:r>
          </w:p>
        </w:tc>
        <w:tc>
          <w:tcPr>
            <w:tcW w:w="300" w:type="dxa"/>
            <w:vAlign w:val="bottom"/>
          </w:tcPr>
          <w:p>
            <w:pPr>
              <w:spacing w:after="0"/>
              <w:rPr>
                <w:sz w:val="22"/>
                <w:szCs w:val="22"/>
                <w:color w:val="auto"/>
              </w:rPr>
            </w:pPr>
          </w:p>
        </w:tc>
        <w:tc>
          <w:tcPr>
            <w:tcW w:w="2320" w:type="dxa"/>
            <w:vAlign w:val="bottom"/>
            <w:tcBorders>
              <w:right w:val="single" w:sz="8" w:color="auto"/>
            </w:tcBorders>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83"/>
        </w:trPr>
        <w:tc>
          <w:tcPr>
            <w:tcW w:w="712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20"/>
                <w:szCs w:val="20"/>
                <w:color w:val="auto"/>
              </w:rPr>
              <w:t>Agreed Market Value as of [November 1, 2012]:</w:t>
            </w:r>
          </w:p>
        </w:tc>
        <w:tc>
          <w:tcPr>
            <w:tcW w:w="300" w:type="dxa"/>
            <w:vAlign w:val="bottom"/>
            <w:tcBorders>
              <w:bottom w:val="single" w:sz="8" w:color="auto"/>
            </w:tcBorders>
          </w:tcPr>
          <w:p>
            <w:pPr>
              <w:spacing w:after="0"/>
              <w:rPr>
                <w:sz w:val="24"/>
                <w:szCs w:val="24"/>
                <w:color w:val="auto"/>
              </w:rPr>
            </w:pPr>
          </w:p>
        </w:tc>
        <w:tc>
          <w:tcPr>
            <w:tcW w:w="23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20"/>
                <w:szCs w:val="20"/>
                <w:b w:val="1"/>
                <w:bCs w:val="1"/>
                <w:color w:val="auto"/>
              </w:rPr>
              <w:t>[$XXX,XXX,XXX]</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ind w:left="4340"/>
        <w:spacing w:after="0"/>
        <w:rPr>
          <w:sz w:val="20"/>
          <w:szCs w:val="20"/>
          <w:color w:val="auto"/>
        </w:rPr>
      </w:pPr>
      <w:r>
        <w:rPr>
          <w:rFonts w:ascii="Arial" w:cs="Arial" w:eastAsia="Arial" w:hAnsi="Arial"/>
          <w:sz w:val="17"/>
          <w:szCs w:val="17"/>
          <w:color w:val="auto"/>
        </w:rPr>
        <w:t>Exhibit A-1 - 5</w:t>
      </w:r>
    </w:p>
    <w:p>
      <w:pPr>
        <w:sectPr>
          <w:pgSz w:w="11900" w:h="16838" w:orient="portrait"/>
          <w:cols w:equalWidth="0" w:num="1">
            <w:col w:w="10560"/>
          </w:cols>
          <w:pgMar w:left="1100" w:top="553" w:right="239" w:bottom="1440" w:gutter="0" w:footer="0" w:header="0"/>
        </w:sectPr>
      </w:pPr>
    </w:p>
    <w:bookmarkStart w:id="208" w:name="page209"/>
    <w:bookmarkEnd w:id="208"/>
    <w:tbl>
      <w:tblPr>
        <w:tblLayout w:type="fixed"/>
        <w:tblInd w:w="600" w:type="dxa"/>
        <w:tblCellMar>
          <w:top w:w="0" w:type="dxa"/>
          <w:left w:w="0" w:type="dxa"/>
          <w:bottom w:w="0" w:type="dxa"/>
          <w:right w:w="0" w:type="dxa"/>
        </w:tblCellMar>
      </w:tblPr>
      <w:tr>
        <w:trPr>
          <w:trHeight w:val="230"/>
        </w:trPr>
        <w:tc>
          <w:tcPr>
            <w:tcW w:w="6060" w:type="dxa"/>
            <w:vAlign w:val="bottom"/>
          </w:tcPr>
          <w:p>
            <w:pPr>
              <w:spacing w:after="0"/>
              <w:rPr>
                <w:sz w:val="20"/>
                <w:szCs w:val="20"/>
                <w:color w:val="auto"/>
              </w:rPr>
            </w:pPr>
            <w:r>
              <w:rPr>
                <w:rFonts w:ascii="Arial" w:cs="Arial" w:eastAsia="Arial" w:hAnsi="Arial"/>
                <w:sz w:val="20"/>
                <w:szCs w:val="20"/>
                <w:color w:val="auto"/>
              </w:rPr>
              <w:t>Agreed Market Value as of</w:t>
            </w:r>
          </w:p>
        </w:tc>
        <w:tc>
          <w:tcPr>
            <w:tcW w:w="3020" w:type="dxa"/>
            <w:vAlign w:val="bottom"/>
          </w:tcPr>
          <w:p>
            <w:pPr>
              <w:ind w:left="1380"/>
              <w:spacing w:after="0"/>
              <w:rPr>
                <w:sz w:val="20"/>
                <w:szCs w:val="20"/>
                <w:color w:val="auto"/>
              </w:rPr>
            </w:pPr>
            <w:r>
              <w:rPr>
                <w:rFonts w:ascii="Arial" w:cs="Arial" w:eastAsia="Arial" w:hAnsi="Arial"/>
                <w:sz w:val="20"/>
                <w:szCs w:val="20"/>
                <w:b w:val="1"/>
                <w:bCs w:val="1"/>
                <w:color w:val="auto"/>
              </w:rPr>
              <w:t>[$XXX,XXX,XXX]</w:t>
            </w:r>
          </w:p>
        </w:tc>
      </w:tr>
      <w:tr>
        <w:trPr>
          <w:trHeight w:val="256"/>
        </w:trPr>
        <w:tc>
          <w:tcPr>
            <w:tcW w:w="6060" w:type="dxa"/>
            <w:vAlign w:val="bottom"/>
          </w:tcPr>
          <w:p>
            <w:pPr>
              <w:spacing w:after="0"/>
              <w:rPr>
                <w:sz w:val="20"/>
                <w:szCs w:val="20"/>
                <w:color w:val="auto"/>
              </w:rPr>
            </w:pPr>
            <w:r>
              <w:rPr>
                <w:rFonts w:ascii="Arial" w:cs="Arial" w:eastAsia="Arial" w:hAnsi="Arial"/>
                <w:sz w:val="20"/>
                <w:szCs w:val="20"/>
                <w:color w:val="auto"/>
              </w:rPr>
              <w:t>[December 15, 2012]:</w:t>
            </w:r>
          </w:p>
        </w:tc>
        <w:tc>
          <w:tcPr>
            <w:tcW w:w="3020" w:type="dxa"/>
            <w:vAlign w:val="bottom"/>
          </w:tcPr>
          <w:p>
            <w:pPr>
              <w:spacing w:after="0"/>
              <w:rPr>
                <w:sz w:val="22"/>
                <w:szCs w:val="22"/>
                <w:color w:val="auto"/>
              </w:rPr>
            </w:pPr>
          </w:p>
        </w:tc>
      </w:tr>
      <w:tr>
        <w:trPr>
          <w:trHeight w:val="426"/>
        </w:trPr>
        <w:tc>
          <w:tcPr>
            <w:tcW w:w="6060" w:type="dxa"/>
            <w:vAlign w:val="bottom"/>
          </w:tcPr>
          <w:p>
            <w:pPr>
              <w:spacing w:after="0"/>
              <w:rPr>
                <w:sz w:val="20"/>
                <w:szCs w:val="20"/>
                <w:color w:val="auto"/>
              </w:rPr>
            </w:pPr>
            <w:r>
              <w:rPr>
                <w:rFonts w:ascii="Arial" w:cs="Arial" w:eastAsia="Arial" w:hAnsi="Arial"/>
                <w:sz w:val="20"/>
                <w:szCs w:val="20"/>
                <w:color w:val="auto"/>
              </w:rPr>
              <w:t>Amount of Decrease (Increase) from [November 1, 2012]:</w:t>
            </w:r>
          </w:p>
        </w:tc>
        <w:tc>
          <w:tcPr>
            <w:tcW w:w="3020" w:type="dxa"/>
            <w:vAlign w:val="bottom"/>
          </w:tcPr>
          <w:p>
            <w:pPr>
              <w:ind w:left="1380"/>
              <w:spacing w:after="0"/>
              <w:rPr>
                <w:sz w:val="20"/>
                <w:szCs w:val="20"/>
                <w:color w:val="auto"/>
              </w:rPr>
            </w:pPr>
            <w:r>
              <w:rPr>
                <w:rFonts w:ascii="Arial" w:cs="Arial" w:eastAsia="Arial" w:hAnsi="Arial"/>
                <w:sz w:val="20"/>
                <w:szCs w:val="20"/>
                <w:b w:val="1"/>
                <w:bCs w:val="1"/>
                <w:color w:val="auto"/>
              </w:rPr>
              <w:t>[$XXX,XXX,XXX]</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692785</wp:posOffset>
            </wp:positionH>
            <wp:positionV relativeFrom="page">
              <wp:posOffset>438785</wp:posOffset>
            </wp:positionV>
            <wp:extent cx="6183630" cy="22174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83630" cy="2217420"/>
                    </a:xfrm>
                    <a:prstGeom prst="rect">
                      <a:avLst/>
                    </a:prstGeom>
                    <a:noFill/>
                  </pic:spPr>
                </pic:pic>
              </a:graphicData>
            </a:graphic>
          </wp:anchor>
        </w:drawing>
      </w: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7540" w:type="dxa"/>
            <w:vAlign w:val="bottom"/>
          </w:tcPr>
          <w:p>
            <w:pPr>
              <w:spacing w:after="0"/>
              <w:rPr>
                <w:sz w:val="20"/>
                <w:szCs w:val="20"/>
                <w:color w:val="auto"/>
              </w:rPr>
            </w:pPr>
            <w:r>
              <w:rPr>
                <w:rFonts w:ascii="Arial" w:cs="Arial" w:eastAsia="Arial" w:hAnsi="Arial"/>
                <w:sz w:val="20"/>
                <w:szCs w:val="20"/>
                <w:color w:val="auto"/>
              </w:rPr>
              <w:t xml:space="preserve">B. AGGREGATE CONTRIBUTION RETAINED OR RECEIVED BY [ *** </w:t>
            </w:r>
            <w:r>
              <w:rPr>
                <w:rFonts w:ascii="Arial" w:cs="Arial" w:eastAsia="Arial" w:hAnsi="Arial"/>
                <w:sz w:val="21"/>
                <w:szCs w:val="21"/>
                <w:color w:val="auto"/>
              </w:rPr>
              <w:t>]</w:t>
            </w:r>
            <w:r>
              <w:rPr>
                <w:rFonts w:ascii="Arial" w:cs="Arial" w:eastAsia="Arial" w:hAnsi="Arial"/>
                <w:sz w:val="20"/>
                <w:szCs w:val="20"/>
                <w:color w:val="auto"/>
              </w:rPr>
              <w:t xml:space="preserve"> IF ANY</w:t>
            </w:r>
          </w:p>
        </w:tc>
        <w:tc>
          <w:tcPr>
            <w:tcW w:w="2140" w:type="dxa"/>
            <w:vAlign w:val="bottom"/>
            <w:vMerge w:val="restart"/>
          </w:tcPr>
          <w:p>
            <w:pPr>
              <w:ind w:left="500"/>
              <w:spacing w:after="0"/>
              <w:rPr>
                <w:sz w:val="20"/>
                <w:szCs w:val="20"/>
                <w:color w:val="auto"/>
              </w:rPr>
            </w:pPr>
            <w:r>
              <w:rPr>
                <w:rFonts w:ascii="Arial" w:cs="Arial" w:eastAsia="Arial" w:hAnsi="Arial"/>
                <w:sz w:val="20"/>
                <w:szCs w:val="20"/>
                <w:b w:val="1"/>
                <w:bCs w:val="1"/>
                <w:color w:val="auto"/>
              </w:rPr>
              <w:t>[$XXX,XXX,XXX]</w:t>
            </w:r>
          </w:p>
        </w:tc>
        <w:tc>
          <w:tcPr>
            <w:tcW w:w="0" w:type="dxa"/>
            <w:vAlign w:val="bottom"/>
          </w:tcPr>
          <w:p>
            <w:pPr>
              <w:spacing w:after="0"/>
              <w:rPr>
                <w:sz w:val="1"/>
                <w:szCs w:val="1"/>
                <w:color w:val="auto"/>
              </w:rPr>
            </w:pPr>
          </w:p>
        </w:tc>
      </w:tr>
      <w:tr>
        <w:trPr>
          <w:trHeight w:val="234"/>
        </w:trPr>
        <w:tc>
          <w:tcPr>
            <w:tcW w:w="7540" w:type="dxa"/>
            <w:vAlign w:val="bottom"/>
            <w:vMerge w:val="restart"/>
          </w:tcPr>
          <w:p>
            <w:pPr>
              <w:ind w:left="600"/>
              <w:spacing w:after="0"/>
              <w:rPr>
                <w:sz w:val="20"/>
                <w:szCs w:val="20"/>
                <w:color w:val="auto"/>
              </w:rPr>
            </w:pPr>
            <w:r>
              <w:rPr>
                <w:rFonts w:ascii="Arial" w:cs="Arial" w:eastAsia="Arial" w:hAnsi="Arial"/>
                <w:sz w:val="20"/>
                <w:szCs w:val="20"/>
                <w:color w:val="auto"/>
              </w:rPr>
              <w:t>Agreed Market Value as of [November 1, 2012]:</w:t>
            </w:r>
          </w:p>
        </w:tc>
        <w:tc>
          <w:tcPr>
            <w:tcW w:w="21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7540" w:type="dxa"/>
            <w:vAlign w:val="bottom"/>
            <w:vMerge w:val="continue"/>
          </w:tcPr>
          <w:p>
            <w:pPr>
              <w:spacing w:after="0"/>
              <w:rPr>
                <w:sz w:val="17"/>
                <w:szCs w:val="17"/>
                <w:color w:val="auto"/>
              </w:rPr>
            </w:pPr>
          </w:p>
        </w:tc>
        <w:tc>
          <w:tcPr>
            <w:tcW w:w="2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6"/>
        </w:trPr>
        <w:tc>
          <w:tcPr>
            <w:tcW w:w="7540" w:type="dxa"/>
            <w:vAlign w:val="bottom"/>
            <w:vMerge w:val="restart"/>
          </w:tcPr>
          <w:p>
            <w:pPr>
              <w:ind w:left="600"/>
              <w:spacing w:after="0"/>
              <w:rPr>
                <w:sz w:val="20"/>
                <w:szCs w:val="20"/>
                <w:color w:val="auto"/>
              </w:rPr>
            </w:pPr>
            <w:r>
              <w:rPr>
                <w:rFonts w:ascii="Arial" w:cs="Arial" w:eastAsia="Arial" w:hAnsi="Arial"/>
                <w:sz w:val="20"/>
                <w:szCs w:val="20"/>
                <w:color w:val="auto"/>
              </w:rPr>
              <w:t>Agreed Market Value as of [December 15, 2012]:</w:t>
            </w:r>
          </w:p>
        </w:tc>
        <w:tc>
          <w:tcPr>
            <w:tcW w:w="2140" w:type="dxa"/>
            <w:vAlign w:val="bottom"/>
          </w:tcPr>
          <w:p>
            <w:pPr>
              <w:ind w:left="500"/>
              <w:spacing w:after="0"/>
              <w:rPr>
                <w:sz w:val="20"/>
                <w:szCs w:val="20"/>
                <w:color w:val="auto"/>
              </w:rPr>
            </w:pPr>
            <w:r>
              <w:rPr>
                <w:rFonts w:ascii="Arial" w:cs="Arial" w:eastAsia="Arial" w:hAnsi="Arial"/>
                <w:sz w:val="20"/>
                <w:szCs w:val="20"/>
                <w:b w:val="1"/>
                <w:bCs w:val="1"/>
                <w:color w:val="auto"/>
              </w:rPr>
              <w:t>[$XXX,XXX,XXX]</w:t>
            </w:r>
          </w:p>
        </w:tc>
        <w:tc>
          <w:tcPr>
            <w:tcW w:w="0" w:type="dxa"/>
            <w:vAlign w:val="bottom"/>
          </w:tcPr>
          <w:p>
            <w:pPr>
              <w:spacing w:after="0"/>
              <w:rPr>
                <w:sz w:val="1"/>
                <w:szCs w:val="1"/>
                <w:color w:val="auto"/>
              </w:rPr>
            </w:pPr>
          </w:p>
        </w:tc>
      </w:tr>
      <w:tr>
        <w:trPr>
          <w:trHeight w:val="200"/>
        </w:trPr>
        <w:tc>
          <w:tcPr>
            <w:tcW w:w="7540" w:type="dxa"/>
            <w:vAlign w:val="bottom"/>
            <w:vMerge w:val="continue"/>
          </w:tcPr>
          <w:p>
            <w:pPr>
              <w:spacing w:after="0"/>
              <w:rPr>
                <w:sz w:val="17"/>
                <w:szCs w:val="17"/>
                <w:color w:val="auto"/>
              </w:rPr>
            </w:pPr>
          </w:p>
        </w:tc>
        <w:tc>
          <w:tcPr>
            <w:tcW w:w="2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6"/>
        </w:trPr>
        <w:tc>
          <w:tcPr>
            <w:tcW w:w="7540" w:type="dxa"/>
            <w:vAlign w:val="bottom"/>
          </w:tcPr>
          <w:p>
            <w:pPr>
              <w:ind w:left="600"/>
              <w:spacing w:after="0"/>
              <w:rPr>
                <w:sz w:val="20"/>
                <w:szCs w:val="20"/>
                <w:color w:val="auto"/>
              </w:rPr>
            </w:pPr>
            <w:r>
              <w:rPr>
                <w:rFonts w:ascii="Arial" w:cs="Arial" w:eastAsia="Arial" w:hAnsi="Arial"/>
                <w:sz w:val="20"/>
                <w:szCs w:val="20"/>
                <w:color w:val="auto"/>
              </w:rPr>
              <w:t>Amount of Decrease (Increase) from [November 1, 2012]:</w:t>
            </w:r>
          </w:p>
        </w:tc>
        <w:tc>
          <w:tcPr>
            <w:tcW w:w="2140" w:type="dxa"/>
            <w:vAlign w:val="bottom"/>
          </w:tcPr>
          <w:p>
            <w:pPr>
              <w:ind w:left="500"/>
              <w:spacing w:after="0"/>
              <w:rPr>
                <w:sz w:val="20"/>
                <w:szCs w:val="20"/>
                <w:color w:val="auto"/>
              </w:rPr>
            </w:pPr>
            <w:r>
              <w:rPr>
                <w:rFonts w:ascii="Arial" w:cs="Arial" w:eastAsia="Arial" w:hAnsi="Arial"/>
                <w:sz w:val="20"/>
                <w:szCs w:val="20"/>
                <w:b w:val="1"/>
                <w:bCs w:val="1"/>
                <w:color w:val="auto"/>
              </w:rPr>
              <w:t>[$XXX,XXX,XXX]</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Exhibit A-1 - 6</w:t>
      </w:r>
    </w:p>
    <w:p>
      <w:pPr>
        <w:sectPr>
          <w:pgSz w:w="11900" w:h="16838" w:orient="portrait"/>
          <w:cols w:equalWidth="0" w:num="1">
            <w:col w:w="9680"/>
          </w:cols>
          <w:pgMar w:left="1120" w:top="702" w:right="1099" w:bottom="1440" w:gutter="0" w:footer="0" w:header="0"/>
        </w:sectPr>
      </w:pPr>
    </w:p>
    <w:bookmarkStart w:id="209" w:name="page210"/>
    <w:bookmarkEnd w:id="209"/>
    <w:p>
      <w:pPr>
        <w:jc w:val="right"/>
        <w:spacing w:after="0"/>
        <w:rPr>
          <w:sz w:val="20"/>
          <w:szCs w:val="20"/>
          <w:color w:val="auto"/>
        </w:rPr>
      </w:pPr>
      <w:r>
        <w:rPr>
          <w:rFonts w:ascii="Arial" w:cs="Arial" w:eastAsia="Arial" w:hAnsi="Arial"/>
          <w:sz w:val="20"/>
          <w:szCs w:val="20"/>
          <w:b w:val="1"/>
          <w:bCs w:val="1"/>
          <w:color w:val="auto"/>
        </w:rPr>
        <w:t>Date: [December 15, 2012]</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Attachment A to Transferred Assets Schedule [Post-Closing]</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AGGREGATE CONTRIBUTION RETAINED BY OR RECEIVED BY</w:t>
      </w:r>
      <w:r>
        <w:rPr>
          <w:rFonts w:ascii="Arial" w:cs="Arial" w:eastAsia="Arial" w:hAnsi="Arial"/>
          <w:sz w:val="20"/>
          <w:szCs w:val="20"/>
          <w:color w:val="auto"/>
        </w:rPr>
        <w:t>[ ***</w:t>
      </w:r>
      <w:r>
        <w:rPr>
          <w:rFonts w:ascii="Arial" w:cs="Arial" w:eastAsia="Arial" w:hAnsi="Arial"/>
          <w:sz w:val="20"/>
          <w:szCs w:val="20"/>
          <w:b w:val="1"/>
          <w:bCs w:val="1"/>
          <w:color w:val="auto"/>
        </w:rPr>
        <w:t xml:space="preserve"> </w:t>
      </w:r>
      <w:r>
        <w:rPr>
          <w:rFonts w:ascii="Arial" w:cs="Arial" w:eastAsia="Arial" w:hAnsi="Arial"/>
          <w:sz w:val="21"/>
          <w:szCs w:val="21"/>
          <w:color w:val="auto"/>
        </w:rPr>
        <w:t>]</w:t>
      </w:r>
      <w:r>
        <w:rPr>
          <w:rFonts w:ascii="Arial" w:cs="Arial" w:eastAsia="Arial" w:hAnsi="Arial"/>
          <w:sz w:val="20"/>
          <w:szCs w:val="20"/>
          <w:b w:val="1"/>
          <w:bCs w:val="1"/>
          <w:color w:val="auto"/>
        </w:rPr>
        <w:t xml:space="preserve"> ON [NOVEMBER 1, 2012</w:t>
      </w:r>
      <w:r>
        <w:rPr>
          <w:rFonts w:ascii="Arial" w:cs="Arial" w:eastAsia="Arial" w:hAnsi="Arial"/>
          <w:sz w:val="20"/>
          <w:szCs w:val="20"/>
          <w:color w:val="auto"/>
        </w:rPr>
        <w:t>]</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Showing market values as determined on [November 1, 2012] compared to as determined on [December 15, 2012]</w:t>
      </w:r>
      <w:r>
        <w:rPr>
          <w:rFonts w:ascii="Arial" w:cs="Arial" w:eastAsia="Arial" w:hAnsi="Arial"/>
          <w:sz w:val="20"/>
          <w:szCs w:val="20"/>
          <w:color w:val="auto"/>
        </w:rPr>
        <w: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Contributions as determined on [December 15, 2012]:</w:t>
      </w:r>
    </w:p>
    <w:p>
      <w:pPr>
        <w:spacing w:after="0" w:line="200" w:lineRule="exact"/>
        <w:rPr>
          <w:sz w:val="20"/>
          <w:szCs w:val="20"/>
          <w:color w:val="auto"/>
        </w:rPr>
      </w:pPr>
    </w:p>
    <w:p>
      <w:pPr>
        <w:spacing w:after="0" w:line="208" w:lineRule="exact"/>
        <w:rPr>
          <w:sz w:val="20"/>
          <w:szCs w:val="20"/>
          <w:color w:val="auto"/>
        </w:rPr>
      </w:pPr>
    </w:p>
    <w:p>
      <w:pPr>
        <w:ind w:left="600"/>
        <w:spacing w:after="0"/>
        <w:rPr>
          <w:sz w:val="20"/>
          <w:szCs w:val="20"/>
          <w:color w:val="auto"/>
        </w:rPr>
      </w:pPr>
      <w:r>
        <w:rPr>
          <w:rFonts w:ascii="Arial" w:cs="Arial" w:eastAsia="Arial" w:hAnsi="Arial"/>
          <w:sz w:val="20"/>
          <w:szCs w:val="20"/>
          <w:b w:val="1"/>
          <w:bCs w:val="1"/>
          <w:color w:val="auto"/>
        </w:rPr>
        <w:t>Cash Assets: $ _______________________</w:t>
      </w:r>
    </w:p>
    <w:p>
      <w:pPr>
        <w:spacing w:after="0" w:line="200" w:lineRule="exact"/>
        <w:rPr>
          <w:sz w:val="20"/>
          <w:szCs w:val="20"/>
          <w:color w:val="auto"/>
        </w:rPr>
      </w:pPr>
    </w:p>
    <w:p>
      <w:pPr>
        <w:spacing w:after="0" w:line="208" w:lineRule="exact"/>
        <w:rPr>
          <w:sz w:val="20"/>
          <w:szCs w:val="20"/>
          <w:color w:val="auto"/>
        </w:rPr>
      </w:pPr>
    </w:p>
    <w:p>
      <w:pPr>
        <w:ind w:left="600"/>
        <w:spacing w:after="0"/>
        <w:rPr>
          <w:sz w:val="20"/>
          <w:szCs w:val="20"/>
          <w:color w:val="auto"/>
        </w:rPr>
      </w:pPr>
      <w:r>
        <w:rPr>
          <w:rFonts w:ascii="Arial" w:cs="Arial" w:eastAsia="Arial" w:hAnsi="Arial"/>
          <w:sz w:val="20"/>
          <w:szCs w:val="20"/>
          <w:b w:val="1"/>
          <w:bCs w:val="1"/>
          <w:color w:val="auto"/>
        </w:rPr>
        <w:t>Fixed Income Assets: $_________________</w:t>
      </w:r>
    </w:p>
    <w:p>
      <w:pPr>
        <w:spacing w:after="0" w:line="398" w:lineRule="exact"/>
        <w:rPr>
          <w:sz w:val="20"/>
          <w:szCs w:val="20"/>
          <w:color w:val="auto"/>
        </w:rPr>
      </w:pPr>
    </w:p>
    <w:p>
      <w:pPr>
        <w:ind w:left="720" w:hanging="119"/>
        <w:spacing w:after="0"/>
        <w:tabs>
          <w:tab w:leader="none" w:pos="720" w:val="left"/>
        </w:tabs>
        <w:numPr>
          <w:ilvl w:val="0"/>
          <w:numId w:val="177"/>
        </w:numPr>
        <w:rPr>
          <w:rFonts w:ascii="Arial" w:cs="Arial" w:eastAsia="Arial" w:hAnsi="Arial"/>
          <w:sz w:val="20"/>
          <w:szCs w:val="20"/>
          <w:color w:val="auto"/>
        </w:rPr>
      </w:pPr>
      <w:r>
        <w:rPr>
          <w:rFonts w:ascii="Arial" w:cs="Arial" w:eastAsia="Arial" w:hAnsi="Arial"/>
          <w:sz w:val="20"/>
          <w:szCs w:val="20"/>
          <w:color w:val="auto"/>
        </w:rPr>
        <w:t xml:space="preserve">*** </w:t>
      </w:r>
      <w:r>
        <w:rPr>
          <w:rFonts w:ascii="Arial" w:cs="Arial" w:eastAsia="Arial" w:hAnsi="Arial"/>
          <w:sz w:val="21"/>
          <w:szCs w:val="21"/>
          <w:color w:val="auto"/>
        </w:rPr>
        <w:t>]</w:t>
      </w:r>
      <w:r>
        <w:rPr>
          <w:rFonts w:ascii="Arial" w:cs="Arial" w:eastAsia="Arial" w:hAnsi="Arial"/>
          <w:sz w:val="20"/>
          <w:szCs w:val="20"/>
          <w:color w:val="auto"/>
        </w:rPr>
        <w:t xml:space="preserve"> </w:t>
      </w:r>
      <w:r>
        <w:rPr>
          <w:rFonts w:ascii="Arial" w:cs="Arial" w:eastAsia="Arial" w:hAnsi="Arial"/>
          <w:sz w:val="20"/>
          <w:szCs w:val="20"/>
          <w:b w:val="1"/>
          <w:bCs w:val="1"/>
          <w:color w:val="auto"/>
        </w:rPr>
        <w:t>$________________</w:t>
      </w:r>
    </w:p>
    <w:p>
      <w:pPr>
        <w:spacing w:after="0" w:line="200" w:lineRule="exact"/>
        <w:rPr>
          <w:sz w:val="20"/>
          <w:szCs w:val="20"/>
          <w:color w:val="auto"/>
        </w:rPr>
      </w:pPr>
    </w:p>
    <w:p>
      <w:pPr>
        <w:spacing w:after="0" w:line="220" w:lineRule="exact"/>
        <w:rPr>
          <w:sz w:val="20"/>
          <w:szCs w:val="20"/>
          <w:color w:val="auto"/>
        </w:rPr>
      </w:pPr>
    </w:p>
    <w:p>
      <w:pPr>
        <w:ind w:left="600"/>
        <w:spacing w:after="0"/>
        <w:rPr>
          <w:sz w:val="20"/>
          <w:szCs w:val="20"/>
          <w:color w:val="auto"/>
        </w:rPr>
      </w:pPr>
      <w:r>
        <w:rPr>
          <w:rFonts w:ascii="Arial" w:cs="Arial" w:eastAsia="Arial" w:hAnsi="Arial"/>
          <w:sz w:val="20"/>
          <w:szCs w:val="20"/>
          <w:b w:val="1"/>
          <w:bCs w:val="1"/>
          <w:color w:val="auto"/>
        </w:rPr>
        <w:t>Other Assets: $_______________________</w:t>
      </w:r>
    </w:p>
    <w:p>
      <w:pPr>
        <w:spacing w:after="0" w:line="200" w:lineRule="exact"/>
        <w:rPr>
          <w:sz w:val="20"/>
          <w:szCs w:val="20"/>
          <w:color w:val="auto"/>
        </w:rPr>
      </w:pPr>
    </w:p>
    <w:p>
      <w:pPr>
        <w:spacing w:after="0" w:line="208" w:lineRule="exact"/>
        <w:rPr>
          <w:sz w:val="20"/>
          <w:szCs w:val="20"/>
          <w:color w:val="auto"/>
        </w:rPr>
      </w:pPr>
    </w:p>
    <w:p>
      <w:pPr>
        <w:ind w:left="600"/>
        <w:spacing w:after="0"/>
        <w:rPr>
          <w:sz w:val="20"/>
          <w:szCs w:val="20"/>
          <w:color w:val="auto"/>
        </w:rPr>
      </w:pPr>
      <w:r>
        <w:rPr>
          <w:rFonts w:ascii="Arial" w:cs="Arial" w:eastAsia="Arial" w:hAnsi="Arial"/>
          <w:sz w:val="20"/>
          <w:szCs w:val="20"/>
          <w:b w:val="1"/>
          <w:bCs w:val="1"/>
          <w:color w:val="auto"/>
        </w:rPr>
        <w:t>Total Assets: $______________________</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Fixed Income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92710</wp:posOffset>
            </wp:positionV>
            <wp:extent cx="6764020" cy="1677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64020" cy="1677035"/>
                    </a:xfrm>
                    <a:prstGeom prst="rect">
                      <a:avLst/>
                    </a:prstGeom>
                    <a:noFill/>
                  </pic:spPr>
                </pic:pic>
              </a:graphicData>
            </a:graphic>
          </wp:anchor>
        </w:drawing>
      </w:r>
    </w:p>
    <w:p>
      <w:pPr>
        <w:spacing w:after="0" w:line="151" w:lineRule="exact"/>
        <w:rPr>
          <w:sz w:val="20"/>
          <w:szCs w:val="20"/>
          <w:color w:val="auto"/>
        </w:rPr>
      </w:pPr>
    </w:p>
    <w:tbl>
      <w:tblPr>
        <w:tblLayout w:type="fixed"/>
        <w:tblInd w:w="580" w:type="dxa"/>
        <w:tblCellMar>
          <w:top w:w="0" w:type="dxa"/>
          <w:left w:w="0" w:type="dxa"/>
          <w:bottom w:w="0" w:type="dxa"/>
          <w:right w:w="0" w:type="dxa"/>
        </w:tblCellMar>
      </w:tblPr>
      <w:tr>
        <w:trPr>
          <w:trHeight w:val="200"/>
        </w:trPr>
        <w:tc>
          <w:tcPr>
            <w:tcW w:w="9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300" w:type="dxa"/>
            <w:vAlign w:val="bottom"/>
          </w:tcPr>
          <w:p>
            <w:pPr>
              <w:jc w:val="center"/>
              <w:ind w:left="277"/>
              <w:spacing w:after="0"/>
              <w:rPr>
                <w:sz w:val="20"/>
                <w:szCs w:val="20"/>
                <w:color w:val="auto"/>
              </w:rPr>
            </w:pPr>
            <w:r>
              <w:rPr>
                <w:rFonts w:ascii="Arial" w:cs="Arial" w:eastAsia="Arial" w:hAnsi="Arial"/>
                <w:sz w:val="17"/>
                <w:szCs w:val="17"/>
                <w:color w:val="auto"/>
                <w:w w:val="97"/>
              </w:rPr>
              <w:t>MKT VALUE</w:t>
            </w:r>
          </w:p>
        </w:tc>
      </w:tr>
      <w:tr>
        <w:trPr>
          <w:trHeight w:val="200"/>
        </w:trPr>
        <w:tc>
          <w:tcPr>
            <w:tcW w:w="9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620" w:type="dxa"/>
            <w:vAlign w:val="bottom"/>
          </w:tcPr>
          <w:p>
            <w:pPr>
              <w:jc w:val="center"/>
              <w:spacing w:after="0"/>
              <w:rPr>
                <w:sz w:val="20"/>
                <w:szCs w:val="20"/>
                <w:color w:val="auto"/>
              </w:rPr>
            </w:pPr>
            <w:r>
              <w:rPr>
                <w:rFonts w:ascii="Arial" w:cs="Arial" w:eastAsia="Arial" w:hAnsi="Arial"/>
                <w:sz w:val="17"/>
                <w:szCs w:val="17"/>
                <w:color w:val="auto"/>
                <w:w w:val="98"/>
              </w:rPr>
              <w:t>MATURITY</w:t>
            </w:r>
          </w:p>
        </w:tc>
        <w:tc>
          <w:tcPr>
            <w:tcW w:w="1400" w:type="dxa"/>
            <w:vAlign w:val="bottom"/>
          </w:tcPr>
          <w:p>
            <w:pPr>
              <w:jc w:val="center"/>
              <w:spacing w:after="0"/>
              <w:rPr>
                <w:sz w:val="20"/>
                <w:szCs w:val="20"/>
                <w:color w:val="auto"/>
              </w:rPr>
            </w:pPr>
            <w:r>
              <w:rPr>
                <w:rFonts w:ascii="Arial" w:cs="Arial" w:eastAsia="Arial" w:hAnsi="Arial"/>
                <w:sz w:val="17"/>
                <w:szCs w:val="17"/>
                <w:color w:val="auto"/>
                <w:w w:val="85"/>
              </w:rPr>
              <w:t>PAR</w:t>
            </w:r>
          </w:p>
        </w:tc>
        <w:tc>
          <w:tcPr>
            <w:tcW w:w="1400" w:type="dxa"/>
            <w:vAlign w:val="bottom"/>
          </w:tcPr>
          <w:p>
            <w:pPr>
              <w:jc w:val="center"/>
              <w:spacing w:after="0"/>
              <w:rPr>
                <w:sz w:val="20"/>
                <w:szCs w:val="20"/>
                <w:color w:val="auto"/>
              </w:rPr>
            </w:pPr>
            <w:r>
              <w:rPr>
                <w:rFonts w:ascii="Arial" w:cs="Arial" w:eastAsia="Arial" w:hAnsi="Arial"/>
                <w:sz w:val="17"/>
                <w:szCs w:val="17"/>
                <w:color w:val="auto"/>
                <w:w w:val="94"/>
              </w:rPr>
              <w:t>CREDIT</w:t>
            </w:r>
          </w:p>
        </w:tc>
        <w:tc>
          <w:tcPr>
            <w:tcW w:w="1300" w:type="dxa"/>
            <w:vAlign w:val="bottom"/>
          </w:tcPr>
          <w:p>
            <w:pPr>
              <w:jc w:val="center"/>
              <w:ind w:left="277"/>
              <w:spacing w:after="0"/>
              <w:rPr>
                <w:sz w:val="20"/>
                <w:szCs w:val="20"/>
                <w:color w:val="auto"/>
              </w:rPr>
            </w:pPr>
            <w:r>
              <w:rPr>
                <w:rFonts w:ascii="Arial" w:cs="Arial" w:eastAsia="Arial" w:hAnsi="Arial"/>
                <w:sz w:val="17"/>
                <w:szCs w:val="17"/>
                <w:color w:val="auto"/>
                <w:w w:val="95"/>
              </w:rPr>
              <w:t>(AS OF</w:t>
            </w:r>
          </w:p>
        </w:tc>
      </w:tr>
      <w:tr>
        <w:trPr>
          <w:trHeight w:val="213"/>
        </w:trPr>
        <w:tc>
          <w:tcPr>
            <w:tcW w:w="980" w:type="dxa"/>
            <w:vAlign w:val="bottom"/>
          </w:tcPr>
          <w:p>
            <w:pPr>
              <w:spacing w:after="0"/>
              <w:rPr>
                <w:sz w:val="20"/>
                <w:szCs w:val="20"/>
                <w:color w:val="auto"/>
              </w:rPr>
            </w:pPr>
            <w:r>
              <w:rPr>
                <w:rFonts w:ascii="Arial" w:cs="Arial" w:eastAsia="Arial" w:hAnsi="Arial"/>
                <w:sz w:val="17"/>
                <w:szCs w:val="17"/>
                <w:color w:val="auto"/>
              </w:rPr>
              <w:t>CUSIP</w:t>
            </w:r>
          </w:p>
        </w:tc>
        <w:tc>
          <w:tcPr>
            <w:tcW w:w="1520" w:type="dxa"/>
            <w:vAlign w:val="bottom"/>
          </w:tcPr>
          <w:p>
            <w:pPr>
              <w:ind w:left="500"/>
              <w:spacing w:after="0"/>
              <w:rPr>
                <w:sz w:val="20"/>
                <w:szCs w:val="20"/>
                <w:color w:val="auto"/>
              </w:rPr>
            </w:pPr>
            <w:r>
              <w:rPr>
                <w:rFonts w:ascii="Arial" w:cs="Arial" w:eastAsia="Arial" w:hAnsi="Arial"/>
                <w:sz w:val="17"/>
                <w:szCs w:val="17"/>
                <w:color w:val="auto"/>
              </w:rPr>
              <w:t>ISSUER</w:t>
            </w:r>
          </w:p>
        </w:tc>
        <w:tc>
          <w:tcPr>
            <w:tcW w:w="1520" w:type="dxa"/>
            <w:vAlign w:val="bottom"/>
          </w:tcPr>
          <w:p>
            <w:pPr>
              <w:ind w:left="420"/>
              <w:spacing w:after="0"/>
              <w:rPr>
                <w:sz w:val="20"/>
                <w:szCs w:val="20"/>
                <w:color w:val="auto"/>
              </w:rPr>
            </w:pPr>
            <w:r>
              <w:rPr>
                <w:rFonts w:ascii="Arial" w:cs="Arial" w:eastAsia="Arial" w:hAnsi="Arial"/>
                <w:sz w:val="17"/>
                <w:szCs w:val="17"/>
                <w:color w:val="auto"/>
              </w:rPr>
              <w:t>COUPON</w:t>
            </w:r>
          </w:p>
        </w:tc>
        <w:tc>
          <w:tcPr>
            <w:tcW w:w="1620" w:type="dxa"/>
            <w:vAlign w:val="bottom"/>
          </w:tcPr>
          <w:p>
            <w:pPr>
              <w:jc w:val="center"/>
              <w:spacing w:after="0"/>
              <w:rPr>
                <w:sz w:val="20"/>
                <w:szCs w:val="20"/>
                <w:color w:val="auto"/>
              </w:rPr>
            </w:pPr>
            <w:r>
              <w:rPr>
                <w:rFonts w:ascii="Arial" w:cs="Arial" w:eastAsia="Arial" w:hAnsi="Arial"/>
                <w:sz w:val="17"/>
                <w:szCs w:val="17"/>
                <w:color w:val="auto"/>
                <w:w w:val="96"/>
              </w:rPr>
              <w:t>DATE</w:t>
            </w:r>
          </w:p>
        </w:tc>
        <w:tc>
          <w:tcPr>
            <w:tcW w:w="1400" w:type="dxa"/>
            <w:vAlign w:val="bottom"/>
          </w:tcPr>
          <w:p>
            <w:pPr>
              <w:jc w:val="center"/>
              <w:spacing w:after="0"/>
              <w:rPr>
                <w:sz w:val="20"/>
                <w:szCs w:val="20"/>
                <w:color w:val="auto"/>
              </w:rPr>
            </w:pPr>
            <w:r>
              <w:rPr>
                <w:rFonts w:ascii="Arial" w:cs="Arial" w:eastAsia="Arial" w:hAnsi="Arial"/>
                <w:sz w:val="17"/>
                <w:szCs w:val="17"/>
                <w:color w:val="auto"/>
              </w:rPr>
              <w:t>AMOUNT</w:t>
            </w:r>
          </w:p>
        </w:tc>
        <w:tc>
          <w:tcPr>
            <w:tcW w:w="1400" w:type="dxa"/>
            <w:vAlign w:val="bottom"/>
          </w:tcPr>
          <w:p>
            <w:pPr>
              <w:jc w:val="center"/>
              <w:spacing w:after="0"/>
              <w:rPr>
                <w:sz w:val="20"/>
                <w:szCs w:val="20"/>
                <w:color w:val="auto"/>
              </w:rPr>
            </w:pPr>
            <w:r>
              <w:rPr>
                <w:rFonts w:ascii="Arial" w:cs="Arial" w:eastAsia="Arial" w:hAnsi="Arial"/>
                <w:sz w:val="17"/>
                <w:szCs w:val="17"/>
                <w:color w:val="auto"/>
              </w:rPr>
              <w:t>QUALITY</w:t>
            </w:r>
          </w:p>
        </w:tc>
        <w:tc>
          <w:tcPr>
            <w:tcW w:w="1300" w:type="dxa"/>
            <w:vAlign w:val="bottom"/>
          </w:tcPr>
          <w:p>
            <w:pPr>
              <w:jc w:val="center"/>
              <w:ind w:left="277"/>
              <w:spacing w:after="0"/>
              <w:rPr>
                <w:sz w:val="20"/>
                <w:szCs w:val="20"/>
                <w:color w:val="auto"/>
              </w:rPr>
            </w:pPr>
            <w:r>
              <w:rPr>
                <w:rFonts w:ascii="Arial" w:cs="Arial" w:eastAsia="Arial" w:hAnsi="Arial"/>
                <w:sz w:val="17"/>
                <w:szCs w:val="17"/>
                <w:color w:val="auto"/>
              </w:rPr>
              <w:t>MM/DD/YY)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9800"/>
        <w:spacing w:after="0"/>
        <w:rPr>
          <w:sz w:val="20"/>
          <w:szCs w:val="20"/>
          <w:color w:val="auto"/>
        </w:rPr>
      </w:pPr>
      <w:r>
        <w:rPr>
          <w:rFonts w:ascii="Arial" w:cs="Arial" w:eastAsia="Arial" w:hAnsi="Arial"/>
          <w:sz w:val="20"/>
          <w:szCs w:val="20"/>
          <w:color w:val="auto"/>
        </w:rPr>
        <w:t>SUB</w:t>
      </w:r>
    </w:p>
    <w:p>
      <w:pPr>
        <w:spacing w:after="0" w:line="13" w:lineRule="exact"/>
        <w:rPr>
          <w:sz w:val="20"/>
          <w:szCs w:val="20"/>
          <w:color w:val="auto"/>
        </w:rPr>
      </w:pPr>
    </w:p>
    <w:p>
      <w:pPr>
        <w:jc w:val="center"/>
        <w:ind w:right="9800"/>
        <w:spacing w:after="0"/>
        <w:rPr>
          <w:sz w:val="20"/>
          <w:szCs w:val="20"/>
          <w:color w:val="auto"/>
        </w:rPr>
      </w:pPr>
      <w:r>
        <w:rPr>
          <w:rFonts w:ascii="Arial" w:cs="Arial" w:eastAsia="Arial" w:hAnsi="Arial"/>
          <w:sz w:val="20"/>
          <w:szCs w:val="20"/>
          <w:color w:val="auto"/>
        </w:rPr>
        <w:t>TOTAL</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 *** </w:t>
      </w:r>
      <w:r>
        <w:rPr>
          <w:rFonts w:ascii="Arial" w:cs="Arial" w:eastAsia="Arial" w:hAnsi="Arial"/>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6620510" cy="9937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20510" cy="993775"/>
                    </a:xfrm>
                    <a:prstGeom prst="rect">
                      <a:avLst/>
                    </a:prstGeom>
                    <a:noFill/>
                  </pic:spPr>
                </pic:pic>
              </a:graphicData>
            </a:graphic>
          </wp:anchor>
        </w:drawing>
      </w:r>
    </w:p>
    <w:p>
      <w:pPr>
        <w:spacing w:after="0" w:line="152" w:lineRule="exact"/>
        <w:rPr>
          <w:sz w:val="20"/>
          <w:szCs w:val="20"/>
          <w:color w:val="auto"/>
        </w:rPr>
      </w:pPr>
    </w:p>
    <w:tbl>
      <w:tblPr>
        <w:tblLayout w:type="fixed"/>
        <w:tblInd w:w="680" w:type="dxa"/>
        <w:tblCellMar>
          <w:top w:w="0" w:type="dxa"/>
          <w:left w:w="0" w:type="dxa"/>
          <w:bottom w:w="0" w:type="dxa"/>
          <w:right w:w="0" w:type="dxa"/>
        </w:tblCellMar>
      </w:tblPr>
      <w:tr>
        <w:trPr>
          <w:trHeight w:val="275"/>
        </w:trPr>
        <w:tc>
          <w:tcPr>
            <w:tcW w:w="1100" w:type="dxa"/>
            <w:vAlign w:val="bottom"/>
          </w:tcPr>
          <w:p>
            <w:pPr>
              <w:jc w:val="right"/>
              <w:ind w:right="460"/>
              <w:spacing w:after="0"/>
              <w:rPr>
                <w:sz w:val="20"/>
                <w:szCs w:val="20"/>
                <w:color w:val="auto"/>
              </w:rPr>
            </w:pPr>
            <w:r>
              <w:rPr>
                <w:rFonts w:ascii="Arial" w:cs="Arial" w:eastAsia="Arial" w:hAnsi="Arial"/>
                <w:sz w:val="20"/>
                <w:szCs w:val="20"/>
                <w:color w:val="auto"/>
              </w:rPr>
              <w:t xml:space="preserve">[ *** </w:t>
            </w:r>
            <w:r>
              <w:rPr>
                <w:rFonts w:ascii="Arial" w:cs="Arial" w:eastAsia="Arial" w:hAnsi="Arial"/>
                <w:sz w:val="21"/>
                <w:szCs w:val="21"/>
                <w:color w:val="auto"/>
              </w:rPr>
              <w:t>]</w:t>
            </w:r>
          </w:p>
        </w:tc>
        <w:tc>
          <w:tcPr>
            <w:tcW w:w="1680" w:type="dxa"/>
            <w:vAlign w:val="bottom"/>
          </w:tcPr>
          <w:p>
            <w:pPr>
              <w:ind w:left="580"/>
              <w:spacing w:after="0"/>
              <w:rPr>
                <w:sz w:val="20"/>
                <w:szCs w:val="20"/>
                <w:color w:val="auto"/>
              </w:rPr>
            </w:pPr>
            <w:r>
              <w:rPr>
                <w:rFonts w:ascii="Arial" w:cs="Arial" w:eastAsia="Arial" w:hAnsi="Arial"/>
                <w:sz w:val="17"/>
                <w:szCs w:val="17"/>
                <w:color w:val="auto"/>
              </w:rPr>
              <w:t>NEWCO</w:t>
            </w:r>
          </w:p>
        </w:tc>
        <w:tc>
          <w:tcPr>
            <w:tcW w:w="1600" w:type="dxa"/>
            <w:vAlign w:val="bottom"/>
          </w:tcPr>
          <w:p>
            <w:pPr>
              <w:jc w:val="right"/>
              <w:ind w:right="460"/>
              <w:spacing w:after="0"/>
              <w:rPr>
                <w:sz w:val="20"/>
                <w:szCs w:val="20"/>
                <w:color w:val="auto"/>
              </w:rPr>
            </w:pPr>
            <w:r>
              <w:rPr>
                <w:rFonts w:ascii="Arial" w:cs="Arial" w:eastAsia="Arial" w:hAnsi="Arial"/>
                <w:sz w:val="20"/>
                <w:szCs w:val="20"/>
                <w:color w:val="auto"/>
              </w:rPr>
              <w:t xml:space="preserve">[ *** </w:t>
            </w:r>
            <w:r>
              <w:rPr>
                <w:rFonts w:ascii="Arial" w:cs="Arial" w:eastAsia="Arial" w:hAnsi="Arial"/>
                <w:sz w:val="21"/>
                <w:szCs w:val="21"/>
                <w:color w:val="auto"/>
              </w:rPr>
              <w:t>]</w:t>
            </w:r>
          </w:p>
        </w:tc>
        <w:tc>
          <w:tcPr>
            <w:tcW w:w="1660" w:type="dxa"/>
            <w:vAlign w:val="bottom"/>
          </w:tcPr>
          <w:p>
            <w:pPr>
              <w:jc w:val="right"/>
              <w:ind w:right="460"/>
              <w:spacing w:after="0"/>
              <w:rPr>
                <w:sz w:val="20"/>
                <w:szCs w:val="20"/>
                <w:color w:val="auto"/>
              </w:rPr>
            </w:pPr>
            <w:r>
              <w:rPr>
                <w:rFonts w:ascii="Arial" w:cs="Arial" w:eastAsia="Arial" w:hAnsi="Arial"/>
                <w:sz w:val="20"/>
                <w:szCs w:val="20"/>
                <w:color w:val="auto"/>
              </w:rPr>
              <w:t xml:space="preserve">[ *** </w:t>
            </w:r>
            <w:r>
              <w:rPr>
                <w:rFonts w:ascii="Arial" w:cs="Arial" w:eastAsia="Arial" w:hAnsi="Arial"/>
                <w:sz w:val="21"/>
                <w:szCs w:val="21"/>
                <w:color w:val="auto"/>
              </w:rPr>
              <w:t>]</w:t>
            </w:r>
          </w:p>
        </w:tc>
        <w:tc>
          <w:tcPr>
            <w:tcW w:w="1840" w:type="dxa"/>
            <w:vAlign w:val="bottom"/>
          </w:tcPr>
          <w:p>
            <w:pPr>
              <w:ind w:left="560"/>
              <w:spacing w:after="0"/>
              <w:rPr>
                <w:sz w:val="20"/>
                <w:szCs w:val="20"/>
                <w:color w:val="auto"/>
              </w:rPr>
            </w:pPr>
            <w:r>
              <w:rPr>
                <w:rFonts w:ascii="Arial" w:cs="Arial" w:eastAsia="Arial" w:hAnsi="Arial"/>
                <w:sz w:val="17"/>
                <w:szCs w:val="17"/>
                <w:color w:val="auto"/>
              </w:rPr>
              <w:t>[OTHER]</w:t>
            </w:r>
          </w:p>
        </w:tc>
        <w:tc>
          <w:tcPr>
            <w:tcW w:w="1140" w:type="dxa"/>
            <w:vAlign w:val="bottom"/>
          </w:tcPr>
          <w:p>
            <w:pPr>
              <w:jc w:val="right"/>
              <w:spacing w:after="0"/>
              <w:rPr>
                <w:sz w:val="20"/>
                <w:szCs w:val="20"/>
                <w:color w:val="auto"/>
              </w:rPr>
            </w:pPr>
            <w:r>
              <w:rPr>
                <w:rFonts w:ascii="Arial" w:cs="Arial" w:eastAsia="Arial" w:hAnsi="Arial"/>
                <w:sz w:val="20"/>
                <w:szCs w:val="20"/>
                <w:color w:val="auto"/>
              </w:rPr>
              <w:t xml:space="preserve">[ *** </w:t>
            </w:r>
            <w:r>
              <w:rPr>
                <w:rFonts w:ascii="Arial" w:cs="Arial" w:eastAsia="Arial" w:hAnsi="Arial"/>
                <w:sz w:val="21"/>
                <w:szCs w:val="21"/>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9520"/>
        <w:spacing w:after="0"/>
        <w:rPr>
          <w:sz w:val="20"/>
          <w:szCs w:val="20"/>
          <w:color w:val="auto"/>
        </w:rPr>
      </w:pPr>
      <w:r>
        <w:rPr>
          <w:rFonts w:ascii="Arial" w:cs="Arial" w:eastAsia="Arial" w:hAnsi="Arial"/>
          <w:sz w:val="20"/>
          <w:szCs w:val="20"/>
          <w:color w:val="auto"/>
        </w:rPr>
        <w:t>SUB</w:t>
      </w:r>
    </w:p>
    <w:p>
      <w:pPr>
        <w:spacing w:after="0" w:line="13" w:lineRule="exact"/>
        <w:rPr>
          <w:sz w:val="20"/>
          <w:szCs w:val="20"/>
          <w:color w:val="auto"/>
        </w:rPr>
      </w:pPr>
    </w:p>
    <w:p>
      <w:pPr>
        <w:jc w:val="center"/>
        <w:ind w:right="9520"/>
        <w:spacing w:after="0"/>
        <w:rPr>
          <w:sz w:val="20"/>
          <w:szCs w:val="20"/>
          <w:color w:val="auto"/>
        </w:rPr>
      </w:pPr>
      <w:r>
        <w:rPr>
          <w:rFonts w:ascii="Arial" w:cs="Arial" w:eastAsia="Arial" w:hAnsi="Arial"/>
          <w:sz w:val="20"/>
          <w:szCs w:val="20"/>
          <w:color w:val="auto"/>
        </w:rPr>
        <w:t>TOTAL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 Assets</w:t>
      </w:r>
    </w:p>
    <w:p>
      <w:pPr>
        <w:sectPr>
          <w:pgSz w:w="11900" w:h="16838" w:orient="portrait"/>
          <w:cols w:equalWidth="0" w:num="1">
            <w:col w:w="11420"/>
          </w:cols>
          <w:pgMar w:left="240" w:top="553" w:right="23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Exhibit A-1 - 7</w:t>
      </w:r>
    </w:p>
    <w:p>
      <w:pPr>
        <w:sectPr>
          <w:pgSz w:w="11900" w:h="16838" w:orient="portrait"/>
          <w:cols w:equalWidth="0" w:num="1">
            <w:col w:w="11420"/>
          </w:cols>
          <w:pgMar w:left="240" w:top="553" w:right="239" w:bottom="1440" w:gutter="0" w:footer="0" w:header="0"/>
          <w:type w:val="continuous"/>
        </w:sectPr>
      </w:pPr>
    </w:p>
    <w:bookmarkStart w:id="210" w:name="page211"/>
    <w:bookmarkEnd w:id="210"/>
    <w:tbl>
      <w:tblPr>
        <w:tblLayout w:type="fixed"/>
        <w:tblInd w:w="30" w:type="dxa"/>
        <w:tblCellMar>
          <w:top w:w="0" w:type="dxa"/>
          <w:left w:w="0" w:type="dxa"/>
          <w:bottom w:w="0" w:type="dxa"/>
          <w:right w:w="0" w:type="dxa"/>
        </w:tblCellMar>
      </w:tblPr>
      <w:tr>
        <w:trPr>
          <w:trHeight w:val="225"/>
        </w:trPr>
        <w:tc>
          <w:tcPr>
            <w:tcW w:w="1160" w:type="dxa"/>
            <w:vAlign w:val="bottom"/>
            <w:tcBorders>
              <w:top w:val="single" w:sz="8" w:color="auto"/>
              <w:left w:val="single" w:sz="8" w:color="auto"/>
              <w:right w:val="single" w:sz="8" w:color="auto"/>
            </w:tcBorders>
          </w:tcPr>
          <w:p>
            <w:pPr>
              <w:spacing w:after="0"/>
              <w:rPr>
                <w:sz w:val="19"/>
                <w:szCs w:val="19"/>
                <w:color w:val="auto"/>
              </w:rPr>
            </w:pPr>
          </w:p>
        </w:tc>
        <w:tc>
          <w:tcPr>
            <w:tcW w:w="1720" w:type="dxa"/>
            <w:vAlign w:val="bottom"/>
            <w:tcBorders>
              <w:top w:val="single" w:sz="8" w:color="auto"/>
              <w:right w:val="single" w:sz="8" w:color="auto"/>
            </w:tcBorders>
          </w:tcPr>
          <w:p>
            <w:pPr>
              <w:spacing w:after="0"/>
              <w:rPr>
                <w:sz w:val="19"/>
                <w:szCs w:val="19"/>
                <w:color w:val="auto"/>
              </w:rPr>
            </w:pPr>
          </w:p>
        </w:tc>
        <w:tc>
          <w:tcPr>
            <w:tcW w:w="1480" w:type="dxa"/>
            <w:vAlign w:val="bottom"/>
            <w:tcBorders>
              <w:top w:val="single" w:sz="8" w:color="auto"/>
              <w:right w:val="single" w:sz="8" w:color="auto"/>
            </w:tcBorders>
          </w:tcPr>
          <w:p>
            <w:pPr>
              <w:spacing w:after="0"/>
              <w:rPr>
                <w:sz w:val="19"/>
                <w:szCs w:val="19"/>
                <w:color w:val="auto"/>
              </w:rPr>
            </w:pPr>
          </w:p>
        </w:tc>
        <w:tc>
          <w:tcPr>
            <w:tcW w:w="2060" w:type="dxa"/>
            <w:vAlign w:val="bottom"/>
            <w:tcBorders>
              <w:top w:val="single" w:sz="8" w:color="auto"/>
              <w:right w:val="single" w:sz="8" w:color="auto"/>
            </w:tcBorders>
          </w:tcPr>
          <w:p>
            <w:pPr>
              <w:spacing w:after="0"/>
              <w:rPr>
                <w:sz w:val="19"/>
                <w:szCs w:val="19"/>
                <w:color w:val="auto"/>
              </w:rPr>
            </w:pPr>
          </w:p>
        </w:tc>
        <w:tc>
          <w:tcPr>
            <w:tcW w:w="1480" w:type="dxa"/>
            <w:vAlign w:val="bottom"/>
            <w:tcBorders>
              <w:top w:val="single" w:sz="8" w:color="auto"/>
              <w:right w:val="single" w:sz="8" w:color="auto"/>
            </w:tcBorders>
          </w:tcPr>
          <w:p>
            <w:pPr>
              <w:spacing w:after="0"/>
              <w:rPr>
                <w:sz w:val="19"/>
                <w:szCs w:val="19"/>
                <w:color w:val="auto"/>
              </w:rPr>
            </w:pPr>
          </w:p>
        </w:tc>
        <w:tc>
          <w:tcPr>
            <w:tcW w:w="1480" w:type="dxa"/>
            <w:vAlign w:val="bottom"/>
            <w:tcBorders>
              <w:top w:val="single" w:sz="8" w:color="auto"/>
              <w:right w:val="single" w:sz="8" w:color="auto"/>
            </w:tcBorders>
          </w:tcPr>
          <w:p>
            <w:pPr>
              <w:spacing w:after="0"/>
              <w:rPr>
                <w:sz w:val="19"/>
                <w:szCs w:val="19"/>
                <w:color w:val="auto"/>
              </w:rPr>
            </w:pPr>
          </w:p>
        </w:tc>
        <w:tc>
          <w:tcPr>
            <w:tcW w:w="20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8"/>
              </w:rPr>
              <w:t>[MKT VALUE</w:t>
            </w:r>
          </w:p>
        </w:tc>
      </w:tr>
      <w:tr>
        <w:trPr>
          <w:trHeight w:val="200"/>
        </w:trPr>
        <w:tc>
          <w:tcPr>
            <w:tcW w:w="1160" w:type="dxa"/>
            <w:vAlign w:val="bottom"/>
            <w:tcBorders>
              <w:left w:val="single" w:sz="8" w:color="auto"/>
              <w:right w:val="single" w:sz="8" w:color="auto"/>
            </w:tcBorders>
          </w:tcPr>
          <w:p>
            <w:pPr>
              <w:spacing w:after="0"/>
              <w:rPr>
                <w:sz w:val="17"/>
                <w:szCs w:val="17"/>
                <w:color w:val="auto"/>
              </w:rPr>
            </w:pPr>
          </w:p>
        </w:tc>
        <w:tc>
          <w:tcPr>
            <w:tcW w:w="1720" w:type="dxa"/>
            <w:vAlign w:val="bottom"/>
            <w:tcBorders>
              <w:right w:val="single" w:sz="8" w:color="auto"/>
            </w:tcBorders>
          </w:tcPr>
          <w:p>
            <w:pPr>
              <w:spacing w:after="0"/>
              <w:rPr>
                <w:sz w:val="17"/>
                <w:szCs w:val="17"/>
                <w:color w:val="auto"/>
              </w:rPr>
            </w:pPr>
          </w:p>
        </w:tc>
        <w:tc>
          <w:tcPr>
            <w:tcW w:w="1480" w:type="dxa"/>
            <w:vAlign w:val="bottom"/>
            <w:tcBorders>
              <w:right w:val="single" w:sz="8" w:color="auto"/>
            </w:tcBorders>
          </w:tcPr>
          <w:p>
            <w:pPr>
              <w:spacing w:after="0"/>
              <w:rPr>
                <w:sz w:val="17"/>
                <w:szCs w:val="17"/>
                <w:color w:val="auto"/>
              </w:rPr>
            </w:pPr>
          </w:p>
        </w:tc>
        <w:tc>
          <w:tcPr>
            <w:tcW w:w="206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[MATURITY</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0"/>
              </w:rPr>
              <w:t>[PAR</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6"/>
              </w:rPr>
              <w:t>[CREDIT</w:t>
            </w:r>
          </w:p>
        </w:tc>
        <w:tc>
          <w:tcPr>
            <w:tcW w:w="204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1"/>
              </w:rPr>
              <w:t>(AS OF</w:t>
            </w:r>
          </w:p>
        </w:tc>
      </w:tr>
      <w:tr>
        <w:trPr>
          <w:trHeight w:val="213"/>
        </w:trPr>
        <w:tc>
          <w:tcPr>
            <w:tcW w:w="11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2"/>
              </w:rPr>
              <w:t>CUSIP</w:t>
            </w:r>
          </w:p>
        </w:tc>
        <w:tc>
          <w:tcPr>
            <w:tcW w:w="1720" w:type="dxa"/>
            <w:vAlign w:val="bottom"/>
            <w:tcBorders>
              <w:right w:val="single" w:sz="8" w:color="auto"/>
            </w:tcBorders>
          </w:tcPr>
          <w:p>
            <w:pPr>
              <w:ind w:left="560"/>
              <w:spacing w:after="0"/>
              <w:rPr>
                <w:sz w:val="20"/>
                <w:szCs w:val="20"/>
                <w:color w:val="auto"/>
              </w:rPr>
            </w:pPr>
            <w:r>
              <w:rPr>
                <w:rFonts w:ascii="Arial" w:cs="Arial" w:eastAsia="Arial" w:hAnsi="Arial"/>
                <w:sz w:val="17"/>
                <w:szCs w:val="17"/>
                <w:color w:val="auto"/>
              </w:rPr>
              <w:t>ISSUER</w:t>
            </w:r>
          </w:p>
        </w:tc>
        <w:tc>
          <w:tcPr>
            <w:tcW w:w="1480" w:type="dxa"/>
            <w:vAlign w:val="bottom"/>
            <w:tcBorders>
              <w:right w:val="single" w:sz="8" w:color="auto"/>
            </w:tcBorders>
          </w:tcPr>
          <w:p>
            <w:pPr>
              <w:ind w:left="340"/>
              <w:spacing w:after="0"/>
              <w:rPr>
                <w:sz w:val="20"/>
                <w:szCs w:val="20"/>
                <w:color w:val="auto"/>
              </w:rPr>
            </w:pPr>
            <w:r>
              <w:rPr>
                <w:rFonts w:ascii="Arial" w:cs="Arial" w:eastAsia="Arial" w:hAnsi="Arial"/>
                <w:sz w:val="17"/>
                <w:szCs w:val="17"/>
                <w:color w:val="auto"/>
              </w:rPr>
              <w:t>[COUPON]</w:t>
            </w:r>
          </w:p>
        </w:tc>
        <w:tc>
          <w:tcPr>
            <w:tcW w:w="206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5"/>
              </w:rPr>
              <w:t>DATE]</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AMNT]</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QUALITY]</w:t>
            </w:r>
          </w:p>
        </w:tc>
        <w:tc>
          <w:tcPr>
            <w:tcW w:w="204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MM/DD/YY)]</w:t>
            </w:r>
          </w:p>
        </w:tc>
      </w:tr>
      <w:tr>
        <w:trPr>
          <w:trHeight w:val="25"/>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r>
      <w:tr>
        <w:trPr>
          <w:trHeight w:val="606"/>
        </w:trPr>
        <w:tc>
          <w:tcPr>
            <w:tcW w:w="1160" w:type="dxa"/>
            <w:vAlign w:val="bottom"/>
            <w:tcBorders>
              <w:left w:val="single" w:sz="8" w:color="auto"/>
              <w:bottom w:val="single" w:sz="8" w:color="auto"/>
              <w:right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1480" w:type="dxa"/>
            <w:vAlign w:val="bottom"/>
            <w:tcBorders>
              <w:bottom w:val="single" w:sz="8" w:color="auto"/>
              <w:right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c>
          <w:tcPr>
            <w:tcW w:w="1480" w:type="dxa"/>
            <w:vAlign w:val="bottom"/>
            <w:tcBorders>
              <w:bottom w:val="single" w:sz="8" w:color="auto"/>
              <w:right w:val="single" w:sz="8" w:color="auto"/>
            </w:tcBorders>
          </w:tcPr>
          <w:p>
            <w:pPr>
              <w:spacing w:after="0"/>
              <w:rPr>
                <w:sz w:val="24"/>
                <w:szCs w:val="24"/>
                <w:color w:val="auto"/>
              </w:rPr>
            </w:pPr>
          </w:p>
        </w:tc>
        <w:tc>
          <w:tcPr>
            <w:tcW w:w="1480" w:type="dxa"/>
            <w:vAlign w:val="bottom"/>
            <w:tcBorders>
              <w:bottom w:val="single" w:sz="8" w:color="auto"/>
              <w:right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r>
      <w:tr>
        <w:trPr>
          <w:trHeight w:val="568"/>
        </w:trPr>
        <w:tc>
          <w:tcPr>
            <w:tcW w:w="1160" w:type="dxa"/>
            <w:vAlign w:val="bottom"/>
            <w:tcBorders>
              <w:left w:val="single" w:sz="8" w:color="auto"/>
              <w:bottom w:val="single" w:sz="8" w:color="auto"/>
              <w:right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1480" w:type="dxa"/>
            <w:vAlign w:val="bottom"/>
            <w:tcBorders>
              <w:bottom w:val="single" w:sz="8" w:color="auto"/>
              <w:right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c>
          <w:tcPr>
            <w:tcW w:w="1480" w:type="dxa"/>
            <w:vAlign w:val="bottom"/>
            <w:tcBorders>
              <w:bottom w:val="single" w:sz="8" w:color="auto"/>
              <w:right w:val="single" w:sz="8" w:color="auto"/>
            </w:tcBorders>
          </w:tcPr>
          <w:p>
            <w:pPr>
              <w:spacing w:after="0"/>
              <w:rPr>
                <w:sz w:val="24"/>
                <w:szCs w:val="24"/>
                <w:color w:val="auto"/>
              </w:rPr>
            </w:pPr>
          </w:p>
        </w:tc>
        <w:tc>
          <w:tcPr>
            <w:tcW w:w="1480" w:type="dxa"/>
            <w:vAlign w:val="bottom"/>
            <w:tcBorders>
              <w:bottom w:val="single" w:sz="8" w:color="auto"/>
              <w:right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r>
      <w:tr>
        <w:trPr>
          <w:trHeight w:val="205"/>
        </w:trPr>
        <w:tc>
          <w:tcPr>
            <w:tcW w:w="11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1"/>
              </w:rPr>
              <w:t>SUB</w:t>
            </w:r>
          </w:p>
        </w:tc>
        <w:tc>
          <w:tcPr>
            <w:tcW w:w="1720" w:type="dxa"/>
            <w:vAlign w:val="bottom"/>
            <w:tcBorders>
              <w:right w:val="single" w:sz="8" w:color="auto"/>
            </w:tcBorders>
          </w:tcPr>
          <w:p>
            <w:pPr>
              <w:spacing w:after="0"/>
              <w:rPr>
                <w:sz w:val="17"/>
                <w:szCs w:val="17"/>
                <w:color w:val="auto"/>
              </w:rPr>
            </w:pPr>
          </w:p>
        </w:tc>
        <w:tc>
          <w:tcPr>
            <w:tcW w:w="1480" w:type="dxa"/>
            <w:vAlign w:val="bottom"/>
            <w:tcBorders>
              <w:right w:val="single" w:sz="8" w:color="auto"/>
            </w:tcBorders>
          </w:tcPr>
          <w:p>
            <w:pPr>
              <w:spacing w:after="0"/>
              <w:rPr>
                <w:sz w:val="17"/>
                <w:szCs w:val="17"/>
                <w:color w:val="auto"/>
              </w:rPr>
            </w:pPr>
          </w:p>
        </w:tc>
        <w:tc>
          <w:tcPr>
            <w:tcW w:w="2060" w:type="dxa"/>
            <w:vAlign w:val="bottom"/>
            <w:tcBorders>
              <w:right w:val="single" w:sz="8" w:color="auto"/>
            </w:tcBorders>
          </w:tcPr>
          <w:p>
            <w:pPr>
              <w:spacing w:after="0"/>
              <w:rPr>
                <w:sz w:val="17"/>
                <w:szCs w:val="17"/>
                <w:color w:val="auto"/>
              </w:rPr>
            </w:pPr>
          </w:p>
        </w:tc>
        <w:tc>
          <w:tcPr>
            <w:tcW w:w="1480" w:type="dxa"/>
            <w:vAlign w:val="bottom"/>
            <w:tcBorders>
              <w:right w:val="single" w:sz="8" w:color="auto"/>
            </w:tcBorders>
          </w:tcPr>
          <w:p>
            <w:pPr>
              <w:spacing w:after="0"/>
              <w:rPr>
                <w:sz w:val="17"/>
                <w:szCs w:val="17"/>
                <w:color w:val="auto"/>
              </w:rPr>
            </w:pPr>
          </w:p>
        </w:tc>
        <w:tc>
          <w:tcPr>
            <w:tcW w:w="1480" w:type="dxa"/>
            <w:vAlign w:val="bottom"/>
            <w:tcBorders>
              <w:right w:val="single" w:sz="8" w:color="auto"/>
            </w:tcBorders>
          </w:tcPr>
          <w:p>
            <w:pPr>
              <w:spacing w:after="0"/>
              <w:rPr>
                <w:sz w:val="17"/>
                <w:szCs w:val="17"/>
                <w:color w:val="auto"/>
              </w:rPr>
            </w:pPr>
          </w:p>
        </w:tc>
        <w:tc>
          <w:tcPr>
            <w:tcW w:w="2040" w:type="dxa"/>
            <w:vAlign w:val="bottom"/>
            <w:tcBorders>
              <w:right w:val="single" w:sz="8" w:color="auto"/>
            </w:tcBorders>
          </w:tcPr>
          <w:p>
            <w:pPr>
              <w:spacing w:after="0"/>
              <w:rPr>
                <w:sz w:val="17"/>
                <w:szCs w:val="17"/>
                <w:color w:val="auto"/>
              </w:rPr>
            </w:pPr>
          </w:p>
        </w:tc>
      </w:tr>
      <w:tr>
        <w:trPr>
          <w:trHeight w:val="213"/>
        </w:trPr>
        <w:tc>
          <w:tcPr>
            <w:tcW w:w="11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8"/>
              </w:rPr>
              <w:t>TOTAL</w:t>
            </w:r>
          </w:p>
        </w:tc>
        <w:tc>
          <w:tcPr>
            <w:tcW w:w="172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206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2040" w:type="dxa"/>
            <w:vAlign w:val="bottom"/>
            <w:tcBorders>
              <w:right w:val="single" w:sz="8" w:color="auto"/>
            </w:tcBorders>
          </w:tcPr>
          <w:p>
            <w:pPr>
              <w:spacing w:after="0"/>
              <w:rPr>
                <w:sz w:val="18"/>
                <w:szCs w:val="18"/>
                <w:color w:val="auto"/>
              </w:rPr>
            </w:pPr>
          </w:p>
        </w:tc>
      </w:tr>
      <w:tr>
        <w:trPr>
          <w:trHeight w:val="25"/>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Contribution as determined on [November 1, 2012]:</w:t>
      </w:r>
    </w:p>
    <w:p>
      <w:pPr>
        <w:spacing w:after="0" w:line="200" w:lineRule="exact"/>
        <w:rPr>
          <w:sz w:val="20"/>
          <w:szCs w:val="20"/>
          <w:color w:val="auto"/>
        </w:rPr>
      </w:pPr>
    </w:p>
    <w:p>
      <w:pPr>
        <w:spacing w:after="0" w:line="208" w:lineRule="exact"/>
        <w:rPr>
          <w:sz w:val="20"/>
          <w:szCs w:val="20"/>
          <w:color w:val="auto"/>
        </w:rPr>
      </w:pPr>
    </w:p>
    <w:p>
      <w:pPr>
        <w:ind w:left="600"/>
        <w:spacing w:after="0"/>
        <w:rPr>
          <w:sz w:val="20"/>
          <w:szCs w:val="20"/>
          <w:color w:val="auto"/>
        </w:rPr>
      </w:pPr>
      <w:r>
        <w:rPr>
          <w:rFonts w:ascii="Arial" w:cs="Arial" w:eastAsia="Arial" w:hAnsi="Arial"/>
          <w:sz w:val="20"/>
          <w:szCs w:val="20"/>
          <w:b w:val="1"/>
          <w:bCs w:val="1"/>
          <w:color w:val="auto"/>
        </w:rPr>
        <w:t>Cash Assets: $ _______________________</w:t>
      </w:r>
    </w:p>
    <w:p>
      <w:pPr>
        <w:spacing w:after="0" w:line="200" w:lineRule="exact"/>
        <w:rPr>
          <w:sz w:val="20"/>
          <w:szCs w:val="20"/>
          <w:color w:val="auto"/>
        </w:rPr>
      </w:pPr>
    </w:p>
    <w:p>
      <w:pPr>
        <w:spacing w:after="0" w:line="208" w:lineRule="exact"/>
        <w:rPr>
          <w:sz w:val="20"/>
          <w:szCs w:val="20"/>
          <w:color w:val="auto"/>
        </w:rPr>
      </w:pPr>
    </w:p>
    <w:p>
      <w:pPr>
        <w:ind w:left="600"/>
        <w:spacing w:after="0"/>
        <w:rPr>
          <w:sz w:val="20"/>
          <w:szCs w:val="20"/>
          <w:color w:val="auto"/>
        </w:rPr>
      </w:pPr>
      <w:r>
        <w:rPr>
          <w:rFonts w:ascii="Arial" w:cs="Arial" w:eastAsia="Arial" w:hAnsi="Arial"/>
          <w:sz w:val="20"/>
          <w:szCs w:val="20"/>
          <w:b w:val="1"/>
          <w:bCs w:val="1"/>
          <w:color w:val="auto"/>
        </w:rPr>
        <w:t>Fixed Income Assets: $_________________</w:t>
      </w:r>
    </w:p>
    <w:p>
      <w:pPr>
        <w:spacing w:after="0" w:line="398" w:lineRule="exact"/>
        <w:rPr>
          <w:sz w:val="20"/>
          <w:szCs w:val="20"/>
          <w:color w:val="auto"/>
        </w:rPr>
      </w:pPr>
    </w:p>
    <w:p>
      <w:pPr>
        <w:ind w:left="720" w:hanging="119"/>
        <w:spacing w:after="0"/>
        <w:tabs>
          <w:tab w:leader="none" w:pos="720" w:val="left"/>
        </w:tabs>
        <w:numPr>
          <w:ilvl w:val="0"/>
          <w:numId w:val="178"/>
        </w:numPr>
        <w:rPr>
          <w:rFonts w:ascii="Arial" w:cs="Arial" w:eastAsia="Arial" w:hAnsi="Arial"/>
          <w:sz w:val="20"/>
          <w:szCs w:val="20"/>
          <w:color w:val="auto"/>
        </w:rPr>
      </w:pPr>
      <w:r>
        <w:rPr>
          <w:rFonts w:ascii="Arial" w:cs="Arial" w:eastAsia="Arial" w:hAnsi="Arial"/>
          <w:sz w:val="20"/>
          <w:szCs w:val="20"/>
          <w:color w:val="auto"/>
        </w:rPr>
        <w:t xml:space="preserve">*** </w:t>
      </w:r>
      <w:r>
        <w:rPr>
          <w:rFonts w:ascii="Arial" w:cs="Arial" w:eastAsia="Arial" w:hAnsi="Arial"/>
          <w:sz w:val="21"/>
          <w:szCs w:val="21"/>
          <w:color w:val="auto"/>
        </w:rPr>
        <w:t>]</w:t>
      </w:r>
      <w:r>
        <w:rPr>
          <w:rFonts w:ascii="Arial" w:cs="Arial" w:eastAsia="Arial" w:hAnsi="Arial"/>
          <w:sz w:val="20"/>
          <w:szCs w:val="20"/>
          <w:color w:val="auto"/>
        </w:rPr>
        <w:t xml:space="preserve"> </w:t>
      </w:r>
      <w:r>
        <w:rPr>
          <w:rFonts w:ascii="Arial" w:cs="Arial" w:eastAsia="Arial" w:hAnsi="Arial"/>
          <w:sz w:val="20"/>
          <w:szCs w:val="20"/>
          <w:b w:val="1"/>
          <w:bCs w:val="1"/>
          <w:color w:val="auto"/>
        </w:rPr>
        <w:t>$________________</w:t>
      </w:r>
    </w:p>
    <w:p>
      <w:pPr>
        <w:spacing w:after="0" w:line="200" w:lineRule="exact"/>
        <w:rPr>
          <w:sz w:val="20"/>
          <w:szCs w:val="20"/>
          <w:color w:val="auto"/>
        </w:rPr>
      </w:pPr>
    </w:p>
    <w:p>
      <w:pPr>
        <w:spacing w:after="0" w:line="220" w:lineRule="exact"/>
        <w:rPr>
          <w:sz w:val="20"/>
          <w:szCs w:val="20"/>
          <w:color w:val="auto"/>
        </w:rPr>
      </w:pPr>
    </w:p>
    <w:p>
      <w:pPr>
        <w:ind w:left="600"/>
        <w:spacing w:after="0"/>
        <w:rPr>
          <w:sz w:val="20"/>
          <w:szCs w:val="20"/>
          <w:color w:val="auto"/>
        </w:rPr>
      </w:pPr>
      <w:r>
        <w:rPr>
          <w:rFonts w:ascii="Arial" w:cs="Arial" w:eastAsia="Arial" w:hAnsi="Arial"/>
          <w:sz w:val="20"/>
          <w:szCs w:val="20"/>
          <w:b w:val="1"/>
          <w:bCs w:val="1"/>
          <w:color w:val="auto"/>
        </w:rPr>
        <w:t>Other Assets: $_______________________</w:t>
      </w:r>
    </w:p>
    <w:p>
      <w:pPr>
        <w:spacing w:after="0" w:line="200" w:lineRule="exact"/>
        <w:rPr>
          <w:sz w:val="20"/>
          <w:szCs w:val="20"/>
          <w:color w:val="auto"/>
        </w:rPr>
      </w:pPr>
    </w:p>
    <w:p>
      <w:pPr>
        <w:spacing w:after="0" w:line="208" w:lineRule="exact"/>
        <w:rPr>
          <w:sz w:val="20"/>
          <w:szCs w:val="20"/>
          <w:color w:val="auto"/>
        </w:rPr>
      </w:pPr>
    </w:p>
    <w:p>
      <w:pPr>
        <w:ind w:left="600"/>
        <w:spacing w:after="0"/>
        <w:rPr>
          <w:sz w:val="20"/>
          <w:szCs w:val="20"/>
          <w:color w:val="auto"/>
        </w:rPr>
      </w:pPr>
      <w:r>
        <w:rPr>
          <w:rFonts w:ascii="Arial" w:cs="Arial" w:eastAsia="Arial" w:hAnsi="Arial"/>
          <w:sz w:val="20"/>
          <w:szCs w:val="20"/>
          <w:b w:val="1"/>
          <w:bCs w:val="1"/>
          <w:color w:val="auto"/>
        </w:rPr>
        <w:t>Total Assets: $______________________</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Exhibit A-1 - 8</w:t>
      </w:r>
    </w:p>
    <w:p>
      <w:pPr>
        <w:sectPr>
          <w:pgSz w:w="11900" w:h="16838" w:orient="portrait"/>
          <w:cols w:equalWidth="0" w:num="1">
            <w:col w:w="11420"/>
          </w:cols>
          <w:pgMar w:left="240" w:top="671" w:right="239" w:bottom="1440" w:gutter="0" w:footer="0" w:header="0"/>
        </w:sectPr>
      </w:pPr>
    </w:p>
    <w:bookmarkStart w:id="211" w:name="page212"/>
    <w:bookmarkEnd w:id="211"/>
    <w:p>
      <w:pPr>
        <w:ind w:left="9160"/>
        <w:spacing w:after="0"/>
        <w:rPr>
          <w:sz w:val="20"/>
          <w:szCs w:val="20"/>
          <w:color w:val="auto"/>
        </w:rPr>
      </w:pPr>
      <w:r>
        <w:rPr>
          <w:rFonts w:ascii="Arial" w:cs="Arial" w:eastAsia="Arial" w:hAnsi="Arial"/>
          <w:sz w:val="18"/>
          <w:szCs w:val="18"/>
          <w:b w:val="1"/>
          <w:bCs w:val="1"/>
          <w:color w:val="auto"/>
        </w:rPr>
        <w:t>Date: [December 15, 2012]</w:t>
      </w:r>
    </w:p>
    <w:p>
      <w:pPr>
        <w:spacing w:after="0" w:line="231"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u w:val="single" w:color="auto"/>
          <w:color w:val="auto"/>
        </w:rPr>
        <w:t>Attachment B to Transferred Assets Schedule [Post-Closing]</w:t>
      </w:r>
    </w:p>
    <w:p>
      <w:pPr>
        <w:spacing w:after="0" w:line="398"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 xml:space="preserve">AGGREGATE CONTRIBUTION RETAINED BY OR RECEIVED BY </w:t>
      </w:r>
      <w:r>
        <w:rPr>
          <w:rFonts w:ascii="Arial" w:cs="Arial" w:eastAsia="Arial" w:hAnsi="Arial"/>
          <w:sz w:val="20"/>
          <w:szCs w:val="20"/>
          <w:color w:val="auto"/>
        </w:rPr>
        <w:t>[ ***</w:t>
      </w:r>
      <w:r>
        <w:rPr>
          <w:rFonts w:ascii="Arial" w:cs="Arial" w:eastAsia="Arial" w:hAnsi="Arial"/>
          <w:sz w:val="20"/>
          <w:szCs w:val="20"/>
          <w:b w:val="1"/>
          <w:bCs w:val="1"/>
          <w:color w:val="auto"/>
        </w:rPr>
        <w:t xml:space="preserve"> </w:t>
      </w:r>
      <w:r>
        <w:rPr>
          <w:rFonts w:ascii="Arial" w:cs="Arial" w:eastAsia="Arial" w:hAnsi="Arial"/>
          <w:sz w:val="21"/>
          <w:szCs w:val="21"/>
          <w:color w:val="auto"/>
        </w:rPr>
        <w:t>]</w:t>
      </w:r>
      <w:r>
        <w:rPr>
          <w:rFonts w:ascii="Arial" w:cs="Arial" w:eastAsia="Arial" w:hAnsi="Arial"/>
          <w:sz w:val="20"/>
          <w:szCs w:val="20"/>
          <w:b w:val="1"/>
          <w:bCs w:val="1"/>
          <w:color w:val="auto"/>
        </w:rPr>
        <w:t>, IF ANY, ON [NOVEMBER 1, 2012]</w:t>
      </w:r>
    </w:p>
    <w:p>
      <w:pPr>
        <w:spacing w:after="0" w:line="200" w:lineRule="exact"/>
        <w:rPr>
          <w:sz w:val="20"/>
          <w:szCs w:val="20"/>
          <w:color w:val="auto"/>
        </w:rPr>
      </w:pPr>
    </w:p>
    <w:p>
      <w:pPr>
        <w:spacing w:after="0" w:line="224"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Showing market values as determined on [November 1, 2012] compared to as determined on [December 15, 2012</w:t>
      </w:r>
      <w:r>
        <w:rPr>
          <w:rFonts w:ascii="Arial" w:cs="Arial" w:eastAsia="Arial" w:hAnsi="Arial"/>
          <w:sz w:val="20"/>
          <w:szCs w:val="20"/>
          <w:color w:val="auto"/>
        </w:rPr>
        <w: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Contributions as determined on [December 15, 2012]:</w:t>
      </w:r>
    </w:p>
    <w:p>
      <w:pPr>
        <w:spacing w:after="0" w:line="200" w:lineRule="exact"/>
        <w:rPr>
          <w:sz w:val="20"/>
          <w:szCs w:val="20"/>
          <w:color w:val="auto"/>
        </w:rPr>
      </w:pPr>
    </w:p>
    <w:p>
      <w:pPr>
        <w:spacing w:after="0" w:line="208" w:lineRule="exact"/>
        <w:rPr>
          <w:sz w:val="20"/>
          <w:szCs w:val="20"/>
          <w:color w:val="auto"/>
        </w:rPr>
      </w:pPr>
    </w:p>
    <w:p>
      <w:pPr>
        <w:ind w:left="600"/>
        <w:spacing w:after="0"/>
        <w:rPr>
          <w:sz w:val="20"/>
          <w:szCs w:val="20"/>
          <w:color w:val="auto"/>
        </w:rPr>
      </w:pPr>
      <w:r>
        <w:rPr>
          <w:rFonts w:ascii="Arial" w:cs="Arial" w:eastAsia="Arial" w:hAnsi="Arial"/>
          <w:sz w:val="20"/>
          <w:szCs w:val="20"/>
          <w:b w:val="1"/>
          <w:bCs w:val="1"/>
          <w:color w:val="auto"/>
        </w:rPr>
        <w:t>Cash Assets: $ _______________________</w:t>
      </w:r>
    </w:p>
    <w:p>
      <w:pPr>
        <w:spacing w:after="0" w:line="200" w:lineRule="exact"/>
        <w:rPr>
          <w:sz w:val="20"/>
          <w:szCs w:val="20"/>
          <w:color w:val="auto"/>
        </w:rPr>
      </w:pPr>
    </w:p>
    <w:p>
      <w:pPr>
        <w:spacing w:after="0" w:line="208" w:lineRule="exact"/>
        <w:rPr>
          <w:sz w:val="20"/>
          <w:szCs w:val="20"/>
          <w:color w:val="auto"/>
        </w:rPr>
      </w:pPr>
    </w:p>
    <w:p>
      <w:pPr>
        <w:ind w:left="600"/>
        <w:spacing w:after="0"/>
        <w:rPr>
          <w:sz w:val="20"/>
          <w:szCs w:val="20"/>
          <w:color w:val="auto"/>
        </w:rPr>
      </w:pPr>
      <w:r>
        <w:rPr>
          <w:rFonts w:ascii="Arial" w:cs="Arial" w:eastAsia="Arial" w:hAnsi="Arial"/>
          <w:sz w:val="20"/>
          <w:szCs w:val="20"/>
          <w:b w:val="1"/>
          <w:bCs w:val="1"/>
          <w:color w:val="auto"/>
        </w:rPr>
        <w:t>Fixed Income Assets: $_________________</w:t>
      </w:r>
    </w:p>
    <w:p>
      <w:pPr>
        <w:spacing w:after="0" w:line="398" w:lineRule="exact"/>
        <w:rPr>
          <w:sz w:val="20"/>
          <w:szCs w:val="20"/>
          <w:color w:val="auto"/>
        </w:rPr>
      </w:pPr>
    </w:p>
    <w:p>
      <w:pPr>
        <w:ind w:left="720" w:hanging="119"/>
        <w:spacing w:after="0"/>
        <w:tabs>
          <w:tab w:leader="none" w:pos="720" w:val="left"/>
        </w:tabs>
        <w:numPr>
          <w:ilvl w:val="0"/>
          <w:numId w:val="179"/>
        </w:numPr>
        <w:rPr>
          <w:rFonts w:ascii="Arial" w:cs="Arial" w:eastAsia="Arial" w:hAnsi="Arial"/>
          <w:sz w:val="20"/>
          <w:szCs w:val="20"/>
          <w:color w:val="auto"/>
        </w:rPr>
      </w:pPr>
      <w:r>
        <w:rPr>
          <w:rFonts w:ascii="Arial" w:cs="Arial" w:eastAsia="Arial" w:hAnsi="Arial"/>
          <w:sz w:val="20"/>
          <w:szCs w:val="20"/>
          <w:color w:val="auto"/>
        </w:rPr>
        <w:t xml:space="preserve">*** </w:t>
      </w:r>
      <w:r>
        <w:rPr>
          <w:rFonts w:ascii="Arial" w:cs="Arial" w:eastAsia="Arial" w:hAnsi="Arial"/>
          <w:sz w:val="21"/>
          <w:szCs w:val="21"/>
          <w:color w:val="auto"/>
        </w:rPr>
        <w:t>]</w:t>
      </w:r>
      <w:r>
        <w:rPr>
          <w:rFonts w:ascii="Arial" w:cs="Arial" w:eastAsia="Arial" w:hAnsi="Arial"/>
          <w:sz w:val="20"/>
          <w:szCs w:val="20"/>
          <w:color w:val="auto"/>
        </w:rPr>
        <w:t xml:space="preserve"> </w:t>
      </w:r>
      <w:r>
        <w:rPr>
          <w:rFonts w:ascii="Arial" w:cs="Arial" w:eastAsia="Arial" w:hAnsi="Arial"/>
          <w:sz w:val="20"/>
          <w:szCs w:val="20"/>
          <w:b w:val="1"/>
          <w:bCs w:val="1"/>
          <w:color w:val="auto"/>
        </w:rPr>
        <w:t>$________________</w:t>
      </w:r>
    </w:p>
    <w:p>
      <w:pPr>
        <w:spacing w:after="0" w:line="200" w:lineRule="exact"/>
        <w:rPr>
          <w:sz w:val="20"/>
          <w:szCs w:val="20"/>
          <w:color w:val="auto"/>
        </w:rPr>
      </w:pPr>
    </w:p>
    <w:p>
      <w:pPr>
        <w:spacing w:after="0" w:line="220" w:lineRule="exact"/>
        <w:rPr>
          <w:sz w:val="20"/>
          <w:szCs w:val="20"/>
          <w:color w:val="auto"/>
        </w:rPr>
      </w:pPr>
    </w:p>
    <w:p>
      <w:pPr>
        <w:ind w:left="600"/>
        <w:spacing w:after="0"/>
        <w:rPr>
          <w:sz w:val="20"/>
          <w:szCs w:val="20"/>
          <w:color w:val="auto"/>
        </w:rPr>
      </w:pPr>
      <w:r>
        <w:rPr>
          <w:rFonts w:ascii="Arial" w:cs="Arial" w:eastAsia="Arial" w:hAnsi="Arial"/>
          <w:sz w:val="20"/>
          <w:szCs w:val="20"/>
          <w:b w:val="1"/>
          <w:bCs w:val="1"/>
          <w:color w:val="auto"/>
        </w:rPr>
        <w:t>Other Assets: $_______________________</w:t>
      </w:r>
    </w:p>
    <w:p>
      <w:pPr>
        <w:spacing w:after="0" w:line="200" w:lineRule="exact"/>
        <w:rPr>
          <w:sz w:val="20"/>
          <w:szCs w:val="20"/>
          <w:color w:val="auto"/>
        </w:rPr>
      </w:pPr>
    </w:p>
    <w:p>
      <w:pPr>
        <w:spacing w:after="0" w:line="208" w:lineRule="exact"/>
        <w:rPr>
          <w:sz w:val="20"/>
          <w:szCs w:val="20"/>
          <w:color w:val="auto"/>
        </w:rPr>
      </w:pPr>
    </w:p>
    <w:p>
      <w:pPr>
        <w:ind w:left="600"/>
        <w:spacing w:after="0"/>
        <w:rPr>
          <w:sz w:val="20"/>
          <w:szCs w:val="20"/>
          <w:color w:val="auto"/>
        </w:rPr>
      </w:pPr>
      <w:r>
        <w:rPr>
          <w:rFonts w:ascii="Arial" w:cs="Arial" w:eastAsia="Arial" w:hAnsi="Arial"/>
          <w:sz w:val="20"/>
          <w:szCs w:val="20"/>
          <w:b w:val="1"/>
          <w:bCs w:val="1"/>
          <w:color w:val="auto"/>
        </w:rPr>
        <w:t>Total Assets: $______________________</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Fixed Income Assets</w:t>
      </w:r>
    </w:p>
    <w:p>
      <w:pPr>
        <w:spacing w:after="0" w:line="126" w:lineRule="exact"/>
        <w:rPr>
          <w:sz w:val="20"/>
          <w:szCs w:val="20"/>
          <w:color w:val="auto"/>
        </w:rPr>
      </w:pPr>
    </w:p>
    <w:tbl>
      <w:tblPr>
        <w:tblLayout w:type="fixed"/>
        <w:tblInd w:w="10" w:type="dxa"/>
        <w:tblCellMar>
          <w:top w:w="0" w:type="dxa"/>
          <w:left w:w="0" w:type="dxa"/>
          <w:bottom w:w="0" w:type="dxa"/>
          <w:right w:w="0" w:type="dxa"/>
        </w:tblCellMar>
      </w:tblPr>
      <w:tr>
        <w:trPr>
          <w:trHeight w:val="225"/>
        </w:trPr>
        <w:tc>
          <w:tcPr>
            <w:tcW w:w="880" w:type="dxa"/>
            <w:vAlign w:val="bottom"/>
            <w:tcBorders>
              <w:top w:val="single" w:sz="8" w:color="auto"/>
              <w:left w:val="single" w:sz="8" w:color="auto"/>
            </w:tcBorders>
          </w:tcPr>
          <w:p>
            <w:pPr>
              <w:spacing w:after="0"/>
              <w:rPr>
                <w:sz w:val="19"/>
                <w:szCs w:val="19"/>
                <w:color w:val="auto"/>
              </w:rPr>
            </w:pPr>
          </w:p>
        </w:tc>
        <w:tc>
          <w:tcPr>
            <w:tcW w:w="220" w:type="dxa"/>
            <w:vAlign w:val="bottom"/>
            <w:tcBorders>
              <w:top w:val="single" w:sz="8" w:color="auto"/>
              <w:right w:val="single" w:sz="8" w:color="auto"/>
            </w:tcBorders>
          </w:tcPr>
          <w:p>
            <w:pPr>
              <w:spacing w:after="0"/>
              <w:rPr>
                <w:sz w:val="19"/>
                <w:szCs w:val="19"/>
                <w:color w:val="auto"/>
              </w:rPr>
            </w:pPr>
          </w:p>
        </w:tc>
        <w:tc>
          <w:tcPr>
            <w:tcW w:w="1260" w:type="dxa"/>
            <w:vAlign w:val="bottom"/>
            <w:tcBorders>
              <w:top w:val="single" w:sz="8" w:color="auto"/>
              <w:right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300" w:type="dxa"/>
            <w:vAlign w:val="bottom"/>
            <w:tcBorders>
              <w:top w:val="single" w:sz="8" w:color="auto"/>
              <w:right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20" w:type="dxa"/>
            <w:vAlign w:val="bottom"/>
            <w:tcBorders>
              <w:top w:val="single" w:sz="8" w:color="auto"/>
              <w:right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520" w:type="dxa"/>
            <w:vAlign w:val="bottom"/>
            <w:tcBorders>
              <w:top w:val="single" w:sz="8" w:color="auto"/>
              <w:right w:val="single" w:sz="8" w:color="auto"/>
            </w:tcBorders>
          </w:tcPr>
          <w:p>
            <w:pPr>
              <w:spacing w:after="0"/>
              <w:rPr>
                <w:sz w:val="19"/>
                <w:szCs w:val="19"/>
                <w:color w:val="auto"/>
              </w:rPr>
            </w:pPr>
          </w:p>
        </w:tc>
        <w:tc>
          <w:tcPr>
            <w:tcW w:w="1440" w:type="dxa"/>
            <w:vAlign w:val="bottom"/>
            <w:tcBorders>
              <w:top w:val="single" w:sz="8" w:color="auto"/>
              <w:right w:val="single" w:sz="8" w:color="auto"/>
            </w:tcBorders>
          </w:tcPr>
          <w:p>
            <w:pPr>
              <w:spacing w:after="0"/>
              <w:rPr>
                <w:sz w:val="19"/>
                <w:szCs w:val="19"/>
                <w:color w:val="auto"/>
              </w:rPr>
            </w:pPr>
          </w:p>
        </w:tc>
        <w:tc>
          <w:tcPr>
            <w:tcW w:w="16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9"/>
              </w:rPr>
              <w:t>MKT VALUE</w:t>
            </w:r>
          </w:p>
        </w:tc>
        <w:tc>
          <w:tcPr>
            <w:tcW w:w="16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00"/>
        </w:trPr>
        <w:tc>
          <w:tcPr>
            <w:tcW w:w="880" w:type="dxa"/>
            <w:vAlign w:val="bottom"/>
            <w:tcBorders>
              <w:lef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126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300" w:type="dxa"/>
            <w:vAlign w:val="bottom"/>
            <w:tcBorders>
              <w:right w:val="single" w:sz="8" w:color="auto"/>
            </w:tcBorders>
          </w:tcPr>
          <w:p>
            <w:pPr>
              <w:spacing w:after="0"/>
              <w:rPr>
                <w:sz w:val="17"/>
                <w:szCs w:val="17"/>
                <w:color w:val="auto"/>
              </w:rPr>
            </w:pPr>
          </w:p>
        </w:tc>
        <w:tc>
          <w:tcPr>
            <w:tcW w:w="1220" w:type="dxa"/>
            <w:vAlign w:val="bottom"/>
            <w:gridSpan w:val="2"/>
          </w:tcPr>
          <w:p>
            <w:pPr>
              <w:jc w:val="center"/>
              <w:ind w:left="237"/>
              <w:spacing w:after="0"/>
              <w:rPr>
                <w:sz w:val="20"/>
                <w:szCs w:val="20"/>
                <w:color w:val="auto"/>
              </w:rPr>
            </w:pPr>
            <w:r>
              <w:rPr>
                <w:rFonts w:ascii="Arial" w:cs="Arial" w:eastAsia="Arial" w:hAnsi="Arial"/>
                <w:sz w:val="17"/>
                <w:szCs w:val="17"/>
                <w:color w:val="auto"/>
                <w:w w:val="98"/>
              </w:rPr>
              <w:t>MATURITY</w:t>
            </w:r>
          </w:p>
        </w:tc>
        <w:tc>
          <w:tcPr>
            <w:tcW w:w="320" w:type="dxa"/>
            <w:vAlign w:val="bottom"/>
            <w:tcBorders>
              <w:right w:val="single" w:sz="8" w:color="auto"/>
            </w:tcBorders>
          </w:tcPr>
          <w:p>
            <w:pPr>
              <w:spacing w:after="0"/>
              <w:rPr>
                <w:sz w:val="17"/>
                <w:szCs w:val="17"/>
                <w:color w:val="auto"/>
              </w:rPr>
            </w:pPr>
          </w:p>
        </w:tc>
        <w:tc>
          <w:tcPr>
            <w:tcW w:w="1360" w:type="dxa"/>
            <w:vAlign w:val="bottom"/>
            <w:tcBorders>
              <w:right w:val="single" w:sz="8" w:color="auto"/>
            </w:tcBorders>
            <w:gridSpan w:val="2"/>
          </w:tcPr>
          <w:p>
            <w:pPr>
              <w:jc w:val="center"/>
              <w:ind w:right="20"/>
              <w:spacing w:after="0"/>
              <w:rPr>
                <w:sz w:val="20"/>
                <w:szCs w:val="20"/>
                <w:color w:val="auto"/>
              </w:rPr>
            </w:pPr>
            <w:r>
              <w:rPr>
                <w:rFonts w:ascii="Arial" w:cs="Arial" w:eastAsia="Arial" w:hAnsi="Arial"/>
                <w:sz w:val="17"/>
                <w:szCs w:val="17"/>
                <w:color w:val="auto"/>
                <w:w w:val="85"/>
              </w:rPr>
              <w:t>PAR</w:t>
            </w: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4"/>
              </w:rPr>
              <w:t>CREDIT</w:t>
            </w:r>
          </w:p>
        </w:tc>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1"/>
              </w:rPr>
              <w:t>(AS OF</w:t>
            </w:r>
          </w:p>
        </w:tc>
        <w:tc>
          <w:tcPr>
            <w:tcW w:w="16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13"/>
        </w:trPr>
        <w:tc>
          <w:tcPr>
            <w:tcW w:w="880" w:type="dxa"/>
            <w:vAlign w:val="bottom"/>
            <w:tcBorders>
              <w:left w:val="single" w:sz="8" w:color="auto"/>
            </w:tcBorders>
          </w:tcPr>
          <w:p>
            <w:pPr>
              <w:jc w:val="center"/>
              <w:ind w:left="112"/>
              <w:spacing w:after="0"/>
              <w:rPr>
                <w:sz w:val="20"/>
                <w:szCs w:val="20"/>
                <w:color w:val="auto"/>
              </w:rPr>
            </w:pPr>
            <w:r>
              <w:rPr>
                <w:rFonts w:ascii="Arial" w:cs="Arial" w:eastAsia="Arial" w:hAnsi="Arial"/>
                <w:sz w:val="17"/>
                <w:szCs w:val="17"/>
                <w:color w:val="auto"/>
                <w:w w:val="92"/>
              </w:rPr>
              <w:t>CUSIP</w:t>
            </w:r>
          </w:p>
        </w:tc>
        <w:tc>
          <w:tcPr>
            <w:tcW w:w="22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ind w:left="320"/>
              <w:spacing w:after="0"/>
              <w:rPr>
                <w:sz w:val="20"/>
                <w:szCs w:val="20"/>
                <w:color w:val="auto"/>
              </w:rPr>
            </w:pPr>
            <w:r>
              <w:rPr>
                <w:rFonts w:ascii="Arial" w:cs="Arial" w:eastAsia="Arial" w:hAnsi="Arial"/>
                <w:sz w:val="17"/>
                <w:szCs w:val="17"/>
                <w:color w:val="auto"/>
              </w:rPr>
              <w:t>ISSUER</w:t>
            </w:r>
          </w:p>
        </w:tc>
        <w:tc>
          <w:tcPr>
            <w:tcW w:w="60" w:type="dxa"/>
            <w:vAlign w:val="bottom"/>
          </w:tcPr>
          <w:p>
            <w:pPr>
              <w:spacing w:after="0"/>
              <w:rPr>
                <w:sz w:val="18"/>
                <w:szCs w:val="18"/>
                <w:color w:val="auto"/>
              </w:rPr>
            </w:pPr>
          </w:p>
        </w:tc>
        <w:tc>
          <w:tcPr>
            <w:tcW w:w="1300" w:type="dxa"/>
            <w:vAlign w:val="bottom"/>
            <w:tcBorders>
              <w:right w:val="single" w:sz="8" w:color="auto"/>
            </w:tcBorders>
          </w:tcPr>
          <w:p>
            <w:pPr>
              <w:ind w:left="260"/>
              <w:spacing w:after="0"/>
              <w:rPr>
                <w:sz w:val="20"/>
                <w:szCs w:val="20"/>
                <w:color w:val="auto"/>
              </w:rPr>
            </w:pPr>
            <w:r>
              <w:rPr>
                <w:rFonts w:ascii="Arial" w:cs="Arial" w:eastAsia="Arial" w:hAnsi="Arial"/>
                <w:sz w:val="17"/>
                <w:szCs w:val="17"/>
                <w:color w:val="auto"/>
              </w:rPr>
              <w:t>COUPON</w:t>
            </w:r>
          </w:p>
        </w:tc>
        <w:tc>
          <w:tcPr>
            <w:tcW w:w="1220" w:type="dxa"/>
            <w:vAlign w:val="bottom"/>
            <w:gridSpan w:val="2"/>
          </w:tcPr>
          <w:p>
            <w:pPr>
              <w:jc w:val="center"/>
              <w:ind w:left="217"/>
              <w:spacing w:after="0"/>
              <w:rPr>
                <w:sz w:val="20"/>
                <w:szCs w:val="20"/>
                <w:color w:val="auto"/>
              </w:rPr>
            </w:pPr>
            <w:r>
              <w:rPr>
                <w:rFonts w:ascii="Arial" w:cs="Arial" w:eastAsia="Arial" w:hAnsi="Arial"/>
                <w:sz w:val="17"/>
                <w:szCs w:val="17"/>
                <w:color w:val="auto"/>
                <w:w w:val="96"/>
              </w:rPr>
              <w:t>DATE</w:t>
            </w:r>
          </w:p>
        </w:tc>
        <w:tc>
          <w:tcPr>
            <w:tcW w:w="32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gridSpan w:val="2"/>
          </w:tcPr>
          <w:p>
            <w:pPr>
              <w:jc w:val="center"/>
              <w:ind w:right="20"/>
              <w:spacing w:after="0"/>
              <w:rPr>
                <w:sz w:val="20"/>
                <w:szCs w:val="20"/>
                <w:color w:val="auto"/>
              </w:rPr>
            </w:pPr>
            <w:r>
              <w:rPr>
                <w:rFonts w:ascii="Arial" w:cs="Arial" w:eastAsia="Arial" w:hAnsi="Arial"/>
                <w:sz w:val="17"/>
                <w:szCs w:val="17"/>
                <w:color w:val="auto"/>
              </w:rPr>
              <w:t>AMOUNT</w:t>
            </w: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QUALITY</w:t>
            </w:r>
          </w:p>
        </w:tc>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MM/DD/YY)</w:t>
            </w:r>
          </w:p>
        </w:tc>
        <w:tc>
          <w:tcPr>
            <w:tcW w:w="16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5"/>
        </w:trPr>
        <w:tc>
          <w:tcPr>
            <w:tcW w:w="880" w:type="dxa"/>
            <w:vAlign w:val="bottom"/>
            <w:tcBorders>
              <w:left w:val="single" w:sz="8" w:color="auto"/>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2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568"/>
        </w:trPr>
        <w:tc>
          <w:tcPr>
            <w:tcW w:w="88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30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520" w:type="dxa"/>
            <w:vAlign w:val="bottom"/>
            <w:tcBorders>
              <w:bottom w:val="single" w:sz="8" w:color="auto"/>
              <w:right w:val="single" w:sz="8" w:color="auto"/>
            </w:tcBorders>
          </w:tcPr>
          <w:p>
            <w:pPr>
              <w:spacing w:after="0"/>
              <w:rPr>
                <w:sz w:val="24"/>
                <w:szCs w:val="24"/>
                <w:color w:val="auto"/>
              </w:rPr>
            </w:pPr>
          </w:p>
        </w:tc>
        <w:tc>
          <w:tcPr>
            <w:tcW w:w="1440" w:type="dxa"/>
            <w:vAlign w:val="bottom"/>
            <w:tcBorders>
              <w:bottom w:val="single" w:sz="8" w:color="auto"/>
              <w:right w:val="single" w:sz="8" w:color="auto"/>
            </w:tcBorders>
          </w:tcPr>
          <w:p>
            <w:pPr>
              <w:spacing w:after="0"/>
              <w:rPr>
                <w:sz w:val="24"/>
                <w:szCs w:val="24"/>
                <w:color w:val="auto"/>
              </w:rPr>
            </w:pPr>
          </w:p>
        </w:tc>
        <w:tc>
          <w:tcPr>
            <w:tcW w:w="1640" w:type="dxa"/>
            <w:vAlign w:val="bottom"/>
            <w:tcBorders>
              <w:bottom w:val="single" w:sz="8" w:color="auto"/>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543"/>
        </w:trPr>
        <w:tc>
          <w:tcPr>
            <w:tcW w:w="88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30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520" w:type="dxa"/>
            <w:vAlign w:val="bottom"/>
            <w:tcBorders>
              <w:bottom w:val="single" w:sz="8" w:color="auto"/>
              <w:right w:val="single" w:sz="8" w:color="auto"/>
            </w:tcBorders>
          </w:tcPr>
          <w:p>
            <w:pPr>
              <w:spacing w:after="0"/>
              <w:rPr>
                <w:sz w:val="24"/>
                <w:szCs w:val="24"/>
                <w:color w:val="auto"/>
              </w:rPr>
            </w:pPr>
          </w:p>
        </w:tc>
        <w:tc>
          <w:tcPr>
            <w:tcW w:w="1440" w:type="dxa"/>
            <w:vAlign w:val="bottom"/>
            <w:tcBorders>
              <w:bottom w:val="single" w:sz="8" w:color="auto"/>
              <w:right w:val="single" w:sz="8" w:color="auto"/>
            </w:tcBorders>
          </w:tcPr>
          <w:p>
            <w:pPr>
              <w:spacing w:after="0"/>
              <w:rPr>
                <w:sz w:val="24"/>
                <w:szCs w:val="24"/>
                <w:color w:val="auto"/>
              </w:rPr>
            </w:pPr>
          </w:p>
        </w:tc>
        <w:tc>
          <w:tcPr>
            <w:tcW w:w="1640" w:type="dxa"/>
            <w:vAlign w:val="bottom"/>
            <w:tcBorders>
              <w:bottom w:val="single" w:sz="8" w:color="auto"/>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05"/>
        </w:trPr>
        <w:tc>
          <w:tcPr>
            <w:tcW w:w="880" w:type="dxa"/>
            <w:vAlign w:val="bottom"/>
            <w:tcBorders>
              <w:left w:val="single" w:sz="8" w:color="auto"/>
            </w:tcBorders>
          </w:tcPr>
          <w:p>
            <w:pPr>
              <w:jc w:val="center"/>
              <w:ind w:left="112"/>
              <w:spacing w:after="0"/>
              <w:rPr>
                <w:sz w:val="20"/>
                <w:szCs w:val="20"/>
                <w:color w:val="auto"/>
              </w:rPr>
            </w:pPr>
            <w:r>
              <w:rPr>
                <w:rFonts w:ascii="Arial" w:cs="Arial" w:eastAsia="Arial" w:hAnsi="Arial"/>
                <w:sz w:val="17"/>
                <w:szCs w:val="17"/>
                <w:color w:val="auto"/>
                <w:w w:val="91"/>
              </w:rPr>
              <w:t>SUB</w:t>
            </w:r>
          </w:p>
        </w:tc>
        <w:tc>
          <w:tcPr>
            <w:tcW w:w="220" w:type="dxa"/>
            <w:vAlign w:val="bottom"/>
            <w:tcBorders>
              <w:right w:val="single" w:sz="8" w:color="auto"/>
            </w:tcBorders>
          </w:tcPr>
          <w:p>
            <w:pPr>
              <w:spacing w:after="0"/>
              <w:rPr>
                <w:sz w:val="17"/>
                <w:szCs w:val="17"/>
                <w:color w:val="auto"/>
              </w:rPr>
            </w:pPr>
          </w:p>
        </w:tc>
        <w:tc>
          <w:tcPr>
            <w:tcW w:w="126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300" w:type="dxa"/>
            <w:vAlign w:val="bottom"/>
            <w:tcBorders>
              <w:right w:val="single" w:sz="8" w:color="auto"/>
            </w:tcBorders>
          </w:tcPr>
          <w:p>
            <w:pPr>
              <w:spacing w:after="0"/>
              <w:rPr>
                <w:sz w:val="17"/>
                <w:szCs w:val="17"/>
                <w:color w:val="auto"/>
              </w:rPr>
            </w:pPr>
          </w:p>
        </w:tc>
        <w:tc>
          <w:tcPr>
            <w:tcW w:w="6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Borders>
              <w:right w:val="single" w:sz="8" w:color="auto"/>
            </w:tcBorders>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Borders>
              <w:right w:val="single" w:sz="8" w:color="auto"/>
            </w:tcBorders>
          </w:tcPr>
          <w:p>
            <w:pPr>
              <w:spacing w:after="0"/>
              <w:rPr>
                <w:sz w:val="17"/>
                <w:szCs w:val="17"/>
                <w:color w:val="auto"/>
              </w:rPr>
            </w:pPr>
          </w:p>
        </w:tc>
        <w:tc>
          <w:tcPr>
            <w:tcW w:w="1440" w:type="dxa"/>
            <w:vAlign w:val="bottom"/>
            <w:tcBorders>
              <w:right w:val="single" w:sz="8" w:color="auto"/>
            </w:tcBorders>
          </w:tcPr>
          <w:p>
            <w:pPr>
              <w:spacing w:after="0"/>
              <w:rPr>
                <w:sz w:val="17"/>
                <w:szCs w:val="17"/>
                <w:color w:val="auto"/>
              </w:rPr>
            </w:pPr>
          </w:p>
        </w:tc>
        <w:tc>
          <w:tcPr>
            <w:tcW w:w="164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13"/>
        </w:trPr>
        <w:tc>
          <w:tcPr>
            <w:tcW w:w="880" w:type="dxa"/>
            <w:vAlign w:val="bottom"/>
            <w:tcBorders>
              <w:left w:val="single" w:sz="8" w:color="auto"/>
            </w:tcBorders>
          </w:tcPr>
          <w:p>
            <w:pPr>
              <w:jc w:val="center"/>
              <w:ind w:left="112"/>
              <w:spacing w:after="0"/>
              <w:rPr>
                <w:sz w:val="20"/>
                <w:szCs w:val="20"/>
                <w:color w:val="auto"/>
              </w:rPr>
            </w:pPr>
            <w:r>
              <w:rPr>
                <w:rFonts w:ascii="Arial" w:cs="Arial" w:eastAsia="Arial" w:hAnsi="Arial"/>
                <w:sz w:val="17"/>
                <w:szCs w:val="17"/>
                <w:color w:val="auto"/>
                <w:w w:val="94"/>
              </w:rPr>
              <w:t>TOTAL</w:t>
            </w:r>
          </w:p>
        </w:tc>
        <w:tc>
          <w:tcPr>
            <w:tcW w:w="22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1440" w:type="dxa"/>
            <w:vAlign w:val="bottom"/>
            <w:tcBorders>
              <w:right w:val="single" w:sz="8" w:color="auto"/>
            </w:tcBorders>
          </w:tcPr>
          <w:p>
            <w:pPr>
              <w:spacing w:after="0"/>
              <w:rPr>
                <w:sz w:val="18"/>
                <w:szCs w:val="18"/>
                <w:color w:val="auto"/>
              </w:rPr>
            </w:pPr>
          </w:p>
        </w:tc>
        <w:tc>
          <w:tcPr>
            <w:tcW w:w="164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5"/>
        </w:trPr>
        <w:tc>
          <w:tcPr>
            <w:tcW w:w="880" w:type="dxa"/>
            <w:vAlign w:val="bottom"/>
            <w:tcBorders>
              <w:left w:val="single" w:sz="8" w:color="auto"/>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2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645"/>
        </w:trPr>
        <w:tc>
          <w:tcPr>
            <w:tcW w:w="880" w:type="dxa"/>
            <w:vAlign w:val="bottom"/>
          </w:tcPr>
          <w:p>
            <w:pPr>
              <w:jc w:val="right"/>
              <w:ind w:right="252"/>
              <w:spacing w:after="0"/>
              <w:rPr>
                <w:sz w:val="20"/>
                <w:szCs w:val="20"/>
                <w:color w:val="auto"/>
              </w:rPr>
            </w:pPr>
            <w:r>
              <w:rPr>
                <w:rFonts w:ascii="Arial" w:cs="Arial" w:eastAsia="Arial" w:hAnsi="Arial"/>
                <w:sz w:val="20"/>
                <w:szCs w:val="20"/>
                <w:color w:val="auto"/>
              </w:rPr>
              <w:t xml:space="preserve">[ *** </w:t>
            </w:r>
            <w:r>
              <w:rPr>
                <w:rFonts w:ascii="Arial" w:cs="Arial" w:eastAsia="Arial" w:hAnsi="Arial"/>
                <w:sz w:val="21"/>
                <w:szCs w:val="21"/>
                <w:color w:val="auto"/>
              </w:rPr>
              <w:t>]</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324"/>
        </w:trPr>
        <w:tc>
          <w:tcPr>
            <w:tcW w:w="8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2"/>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2"/>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r>
      <w:tr>
        <w:trPr>
          <w:trHeight w:val="269"/>
        </w:trPr>
        <w:tc>
          <w:tcPr>
            <w:tcW w:w="880" w:type="dxa"/>
            <w:vAlign w:val="bottom"/>
            <w:tcBorders>
              <w:left w:val="single" w:sz="8" w:color="auto"/>
            </w:tcBorders>
          </w:tcPr>
          <w:p>
            <w:pPr>
              <w:spacing w:after="0"/>
              <w:rPr>
                <w:sz w:val="23"/>
                <w:szCs w:val="23"/>
                <w:color w:val="auto"/>
              </w:rPr>
            </w:pPr>
          </w:p>
        </w:tc>
        <w:tc>
          <w:tcPr>
            <w:tcW w:w="1480" w:type="dxa"/>
            <w:vAlign w:val="bottom"/>
            <w:gridSpan w:val="2"/>
          </w:tcPr>
          <w:p>
            <w:pPr>
              <w:jc w:val="center"/>
              <w:ind w:right="737"/>
              <w:spacing w:after="0"/>
              <w:rPr>
                <w:sz w:val="20"/>
                <w:szCs w:val="20"/>
                <w:color w:val="auto"/>
              </w:rPr>
            </w:pPr>
            <w:r>
              <w:rPr>
                <w:rFonts w:ascii="Arial" w:cs="Arial" w:eastAsia="Arial" w:hAnsi="Arial"/>
                <w:sz w:val="20"/>
                <w:szCs w:val="20"/>
                <w:color w:val="auto"/>
              </w:rPr>
              <w:t xml:space="preserve">[ *** </w:t>
            </w:r>
            <w:r>
              <w:rPr>
                <w:rFonts w:ascii="Arial" w:cs="Arial" w:eastAsia="Arial" w:hAnsi="Arial"/>
                <w:sz w:val="21"/>
                <w:szCs w:val="21"/>
                <w:color w:val="auto"/>
              </w:rPr>
              <w:t>]</w:t>
            </w:r>
          </w:p>
        </w:tc>
        <w:tc>
          <w:tcPr>
            <w:tcW w:w="60" w:type="dxa"/>
            <w:vAlign w:val="bottom"/>
            <w:tcBorders>
              <w:right w:val="single" w:sz="8" w:color="auto"/>
            </w:tcBorders>
          </w:tcPr>
          <w:p>
            <w:pPr>
              <w:spacing w:after="0"/>
              <w:rPr>
                <w:sz w:val="23"/>
                <w:szCs w:val="23"/>
                <w:color w:val="auto"/>
              </w:rPr>
            </w:pPr>
          </w:p>
        </w:tc>
        <w:tc>
          <w:tcPr>
            <w:tcW w:w="1300" w:type="dxa"/>
            <w:vAlign w:val="bottom"/>
          </w:tcPr>
          <w:p>
            <w:pPr>
              <w:ind w:left="660"/>
              <w:spacing w:after="0"/>
              <w:rPr>
                <w:sz w:val="20"/>
                <w:szCs w:val="20"/>
                <w:color w:val="auto"/>
              </w:rPr>
            </w:pPr>
            <w:r>
              <w:rPr>
                <w:rFonts w:ascii="Arial" w:cs="Arial" w:eastAsia="Arial" w:hAnsi="Arial"/>
                <w:sz w:val="17"/>
                <w:szCs w:val="17"/>
                <w:color w:val="auto"/>
                <w:w w:val="92"/>
              </w:rPr>
              <w:t>NEWCO</w:t>
            </w:r>
          </w:p>
        </w:tc>
        <w:tc>
          <w:tcPr>
            <w:tcW w:w="660" w:type="dxa"/>
            <w:vAlign w:val="bottom"/>
            <w:tcBorders>
              <w:right w:val="single" w:sz="8" w:color="auto"/>
            </w:tcBorders>
          </w:tcPr>
          <w:p>
            <w:pPr>
              <w:spacing w:after="0"/>
              <w:rPr>
                <w:sz w:val="23"/>
                <w:szCs w:val="23"/>
                <w:color w:val="auto"/>
              </w:rPr>
            </w:pPr>
          </w:p>
        </w:tc>
        <w:tc>
          <w:tcPr>
            <w:tcW w:w="560" w:type="dxa"/>
            <w:vAlign w:val="bottom"/>
          </w:tcPr>
          <w:p>
            <w:pPr>
              <w:spacing w:after="0"/>
              <w:rPr>
                <w:sz w:val="23"/>
                <w:szCs w:val="23"/>
                <w:color w:val="auto"/>
              </w:rPr>
            </w:pPr>
          </w:p>
        </w:tc>
        <w:tc>
          <w:tcPr>
            <w:tcW w:w="1160" w:type="dxa"/>
            <w:vAlign w:val="bottom"/>
            <w:tcBorders>
              <w:right w:val="single" w:sz="8" w:color="auto"/>
            </w:tcBorders>
            <w:gridSpan w:val="2"/>
          </w:tcPr>
          <w:p>
            <w:pPr>
              <w:jc w:val="right"/>
              <w:ind w:right="537"/>
              <w:spacing w:after="0"/>
              <w:rPr>
                <w:sz w:val="20"/>
                <w:szCs w:val="20"/>
                <w:color w:val="auto"/>
              </w:rPr>
            </w:pPr>
            <w:r>
              <w:rPr>
                <w:rFonts w:ascii="Arial" w:cs="Arial" w:eastAsia="Arial" w:hAnsi="Arial"/>
                <w:sz w:val="20"/>
                <w:szCs w:val="20"/>
                <w:color w:val="auto"/>
              </w:rPr>
              <w:t xml:space="preserve">[ *** </w:t>
            </w:r>
            <w:r>
              <w:rPr>
                <w:rFonts w:ascii="Arial" w:cs="Arial" w:eastAsia="Arial" w:hAnsi="Arial"/>
                <w:sz w:val="21"/>
                <w:szCs w:val="21"/>
                <w:color w:val="auto"/>
              </w:rPr>
              <w:t>]</w:t>
            </w:r>
          </w:p>
        </w:tc>
        <w:tc>
          <w:tcPr>
            <w:tcW w:w="520" w:type="dxa"/>
            <w:vAlign w:val="bottom"/>
          </w:tcPr>
          <w:p>
            <w:pPr>
              <w:spacing w:after="0"/>
              <w:rPr>
                <w:sz w:val="23"/>
                <w:szCs w:val="23"/>
                <w:color w:val="auto"/>
              </w:rPr>
            </w:pPr>
          </w:p>
        </w:tc>
        <w:tc>
          <w:tcPr>
            <w:tcW w:w="1440" w:type="dxa"/>
            <w:vAlign w:val="bottom"/>
            <w:tcBorders>
              <w:right w:val="single" w:sz="8" w:color="auto"/>
            </w:tcBorders>
          </w:tcPr>
          <w:p>
            <w:pPr>
              <w:jc w:val="right"/>
              <w:ind w:right="651"/>
              <w:spacing w:after="0"/>
              <w:rPr>
                <w:sz w:val="20"/>
                <w:szCs w:val="20"/>
                <w:color w:val="auto"/>
              </w:rPr>
            </w:pPr>
            <w:r>
              <w:rPr>
                <w:rFonts w:ascii="Arial" w:cs="Arial" w:eastAsia="Arial" w:hAnsi="Arial"/>
                <w:sz w:val="20"/>
                <w:szCs w:val="20"/>
                <w:color w:val="auto"/>
              </w:rPr>
              <w:t xml:space="preserve">[ *** </w:t>
            </w:r>
            <w:r>
              <w:rPr>
                <w:rFonts w:ascii="Arial" w:cs="Arial" w:eastAsia="Arial" w:hAnsi="Arial"/>
                <w:sz w:val="21"/>
                <w:szCs w:val="21"/>
                <w:color w:val="auto"/>
              </w:rPr>
              <w:t>]</w:t>
            </w:r>
          </w:p>
        </w:tc>
        <w:tc>
          <w:tcPr>
            <w:tcW w:w="1640" w:type="dxa"/>
            <w:vAlign w:val="bottom"/>
          </w:tcPr>
          <w:p>
            <w:pPr>
              <w:ind w:left="540"/>
              <w:spacing w:after="0"/>
              <w:rPr>
                <w:sz w:val="20"/>
                <w:szCs w:val="20"/>
                <w:color w:val="auto"/>
              </w:rPr>
            </w:pPr>
            <w:r>
              <w:rPr>
                <w:rFonts w:ascii="Arial" w:cs="Arial" w:eastAsia="Arial" w:hAnsi="Arial"/>
                <w:sz w:val="17"/>
                <w:szCs w:val="17"/>
                <w:color w:val="auto"/>
              </w:rPr>
              <w:t>[OTHER]</w:t>
            </w:r>
          </w:p>
        </w:tc>
        <w:tc>
          <w:tcPr>
            <w:tcW w:w="160" w:type="dxa"/>
            <w:vAlign w:val="bottom"/>
            <w:tcBorders>
              <w:right w:val="single" w:sz="8" w:color="auto"/>
            </w:tcBorders>
          </w:tcPr>
          <w:p>
            <w:pPr>
              <w:spacing w:after="0"/>
              <w:rPr>
                <w:sz w:val="23"/>
                <w:szCs w:val="23"/>
                <w:color w:val="auto"/>
              </w:rPr>
            </w:pPr>
          </w:p>
        </w:tc>
        <w:tc>
          <w:tcPr>
            <w:tcW w:w="1580" w:type="dxa"/>
            <w:vAlign w:val="bottom"/>
            <w:tcBorders>
              <w:right w:val="single" w:sz="8" w:color="auto"/>
            </w:tcBorders>
          </w:tcPr>
          <w:p>
            <w:pPr>
              <w:jc w:val="right"/>
              <w:ind w:right="440"/>
              <w:spacing w:after="0"/>
              <w:rPr>
                <w:sz w:val="20"/>
                <w:szCs w:val="20"/>
                <w:color w:val="auto"/>
              </w:rPr>
            </w:pPr>
            <w:r>
              <w:rPr>
                <w:rFonts w:ascii="Arial" w:cs="Arial" w:eastAsia="Arial" w:hAnsi="Arial"/>
                <w:sz w:val="20"/>
                <w:szCs w:val="20"/>
                <w:color w:val="auto"/>
              </w:rPr>
              <w:t xml:space="preserve">[ *** </w:t>
            </w:r>
            <w:r>
              <w:rPr>
                <w:rFonts w:ascii="Arial" w:cs="Arial" w:eastAsia="Arial" w:hAnsi="Arial"/>
                <w:sz w:val="21"/>
                <w:szCs w:val="21"/>
                <w:color w:val="auto"/>
              </w:rPr>
              <w:t>]</w:t>
            </w:r>
          </w:p>
        </w:tc>
      </w:tr>
      <w:tr>
        <w:trPr>
          <w:trHeight w:val="24"/>
        </w:trPr>
        <w:tc>
          <w:tcPr>
            <w:tcW w:w="880" w:type="dxa"/>
            <w:vAlign w:val="bottom"/>
            <w:tcBorders>
              <w:left w:val="single" w:sz="8" w:color="auto"/>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660" w:type="dxa"/>
            <w:vAlign w:val="bottom"/>
            <w:tcBorders>
              <w:bottom w:val="single" w:sz="8" w:color="auto"/>
              <w:right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6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r>
      <w:tr>
        <w:trPr>
          <w:trHeight w:val="556"/>
        </w:trPr>
        <w:tc>
          <w:tcPr>
            <w:tcW w:w="88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440" w:type="dxa"/>
            <w:vAlign w:val="bottom"/>
            <w:tcBorders>
              <w:bottom w:val="single" w:sz="8" w:color="auto"/>
              <w:right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160" w:type="dxa"/>
            <w:vAlign w:val="bottom"/>
            <w:tcBorders>
              <w:bottom w:val="single" w:sz="8" w:color="auto"/>
              <w:right w:val="single" w:sz="8" w:color="auto"/>
            </w:tcBorders>
          </w:tcPr>
          <w:p>
            <w:pPr>
              <w:spacing w:after="0"/>
              <w:rPr>
                <w:sz w:val="24"/>
                <w:szCs w:val="24"/>
                <w:color w:val="auto"/>
              </w:rPr>
            </w:pPr>
          </w:p>
        </w:tc>
        <w:tc>
          <w:tcPr>
            <w:tcW w:w="1580" w:type="dxa"/>
            <w:vAlign w:val="bottom"/>
            <w:tcBorders>
              <w:bottom w:val="single" w:sz="8" w:color="auto"/>
              <w:right w:val="single" w:sz="8" w:color="auto"/>
            </w:tcBorders>
          </w:tcPr>
          <w:p>
            <w:pPr>
              <w:spacing w:after="0"/>
              <w:rPr>
                <w:sz w:val="24"/>
                <w:szCs w:val="24"/>
                <w:color w:val="auto"/>
              </w:rPr>
            </w:pPr>
          </w:p>
        </w:tc>
      </w:tr>
      <w:tr>
        <w:trPr>
          <w:trHeight w:val="205"/>
        </w:trPr>
        <w:tc>
          <w:tcPr>
            <w:tcW w:w="880" w:type="dxa"/>
            <w:vAlign w:val="bottom"/>
            <w:tcBorders>
              <w:left w:val="single" w:sz="8" w:color="auto"/>
            </w:tcBorders>
          </w:tcPr>
          <w:p>
            <w:pPr>
              <w:spacing w:after="0"/>
              <w:rPr>
                <w:sz w:val="17"/>
                <w:szCs w:val="17"/>
                <w:color w:val="auto"/>
              </w:rPr>
            </w:pPr>
          </w:p>
        </w:tc>
        <w:tc>
          <w:tcPr>
            <w:tcW w:w="1480" w:type="dxa"/>
            <w:vAlign w:val="bottom"/>
            <w:gridSpan w:val="2"/>
          </w:tcPr>
          <w:p>
            <w:pPr>
              <w:jc w:val="center"/>
              <w:ind w:right="737"/>
              <w:spacing w:after="0"/>
              <w:rPr>
                <w:sz w:val="20"/>
                <w:szCs w:val="20"/>
                <w:color w:val="auto"/>
              </w:rPr>
            </w:pPr>
            <w:r>
              <w:rPr>
                <w:rFonts w:ascii="Arial" w:cs="Arial" w:eastAsia="Arial" w:hAnsi="Arial"/>
                <w:sz w:val="17"/>
                <w:szCs w:val="17"/>
                <w:color w:val="auto"/>
                <w:w w:val="97"/>
              </w:rPr>
              <w:t>SUB</w:t>
            </w:r>
          </w:p>
        </w:tc>
        <w:tc>
          <w:tcPr>
            <w:tcW w:w="60" w:type="dxa"/>
            <w:vAlign w:val="bottom"/>
            <w:tcBorders>
              <w:right w:val="single" w:sz="8" w:color="auto"/>
            </w:tcBorders>
          </w:tcPr>
          <w:p>
            <w:pPr>
              <w:spacing w:after="0"/>
              <w:rPr>
                <w:sz w:val="17"/>
                <w:szCs w:val="17"/>
                <w:color w:val="auto"/>
              </w:rPr>
            </w:pPr>
          </w:p>
        </w:tc>
        <w:tc>
          <w:tcPr>
            <w:tcW w:w="1300" w:type="dxa"/>
            <w:vAlign w:val="bottom"/>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520" w:type="dxa"/>
            <w:vAlign w:val="bottom"/>
          </w:tcPr>
          <w:p>
            <w:pPr>
              <w:spacing w:after="0"/>
              <w:rPr>
                <w:sz w:val="17"/>
                <w:szCs w:val="17"/>
                <w:color w:val="auto"/>
              </w:rPr>
            </w:pPr>
          </w:p>
        </w:tc>
        <w:tc>
          <w:tcPr>
            <w:tcW w:w="1440" w:type="dxa"/>
            <w:vAlign w:val="bottom"/>
            <w:tcBorders>
              <w:right w:val="single" w:sz="8" w:color="auto"/>
            </w:tcBorders>
          </w:tcPr>
          <w:p>
            <w:pPr>
              <w:spacing w:after="0"/>
              <w:rPr>
                <w:sz w:val="17"/>
                <w:szCs w:val="17"/>
                <w:color w:val="auto"/>
              </w:rPr>
            </w:pPr>
          </w:p>
        </w:tc>
        <w:tc>
          <w:tcPr>
            <w:tcW w:w="164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r>
      <w:tr>
        <w:trPr>
          <w:trHeight w:val="213"/>
        </w:trPr>
        <w:tc>
          <w:tcPr>
            <w:tcW w:w="880" w:type="dxa"/>
            <w:vAlign w:val="bottom"/>
            <w:tcBorders>
              <w:left w:val="single" w:sz="8" w:color="auto"/>
            </w:tcBorders>
          </w:tcPr>
          <w:p>
            <w:pPr>
              <w:spacing w:after="0"/>
              <w:rPr>
                <w:sz w:val="18"/>
                <w:szCs w:val="18"/>
                <w:color w:val="auto"/>
              </w:rPr>
            </w:pPr>
          </w:p>
        </w:tc>
        <w:tc>
          <w:tcPr>
            <w:tcW w:w="1480" w:type="dxa"/>
            <w:vAlign w:val="bottom"/>
            <w:gridSpan w:val="2"/>
          </w:tcPr>
          <w:p>
            <w:pPr>
              <w:jc w:val="center"/>
              <w:ind w:right="737"/>
              <w:spacing w:after="0"/>
              <w:rPr>
                <w:sz w:val="20"/>
                <w:szCs w:val="20"/>
                <w:color w:val="auto"/>
              </w:rPr>
            </w:pPr>
            <w:r>
              <w:rPr>
                <w:rFonts w:ascii="Arial" w:cs="Arial" w:eastAsia="Arial" w:hAnsi="Arial"/>
                <w:sz w:val="17"/>
                <w:szCs w:val="17"/>
                <w:color w:val="auto"/>
                <w:w w:val="98"/>
              </w:rPr>
              <w:t>TOTAL</w:t>
            </w:r>
          </w:p>
        </w:tc>
        <w:tc>
          <w:tcPr>
            <w:tcW w:w="60" w:type="dxa"/>
            <w:vAlign w:val="bottom"/>
            <w:tcBorders>
              <w:right w:val="single" w:sz="8" w:color="auto"/>
            </w:tcBorders>
          </w:tcPr>
          <w:p>
            <w:pPr>
              <w:spacing w:after="0"/>
              <w:rPr>
                <w:sz w:val="18"/>
                <w:szCs w:val="18"/>
                <w:color w:val="auto"/>
              </w:rPr>
            </w:pPr>
          </w:p>
        </w:tc>
        <w:tc>
          <w:tcPr>
            <w:tcW w:w="1300" w:type="dxa"/>
            <w:vAlign w:val="bottom"/>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1440" w:type="dxa"/>
            <w:vAlign w:val="bottom"/>
            <w:tcBorders>
              <w:right w:val="single" w:sz="8" w:color="auto"/>
            </w:tcBorders>
          </w:tcPr>
          <w:p>
            <w:pPr>
              <w:spacing w:after="0"/>
              <w:rPr>
                <w:sz w:val="18"/>
                <w:szCs w:val="18"/>
                <w:color w:val="auto"/>
              </w:rPr>
            </w:pPr>
          </w:p>
        </w:tc>
        <w:tc>
          <w:tcPr>
            <w:tcW w:w="164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r>
      <w:tr>
        <w:trPr>
          <w:trHeight w:val="25"/>
        </w:trPr>
        <w:tc>
          <w:tcPr>
            <w:tcW w:w="880" w:type="dxa"/>
            <w:vAlign w:val="bottom"/>
            <w:tcBorders>
              <w:left w:val="single" w:sz="8" w:color="auto"/>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660" w:type="dxa"/>
            <w:vAlign w:val="bottom"/>
            <w:tcBorders>
              <w:bottom w:val="single" w:sz="8" w:color="auto"/>
              <w:right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60" w:type="dxa"/>
            <w:vAlign w:val="bottom"/>
            <w:tcBorders>
              <w:bottom w:val="single" w:sz="8" w:color="auto"/>
              <w:right w:val="single" w:sz="8" w:color="auto"/>
            </w:tcBorders>
            <w:gridSpan w:val="2"/>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6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r>
      <w:tr>
        <w:trPr>
          <w:trHeight w:val="418"/>
        </w:trPr>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80" w:type="dxa"/>
            <w:vAlign w:val="bottom"/>
            <w:gridSpan w:val="3"/>
          </w:tcPr>
          <w:p>
            <w:pPr>
              <w:ind w:left="260"/>
              <w:spacing w:after="0"/>
              <w:rPr>
                <w:sz w:val="20"/>
                <w:szCs w:val="20"/>
                <w:color w:val="auto"/>
              </w:rPr>
            </w:pPr>
            <w:r>
              <w:rPr>
                <w:rFonts w:ascii="Arial" w:cs="Arial" w:eastAsia="Arial" w:hAnsi="Arial"/>
                <w:sz w:val="17"/>
                <w:szCs w:val="17"/>
                <w:color w:val="auto"/>
              </w:rPr>
              <w:t>Exhibit A-1 - 9</w:t>
            </w:r>
          </w:p>
        </w:tc>
        <w:tc>
          <w:tcPr>
            <w:tcW w:w="14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80" w:type="dxa"/>
            <w:vAlign w:val="bottom"/>
          </w:tcPr>
          <w:p>
            <w:pPr>
              <w:spacing w:after="0"/>
              <w:rPr>
                <w:sz w:val="24"/>
                <w:szCs w:val="24"/>
                <w:color w:val="auto"/>
              </w:rPr>
            </w:pPr>
          </w:p>
        </w:tc>
      </w:tr>
    </w:tbl>
    <w:p>
      <w:pPr>
        <w:sectPr>
          <w:pgSz w:w="11900" w:h="16838" w:orient="portrait"/>
          <w:cols w:equalWidth="0" w:num="1">
            <w:col w:w="11440"/>
          </w:cols>
          <w:pgMar w:left="240" w:top="553" w:right="219" w:bottom="1440" w:gutter="0" w:footer="0" w:header="0"/>
        </w:sectPr>
      </w:pPr>
    </w:p>
    <w:bookmarkStart w:id="212" w:name="page213"/>
    <w:bookmarkEnd w:id="212"/>
    <w:p>
      <w:pPr>
        <w:spacing w:after="0"/>
        <w:rPr>
          <w:sz w:val="20"/>
          <w:szCs w:val="20"/>
          <w:color w:val="auto"/>
        </w:rPr>
      </w:pPr>
      <w:r>
        <w:rPr>
          <w:rFonts w:ascii="Arial" w:cs="Arial" w:eastAsia="Arial" w:hAnsi="Arial"/>
          <w:sz w:val="20"/>
          <w:szCs w:val="20"/>
          <w:b w:val="1"/>
          <w:bCs w:val="1"/>
          <w:color w:val="auto"/>
        </w:rPr>
        <w:t>Other Assets</w:t>
      </w:r>
    </w:p>
    <w:p>
      <w:pPr>
        <w:spacing w:after="0" w:line="326" w:lineRule="exact"/>
        <w:rPr>
          <w:sz w:val="20"/>
          <w:szCs w:val="20"/>
          <w:color w:val="auto"/>
        </w:rPr>
      </w:pPr>
    </w:p>
    <w:tbl>
      <w:tblPr>
        <w:tblLayout w:type="fixed"/>
        <w:tblInd w:w="50" w:type="dxa"/>
        <w:tblCellMar>
          <w:top w:w="0" w:type="dxa"/>
          <w:left w:w="0" w:type="dxa"/>
          <w:bottom w:w="0" w:type="dxa"/>
          <w:right w:w="0" w:type="dxa"/>
        </w:tblCellMar>
      </w:tblPr>
      <w:tr>
        <w:trPr>
          <w:trHeight w:val="225"/>
        </w:trPr>
        <w:tc>
          <w:tcPr>
            <w:tcW w:w="1380" w:type="dxa"/>
            <w:vAlign w:val="bottom"/>
            <w:tcBorders>
              <w:top w:val="single" w:sz="8" w:color="auto"/>
              <w:left w:val="single" w:sz="8" w:color="auto"/>
              <w:right w:val="single" w:sz="8" w:color="auto"/>
            </w:tcBorders>
          </w:tcPr>
          <w:p>
            <w:pPr>
              <w:spacing w:after="0"/>
              <w:rPr>
                <w:sz w:val="19"/>
                <w:szCs w:val="19"/>
                <w:color w:val="auto"/>
              </w:rPr>
            </w:pPr>
          </w:p>
        </w:tc>
        <w:tc>
          <w:tcPr>
            <w:tcW w:w="2060" w:type="dxa"/>
            <w:vAlign w:val="bottom"/>
            <w:tcBorders>
              <w:top w:val="single" w:sz="8" w:color="auto"/>
              <w:right w:val="single" w:sz="8" w:color="auto"/>
            </w:tcBorders>
          </w:tcPr>
          <w:p>
            <w:pPr>
              <w:spacing w:after="0"/>
              <w:rPr>
                <w:sz w:val="19"/>
                <w:szCs w:val="19"/>
                <w:color w:val="auto"/>
              </w:rPr>
            </w:pPr>
          </w:p>
        </w:tc>
        <w:tc>
          <w:tcPr>
            <w:tcW w:w="1480" w:type="dxa"/>
            <w:vAlign w:val="bottom"/>
            <w:tcBorders>
              <w:top w:val="single" w:sz="8" w:color="auto"/>
              <w:right w:val="single" w:sz="8" w:color="auto"/>
            </w:tcBorders>
          </w:tcPr>
          <w:p>
            <w:pPr>
              <w:spacing w:after="0"/>
              <w:rPr>
                <w:sz w:val="19"/>
                <w:szCs w:val="19"/>
                <w:color w:val="auto"/>
              </w:rPr>
            </w:pPr>
          </w:p>
        </w:tc>
        <w:tc>
          <w:tcPr>
            <w:tcW w:w="1700" w:type="dxa"/>
            <w:vAlign w:val="bottom"/>
            <w:tcBorders>
              <w:top w:val="single" w:sz="8" w:color="auto"/>
              <w:right w:val="single" w:sz="8" w:color="auto"/>
            </w:tcBorders>
          </w:tcPr>
          <w:p>
            <w:pPr>
              <w:spacing w:after="0"/>
              <w:rPr>
                <w:sz w:val="19"/>
                <w:szCs w:val="19"/>
                <w:color w:val="auto"/>
              </w:rPr>
            </w:pPr>
          </w:p>
        </w:tc>
        <w:tc>
          <w:tcPr>
            <w:tcW w:w="1580" w:type="dxa"/>
            <w:vAlign w:val="bottom"/>
            <w:tcBorders>
              <w:top w:val="single" w:sz="8" w:color="auto"/>
              <w:right w:val="single" w:sz="8" w:color="auto"/>
            </w:tcBorders>
          </w:tcPr>
          <w:p>
            <w:pPr>
              <w:spacing w:after="0"/>
              <w:rPr>
                <w:sz w:val="19"/>
                <w:szCs w:val="19"/>
                <w:color w:val="auto"/>
              </w:rPr>
            </w:pPr>
          </w:p>
        </w:tc>
        <w:tc>
          <w:tcPr>
            <w:tcW w:w="1460" w:type="dxa"/>
            <w:vAlign w:val="bottom"/>
            <w:tcBorders>
              <w:top w:val="single" w:sz="8" w:color="auto"/>
              <w:right w:val="single" w:sz="8" w:color="auto"/>
            </w:tcBorders>
          </w:tcPr>
          <w:p>
            <w:pPr>
              <w:spacing w:after="0"/>
              <w:rPr>
                <w:sz w:val="19"/>
                <w:szCs w:val="19"/>
                <w:color w:val="auto"/>
              </w:rPr>
            </w:pPr>
          </w:p>
        </w:tc>
        <w:tc>
          <w:tcPr>
            <w:tcW w:w="17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[MKT VALUE</w:t>
            </w:r>
          </w:p>
        </w:tc>
      </w:tr>
      <w:tr>
        <w:trPr>
          <w:trHeight w:val="200"/>
        </w:trPr>
        <w:tc>
          <w:tcPr>
            <w:tcW w:w="1380" w:type="dxa"/>
            <w:vAlign w:val="bottom"/>
            <w:tcBorders>
              <w:left w:val="single" w:sz="8" w:color="auto"/>
              <w:right w:val="single" w:sz="8" w:color="auto"/>
            </w:tcBorders>
          </w:tcPr>
          <w:p>
            <w:pPr>
              <w:spacing w:after="0"/>
              <w:rPr>
                <w:sz w:val="17"/>
                <w:szCs w:val="17"/>
                <w:color w:val="auto"/>
              </w:rPr>
            </w:pPr>
          </w:p>
        </w:tc>
        <w:tc>
          <w:tcPr>
            <w:tcW w:w="2060" w:type="dxa"/>
            <w:vAlign w:val="bottom"/>
            <w:tcBorders>
              <w:right w:val="single" w:sz="8" w:color="auto"/>
            </w:tcBorders>
          </w:tcPr>
          <w:p>
            <w:pPr>
              <w:spacing w:after="0"/>
              <w:rPr>
                <w:sz w:val="17"/>
                <w:szCs w:val="17"/>
                <w:color w:val="auto"/>
              </w:rPr>
            </w:pPr>
          </w:p>
        </w:tc>
        <w:tc>
          <w:tcPr>
            <w:tcW w:w="1480" w:type="dxa"/>
            <w:vAlign w:val="bottom"/>
            <w:tcBorders>
              <w:right w:val="single" w:sz="8" w:color="auto"/>
            </w:tcBorders>
          </w:tcPr>
          <w:p>
            <w:pPr>
              <w:spacing w:after="0"/>
              <w:rPr>
                <w:sz w:val="17"/>
                <w:szCs w:val="17"/>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[MATURITY</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0"/>
              </w:rPr>
              <w:t>[PAR</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6"/>
              </w:rPr>
              <w:t>[CREDIT</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1"/>
              </w:rPr>
              <w:t>(AS OF</w:t>
            </w:r>
          </w:p>
        </w:tc>
      </w:tr>
      <w:tr>
        <w:trPr>
          <w:trHeight w:val="213"/>
        </w:trPr>
        <w:tc>
          <w:tcPr>
            <w:tcW w:w="13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2"/>
              </w:rPr>
              <w:t>CUSIP</w:t>
            </w:r>
          </w:p>
        </w:tc>
        <w:tc>
          <w:tcPr>
            <w:tcW w:w="2060" w:type="dxa"/>
            <w:vAlign w:val="bottom"/>
            <w:tcBorders>
              <w:right w:val="single" w:sz="8" w:color="auto"/>
            </w:tcBorders>
          </w:tcPr>
          <w:p>
            <w:pPr>
              <w:ind w:left="720"/>
              <w:spacing w:after="0"/>
              <w:rPr>
                <w:sz w:val="20"/>
                <w:szCs w:val="20"/>
                <w:color w:val="auto"/>
              </w:rPr>
            </w:pPr>
            <w:r>
              <w:rPr>
                <w:rFonts w:ascii="Arial" w:cs="Arial" w:eastAsia="Arial" w:hAnsi="Arial"/>
                <w:sz w:val="17"/>
                <w:szCs w:val="17"/>
                <w:color w:val="auto"/>
              </w:rPr>
              <w:t>ISSUER</w:t>
            </w:r>
          </w:p>
        </w:tc>
        <w:tc>
          <w:tcPr>
            <w:tcW w:w="1480" w:type="dxa"/>
            <w:vAlign w:val="bottom"/>
            <w:tcBorders>
              <w:right w:val="single" w:sz="8" w:color="auto"/>
            </w:tcBorders>
          </w:tcPr>
          <w:p>
            <w:pPr>
              <w:ind w:left="320"/>
              <w:spacing w:after="0"/>
              <w:rPr>
                <w:sz w:val="20"/>
                <w:szCs w:val="20"/>
                <w:color w:val="auto"/>
              </w:rPr>
            </w:pPr>
            <w:r>
              <w:rPr>
                <w:rFonts w:ascii="Arial" w:cs="Arial" w:eastAsia="Arial" w:hAnsi="Arial"/>
                <w:sz w:val="17"/>
                <w:szCs w:val="17"/>
                <w:color w:val="auto"/>
              </w:rPr>
              <w:t>[COUPON]</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5"/>
              </w:rPr>
              <w:t>DATE]</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AMNT]</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QUALITY]</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MM/DD/YY)]</w:t>
            </w:r>
          </w:p>
        </w:tc>
      </w:tr>
      <w:tr>
        <w:trPr>
          <w:trHeight w:val="25"/>
        </w:trPr>
        <w:tc>
          <w:tcPr>
            <w:tcW w:w="1380" w:type="dxa"/>
            <w:vAlign w:val="bottom"/>
            <w:tcBorders>
              <w:left w:val="single" w:sz="8" w:color="auto"/>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r>
      <w:tr>
        <w:trPr>
          <w:trHeight w:val="556"/>
        </w:trPr>
        <w:tc>
          <w:tcPr>
            <w:tcW w:w="1380" w:type="dxa"/>
            <w:vAlign w:val="bottom"/>
            <w:tcBorders>
              <w:left w:val="single" w:sz="8" w:color="auto"/>
              <w:bottom w:val="single" w:sz="8" w:color="auto"/>
              <w:right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c>
          <w:tcPr>
            <w:tcW w:w="14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1580" w:type="dxa"/>
            <w:vAlign w:val="bottom"/>
            <w:tcBorders>
              <w:bottom w:val="single" w:sz="8" w:color="auto"/>
              <w:right w:val="single" w:sz="8" w:color="auto"/>
            </w:tcBorders>
          </w:tcPr>
          <w:p>
            <w:pPr>
              <w:spacing w:after="0"/>
              <w:rPr>
                <w:sz w:val="24"/>
                <w:szCs w:val="24"/>
                <w:color w:val="auto"/>
              </w:rPr>
            </w:pPr>
          </w:p>
        </w:tc>
        <w:tc>
          <w:tcPr>
            <w:tcW w:w="1460" w:type="dxa"/>
            <w:vAlign w:val="bottom"/>
            <w:tcBorders>
              <w:bottom w:val="single" w:sz="8" w:color="auto"/>
              <w:right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568"/>
        </w:trPr>
        <w:tc>
          <w:tcPr>
            <w:tcW w:w="1380" w:type="dxa"/>
            <w:vAlign w:val="bottom"/>
            <w:tcBorders>
              <w:left w:val="single" w:sz="8" w:color="auto"/>
              <w:bottom w:val="single" w:sz="8" w:color="auto"/>
              <w:right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c>
          <w:tcPr>
            <w:tcW w:w="14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1580" w:type="dxa"/>
            <w:vAlign w:val="bottom"/>
            <w:tcBorders>
              <w:bottom w:val="single" w:sz="8" w:color="auto"/>
              <w:right w:val="single" w:sz="8" w:color="auto"/>
            </w:tcBorders>
          </w:tcPr>
          <w:p>
            <w:pPr>
              <w:spacing w:after="0"/>
              <w:rPr>
                <w:sz w:val="24"/>
                <w:szCs w:val="24"/>
                <w:color w:val="auto"/>
              </w:rPr>
            </w:pPr>
          </w:p>
        </w:tc>
        <w:tc>
          <w:tcPr>
            <w:tcW w:w="1460" w:type="dxa"/>
            <w:vAlign w:val="bottom"/>
            <w:tcBorders>
              <w:bottom w:val="single" w:sz="8" w:color="auto"/>
              <w:right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05"/>
        </w:trPr>
        <w:tc>
          <w:tcPr>
            <w:tcW w:w="13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1"/>
              </w:rPr>
              <w:t>SUB</w:t>
            </w:r>
          </w:p>
        </w:tc>
        <w:tc>
          <w:tcPr>
            <w:tcW w:w="2060" w:type="dxa"/>
            <w:vAlign w:val="bottom"/>
            <w:tcBorders>
              <w:right w:val="single" w:sz="8" w:color="auto"/>
            </w:tcBorders>
          </w:tcPr>
          <w:p>
            <w:pPr>
              <w:spacing w:after="0"/>
              <w:rPr>
                <w:sz w:val="17"/>
                <w:szCs w:val="17"/>
                <w:color w:val="auto"/>
              </w:rPr>
            </w:pPr>
          </w:p>
        </w:tc>
        <w:tc>
          <w:tcPr>
            <w:tcW w:w="1480" w:type="dxa"/>
            <w:vAlign w:val="bottom"/>
            <w:tcBorders>
              <w:right w:val="single" w:sz="8" w:color="auto"/>
            </w:tcBorders>
          </w:tcPr>
          <w:p>
            <w:pPr>
              <w:spacing w:after="0"/>
              <w:rPr>
                <w:sz w:val="17"/>
                <w:szCs w:val="17"/>
                <w:color w:val="auto"/>
              </w:rPr>
            </w:pPr>
          </w:p>
        </w:tc>
        <w:tc>
          <w:tcPr>
            <w:tcW w:w="1700" w:type="dxa"/>
            <w:vAlign w:val="bottom"/>
            <w:tcBorders>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tcPr>
          <w:p>
            <w:pPr>
              <w:spacing w:after="0"/>
              <w:rPr>
                <w:sz w:val="17"/>
                <w:szCs w:val="17"/>
                <w:color w:val="auto"/>
              </w:rPr>
            </w:pPr>
          </w:p>
        </w:tc>
        <w:tc>
          <w:tcPr>
            <w:tcW w:w="1720" w:type="dxa"/>
            <w:vAlign w:val="bottom"/>
            <w:tcBorders>
              <w:right w:val="single" w:sz="8" w:color="auto"/>
            </w:tcBorders>
          </w:tcPr>
          <w:p>
            <w:pPr>
              <w:spacing w:after="0"/>
              <w:rPr>
                <w:sz w:val="17"/>
                <w:szCs w:val="17"/>
                <w:color w:val="auto"/>
              </w:rPr>
            </w:pPr>
          </w:p>
        </w:tc>
      </w:tr>
      <w:tr>
        <w:trPr>
          <w:trHeight w:val="213"/>
        </w:trPr>
        <w:tc>
          <w:tcPr>
            <w:tcW w:w="13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8"/>
              </w:rPr>
              <w:t>TOTAL</w:t>
            </w:r>
          </w:p>
        </w:tc>
        <w:tc>
          <w:tcPr>
            <w:tcW w:w="206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r>
      <w:tr>
        <w:trPr>
          <w:trHeight w:val="25"/>
        </w:trPr>
        <w:tc>
          <w:tcPr>
            <w:tcW w:w="1380" w:type="dxa"/>
            <w:vAlign w:val="bottom"/>
            <w:tcBorders>
              <w:left w:val="single" w:sz="8" w:color="auto"/>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Contribution as determined on [November 1, 2012]:</w:t>
      </w:r>
    </w:p>
    <w:p>
      <w:pPr>
        <w:spacing w:after="0" w:line="200" w:lineRule="exact"/>
        <w:rPr>
          <w:sz w:val="20"/>
          <w:szCs w:val="20"/>
          <w:color w:val="auto"/>
        </w:rPr>
      </w:pPr>
    </w:p>
    <w:p>
      <w:pPr>
        <w:spacing w:after="0" w:line="208" w:lineRule="exact"/>
        <w:rPr>
          <w:sz w:val="20"/>
          <w:szCs w:val="20"/>
          <w:color w:val="auto"/>
        </w:rPr>
      </w:pPr>
    </w:p>
    <w:p>
      <w:pPr>
        <w:ind w:left="600"/>
        <w:spacing w:after="0"/>
        <w:rPr>
          <w:sz w:val="20"/>
          <w:szCs w:val="20"/>
          <w:color w:val="auto"/>
        </w:rPr>
      </w:pPr>
      <w:r>
        <w:rPr>
          <w:rFonts w:ascii="Arial" w:cs="Arial" w:eastAsia="Arial" w:hAnsi="Arial"/>
          <w:sz w:val="20"/>
          <w:szCs w:val="20"/>
          <w:b w:val="1"/>
          <w:bCs w:val="1"/>
          <w:color w:val="auto"/>
        </w:rPr>
        <w:t>Cash Assets: $ _______________________</w:t>
      </w:r>
    </w:p>
    <w:p>
      <w:pPr>
        <w:spacing w:after="0" w:line="200" w:lineRule="exact"/>
        <w:rPr>
          <w:sz w:val="20"/>
          <w:szCs w:val="20"/>
          <w:color w:val="auto"/>
        </w:rPr>
      </w:pPr>
    </w:p>
    <w:p>
      <w:pPr>
        <w:spacing w:after="0" w:line="208" w:lineRule="exact"/>
        <w:rPr>
          <w:sz w:val="20"/>
          <w:szCs w:val="20"/>
          <w:color w:val="auto"/>
        </w:rPr>
      </w:pPr>
    </w:p>
    <w:p>
      <w:pPr>
        <w:ind w:left="600"/>
        <w:spacing w:after="0"/>
        <w:rPr>
          <w:sz w:val="20"/>
          <w:szCs w:val="20"/>
          <w:color w:val="auto"/>
        </w:rPr>
      </w:pPr>
      <w:r>
        <w:rPr>
          <w:rFonts w:ascii="Arial" w:cs="Arial" w:eastAsia="Arial" w:hAnsi="Arial"/>
          <w:sz w:val="20"/>
          <w:szCs w:val="20"/>
          <w:b w:val="1"/>
          <w:bCs w:val="1"/>
          <w:color w:val="auto"/>
        </w:rPr>
        <w:t>Fixed Income Assets: $_________________</w:t>
      </w:r>
    </w:p>
    <w:p>
      <w:pPr>
        <w:spacing w:after="0" w:line="398" w:lineRule="exact"/>
        <w:rPr>
          <w:sz w:val="20"/>
          <w:szCs w:val="20"/>
          <w:color w:val="auto"/>
        </w:rPr>
      </w:pPr>
    </w:p>
    <w:p>
      <w:pPr>
        <w:ind w:left="720" w:hanging="119"/>
        <w:spacing w:after="0"/>
        <w:tabs>
          <w:tab w:leader="none" w:pos="720" w:val="left"/>
        </w:tabs>
        <w:numPr>
          <w:ilvl w:val="0"/>
          <w:numId w:val="180"/>
        </w:numPr>
        <w:rPr>
          <w:rFonts w:ascii="Arial" w:cs="Arial" w:eastAsia="Arial" w:hAnsi="Arial"/>
          <w:sz w:val="20"/>
          <w:szCs w:val="20"/>
          <w:color w:val="auto"/>
        </w:rPr>
      </w:pPr>
      <w:r>
        <w:rPr>
          <w:rFonts w:ascii="Arial" w:cs="Arial" w:eastAsia="Arial" w:hAnsi="Arial"/>
          <w:sz w:val="20"/>
          <w:szCs w:val="20"/>
          <w:color w:val="auto"/>
        </w:rPr>
        <w:t xml:space="preserve">*** </w:t>
      </w:r>
      <w:r>
        <w:rPr>
          <w:rFonts w:ascii="Arial" w:cs="Arial" w:eastAsia="Arial" w:hAnsi="Arial"/>
          <w:sz w:val="21"/>
          <w:szCs w:val="21"/>
          <w:color w:val="auto"/>
        </w:rPr>
        <w:t>]</w:t>
      </w:r>
      <w:r>
        <w:rPr>
          <w:rFonts w:ascii="Arial" w:cs="Arial" w:eastAsia="Arial" w:hAnsi="Arial"/>
          <w:sz w:val="20"/>
          <w:szCs w:val="20"/>
          <w:color w:val="auto"/>
        </w:rPr>
        <w:t xml:space="preserve"> </w:t>
      </w:r>
      <w:r>
        <w:rPr>
          <w:rFonts w:ascii="Arial" w:cs="Arial" w:eastAsia="Arial" w:hAnsi="Arial"/>
          <w:sz w:val="20"/>
          <w:szCs w:val="20"/>
          <w:b w:val="1"/>
          <w:bCs w:val="1"/>
          <w:color w:val="auto"/>
        </w:rPr>
        <w:t>$________________</w:t>
      </w:r>
    </w:p>
    <w:p>
      <w:pPr>
        <w:spacing w:after="0" w:line="200" w:lineRule="exact"/>
        <w:rPr>
          <w:sz w:val="20"/>
          <w:szCs w:val="20"/>
          <w:color w:val="auto"/>
        </w:rPr>
      </w:pPr>
    </w:p>
    <w:p>
      <w:pPr>
        <w:spacing w:after="0" w:line="220" w:lineRule="exact"/>
        <w:rPr>
          <w:sz w:val="20"/>
          <w:szCs w:val="20"/>
          <w:color w:val="auto"/>
        </w:rPr>
      </w:pPr>
    </w:p>
    <w:p>
      <w:pPr>
        <w:ind w:left="600"/>
        <w:spacing w:after="0"/>
        <w:rPr>
          <w:sz w:val="20"/>
          <w:szCs w:val="20"/>
          <w:color w:val="auto"/>
        </w:rPr>
      </w:pPr>
      <w:r>
        <w:rPr>
          <w:rFonts w:ascii="Arial" w:cs="Arial" w:eastAsia="Arial" w:hAnsi="Arial"/>
          <w:sz w:val="20"/>
          <w:szCs w:val="20"/>
          <w:b w:val="1"/>
          <w:bCs w:val="1"/>
          <w:color w:val="auto"/>
        </w:rPr>
        <w:t>Other Assets: $_______________________</w:t>
      </w:r>
    </w:p>
    <w:p>
      <w:pPr>
        <w:spacing w:after="0" w:line="200" w:lineRule="exact"/>
        <w:rPr>
          <w:sz w:val="20"/>
          <w:szCs w:val="20"/>
          <w:color w:val="auto"/>
        </w:rPr>
      </w:pPr>
    </w:p>
    <w:p>
      <w:pPr>
        <w:spacing w:after="0" w:line="208" w:lineRule="exact"/>
        <w:rPr>
          <w:sz w:val="20"/>
          <w:szCs w:val="20"/>
          <w:color w:val="auto"/>
        </w:rPr>
      </w:pPr>
    </w:p>
    <w:p>
      <w:pPr>
        <w:ind w:left="600"/>
        <w:spacing w:after="0"/>
        <w:rPr>
          <w:sz w:val="20"/>
          <w:szCs w:val="20"/>
          <w:color w:val="auto"/>
        </w:rPr>
      </w:pPr>
      <w:r>
        <w:rPr>
          <w:rFonts w:ascii="Arial" w:cs="Arial" w:eastAsia="Arial" w:hAnsi="Arial"/>
          <w:sz w:val="20"/>
          <w:szCs w:val="20"/>
          <w:b w:val="1"/>
          <w:bCs w:val="1"/>
          <w:color w:val="auto"/>
        </w:rPr>
        <w:t>Total Assets: $______________________</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Exhibit A-1 - 10</w:t>
      </w:r>
    </w:p>
    <w:p>
      <w:pPr>
        <w:sectPr>
          <w:pgSz w:w="11900" w:h="16838" w:orient="portrait"/>
          <w:cols w:equalWidth="0" w:num="1">
            <w:col w:w="11400"/>
          </w:cols>
          <w:pgMar w:left="240" w:top="753" w:right="259" w:bottom="1440" w:gutter="0" w:footer="0" w:header="0"/>
        </w:sectPr>
      </w:pPr>
    </w:p>
    <w:bookmarkStart w:id="213" w:name="page214"/>
    <w:bookmarkEnd w:id="213"/>
    <w:p>
      <w:pPr>
        <w:jc w:val="center"/>
        <w:spacing w:after="0"/>
        <w:rPr>
          <w:sz w:val="20"/>
          <w:szCs w:val="20"/>
          <w:color w:val="auto"/>
        </w:rPr>
      </w:pPr>
      <w:r>
        <w:rPr>
          <w:rFonts w:ascii="Arial" w:cs="Arial" w:eastAsia="Arial" w:hAnsi="Arial"/>
          <w:sz w:val="20"/>
          <w:szCs w:val="20"/>
          <w:b w:val="1"/>
          <w:bCs w:val="1"/>
          <w:u w:val="single" w:color="auto"/>
          <w:color w:val="auto"/>
        </w:rPr>
        <w:t>Exhibit B</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FORM OF PLAN TRUSTEE AGREEMENT</w:t>
      </w:r>
    </w:p>
    <w:p>
      <w:pPr>
        <w:spacing w:after="0" w:line="200" w:lineRule="exact"/>
        <w:rPr>
          <w:sz w:val="20"/>
          <w:szCs w:val="20"/>
          <w:color w:val="auto"/>
        </w:rPr>
      </w:pPr>
    </w:p>
    <w:p>
      <w:pPr>
        <w:spacing w:after="0" w:line="212" w:lineRule="exact"/>
        <w:rPr>
          <w:sz w:val="20"/>
          <w:szCs w:val="20"/>
          <w:color w:val="auto"/>
        </w:rPr>
      </w:pPr>
    </w:p>
    <w:p>
      <w:pPr>
        <w:ind w:right="200" w:firstLine="601"/>
        <w:spacing w:after="0" w:line="269" w:lineRule="auto"/>
        <w:rPr>
          <w:sz w:val="20"/>
          <w:szCs w:val="20"/>
          <w:color w:val="auto"/>
        </w:rPr>
      </w:pPr>
      <w:r>
        <w:rPr>
          <w:rFonts w:ascii="Arial" w:cs="Arial" w:eastAsia="Arial" w:hAnsi="Arial"/>
          <w:sz w:val="19"/>
          <w:szCs w:val="19"/>
          <w:color w:val="auto"/>
        </w:rPr>
        <w:t>This PLAN TRUSTEE AGREEMENT (this “</w:t>
      </w:r>
      <w:r>
        <w:rPr>
          <w:rFonts w:ascii="Arial" w:cs="Arial" w:eastAsia="Arial" w:hAnsi="Arial"/>
          <w:sz w:val="19"/>
          <w:szCs w:val="19"/>
          <w:u w:val="single" w:color="auto"/>
          <w:color w:val="auto"/>
        </w:rPr>
        <w:t>Agreement</w:t>
      </w:r>
      <w:r>
        <w:rPr>
          <w:rFonts w:ascii="Arial" w:cs="Arial" w:eastAsia="Arial" w:hAnsi="Arial"/>
          <w:sz w:val="19"/>
          <w:szCs w:val="19"/>
          <w:color w:val="auto"/>
        </w:rPr>
        <w:t>”) is dated as of [•], and effective as of [DTFA Closing], by and among The Prudential Insurance Company of America, a New Jersey life insurance company (the “</w:t>
      </w:r>
      <w:r>
        <w:rPr>
          <w:rFonts w:ascii="Arial" w:cs="Arial" w:eastAsia="Arial" w:hAnsi="Arial"/>
          <w:sz w:val="19"/>
          <w:szCs w:val="19"/>
          <w:u w:val="single" w:color="auto"/>
          <w:color w:val="auto"/>
        </w:rPr>
        <w:t>Insurer</w:t>
      </w:r>
      <w:r>
        <w:rPr>
          <w:rFonts w:ascii="Arial" w:cs="Arial" w:eastAsia="Arial" w:hAnsi="Arial"/>
          <w:sz w:val="19"/>
          <w:szCs w:val="19"/>
          <w:color w:val="auto"/>
        </w:rPr>
        <w:t>”), the independent fiduciary of the General Motors Retirement Program for Salaried Employees (the “</w:t>
      </w:r>
      <w:r>
        <w:rPr>
          <w:rFonts w:ascii="Arial" w:cs="Arial" w:eastAsia="Arial" w:hAnsi="Arial"/>
          <w:sz w:val="19"/>
          <w:szCs w:val="19"/>
          <w:u w:val="single" w:color="auto"/>
          <w:color w:val="auto"/>
        </w:rPr>
        <w:t>Plan</w:t>
      </w:r>
      <w:r>
        <w:rPr>
          <w:rFonts w:ascii="Arial" w:cs="Arial" w:eastAsia="Arial" w:hAnsi="Arial"/>
          <w:sz w:val="19"/>
          <w:szCs w:val="19"/>
          <w:color w:val="auto"/>
        </w:rPr>
        <w:t>”) with authority and responsibility to represent the Plan and its participants and beneficiaries in regard to the transactions set forth herein (the “</w:t>
      </w:r>
      <w:r>
        <w:rPr>
          <w:rFonts w:ascii="Arial" w:cs="Arial" w:eastAsia="Arial" w:hAnsi="Arial"/>
          <w:sz w:val="19"/>
          <w:szCs w:val="19"/>
          <w:u w:val="single" w:color="auto"/>
          <w:color w:val="auto"/>
        </w:rPr>
        <w:t>Independent Fiduciary</w:t>
      </w:r>
      <w:r>
        <w:rPr>
          <w:rFonts w:ascii="Arial" w:cs="Arial" w:eastAsia="Arial" w:hAnsi="Arial"/>
          <w:sz w:val="19"/>
          <w:szCs w:val="19"/>
          <w:color w:val="auto"/>
        </w:rPr>
        <w:t>”) and [the trustee of the Plan intended to hold the Guaranteed Annuity Contract], in its capacity as trustee for one or more trusts that hold Plan assets (the “</w:t>
      </w:r>
      <w:r>
        <w:rPr>
          <w:rFonts w:ascii="Arial" w:cs="Arial" w:eastAsia="Arial" w:hAnsi="Arial"/>
          <w:sz w:val="19"/>
          <w:szCs w:val="19"/>
          <w:u w:val="single" w:color="auto"/>
          <w:color w:val="auto"/>
        </w:rPr>
        <w:t>Plan Trustee</w:t>
      </w:r>
      <w:r>
        <w:rPr>
          <w:rFonts w:ascii="Arial" w:cs="Arial" w:eastAsia="Arial" w:hAnsi="Arial"/>
          <w:sz w:val="19"/>
          <w:szCs w:val="19"/>
          <w:color w:val="auto"/>
        </w:rPr>
        <w:t>”). The Insurer, the Independent Fiduciary and the Plan Trustee are referred to collectively herein as the “</w:t>
      </w:r>
      <w:r>
        <w:rPr>
          <w:rFonts w:ascii="Arial" w:cs="Arial" w:eastAsia="Arial" w:hAnsi="Arial"/>
          <w:sz w:val="19"/>
          <w:szCs w:val="19"/>
          <w:u w:val="single" w:color="auto"/>
          <w:color w:val="auto"/>
        </w:rPr>
        <w:t>Parties</w:t>
      </w:r>
      <w:r>
        <w:rPr>
          <w:rFonts w:ascii="Arial" w:cs="Arial" w:eastAsia="Arial" w:hAnsi="Arial"/>
          <w:sz w:val="19"/>
          <w:szCs w:val="19"/>
          <w:color w:val="auto"/>
        </w:rPr>
        <w:t>.”</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RECITALS</w:t>
      </w:r>
    </w:p>
    <w:p>
      <w:pPr>
        <w:spacing w:after="0" w:line="200" w:lineRule="exact"/>
        <w:rPr>
          <w:sz w:val="20"/>
          <w:szCs w:val="20"/>
          <w:color w:val="auto"/>
        </w:rPr>
      </w:pPr>
    </w:p>
    <w:p>
      <w:pPr>
        <w:spacing w:after="0" w:line="208" w:lineRule="exact"/>
        <w:rPr>
          <w:sz w:val="20"/>
          <w:szCs w:val="20"/>
          <w:color w:val="auto"/>
        </w:rPr>
      </w:pPr>
    </w:p>
    <w:p>
      <w:pPr>
        <w:ind w:right="120" w:firstLine="601"/>
        <w:spacing w:after="0" w:line="275" w:lineRule="auto"/>
        <w:rPr>
          <w:sz w:val="20"/>
          <w:szCs w:val="20"/>
          <w:color w:val="auto"/>
        </w:rPr>
      </w:pPr>
      <w:r>
        <w:rPr>
          <w:rFonts w:ascii="Arial" w:cs="Arial" w:eastAsia="Arial" w:hAnsi="Arial"/>
          <w:sz w:val="20"/>
          <w:szCs w:val="20"/>
          <w:color w:val="auto"/>
        </w:rPr>
        <w:t>WHEREAS, the Insurer, Prudential Financial, Inc., the Independent Fiduciary and General Motors LLC have entered into that certain Definitive Transaction Framework Agreement, dated as of May 30, 2012 (the “</w:t>
      </w:r>
      <w:r>
        <w:rPr>
          <w:rFonts w:ascii="Arial" w:cs="Arial" w:eastAsia="Arial" w:hAnsi="Arial"/>
          <w:sz w:val="20"/>
          <w:szCs w:val="20"/>
          <w:u w:val="single" w:color="auto"/>
          <w:color w:val="auto"/>
        </w:rPr>
        <w:t>DTFA</w:t>
      </w:r>
      <w:r>
        <w:rPr>
          <w:rFonts w:ascii="Arial" w:cs="Arial" w:eastAsia="Arial" w:hAnsi="Arial"/>
          <w:sz w:val="20"/>
          <w:szCs w:val="20"/>
          <w:color w:val="auto"/>
        </w:rPr>
        <w:t>”);</w:t>
      </w:r>
    </w:p>
    <w:p>
      <w:pPr>
        <w:spacing w:after="0" w:line="349" w:lineRule="exact"/>
        <w:rPr>
          <w:sz w:val="20"/>
          <w:szCs w:val="20"/>
          <w:color w:val="auto"/>
        </w:rPr>
      </w:pPr>
    </w:p>
    <w:p>
      <w:pPr>
        <w:ind w:right="580" w:firstLine="601"/>
        <w:spacing w:after="0" w:line="275" w:lineRule="auto"/>
        <w:rPr>
          <w:sz w:val="20"/>
          <w:szCs w:val="20"/>
          <w:color w:val="auto"/>
        </w:rPr>
      </w:pPr>
      <w:r>
        <w:rPr>
          <w:rFonts w:ascii="Arial" w:cs="Arial" w:eastAsia="Arial" w:hAnsi="Arial"/>
          <w:sz w:val="20"/>
          <w:szCs w:val="20"/>
          <w:color w:val="auto"/>
        </w:rPr>
        <w:t>WHEREAS, from time to time pursuant to the terms of the DTFA, the Independent Fiduciary will direct the Plan Trustee to pay certain amounts to the Insurer and to take certain other actions;</w:t>
      </w:r>
    </w:p>
    <w:p>
      <w:pPr>
        <w:spacing w:after="0" w:line="149" w:lineRule="exact"/>
        <w:rPr>
          <w:sz w:val="20"/>
          <w:szCs w:val="20"/>
          <w:color w:val="auto"/>
        </w:rPr>
      </w:pPr>
    </w:p>
    <w:p>
      <w:pPr>
        <w:jc w:val="both"/>
        <w:ind w:firstLine="601"/>
        <w:spacing w:after="0" w:line="275" w:lineRule="auto"/>
        <w:rPr>
          <w:sz w:val="20"/>
          <w:szCs w:val="20"/>
          <w:color w:val="auto"/>
        </w:rPr>
      </w:pPr>
      <w:r>
        <w:rPr>
          <w:rFonts w:ascii="Arial" w:cs="Arial" w:eastAsia="Arial" w:hAnsi="Arial"/>
          <w:sz w:val="20"/>
          <w:szCs w:val="20"/>
          <w:color w:val="auto"/>
        </w:rPr>
        <w:t>WHEREAS, the DTFA contemplates that the Plan Trustee will make the payments and take such actions if and when the Independent Fiduciary gives it an instruction to do so subject to the terms and conditions of the DTFA;</w:t>
      </w:r>
    </w:p>
    <w:p>
      <w:pPr>
        <w:spacing w:after="0" w:line="149" w:lineRule="exact"/>
        <w:rPr>
          <w:sz w:val="20"/>
          <w:szCs w:val="20"/>
          <w:color w:val="auto"/>
        </w:rPr>
      </w:pPr>
    </w:p>
    <w:p>
      <w:pPr>
        <w:jc w:val="both"/>
        <w:ind w:firstLine="601"/>
        <w:spacing w:after="0" w:line="257" w:lineRule="auto"/>
        <w:rPr>
          <w:sz w:val="20"/>
          <w:szCs w:val="20"/>
          <w:color w:val="auto"/>
        </w:rPr>
      </w:pPr>
      <w:r>
        <w:rPr>
          <w:rFonts w:ascii="Arial" w:cs="Arial" w:eastAsia="Arial" w:hAnsi="Arial"/>
          <w:sz w:val="20"/>
          <w:szCs w:val="20"/>
          <w:color w:val="auto"/>
        </w:rPr>
        <w:t>WHEREAS, the Independent Fiduciary, in its capacity as an investment manager as defined in § 3(38) of the Employee Retirement Income Security Act of 1974, as amended (“</w:t>
      </w:r>
      <w:r>
        <w:rPr>
          <w:rFonts w:ascii="Arial" w:cs="Arial" w:eastAsia="Arial" w:hAnsi="Arial"/>
          <w:sz w:val="20"/>
          <w:szCs w:val="20"/>
          <w:u w:val="single" w:color="auto"/>
          <w:color w:val="auto"/>
        </w:rPr>
        <w:t>ERISA</w:t>
      </w:r>
      <w:r>
        <w:rPr>
          <w:rFonts w:ascii="Arial" w:cs="Arial" w:eastAsia="Arial" w:hAnsi="Arial"/>
          <w:sz w:val="20"/>
          <w:szCs w:val="20"/>
          <w:color w:val="auto"/>
        </w:rPr>
        <w:t>”), has the authority to (</w:t>
      </w:r>
      <w:r>
        <w:rPr>
          <w:rFonts w:ascii="Arial" w:cs="Arial" w:eastAsia="Arial" w:hAnsi="Arial"/>
          <w:sz w:val="20"/>
          <w:szCs w:val="20"/>
          <w:u w:val="single" w:color="auto"/>
          <w:color w:val="auto"/>
        </w:rPr>
        <w:t>i</w:t>
      </w:r>
      <w:r>
        <w:rPr>
          <w:rFonts w:ascii="Arial" w:cs="Arial" w:eastAsia="Arial" w:hAnsi="Arial"/>
          <w:sz w:val="20"/>
          <w:szCs w:val="20"/>
          <w:color w:val="auto"/>
        </w:rPr>
        <w:t>) direct the Plan Trustee to pay such amounts and take such actions and (</w:t>
      </w:r>
      <w:r>
        <w:rPr>
          <w:rFonts w:ascii="Arial" w:cs="Arial" w:eastAsia="Arial" w:hAnsi="Arial"/>
          <w:sz w:val="20"/>
          <w:szCs w:val="20"/>
          <w:u w:val="single" w:color="auto"/>
          <w:color w:val="auto"/>
        </w:rPr>
        <w:t>ii</w:t>
      </w:r>
      <w:r>
        <w:rPr>
          <w:rFonts w:ascii="Arial" w:cs="Arial" w:eastAsia="Arial" w:hAnsi="Arial"/>
          <w:sz w:val="20"/>
          <w:szCs w:val="20"/>
          <w:color w:val="auto"/>
        </w:rPr>
        <w:t>) direct the Plan Trustee to enter into this Agreement, in each case in the Plan Trustee's capacity as trustee for one or more trusts that hold Plan assets; and</w:t>
      </w:r>
    </w:p>
    <w:p>
      <w:pPr>
        <w:spacing w:after="0" w:line="367" w:lineRule="exact"/>
        <w:rPr>
          <w:sz w:val="20"/>
          <w:szCs w:val="20"/>
          <w:color w:val="auto"/>
        </w:rPr>
      </w:pPr>
    </w:p>
    <w:p>
      <w:pPr>
        <w:ind w:right="100" w:firstLine="601"/>
        <w:spacing w:after="0" w:line="257" w:lineRule="auto"/>
        <w:rPr>
          <w:sz w:val="20"/>
          <w:szCs w:val="20"/>
          <w:color w:val="auto"/>
        </w:rPr>
      </w:pPr>
      <w:r>
        <w:rPr>
          <w:rFonts w:ascii="Arial" w:cs="Arial" w:eastAsia="Arial" w:hAnsi="Arial"/>
          <w:sz w:val="20"/>
          <w:szCs w:val="20"/>
          <w:color w:val="auto"/>
        </w:rPr>
        <w:t>WHEREAS, the Independent Fiduciary has determined that the transactions contemplated by the DTFA, including the entering into and amendment of the non-participating group annuity contract issued by the Insurer substantially in the form of Appendix 1.1 to the DTFA, and the transferring of certain assets in connection therewith, satisfies ERISA, including but not limited to the requirements of Department of Labor Interpretive Bulletin 95-1.</w:t>
      </w:r>
    </w:p>
    <w:p>
      <w:pPr>
        <w:spacing w:after="0" w:line="367" w:lineRule="exact"/>
        <w:rPr>
          <w:sz w:val="20"/>
          <w:szCs w:val="20"/>
          <w:color w:val="auto"/>
        </w:rPr>
      </w:pPr>
    </w:p>
    <w:p>
      <w:pPr>
        <w:ind w:right="560" w:firstLine="601"/>
        <w:spacing w:after="0" w:line="275" w:lineRule="auto"/>
        <w:rPr>
          <w:sz w:val="20"/>
          <w:szCs w:val="20"/>
          <w:color w:val="auto"/>
        </w:rPr>
      </w:pPr>
      <w:r>
        <w:rPr>
          <w:rFonts w:ascii="Arial" w:cs="Arial" w:eastAsia="Arial" w:hAnsi="Arial"/>
          <w:sz w:val="20"/>
          <w:szCs w:val="20"/>
          <w:color w:val="auto"/>
        </w:rPr>
        <w:t>NOW THEREFORE, in consideration of the mutual covenants herein contained, and other good and valuable consideration, the receipt and adequacy of which are hereby expressly acknowledged, the Parties hereto agree as follows:</w:t>
      </w:r>
    </w:p>
    <w:p>
      <w:pPr>
        <w:spacing w:after="0" w:line="349" w:lineRule="exact"/>
        <w:rPr>
          <w:sz w:val="20"/>
          <w:szCs w:val="20"/>
          <w:color w:val="auto"/>
        </w:rPr>
      </w:pPr>
    </w:p>
    <w:p>
      <w:pPr>
        <w:ind w:right="180" w:firstLine="601"/>
        <w:spacing w:after="0" w:line="279" w:lineRule="auto"/>
        <w:rPr>
          <w:sz w:val="20"/>
          <w:szCs w:val="20"/>
          <w:color w:val="auto"/>
        </w:rPr>
      </w:pPr>
      <w:r>
        <w:rPr>
          <w:rFonts w:ascii="Arial" w:cs="Arial" w:eastAsia="Arial" w:hAnsi="Arial"/>
          <w:sz w:val="19"/>
          <w:szCs w:val="19"/>
          <w:color w:val="auto"/>
        </w:rPr>
        <w:t xml:space="preserve">Section 1. </w:t>
      </w:r>
      <w:r>
        <w:rPr>
          <w:rFonts w:ascii="Arial" w:cs="Arial" w:eastAsia="Arial" w:hAnsi="Arial"/>
          <w:sz w:val="19"/>
          <w:szCs w:val="19"/>
          <w:u w:val="single" w:color="auto"/>
          <w:color w:val="auto"/>
        </w:rPr>
        <w:t>Independent Fiduciary Directions</w:t>
      </w:r>
      <w:r>
        <w:rPr>
          <w:rFonts w:ascii="Arial" w:cs="Arial" w:eastAsia="Arial" w:hAnsi="Arial"/>
          <w:sz w:val="19"/>
          <w:szCs w:val="19"/>
          <w:color w:val="auto"/>
        </w:rPr>
        <w:t>. The Plan Trustee covenants and agrees with the Insurer that it shall promptly and unconditionally comply with any direction given to it by the Independent Fiduciary that directs the Plan Trustee to (</w:t>
      </w:r>
      <w:r>
        <w:rPr>
          <w:rFonts w:ascii="Arial" w:cs="Arial" w:eastAsia="Arial" w:hAnsi="Arial"/>
          <w:sz w:val="19"/>
          <w:szCs w:val="19"/>
          <w:u w:val="single" w:color="auto"/>
          <w:color w:val="auto"/>
        </w:rPr>
        <w:t>a</w:t>
      </w:r>
      <w:r>
        <w:rPr>
          <w:rFonts w:ascii="Arial" w:cs="Arial" w:eastAsia="Arial" w:hAnsi="Arial"/>
          <w:sz w:val="19"/>
          <w:szCs w:val="19"/>
          <w:color w:val="auto"/>
        </w:rPr>
        <w:t>) pay to the Insurer any amounts or (</w:t>
      </w:r>
      <w:r>
        <w:rPr>
          <w:rFonts w:ascii="Arial" w:cs="Arial" w:eastAsia="Arial" w:hAnsi="Arial"/>
          <w:sz w:val="19"/>
          <w:szCs w:val="19"/>
          <w:u w:val="single" w:color="auto"/>
          <w:color w:val="auto"/>
        </w:rPr>
        <w:t>b</w:t>
      </w:r>
      <w:r>
        <w:rPr>
          <w:rFonts w:ascii="Arial" w:cs="Arial" w:eastAsia="Arial" w:hAnsi="Arial"/>
          <w:sz w:val="19"/>
          <w:szCs w:val="19"/>
          <w:color w:val="auto"/>
        </w:rPr>
        <w:t>) take any other actions in relation to the Insurer, including, without limitation, executing amendments to the non-participating group annuity contract issued by the Insurer substantially in the form of Appendix 1.1 to the DTFA.</w:t>
      </w:r>
    </w:p>
    <w:p>
      <w:pPr>
        <w:spacing w:after="0" w:line="348" w:lineRule="exact"/>
        <w:rPr>
          <w:sz w:val="20"/>
          <w:szCs w:val="20"/>
          <w:color w:val="auto"/>
        </w:rPr>
      </w:pPr>
    </w:p>
    <w:p>
      <w:pPr>
        <w:ind w:right="100" w:firstLine="601"/>
        <w:spacing w:after="0" w:line="288" w:lineRule="auto"/>
        <w:rPr>
          <w:sz w:val="20"/>
          <w:szCs w:val="20"/>
          <w:color w:val="auto"/>
        </w:rPr>
      </w:pPr>
      <w:r>
        <w:rPr>
          <w:rFonts w:ascii="Arial" w:cs="Arial" w:eastAsia="Arial" w:hAnsi="Arial"/>
          <w:sz w:val="20"/>
          <w:szCs w:val="20"/>
          <w:color w:val="auto"/>
        </w:rPr>
        <w:t xml:space="preserve">Section 2. </w:t>
      </w:r>
      <w:r>
        <w:rPr>
          <w:rFonts w:ascii="Arial" w:cs="Arial" w:eastAsia="Arial" w:hAnsi="Arial"/>
          <w:sz w:val="20"/>
          <w:szCs w:val="20"/>
          <w:u w:val="single" w:color="auto"/>
          <w:color w:val="auto"/>
        </w:rPr>
        <w:t>Representations and Warranties</w:t>
      </w:r>
      <w:r>
        <w:rPr>
          <w:rFonts w:ascii="Arial" w:cs="Arial" w:eastAsia="Arial" w:hAnsi="Arial"/>
          <w:sz w:val="20"/>
          <w:szCs w:val="20"/>
          <w:color w:val="auto"/>
        </w:rPr>
        <w:t>. Each Party represents and warrants to each of the other Parties that, as of the date hereof, such Party has received all appropriate approvals and</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Exhibit B - 1</w:t>
      </w:r>
    </w:p>
    <w:p>
      <w:pPr>
        <w:sectPr>
          <w:pgSz w:w="11900" w:h="16838" w:orient="portrait"/>
          <w:cols w:equalWidth="0" w:num="1">
            <w:col w:w="11420"/>
          </w:cols>
          <w:pgMar w:left="240" w:top="753" w:right="239" w:bottom="1440" w:gutter="0" w:footer="0" w:header="0"/>
        </w:sectPr>
      </w:pPr>
    </w:p>
    <w:bookmarkStart w:id="214" w:name="page215"/>
    <w:bookmarkEnd w:id="214"/>
    <w:p>
      <w:pPr>
        <w:ind w:right="40"/>
        <w:spacing w:after="0" w:line="290" w:lineRule="auto"/>
        <w:rPr>
          <w:sz w:val="20"/>
          <w:szCs w:val="20"/>
          <w:color w:val="auto"/>
        </w:rPr>
      </w:pPr>
      <w:r>
        <w:rPr>
          <w:rFonts w:ascii="Arial" w:cs="Arial" w:eastAsia="Arial" w:hAnsi="Arial"/>
          <w:sz w:val="18"/>
          <w:szCs w:val="18"/>
          <w:color w:val="auto"/>
        </w:rPr>
        <w:t>authorizations and no other action on the part of such Party or any other person or entity is necessary to authorize the execution, delivery and performance of this Agreement and the consummation of the transactions contemplated to be undertaken by such Party under this Agreement. This Agreement is duly executed and delivered by such Party and is a valid and binding obligation of such Party and enforceable such Party, in accordance with its terms, except to the extent that its enforceability may be subject to applicable bankruptcy, insolvency, reorganization, moratorium and similar law affecting the enforcement of creditors' rights generally and by general equitable principles.</w:t>
      </w:r>
    </w:p>
    <w:p>
      <w:pPr>
        <w:spacing w:after="0" w:line="339" w:lineRule="exact"/>
        <w:rPr>
          <w:sz w:val="20"/>
          <w:szCs w:val="20"/>
          <w:color w:val="auto"/>
        </w:rPr>
      </w:pPr>
    </w:p>
    <w:p>
      <w:pPr>
        <w:ind w:firstLine="601"/>
        <w:spacing w:after="0" w:line="283"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Amendments and Waivers</w:t>
      </w:r>
      <w:r>
        <w:rPr>
          <w:rFonts w:ascii="Arial" w:cs="Arial" w:eastAsia="Arial" w:hAnsi="Arial"/>
          <w:sz w:val="18"/>
          <w:szCs w:val="18"/>
          <w:color w:val="auto"/>
        </w:rPr>
        <w:t xml:space="preserve">. No amendment of any provision of this Agreement will be valid unless the same will be in writing and signed by each party thereto, except as expressly provided herein. No waiver of any breach of this Agreement will be construed as an implied amendment or agreement to amend or modify any provision of this Agreement. No waiver by any Party of any default, misrepresentation or breach of warranty or covenant hereunder, whether intentional or not, will be valid unless the same will be in writing and signed by the Party making such waiver, nor will such waiver be deemed to extend to any prior or subsequent default, misrepresentation or breach of warranty or covenant hereunder or affect in any way any rights arising by virtue of any prior or subsequent default, misrepresentation or breach of warranty or covenant. No conditions, course of dealing or performance, understanding or agreement purporting to modify, vary, explain or supplement the terms or conditions of this Agreement will be binding unless this Agreement is amended or modified in writing pursuant to the first sentence of this </w:t>
      </w:r>
      <w:r>
        <w:rPr>
          <w:rFonts w:ascii="Arial" w:cs="Arial" w:eastAsia="Arial" w:hAnsi="Arial"/>
          <w:sz w:val="18"/>
          <w:szCs w:val="18"/>
          <w:u w:val="single" w:color="auto"/>
          <w:color w:val="auto"/>
        </w:rPr>
        <w:t>Section 3</w:t>
      </w:r>
      <w:r>
        <w:rPr>
          <w:rFonts w:ascii="Arial" w:cs="Arial" w:eastAsia="Arial" w:hAnsi="Arial"/>
          <w:sz w:val="18"/>
          <w:szCs w:val="18"/>
          <w:color w:val="auto"/>
        </w:rPr>
        <w:t>. Except where a specific period for action or inaction is provided herein, no delay on the part of any Party in exercising any right, power or privilege hereunder will operate as a waiver thereof.</w:t>
      </w:r>
    </w:p>
    <w:p>
      <w:pPr>
        <w:spacing w:after="0" w:line="351" w:lineRule="exact"/>
        <w:rPr>
          <w:sz w:val="20"/>
          <w:szCs w:val="20"/>
          <w:color w:val="auto"/>
        </w:rPr>
      </w:pPr>
    </w:p>
    <w:p>
      <w:pPr>
        <w:ind w:right="80" w:firstLine="601"/>
        <w:spacing w:after="0" w:line="268" w:lineRule="auto"/>
        <w:rPr>
          <w:sz w:val="20"/>
          <w:szCs w:val="20"/>
          <w:color w:val="auto"/>
        </w:rPr>
      </w:pPr>
      <w:r>
        <w:rPr>
          <w:rFonts w:ascii="Arial" w:cs="Arial" w:eastAsia="Arial" w:hAnsi="Arial"/>
          <w:sz w:val="20"/>
          <w:szCs w:val="20"/>
          <w:color w:val="auto"/>
        </w:rPr>
        <w:t xml:space="preserve">Section 4. </w:t>
      </w:r>
      <w:r>
        <w:rPr>
          <w:rFonts w:ascii="Arial" w:cs="Arial" w:eastAsia="Arial" w:hAnsi="Arial"/>
          <w:sz w:val="20"/>
          <w:szCs w:val="20"/>
          <w:u w:val="single" w:color="auto"/>
          <w:color w:val="auto"/>
        </w:rPr>
        <w:t>Succession and Assignment</w:t>
      </w:r>
      <w:r>
        <w:rPr>
          <w:rFonts w:ascii="Arial" w:cs="Arial" w:eastAsia="Arial" w:hAnsi="Arial"/>
          <w:sz w:val="20"/>
          <w:szCs w:val="20"/>
          <w:color w:val="auto"/>
        </w:rPr>
        <w:t>. This Agreement will be binding upon and inure to the benefit of the Parties and their respective successors and permitted assigns. No Party may assign either this Agreement or any of its rights, interests or obligations hereunder without the prior written consent of the other Parties.</w:t>
      </w:r>
    </w:p>
    <w:p>
      <w:pPr>
        <w:spacing w:after="0" w:line="356" w:lineRule="exact"/>
        <w:rPr>
          <w:sz w:val="20"/>
          <w:szCs w:val="20"/>
          <w:color w:val="auto"/>
        </w:rPr>
      </w:pPr>
    </w:p>
    <w:p>
      <w:pPr>
        <w:ind w:right="20" w:firstLine="601"/>
        <w:spacing w:after="0" w:line="279" w:lineRule="auto"/>
        <w:rPr>
          <w:sz w:val="20"/>
          <w:szCs w:val="20"/>
          <w:color w:val="auto"/>
        </w:rPr>
      </w:pPr>
      <w:r>
        <w:rPr>
          <w:rFonts w:ascii="Arial" w:cs="Arial" w:eastAsia="Arial" w:hAnsi="Arial"/>
          <w:sz w:val="19"/>
          <w:szCs w:val="19"/>
          <w:color w:val="auto"/>
        </w:rPr>
        <w:t xml:space="preserve">Section 5. </w:t>
      </w:r>
      <w:r>
        <w:rPr>
          <w:rFonts w:ascii="Arial" w:cs="Arial" w:eastAsia="Arial" w:hAnsi="Arial"/>
          <w:sz w:val="19"/>
          <w:szCs w:val="19"/>
          <w:u w:val="single" w:color="auto"/>
          <w:color w:val="auto"/>
        </w:rPr>
        <w:t>Notices</w:t>
      </w:r>
      <w:r>
        <w:rPr>
          <w:rFonts w:ascii="Arial" w:cs="Arial" w:eastAsia="Arial" w:hAnsi="Arial"/>
          <w:sz w:val="19"/>
          <w:szCs w:val="19"/>
          <w:color w:val="auto"/>
        </w:rPr>
        <w:t>. All notices, requests, demands, claims and other communications hereunder will be in writing except as expressly provided herein. Any notice, request, demand, claim or other communication hereunder will be deemed duly given (</w:t>
      </w:r>
      <w:r>
        <w:rPr>
          <w:rFonts w:ascii="Arial" w:cs="Arial" w:eastAsia="Arial" w:hAnsi="Arial"/>
          <w:sz w:val="19"/>
          <w:szCs w:val="19"/>
          <w:u w:val="single" w:color="auto"/>
          <w:color w:val="auto"/>
        </w:rPr>
        <w:t>a</w:t>
      </w:r>
      <w:r>
        <w:rPr>
          <w:rFonts w:ascii="Arial" w:cs="Arial" w:eastAsia="Arial" w:hAnsi="Arial"/>
          <w:sz w:val="19"/>
          <w:szCs w:val="19"/>
          <w:color w:val="auto"/>
        </w:rPr>
        <w:t>) when delivered personally to the recipient; or (</w:t>
      </w:r>
      <w:r>
        <w:rPr>
          <w:rFonts w:ascii="Arial" w:cs="Arial" w:eastAsia="Arial" w:hAnsi="Arial"/>
          <w:sz w:val="19"/>
          <w:szCs w:val="19"/>
          <w:u w:val="single" w:color="auto"/>
          <w:color w:val="auto"/>
        </w:rPr>
        <w:t>b</w:t>
      </w:r>
      <w:r>
        <w:rPr>
          <w:rFonts w:ascii="Arial" w:cs="Arial" w:eastAsia="Arial" w:hAnsi="Arial"/>
          <w:sz w:val="19"/>
          <w:szCs w:val="19"/>
          <w:color w:val="auto"/>
        </w:rPr>
        <w:t>) 1 business day after being sent to the recipient by reputable overnight courier service (charges prepaid), addressed as set forth below, with copies provided by email to those indicated below (including the recipient):</w:t>
      </w:r>
    </w:p>
    <w:p>
      <w:pPr>
        <w:spacing w:after="0" w:line="200" w:lineRule="exact"/>
        <w:rPr>
          <w:sz w:val="20"/>
          <w:szCs w:val="20"/>
          <w:color w:val="auto"/>
        </w:rPr>
      </w:pPr>
    </w:p>
    <w:p>
      <w:pPr>
        <w:spacing w:after="0" w:line="286" w:lineRule="exact"/>
        <w:rPr>
          <w:sz w:val="20"/>
          <w:szCs w:val="20"/>
          <w:color w:val="auto"/>
        </w:rPr>
      </w:pPr>
    </w:p>
    <w:p>
      <w:pPr>
        <w:ind w:left="4780" w:right="5340" w:hanging="4430"/>
        <w:spacing w:after="0" w:line="319" w:lineRule="auto"/>
        <w:tabs>
          <w:tab w:leader="none" w:pos="4760" w:val="left"/>
        </w:tabs>
        <w:rPr>
          <w:sz w:val="20"/>
          <w:szCs w:val="20"/>
          <w:color w:val="auto"/>
        </w:rPr>
      </w:pPr>
      <w:r>
        <w:rPr>
          <w:rFonts w:ascii="Arial" w:cs="Arial" w:eastAsia="Arial" w:hAnsi="Arial"/>
          <w:sz w:val="20"/>
          <w:szCs w:val="20"/>
          <w:color w:val="auto"/>
        </w:rPr>
        <w:t>If to the Plan Trustee</w:t>
      </w:r>
      <w:r>
        <w:rPr>
          <w:sz w:val="20"/>
          <w:szCs w:val="20"/>
          <w:color w:val="auto"/>
        </w:rPr>
        <w:tab/>
      </w:r>
      <w:r>
        <w:rPr>
          <w:rFonts w:ascii="Arial" w:cs="Arial" w:eastAsia="Arial" w:hAnsi="Arial"/>
          <w:sz w:val="18"/>
          <w:szCs w:val="18"/>
          <w:color w:val="auto"/>
        </w:rPr>
        <w:t>[Company] [Street Address]</w:t>
      </w:r>
    </w:p>
    <w:p>
      <w:pPr>
        <w:spacing w:after="0" w:line="1" w:lineRule="exact"/>
        <w:rPr>
          <w:sz w:val="20"/>
          <w:szCs w:val="20"/>
          <w:color w:val="auto"/>
        </w:rPr>
      </w:pPr>
    </w:p>
    <w:p>
      <w:pPr>
        <w:ind w:left="4780"/>
        <w:spacing w:after="0"/>
        <w:rPr>
          <w:sz w:val="20"/>
          <w:szCs w:val="20"/>
          <w:color w:val="auto"/>
        </w:rPr>
      </w:pPr>
      <w:r>
        <w:rPr>
          <w:rFonts w:ascii="Arial" w:cs="Arial" w:eastAsia="Arial" w:hAnsi="Arial"/>
          <w:sz w:val="20"/>
          <w:szCs w:val="20"/>
          <w:color w:val="auto"/>
        </w:rPr>
        <w:t>[City, State, Zip Code, Country]</w:t>
      </w:r>
    </w:p>
    <w:p>
      <w:pPr>
        <w:spacing w:after="0" w:line="45" w:lineRule="exact"/>
        <w:rPr>
          <w:sz w:val="20"/>
          <w:szCs w:val="20"/>
          <w:color w:val="auto"/>
        </w:rPr>
      </w:pPr>
    </w:p>
    <w:p>
      <w:pPr>
        <w:ind w:left="4780"/>
        <w:spacing w:after="0"/>
        <w:rPr>
          <w:sz w:val="20"/>
          <w:szCs w:val="20"/>
          <w:color w:val="auto"/>
        </w:rPr>
      </w:pPr>
      <w:r>
        <w:rPr>
          <w:rFonts w:ascii="Arial" w:cs="Arial" w:eastAsia="Arial" w:hAnsi="Arial"/>
          <w:sz w:val="20"/>
          <w:szCs w:val="20"/>
          <w:color w:val="auto"/>
        </w:rPr>
        <w:t>Attention: [Contact]</w:t>
      </w:r>
    </w:p>
    <w:p>
      <w:pPr>
        <w:spacing w:after="0" w:line="45" w:lineRule="exact"/>
        <w:rPr>
          <w:sz w:val="20"/>
          <w:szCs w:val="20"/>
          <w:color w:val="auto"/>
        </w:rPr>
      </w:pPr>
    </w:p>
    <w:p>
      <w:pPr>
        <w:ind w:left="4780"/>
        <w:spacing w:after="0"/>
        <w:rPr>
          <w:sz w:val="20"/>
          <w:szCs w:val="20"/>
          <w:color w:val="auto"/>
        </w:rPr>
      </w:pPr>
      <w:r>
        <w:rPr>
          <w:rFonts w:ascii="Arial" w:cs="Arial" w:eastAsia="Arial" w:hAnsi="Arial"/>
          <w:sz w:val="20"/>
          <w:szCs w:val="20"/>
          <w:color w:val="auto"/>
        </w:rPr>
        <w:t>Email: [Email]</w:t>
      </w:r>
    </w:p>
    <w:p>
      <w:pPr>
        <w:spacing w:after="0" w:line="321" w:lineRule="exact"/>
        <w:rPr>
          <w:sz w:val="20"/>
          <w:szCs w:val="20"/>
          <w:color w:val="auto"/>
        </w:rPr>
      </w:pPr>
    </w:p>
    <w:p>
      <w:pPr>
        <w:ind w:left="4780"/>
        <w:spacing w:after="0"/>
        <w:rPr>
          <w:sz w:val="20"/>
          <w:szCs w:val="20"/>
          <w:color w:val="auto"/>
        </w:rPr>
      </w:pPr>
      <w:r>
        <w:rPr>
          <w:rFonts w:ascii="Arial" w:cs="Arial" w:eastAsia="Arial" w:hAnsi="Arial"/>
          <w:sz w:val="20"/>
          <w:szCs w:val="20"/>
          <w:color w:val="auto"/>
        </w:rPr>
        <w:t>With a copy (which will not constitute notice to the</w:t>
      </w:r>
    </w:p>
    <w:p>
      <w:pPr>
        <w:spacing w:after="0" w:line="45" w:lineRule="exact"/>
        <w:rPr>
          <w:sz w:val="20"/>
          <w:szCs w:val="20"/>
          <w:color w:val="auto"/>
        </w:rPr>
      </w:pPr>
    </w:p>
    <w:p>
      <w:pPr>
        <w:ind w:left="4780"/>
        <w:spacing w:after="0"/>
        <w:rPr>
          <w:sz w:val="20"/>
          <w:szCs w:val="20"/>
          <w:color w:val="auto"/>
        </w:rPr>
      </w:pPr>
      <w:r>
        <w:rPr>
          <w:rFonts w:ascii="Arial" w:cs="Arial" w:eastAsia="Arial" w:hAnsi="Arial"/>
          <w:sz w:val="20"/>
          <w:szCs w:val="20"/>
          <w:color w:val="auto"/>
        </w:rPr>
        <w:t>Company) to:</w:t>
      </w:r>
    </w:p>
    <w:p>
      <w:pPr>
        <w:spacing w:after="0" w:line="45" w:lineRule="exact"/>
        <w:rPr>
          <w:sz w:val="20"/>
          <w:szCs w:val="20"/>
          <w:color w:val="auto"/>
        </w:rPr>
      </w:pPr>
    </w:p>
    <w:p>
      <w:pPr>
        <w:ind w:left="4780"/>
        <w:spacing w:after="0"/>
        <w:rPr>
          <w:sz w:val="20"/>
          <w:szCs w:val="20"/>
          <w:color w:val="auto"/>
        </w:rPr>
      </w:pPr>
      <w:r>
        <w:rPr>
          <w:rFonts w:ascii="Arial" w:cs="Arial" w:eastAsia="Arial" w:hAnsi="Arial"/>
          <w:sz w:val="20"/>
          <w:szCs w:val="20"/>
          <w:color w:val="auto"/>
        </w:rPr>
        <w:t>[Firm]</w:t>
      </w:r>
    </w:p>
    <w:p>
      <w:pPr>
        <w:spacing w:after="0" w:line="45" w:lineRule="exact"/>
        <w:rPr>
          <w:sz w:val="20"/>
          <w:szCs w:val="20"/>
          <w:color w:val="auto"/>
        </w:rPr>
      </w:pPr>
    </w:p>
    <w:p>
      <w:pPr>
        <w:ind w:left="4780"/>
        <w:spacing w:after="0"/>
        <w:rPr>
          <w:sz w:val="20"/>
          <w:szCs w:val="20"/>
          <w:color w:val="auto"/>
        </w:rPr>
      </w:pPr>
      <w:r>
        <w:rPr>
          <w:rFonts w:ascii="Arial" w:cs="Arial" w:eastAsia="Arial" w:hAnsi="Arial"/>
          <w:sz w:val="20"/>
          <w:szCs w:val="20"/>
          <w:color w:val="auto"/>
        </w:rPr>
        <w:t>[Street address]</w:t>
      </w:r>
    </w:p>
    <w:p>
      <w:pPr>
        <w:spacing w:after="0" w:line="45" w:lineRule="exact"/>
        <w:rPr>
          <w:sz w:val="20"/>
          <w:szCs w:val="20"/>
          <w:color w:val="auto"/>
        </w:rPr>
      </w:pPr>
    </w:p>
    <w:p>
      <w:pPr>
        <w:ind w:left="4780"/>
        <w:spacing w:after="0"/>
        <w:rPr>
          <w:sz w:val="20"/>
          <w:szCs w:val="20"/>
          <w:color w:val="auto"/>
        </w:rPr>
      </w:pPr>
      <w:r>
        <w:rPr>
          <w:rFonts w:ascii="Arial" w:cs="Arial" w:eastAsia="Arial" w:hAnsi="Arial"/>
          <w:sz w:val="20"/>
          <w:szCs w:val="20"/>
          <w:color w:val="auto"/>
        </w:rPr>
        <w:t>[City, State, Zip Code, Country]</w:t>
      </w:r>
    </w:p>
    <w:p>
      <w:pPr>
        <w:spacing w:after="0" w:line="45" w:lineRule="exact"/>
        <w:rPr>
          <w:sz w:val="20"/>
          <w:szCs w:val="20"/>
          <w:color w:val="auto"/>
        </w:rPr>
      </w:pPr>
    </w:p>
    <w:p>
      <w:pPr>
        <w:ind w:left="4780"/>
        <w:spacing w:after="0"/>
        <w:rPr>
          <w:sz w:val="20"/>
          <w:szCs w:val="20"/>
          <w:color w:val="auto"/>
        </w:rPr>
      </w:pPr>
      <w:r>
        <w:rPr>
          <w:rFonts w:ascii="Arial" w:cs="Arial" w:eastAsia="Arial" w:hAnsi="Arial"/>
          <w:sz w:val="20"/>
          <w:szCs w:val="20"/>
          <w:color w:val="auto"/>
        </w:rPr>
        <w:t>Attention: [Contact]</w:t>
      </w:r>
    </w:p>
    <w:p>
      <w:pPr>
        <w:spacing w:after="0" w:line="45" w:lineRule="exact"/>
        <w:rPr>
          <w:sz w:val="20"/>
          <w:szCs w:val="20"/>
          <w:color w:val="auto"/>
        </w:rPr>
      </w:pPr>
    </w:p>
    <w:p>
      <w:pPr>
        <w:ind w:left="4780"/>
        <w:spacing w:after="0"/>
        <w:rPr>
          <w:sz w:val="20"/>
          <w:szCs w:val="20"/>
          <w:color w:val="auto"/>
        </w:rPr>
      </w:pPr>
      <w:r>
        <w:rPr>
          <w:rFonts w:ascii="Arial" w:cs="Arial" w:eastAsia="Arial" w:hAnsi="Arial"/>
          <w:sz w:val="20"/>
          <w:szCs w:val="20"/>
          <w:color w:val="auto"/>
        </w:rPr>
        <w:t>Email: [Email]</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Exhibit B - 2</w:t>
      </w:r>
    </w:p>
    <w:p>
      <w:pPr>
        <w:sectPr>
          <w:pgSz w:w="11900" w:h="16838" w:orient="portrait"/>
          <w:cols w:equalWidth="0" w:num="1">
            <w:col w:w="11420"/>
          </w:cols>
          <w:pgMar w:left="240" w:top="757" w:right="239" w:bottom="1440" w:gutter="0" w:footer="0" w:header="0"/>
        </w:sectPr>
      </w:pPr>
    </w:p>
    <w:bookmarkStart w:id="215" w:name="page216"/>
    <w:bookmarkEnd w:id="215"/>
    <w:p>
      <w:pPr>
        <w:spacing w:after="0" w:line="93" w:lineRule="exact"/>
        <w:rPr>
          <w:sz w:val="20"/>
          <w:szCs w:val="20"/>
          <w:color w:val="auto"/>
        </w:rPr>
      </w:pPr>
    </w:p>
    <w:p>
      <w:pPr>
        <w:ind w:left="4780" w:right="5080" w:hanging="4430"/>
        <w:spacing w:after="0" w:line="319" w:lineRule="auto"/>
        <w:tabs>
          <w:tab w:leader="none" w:pos="4760" w:val="left"/>
        </w:tabs>
        <w:rPr>
          <w:sz w:val="20"/>
          <w:szCs w:val="20"/>
          <w:color w:val="auto"/>
        </w:rPr>
      </w:pPr>
      <w:r>
        <w:rPr>
          <w:rFonts w:ascii="Arial" w:cs="Arial" w:eastAsia="Arial" w:hAnsi="Arial"/>
          <w:sz w:val="20"/>
          <w:szCs w:val="20"/>
          <w:color w:val="auto"/>
        </w:rPr>
        <w:t>If to the Insurer</w:t>
      </w:r>
      <w:r>
        <w:rPr>
          <w:sz w:val="20"/>
          <w:szCs w:val="20"/>
          <w:color w:val="auto"/>
        </w:rPr>
        <w:tab/>
      </w:r>
      <w:r>
        <w:rPr>
          <w:rFonts w:ascii="Arial" w:cs="Arial" w:eastAsia="Arial" w:hAnsi="Arial"/>
          <w:sz w:val="18"/>
          <w:szCs w:val="18"/>
          <w:color w:val="auto"/>
        </w:rPr>
        <w:t>[Company] [Street Address]</w:t>
      </w:r>
    </w:p>
    <w:p>
      <w:pPr>
        <w:spacing w:after="0" w:line="1" w:lineRule="exact"/>
        <w:rPr>
          <w:sz w:val="20"/>
          <w:szCs w:val="20"/>
          <w:color w:val="auto"/>
        </w:rPr>
      </w:pPr>
    </w:p>
    <w:p>
      <w:pPr>
        <w:ind w:left="4780"/>
        <w:spacing w:after="0"/>
        <w:rPr>
          <w:sz w:val="20"/>
          <w:szCs w:val="20"/>
          <w:color w:val="auto"/>
        </w:rPr>
      </w:pPr>
      <w:r>
        <w:rPr>
          <w:rFonts w:ascii="Arial" w:cs="Arial" w:eastAsia="Arial" w:hAnsi="Arial"/>
          <w:sz w:val="20"/>
          <w:szCs w:val="20"/>
          <w:color w:val="auto"/>
        </w:rPr>
        <w:t>[City, State, Zip Code, Country]</w:t>
      </w:r>
    </w:p>
    <w:p>
      <w:pPr>
        <w:spacing w:after="0" w:line="45" w:lineRule="exact"/>
        <w:rPr>
          <w:sz w:val="20"/>
          <w:szCs w:val="20"/>
          <w:color w:val="auto"/>
        </w:rPr>
      </w:pPr>
    </w:p>
    <w:p>
      <w:pPr>
        <w:ind w:left="4780"/>
        <w:spacing w:after="0"/>
        <w:rPr>
          <w:sz w:val="20"/>
          <w:szCs w:val="20"/>
          <w:color w:val="auto"/>
        </w:rPr>
      </w:pPr>
      <w:r>
        <w:rPr>
          <w:rFonts w:ascii="Arial" w:cs="Arial" w:eastAsia="Arial" w:hAnsi="Arial"/>
          <w:sz w:val="20"/>
          <w:szCs w:val="20"/>
          <w:color w:val="auto"/>
        </w:rPr>
        <w:t>Attention: [Contact]</w:t>
      </w:r>
    </w:p>
    <w:p>
      <w:pPr>
        <w:spacing w:after="0" w:line="45" w:lineRule="exact"/>
        <w:rPr>
          <w:sz w:val="20"/>
          <w:szCs w:val="20"/>
          <w:color w:val="auto"/>
        </w:rPr>
      </w:pPr>
    </w:p>
    <w:p>
      <w:pPr>
        <w:jc w:val="center"/>
        <w:ind w:right="400"/>
        <w:spacing w:after="0"/>
        <w:rPr>
          <w:sz w:val="20"/>
          <w:szCs w:val="20"/>
          <w:color w:val="auto"/>
        </w:rPr>
      </w:pPr>
      <w:r>
        <w:rPr>
          <w:rFonts w:ascii="Arial" w:cs="Arial" w:eastAsia="Arial" w:hAnsi="Arial"/>
          <w:sz w:val="20"/>
          <w:szCs w:val="20"/>
          <w:color w:val="auto"/>
        </w:rPr>
        <w:t>Email: [Email]</w:t>
      </w:r>
    </w:p>
    <w:p>
      <w:pPr>
        <w:spacing w:after="0" w:line="321" w:lineRule="exact"/>
        <w:rPr>
          <w:sz w:val="20"/>
          <w:szCs w:val="20"/>
          <w:color w:val="auto"/>
        </w:rPr>
      </w:pPr>
    </w:p>
    <w:p>
      <w:pPr>
        <w:ind w:left="4780"/>
        <w:spacing w:after="0"/>
        <w:rPr>
          <w:sz w:val="20"/>
          <w:szCs w:val="20"/>
          <w:color w:val="auto"/>
        </w:rPr>
      </w:pPr>
      <w:r>
        <w:rPr>
          <w:rFonts w:ascii="Arial" w:cs="Arial" w:eastAsia="Arial" w:hAnsi="Arial"/>
          <w:sz w:val="20"/>
          <w:szCs w:val="20"/>
          <w:color w:val="auto"/>
        </w:rPr>
        <w:t>With a copy (which will not constitute notice to the</w:t>
      </w:r>
    </w:p>
    <w:p>
      <w:pPr>
        <w:spacing w:after="0" w:line="45" w:lineRule="exact"/>
        <w:rPr>
          <w:sz w:val="20"/>
          <w:szCs w:val="20"/>
          <w:color w:val="auto"/>
        </w:rPr>
      </w:pPr>
    </w:p>
    <w:p>
      <w:pPr>
        <w:ind w:left="4780"/>
        <w:spacing w:after="0"/>
        <w:rPr>
          <w:sz w:val="20"/>
          <w:szCs w:val="20"/>
          <w:color w:val="auto"/>
        </w:rPr>
      </w:pPr>
      <w:r>
        <w:rPr>
          <w:rFonts w:ascii="Arial" w:cs="Arial" w:eastAsia="Arial" w:hAnsi="Arial"/>
          <w:sz w:val="20"/>
          <w:szCs w:val="20"/>
          <w:color w:val="auto"/>
        </w:rPr>
        <w:t>Insurer) to:</w:t>
      </w:r>
    </w:p>
    <w:p>
      <w:pPr>
        <w:spacing w:after="0" w:line="45" w:lineRule="exact"/>
        <w:rPr>
          <w:sz w:val="20"/>
          <w:szCs w:val="20"/>
          <w:color w:val="auto"/>
        </w:rPr>
      </w:pPr>
    </w:p>
    <w:p>
      <w:pPr>
        <w:ind w:left="4780"/>
        <w:spacing w:after="0"/>
        <w:rPr>
          <w:sz w:val="20"/>
          <w:szCs w:val="20"/>
          <w:color w:val="auto"/>
        </w:rPr>
      </w:pPr>
      <w:r>
        <w:rPr>
          <w:rFonts w:ascii="Arial" w:cs="Arial" w:eastAsia="Arial" w:hAnsi="Arial"/>
          <w:sz w:val="20"/>
          <w:szCs w:val="20"/>
          <w:color w:val="auto"/>
        </w:rPr>
        <w:t>[Firm]</w:t>
      </w:r>
    </w:p>
    <w:p>
      <w:pPr>
        <w:spacing w:after="0" w:line="45" w:lineRule="exact"/>
        <w:rPr>
          <w:sz w:val="20"/>
          <w:szCs w:val="20"/>
          <w:color w:val="auto"/>
        </w:rPr>
      </w:pPr>
    </w:p>
    <w:p>
      <w:pPr>
        <w:ind w:left="4780"/>
        <w:spacing w:after="0"/>
        <w:rPr>
          <w:sz w:val="20"/>
          <w:szCs w:val="20"/>
          <w:color w:val="auto"/>
        </w:rPr>
      </w:pPr>
      <w:r>
        <w:rPr>
          <w:rFonts w:ascii="Arial" w:cs="Arial" w:eastAsia="Arial" w:hAnsi="Arial"/>
          <w:sz w:val="20"/>
          <w:szCs w:val="20"/>
          <w:color w:val="auto"/>
        </w:rPr>
        <w:t>[Street address]</w:t>
      </w:r>
    </w:p>
    <w:p>
      <w:pPr>
        <w:spacing w:after="0" w:line="45" w:lineRule="exact"/>
        <w:rPr>
          <w:sz w:val="20"/>
          <w:szCs w:val="20"/>
          <w:color w:val="auto"/>
        </w:rPr>
      </w:pPr>
    </w:p>
    <w:p>
      <w:pPr>
        <w:ind w:left="4780"/>
        <w:spacing w:after="0"/>
        <w:rPr>
          <w:sz w:val="20"/>
          <w:szCs w:val="20"/>
          <w:color w:val="auto"/>
        </w:rPr>
      </w:pPr>
      <w:r>
        <w:rPr>
          <w:rFonts w:ascii="Arial" w:cs="Arial" w:eastAsia="Arial" w:hAnsi="Arial"/>
          <w:sz w:val="20"/>
          <w:szCs w:val="20"/>
          <w:color w:val="auto"/>
        </w:rPr>
        <w:t>[City, State, Zip Code, Country]</w:t>
      </w:r>
    </w:p>
    <w:p>
      <w:pPr>
        <w:spacing w:after="0" w:line="45" w:lineRule="exact"/>
        <w:rPr>
          <w:sz w:val="20"/>
          <w:szCs w:val="20"/>
          <w:color w:val="auto"/>
        </w:rPr>
      </w:pPr>
    </w:p>
    <w:p>
      <w:pPr>
        <w:ind w:left="4780"/>
        <w:spacing w:after="0"/>
        <w:rPr>
          <w:sz w:val="20"/>
          <w:szCs w:val="20"/>
          <w:color w:val="auto"/>
        </w:rPr>
      </w:pPr>
      <w:r>
        <w:rPr>
          <w:rFonts w:ascii="Arial" w:cs="Arial" w:eastAsia="Arial" w:hAnsi="Arial"/>
          <w:sz w:val="20"/>
          <w:szCs w:val="20"/>
          <w:color w:val="auto"/>
        </w:rPr>
        <w:t>Attention: [Contact]</w:t>
      </w:r>
    </w:p>
    <w:p>
      <w:pPr>
        <w:spacing w:after="0" w:line="45" w:lineRule="exact"/>
        <w:rPr>
          <w:sz w:val="20"/>
          <w:szCs w:val="20"/>
          <w:color w:val="auto"/>
        </w:rPr>
      </w:pPr>
    </w:p>
    <w:p>
      <w:pPr>
        <w:jc w:val="center"/>
        <w:ind w:right="400"/>
        <w:spacing w:after="0"/>
        <w:rPr>
          <w:sz w:val="20"/>
          <w:szCs w:val="20"/>
          <w:color w:val="auto"/>
        </w:rPr>
      </w:pPr>
      <w:r>
        <w:rPr>
          <w:rFonts w:ascii="Arial" w:cs="Arial" w:eastAsia="Arial" w:hAnsi="Arial"/>
          <w:sz w:val="20"/>
          <w:szCs w:val="20"/>
          <w:color w:val="auto"/>
        </w:rPr>
        <w:t>Email: [Email]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780" w:right="4440" w:hanging="4430"/>
        <w:spacing w:after="0" w:line="319" w:lineRule="auto"/>
        <w:tabs>
          <w:tab w:leader="none" w:pos="4760" w:val="left"/>
        </w:tabs>
        <w:rPr>
          <w:sz w:val="20"/>
          <w:szCs w:val="20"/>
          <w:color w:val="auto"/>
        </w:rPr>
      </w:pPr>
      <w:r>
        <w:rPr>
          <w:rFonts w:ascii="Arial" w:cs="Arial" w:eastAsia="Arial" w:hAnsi="Arial"/>
          <w:sz w:val="20"/>
          <w:szCs w:val="20"/>
          <w:color w:val="auto"/>
        </w:rPr>
        <w:t>If to Independent Fiduciary:</w:t>
      </w:r>
      <w:r>
        <w:rPr>
          <w:sz w:val="20"/>
          <w:szCs w:val="20"/>
          <w:color w:val="auto"/>
        </w:rPr>
        <w:tab/>
      </w:r>
      <w:r>
        <w:rPr>
          <w:rFonts w:ascii="Arial" w:cs="Arial" w:eastAsia="Arial" w:hAnsi="Arial"/>
          <w:sz w:val="18"/>
          <w:szCs w:val="18"/>
          <w:color w:val="auto"/>
        </w:rPr>
        <w:t>[Independent Fiduciary] [Street Address]</w:t>
      </w:r>
    </w:p>
    <w:p>
      <w:pPr>
        <w:spacing w:after="0" w:line="1" w:lineRule="exact"/>
        <w:rPr>
          <w:sz w:val="20"/>
          <w:szCs w:val="20"/>
          <w:color w:val="auto"/>
        </w:rPr>
      </w:pPr>
    </w:p>
    <w:p>
      <w:pPr>
        <w:ind w:left="4780"/>
        <w:spacing w:after="0"/>
        <w:rPr>
          <w:sz w:val="20"/>
          <w:szCs w:val="20"/>
          <w:color w:val="auto"/>
        </w:rPr>
      </w:pPr>
      <w:r>
        <w:rPr>
          <w:rFonts w:ascii="Arial" w:cs="Arial" w:eastAsia="Arial" w:hAnsi="Arial"/>
          <w:sz w:val="20"/>
          <w:szCs w:val="20"/>
          <w:color w:val="auto"/>
        </w:rPr>
        <w:t>[City, State, Zip Code, Country]</w:t>
      </w:r>
    </w:p>
    <w:p>
      <w:pPr>
        <w:spacing w:after="0" w:line="45" w:lineRule="exact"/>
        <w:rPr>
          <w:sz w:val="20"/>
          <w:szCs w:val="20"/>
          <w:color w:val="auto"/>
        </w:rPr>
      </w:pPr>
    </w:p>
    <w:p>
      <w:pPr>
        <w:ind w:left="4780"/>
        <w:spacing w:after="0"/>
        <w:rPr>
          <w:sz w:val="20"/>
          <w:szCs w:val="20"/>
          <w:color w:val="auto"/>
        </w:rPr>
      </w:pPr>
      <w:r>
        <w:rPr>
          <w:rFonts w:ascii="Arial" w:cs="Arial" w:eastAsia="Arial" w:hAnsi="Arial"/>
          <w:sz w:val="20"/>
          <w:szCs w:val="20"/>
          <w:color w:val="auto"/>
        </w:rPr>
        <w:t>Attention: [Contact]</w:t>
      </w:r>
    </w:p>
    <w:p>
      <w:pPr>
        <w:spacing w:after="0" w:line="45" w:lineRule="exact"/>
        <w:rPr>
          <w:sz w:val="20"/>
          <w:szCs w:val="20"/>
          <w:color w:val="auto"/>
        </w:rPr>
      </w:pPr>
    </w:p>
    <w:p>
      <w:pPr>
        <w:jc w:val="center"/>
        <w:ind w:right="400"/>
        <w:spacing w:after="0"/>
        <w:rPr>
          <w:sz w:val="20"/>
          <w:szCs w:val="20"/>
          <w:color w:val="auto"/>
        </w:rPr>
      </w:pPr>
      <w:r>
        <w:rPr>
          <w:rFonts w:ascii="Arial" w:cs="Arial" w:eastAsia="Arial" w:hAnsi="Arial"/>
          <w:sz w:val="20"/>
          <w:szCs w:val="20"/>
          <w:color w:val="auto"/>
        </w:rPr>
        <w:t>Email: [Email]</w:t>
      </w:r>
    </w:p>
    <w:p>
      <w:pPr>
        <w:spacing w:after="0" w:line="321" w:lineRule="exact"/>
        <w:rPr>
          <w:sz w:val="20"/>
          <w:szCs w:val="20"/>
          <w:color w:val="auto"/>
        </w:rPr>
      </w:pPr>
    </w:p>
    <w:p>
      <w:pPr>
        <w:ind w:left="4780"/>
        <w:spacing w:after="0"/>
        <w:rPr>
          <w:sz w:val="20"/>
          <w:szCs w:val="20"/>
          <w:color w:val="auto"/>
        </w:rPr>
      </w:pPr>
      <w:r>
        <w:rPr>
          <w:rFonts w:ascii="Arial" w:cs="Arial" w:eastAsia="Arial" w:hAnsi="Arial"/>
          <w:sz w:val="20"/>
          <w:szCs w:val="20"/>
          <w:color w:val="auto"/>
        </w:rPr>
        <w:t>With a copy (which will not constitute notice to the</w:t>
      </w:r>
    </w:p>
    <w:p>
      <w:pPr>
        <w:spacing w:after="0" w:line="45" w:lineRule="exact"/>
        <w:rPr>
          <w:sz w:val="20"/>
          <w:szCs w:val="20"/>
          <w:color w:val="auto"/>
        </w:rPr>
      </w:pPr>
    </w:p>
    <w:p>
      <w:pPr>
        <w:ind w:left="4780"/>
        <w:spacing w:after="0"/>
        <w:rPr>
          <w:sz w:val="20"/>
          <w:szCs w:val="20"/>
          <w:color w:val="auto"/>
        </w:rPr>
      </w:pPr>
      <w:r>
        <w:rPr>
          <w:rFonts w:ascii="Arial" w:cs="Arial" w:eastAsia="Arial" w:hAnsi="Arial"/>
          <w:sz w:val="20"/>
          <w:szCs w:val="20"/>
          <w:color w:val="auto"/>
        </w:rPr>
        <w:t>Independent Fiduciary) to:</w:t>
      </w:r>
    </w:p>
    <w:p>
      <w:pPr>
        <w:spacing w:after="0" w:line="45" w:lineRule="exact"/>
        <w:rPr>
          <w:sz w:val="20"/>
          <w:szCs w:val="20"/>
          <w:color w:val="auto"/>
        </w:rPr>
      </w:pPr>
    </w:p>
    <w:p>
      <w:pPr>
        <w:ind w:left="4780"/>
        <w:spacing w:after="0"/>
        <w:rPr>
          <w:sz w:val="20"/>
          <w:szCs w:val="20"/>
          <w:color w:val="auto"/>
        </w:rPr>
      </w:pPr>
      <w:r>
        <w:rPr>
          <w:rFonts w:ascii="Arial" w:cs="Arial" w:eastAsia="Arial" w:hAnsi="Arial"/>
          <w:sz w:val="20"/>
          <w:szCs w:val="20"/>
          <w:color w:val="auto"/>
        </w:rPr>
        <w:t>[Firm]</w:t>
      </w:r>
    </w:p>
    <w:p>
      <w:pPr>
        <w:spacing w:after="0" w:line="45" w:lineRule="exact"/>
        <w:rPr>
          <w:sz w:val="20"/>
          <w:szCs w:val="20"/>
          <w:color w:val="auto"/>
        </w:rPr>
      </w:pPr>
    </w:p>
    <w:p>
      <w:pPr>
        <w:ind w:left="4780"/>
        <w:spacing w:after="0"/>
        <w:rPr>
          <w:sz w:val="20"/>
          <w:szCs w:val="20"/>
          <w:color w:val="auto"/>
        </w:rPr>
      </w:pPr>
      <w:r>
        <w:rPr>
          <w:rFonts w:ascii="Arial" w:cs="Arial" w:eastAsia="Arial" w:hAnsi="Arial"/>
          <w:sz w:val="20"/>
          <w:szCs w:val="20"/>
          <w:color w:val="auto"/>
        </w:rPr>
        <w:t>[Street address]</w:t>
      </w:r>
    </w:p>
    <w:p>
      <w:pPr>
        <w:spacing w:after="0" w:line="45" w:lineRule="exact"/>
        <w:rPr>
          <w:sz w:val="20"/>
          <w:szCs w:val="20"/>
          <w:color w:val="auto"/>
        </w:rPr>
      </w:pPr>
    </w:p>
    <w:p>
      <w:pPr>
        <w:ind w:left="4780"/>
        <w:spacing w:after="0"/>
        <w:rPr>
          <w:sz w:val="20"/>
          <w:szCs w:val="20"/>
          <w:color w:val="auto"/>
        </w:rPr>
      </w:pPr>
      <w:r>
        <w:rPr>
          <w:rFonts w:ascii="Arial" w:cs="Arial" w:eastAsia="Arial" w:hAnsi="Arial"/>
          <w:sz w:val="20"/>
          <w:szCs w:val="20"/>
          <w:color w:val="auto"/>
        </w:rPr>
        <w:t>[City, State, Zip Code, Country]</w:t>
      </w:r>
    </w:p>
    <w:p>
      <w:pPr>
        <w:spacing w:after="0" w:line="45" w:lineRule="exact"/>
        <w:rPr>
          <w:sz w:val="20"/>
          <w:szCs w:val="20"/>
          <w:color w:val="auto"/>
        </w:rPr>
      </w:pPr>
    </w:p>
    <w:p>
      <w:pPr>
        <w:ind w:left="4780"/>
        <w:spacing w:after="0"/>
        <w:rPr>
          <w:sz w:val="20"/>
          <w:szCs w:val="20"/>
          <w:color w:val="auto"/>
        </w:rPr>
      </w:pPr>
      <w:r>
        <w:rPr>
          <w:rFonts w:ascii="Arial" w:cs="Arial" w:eastAsia="Arial" w:hAnsi="Arial"/>
          <w:sz w:val="20"/>
          <w:szCs w:val="20"/>
          <w:color w:val="auto"/>
        </w:rPr>
        <w:t>Attention: [Contact]</w:t>
      </w:r>
    </w:p>
    <w:p>
      <w:pPr>
        <w:spacing w:after="0" w:line="45" w:lineRule="exact"/>
        <w:rPr>
          <w:sz w:val="20"/>
          <w:szCs w:val="20"/>
          <w:color w:val="auto"/>
        </w:rPr>
      </w:pPr>
    </w:p>
    <w:p>
      <w:pPr>
        <w:jc w:val="center"/>
        <w:ind w:right="400"/>
        <w:spacing w:after="0"/>
        <w:rPr>
          <w:sz w:val="20"/>
          <w:szCs w:val="20"/>
          <w:color w:val="auto"/>
        </w:rPr>
      </w:pPr>
      <w:r>
        <w:rPr>
          <w:rFonts w:ascii="Arial" w:cs="Arial" w:eastAsia="Arial" w:hAnsi="Arial"/>
          <w:sz w:val="20"/>
          <w:szCs w:val="20"/>
          <w:color w:val="auto"/>
        </w:rPr>
        <w:t>Email: [Email]</w:t>
      </w:r>
    </w:p>
    <w:p>
      <w:pPr>
        <w:spacing w:after="0" w:line="200" w:lineRule="exact"/>
        <w:rPr>
          <w:sz w:val="20"/>
          <w:szCs w:val="20"/>
          <w:color w:val="auto"/>
        </w:rPr>
      </w:pPr>
    </w:p>
    <w:p>
      <w:pPr>
        <w:spacing w:after="0" w:line="233" w:lineRule="exact"/>
        <w:rPr>
          <w:sz w:val="20"/>
          <w:szCs w:val="20"/>
          <w:color w:val="auto"/>
        </w:rPr>
      </w:pPr>
    </w:p>
    <w:p>
      <w:pPr>
        <w:ind w:right="460" w:firstLine="601"/>
        <w:spacing w:after="0" w:line="275" w:lineRule="auto"/>
        <w:rPr>
          <w:sz w:val="20"/>
          <w:szCs w:val="20"/>
          <w:color w:val="auto"/>
        </w:rPr>
      </w:pPr>
      <w:r>
        <w:rPr>
          <w:rFonts w:ascii="Arial" w:cs="Arial" w:eastAsia="Arial" w:hAnsi="Arial"/>
          <w:sz w:val="20"/>
          <w:szCs w:val="20"/>
          <w:color w:val="auto"/>
        </w:rPr>
        <w:t xml:space="preserve">Any Party may change the address to which notices, requests, demands, claims and other communications hereunder are to be delivered by giving the other Parties notice in the manner set forth in this </w:t>
      </w:r>
      <w:r>
        <w:rPr>
          <w:rFonts w:ascii="Arial" w:cs="Arial" w:eastAsia="Arial" w:hAnsi="Arial"/>
          <w:sz w:val="20"/>
          <w:szCs w:val="20"/>
          <w:u w:val="single" w:color="auto"/>
          <w:color w:val="auto"/>
        </w:rPr>
        <w:t>Section 5</w:t>
      </w:r>
      <w:r>
        <w:rPr>
          <w:rFonts w:ascii="Arial" w:cs="Arial" w:eastAsia="Arial" w:hAnsi="Arial"/>
          <w:sz w:val="20"/>
          <w:szCs w:val="20"/>
          <w:color w:val="auto"/>
        </w:rPr>
        <w:t>.</w:t>
      </w:r>
    </w:p>
    <w:p>
      <w:pPr>
        <w:spacing w:after="0" w:line="349" w:lineRule="exact"/>
        <w:rPr>
          <w:sz w:val="20"/>
          <w:szCs w:val="20"/>
          <w:color w:val="auto"/>
        </w:rPr>
      </w:pPr>
    </w:p>
    <w:p>
      <w:pPr>
        <w:jc w:val="both"/>
        <w:ind w:right="260" w:firstLine="601"/>
        <w:spacing w:after="0" w:line="288" w:lineRule="auto"/>
        <w:rPr>
          <w:sz w:val="20"/>
          <w:szCs w:val="20"/>
          <w:color w:val="auto"/>
        </w:rPr>
      </w:pPr>
      <w:r>
        <w:rPr>
          <w:rFonts w:ascii="Arial" w:cs="Arial" w:eastAsia="Arial" w:hAnsi="Arial"/>
          <w:sz w:val="19"/>
          <w:szCs w:val="19"/>
          <w:color w:val="auto"/>
        </w:rPr>
        <w:t xml:space="preserve">Section 6. </w:t>
      </w:r>
      <w:r>
        <w:rPr>
          <w:rFonts w:ascii="Arial" w:cs="Arial" w:eastAsia="Arial" w:hAnsi="Arial"/>
          <w:sz w:val="19"/>
          <w:szCs w:val="19"/>
          <w:u w:val="single" w:color="auto"/>
          <w:color w:val="auto"/>
        </w:rPr>
        <w:t>Governing Law</w:t>
      </w:r>
      <w:r>
        <w:rPr>
          <w:rFonts w:ascii="Arial" w:cs="Arial" w:eastAsia="Arial" w:hAnsi="Arial"/>
          <w:sz w:val="19"/>
          <w:szCs w:val="19"/>
          <w:color w:val="auto"/>
        </w:rPr>
        <w:t>. Except to the extent preempted by applicable Federal law, this Agreement will be governed by, and construed in accordance with, the laws of the State of New York, without regard to any principles of conflicts of law thereof that are not mandatorily applicable by law and would permit or require the application of the laws of another jurisdiction.</w:t>
      </w:r>
    </w:p>
    <w:p>
      <w:pPr>
        <w:spacing w:after="0" w:line="340" w:lineRule="exact"/>
        <w:rPr>
          <w:sz w:val="20"/>
          <w:szCs w:val="20"/>
          <w:color w:val="auto"/>
        </w:rPr>
      </w:pPr>
    </w:p>
    <w:p>
      <w:pPr>
        <w:ind w:firstLine="601"/>
        <w:spacing w:after="0" w:line="256" w:lineRule="auto"/>
        <w:rPr>
          <w:sz w:val="20"/>
          <w:szCs w:val="20"/>
          <w:color w:val="auto"/>
        </w:rPr>
      </w:pPr>
      <w:r>
        <w:rPr>
          <w:rFonts w:ascii="Arial" w:cs="Arial" w:eastAsia="Arial" w:hAnsi="Arial"/>
          <w:sz w:val="20"/>
          <w:szCs w:val="20"/>
          <w:color w:val="auto"/>
        </w:rPr>
        <w:t xml:space="preserve">Section 7. </w:t>
      </w:r>
      <w:r>
        <w:rPr>
          <w:rFonts w:ascii="Arial" w:cs="Arial" w:eastAsia="Arial" w:hAnsi="Arial"/>
          <w:sz w:val="20"/>
          <w:szCs w:val="20"/>
          <w:u w:val="single" w:color="auto"/>
          <w:color w:val="auto"/>
        </w:rPr>
        <w:t>Submission to Jurisdiction; Service of Process</w:t>
      </w:r>
      <w:r>
        <w:rPr>
          <w:rFonts w:ascii="Arial" w:cs="Arial" w:eastAsia="Arial" w:hAnsi="Arial"/>
          <w:sz w:val="20"/>
          <w:szCs w:val="20"/>
          <w:color w:val="auto"/>
        </w:rPr>
        <w:t>. Each of the Parties irrevocably and unconditionally submits to the jurisdiction of any state or federal court, and only federal court if diversity of Parties exists, sitting in New York County, New York in any Dispute arising out of or relating to this Agreement and agrees that all claims in respect of such action may be heard and determined in any such court. Each Party also agrees not to bring any action arising out of or relating to this Agreement in any other court. Each of the Parties irrevocably and unconditionally waives any objection to personal jurisdiction, venue, and any defense of inconvenient forum to the maintenance of, any action so brought</w:t>
      </w:r>
    </w:p>
    <w:p>
      <w:pPr>
        <w:sectPr>
          <w:pgSz w:w="11900" w:h="16838" w:orient="portrait"/>
          <w:cols w:equalWidth="0" w:num="1">
            <w:col w:w="11160"/>
          </w:cols>
          <w:pgMar w:left="240" w:top="1440" w:right="499" w:bottom="1440" w:gutter="0" w:footer="0" w:header="0"/>
        </w:sectPr>
      </w:pPr>
    </w:p>
    <w:p>
      <w:pPr>
        <w:spacing w:after="0" w:line="389" w:lineRule="exact"/>
        <w:rPr>
          <w:sz w:val="20"/>
          <w:szCs w:val="20"/>
          <w:color w:val="auto"/>
        </w:rPr>
      </w:pPr>
    </w:p>
    <w:p>
      <w:pPr>
        <w:jc w:val="center"/>
        <w:ind w:right="-259"/>
        <w:spacing w:after="0"/>
        <w:rPr>
          <w:sz w:val="20"/>
          <w:szCs w:val="20"/>
          <w:color w:val="auto"/>
        </w:rPr>
      </w:pPr>
      <w:r>
        <w:rPr>
          <w:rFonts w:ascii="Arial" w:cs="Arial" w:eastAsia="Arial" w:hAnsi="Arial"/>
          <w:sz w:val="15"/>
          <w:szCs w:val="15"/>
          <w:color w:val="auto"/>
        </w:rPr>
        <w:t>Exhibit B - 3</w:t>
      </w:r>
    </w:p>
    <w:p>
      <w:pPr>
        <w:sectPr>
          <w:pgSz w:w="11900" w:h="16838" w:orient="portrait"/>
          <w:cols w:equalWidth="0" w:num="1">
            <w:col w:w="11160"/>
          </w:cols>
          <w:pgMar w:left="240" w:top="1440" w:right="499" w:bottom="1440" w:gutter="0" w:footer="0" w:header="0"/>
          <w:type w:val="continuous"/>
        </w:sectPr>
      </w:pPr>
    </w:p>
    <w:bookmarkStart w:id="216" w:name="page217"/>
    <w:bookmarkEnd w:id="216"/>
    <w:p>
      <w:pPr>
        <w:ind w:right="120"/>
        <w:spacing w:after="0" w:line="257" w:lineRule="auto"/>
        <w:rPr>
          <w:sz w:val="20"/>
          <w:szCs w:val="20"/>
          <w:color w:val="auto"/>
        </w:rPr>
      </w:pPr>
      <w:r>
        <w:rPr>
          <w:rFonts w:ascii="Arial" w:cs="Arial" w:eastAsia="Arial" w:hAnsi="Arial"/>
          <w:sz w:val="20"/>
          <w:szCs w:val="20"/>
          <w:color w:val="auto"/>
        </w:rPr>
        <w:t xml:space="preserve">and waives any bond, surety or other security that might be required of any other Party with respect thereto. Any Party may make service on any other Party by sending or delivering a copy of the process to the Party to be served at the address and in the manner provided for the giving of notices in </w:t>
      </w:r>
      <w:r>
        <w:rPr>
          <w:rFonts w:ascii="Arial" w:cs="Arial" w:eastAsia="Arial" w:hAnsi="Arial"/>
          <w:sz w:val="20"/>
          <w:szCs w:val="20"/>
          <w:u w:val="single" w:color="auto"/>
          <w:color w:val="auto"/>
        </w:rPr>
        <w:t>Section 5</w:t>
      </w:r>
      <w:r>
        <w:rPr>
          <w:rFonts w:ascii="Arial" w:cs="Arial" w:eastAsia="Arial" w:hAnsi="Arial"/>
          <w:sz w:val="20"/>
          <w:szCs w:val="20"/>
          <w:color w:val="auto"/>
        </w:rPr>
        <w:t xml:space="preserve">; provided, however, that nothing in this </w:t>
      </w:r>
      <w:r>
        <w:rPr>
          <w:rFonts w:ascii="Arial" w:cs="Arial" w:eastAsia="Arial" w:hAnsi="Arial"/>
          <w:sz w:val="20"/>
          <w:szCs w:val="20"/>
          <w:u w:val="single" w:color="auto"/>
          <w:color w:val="auto"/>
        </w:rPr>
        <w:t>Section 7</w:t>
      </w:r>
      <w:r>
        <w:rPr>
          <w:rFonts w:ascii="Arial" w:cs="Arial" w:eastAsia="Arial" w:hAnsi="Arial"/>
          <w:sz w:val="20"/>
          <w:szCs w:val="20"/>
          <w:color w:val="auto"/>
        </w:rPr>
        <w:t xml:space="preserve"> will affect the right of any Party to serve legal process in any other manner permitted by law or in equity.</w:t>
      </w:r>
    </w:p>
    <w:p>
      <w:pPr>
        <w:spacing w:after="0" w:line="367" w:lineRule="exact"/>
        <w:rPr>
          <w:sz w:val="20"/>
          <w:szCs w:val="20"/>
          <w:color w:val="auto"/>
        </w:rPr>
      </w:pPr>
    </w:p>
    <w:p>
      <w:pPr>
        <w:ind w:right="240" w:firstLine="601"/>
        <w:spacing w:after="0" w:line="268" w:lineRule="auto"/>
        <w:rPr>
          <w:sz w:val="20"/>
          <w:szCs w:val="20"/>
          <w:color w:val="auto"/>
        </w:rPr>
      </w:pPr>
      <w:r>
        <w:rPr>
          <w:rFonts w:ascii="Arial" w:cs="Arial" w:eastAsia="Arial" w:hAnsi="Arial"/>
          <w:sz w:val="20"/>
          <w:szCs w:val="20"/>
          <w:color w:val="auto"/>
        </w:rPr>
        <w:t xml:space="preserve">Section 8. </w:t>
      </w:r>
      <w:r>
        <w:rPr>
          <w:rFonts w:ascii="Arial" w:cs="Arial" w:eastAsia="Arial" w:hAnsi="Arial"/>
          <w:sz w:val="20"/>
          <w:szCs w:val="20"/>
          <w:u w:val="single" w:color="auto"/>
          <w:color w:val="auto"/>
        </w:rPr>
        <w:t>Waivers of Jury Trial</w:t>
      </w:r>
      <w:r>
        <w:rPr>
          <w:rFonts w:ascii="Arial" w:cs="Arial" w:eastAsia="Arial" w:hAnsi="Arial"/>
          <w:sz w:val="20"/>
          <w:szCs w:val="20"/>
          <w:color w:val="auto"/>
        </w:rPr>
        <w:t>. EACH PARTY IRREVOCABLY AND UNCONDITIONALLY WAIVES ANY RIGHT IT MAY HAVE TO A TRIAL BY JURY IN RESPECT OF ANY ACTION DIRECTLY OR INDIRECTLY ARISING OUT OF, UNDER OR IN CONNECTION WITH THIS AGREEMENT OR THE TRANSACTIONS CONTEMPLATED BY THIS AGREEMENT.</w:t>
      </w:r>
    </w:p>
    <w:p>
      <w:pPr>
        <w:spacing w:after="0" w:line="356" w:lineRule="exact"/>
        <w:rPr>
          <w:sz w:val="20"/>
          <w:szCs w:val="20"/>
          <w:color w:val="auto"/>
        </w:rPr>
      </w:pPr>
    </w:p>
    <w:p>
      <w:pPr>
        <w:ind w:right="20" w:firstLine="601"/>
        <w:spacing w:after="0" w:line="254" w:lineRule="auto"/>
        <w:rPr>
          <w:sz w:val="20"/>
          <w:szCs w:val="20"/>
          <w:color w:val="auto"/>
        </w:rPr>
      </w:pPr>
      <w:r>
        <w:rPr>
          <w:rFonts w:ascii="Arial" w:cs="Arial" w:eastAsia="Arial" w:hAnsi="Arial"/>
          <w:sz w:val="20"/>
          <w:szCs w:val="20"/>
          <w:color w:val="auto"/>
        </w:rPr>
        <w:t xml:space="preserve">Section 9. </w:t>
      </w:r>
      <w:r>
        <w:rPr>
          <w:rFonts w:ascii="Arial" w:cs="Arial" w:eastAsia="Arial" w:hAnsi="Arial"/>
          <w:sz w:val="20"/>
          <w:szCs w:val="20"/>
          <w:u w:val="single" w:color="auto"/>
          <w:color w:val="auto"/>
        </w:rPr>
        <w:t>Specific Performance</w:t>
      </w:r>
      <w:r>
        <w:rPr>
          <w:rFonts w:ascii="Arial" w:cs="Arial" w:eastAsia="Arial" w:hAnsi="Arial"/>
          <w:sz w:val="20"/>
          <w:szCs w:val="20"/>
          <w:color w:val="auto"/>
        </w:rPr>
        <w:t xml:space="preserve">. The Parties agree that irreparable damage may occur if any of the provisions of this Agreement were not performed in accordance with their specific terms or were otherwise breached. Accordingly, each Party will be entitled to an injunction or injunctions to prevent breaches of this Agreement by the breaching Party and to enforce specifically the terms and provisions of this Agreement, in addition to any other remedy to which such Party is entitled at law or in equity. The Parties further agree that by seeking the remedies provided for in this </w:t>
      </w:r>
      <w:r>
        <w:rPr>
          <w:rFonts w:ascii="Arial" w:cs="Arial" w:eastAsia="Arial" w:hAnsi="Arial"/>
          <w:sz w:val="20"/>
          <w:szCs w:val="20"/>
          <w:u w:val="single" w:color="auto"/>
          <w:color w:val="auto"/>
        </w:rPr>
        <w:t>Section 9</w:t>
      </w:r>
      <w:r>
        <w:rPr>
          <w:rFonts w:ascii="Arial" w:cs="Arial" w:eastAsia="Arial" w:hAnsi="Arial"/>
          <w:sz w:val="20"/>
          <w:szCs w:val="20"/>
          <w:color w:val="auto"/>
        </w:rPr>
        <w:t xml:space="preserve">, a Party will not in any respect waive its right to seek any other form of relief that may be available to such Party under this Agreement (including monetary damages) if the remedies provided for in this </w:t>
      </w:r>
      <w:r>
        <w:rPr>
          <w:rFonts w:ascii="Arial" w:cs="Arial" w:eastAsia="Arial" w:hAnsi="Arial"/>
          <w:sz w:val="20"/>
          <w:szCs w:val="20"/>
          <w:u w:val="single" w:color="auto"/>
          <w:color w:val="auto"/>
        </w:rPr>
        <w:t>Section 9</w:t>
      </w:r>
      <w:r>
        <w:rPr>
          <w:rFonts w:ascii="Arial" w:cs="Arial" w:eastAsia="Arial" w:hAnsi="Arial"/>
          <w:sz w:val="20"/>
          <w:szCs w:val="20"/>
          <w:color w:val="auto"/>
        </w:rPr>
        <w:t xml:space="preserve"> are not available or otherwise are not granted.</w:t>
      </w:r>
    </w:p>
    <w:p>
      <w:pPr>
        <w:spacing w:after="0" w:line="374" w:lineRule="exact"/>
        <w:rPr>
          <w:sz w:val="20"/>
          <w:szCs w:val="20"/>
          <w:color w:val="auto"/>
        </w:rPr>
      </w:pPr>
    </w:p>
    <w:p>
      <w:pPr>
        <w:ind w:right="20" w:firstLine="601"/>
        <w:spacing w:after="0" w:line="288" w:lineRule="auto"/>
        <w:rPr>
          <w:sz w:val="20"/>
          <w:szCs w:val="20"/>
          <w:color w:val="auto"/>
        </w:rPr>
      </w:pPr>
      <w:r>
        <w:rPr>
          <w:rFonts w:ascii="Arial" w:cs="Arial" w:eastAsia="Arial" w:hAnsi="Arial"/>
          <w:sz w:val="20"/>
          <w:szCs w:val="20"/>
          <w:color w:val="auto"/>
        </w:rPr>
        <w:t xml:space="preserve">Section 10. </w:t>
      </w:r>
      <w:r>
        <w:rPr>
          <w:rFonts w:ascii="Arial" w:cs="Arial" w:eastAsia="Arial" w:hAnsi="Arial"/>
          <w:sz w:val="20"/>
          <w:szCs w:val="20"/>
          <w:u w:val="single" w:color="auto"/>
          <w:color w:val="auto"/>
        </w:rPr>
        <w:t>No Third Party Beneficiaries</w:t>
      </w:r>
      <w:r>
        <w:rPr>
          <w:rFonts w:ascii="Arial" w:cs="Arial" w:eastAsia="Arial" w:hAnsi="Arial"/>
          <w:sz w:val="20"/>
          <w:szCs w:val="20"/>
          <w:color w:val="auto"/>
        </w:rPr>
        <w:t>. This Agreement will not confer any rights or remedies upon any person or entity other than the Parties and the respective successors and permitted assigns of the foregoing.</w:t>
      </w:r>
    </w:p>
    <w:p>
      <w:pPr>
        <w:spacing w:after="0" w:line="337" w:lineRule="exact"/>
        <w:rPr>
          <w:sz w:val="20"/>
          <w:szCs w:val="20"/>
          <w:color w:val="auto"/>
        </w:rPr>
      </w:pPr>
    </w:p>
    <w:p>
      <w:pPr>
        <w:ind w:firstLine="601"/>
        <w:spacing w:after="0" w:line="261" w:lineRule="auto"/>
        <w:rPr>
          <w:sz w:val="20"/>
          <w:szCs w:val="20"/>
          <w:color w:val="auto"/>
        </w:rPr>
      </w:pPr>
      <w:r>
        <w:rPr>
          <w:rFonts w:ascii="Arial" w:cs="Arial" w:eastAsia="Arial" w:hAnsi="Arial"/>
          <w:sz w:val="20"/>
          <w:szCs w:val="20"/>
          <w:color w:val="auto"/>
        </w:rPr>
        <w:t xml:space="preserve">Section 11. </w:t>
      </w:r>
      <w:r>
        <w:rPr>
          <w:rFonts w:ascii="Arial" w:cs="Arial" w:eastAsia="Arial" w:hAnsi="Arial"/>
          <w:sz w:val="20"/>
          <w:szCs w:val="20"/>
          <w:u w:val="single" w:color="auto"/>
          <w:color w:val="auto"/>
        </w:rPr>
        <w:t>Counterparts; Facsimile and Electronic Signatures</w:t>
      </w:r>
      <w:r>
        <w:rPr>
          <w:rFonts w:ascii="Arial" w:cs="Arial" w:eastAsia="Arial" w:hAnsi="Arial"/>
          <w:sz w:val="20"/>
          <w:szCs w:val="20"/>
          <w:color w:val="auto"/>
        </w:rPr>
        <w:t xml:space="preserve">. This Agreement may be executed in one or more counterparts, each of which will be deemed an original but all of which together will constitute one and the same instrument. This Agreement or any counterpart may be executed and delivered to the recipients in </w:t>
      </w:r>
      <w:r>
        <w:rPr>
          <w:rFonts w:ascii="Arial" w:cs="Arial" w:eastAsia="Arial" w:hAnsi="Arial"/>
          <w:sz w:val="20"/>
          <w:szCs w:val="20"/>
          <w:u w:val="single" w:color="auto"/>
          <w:color w:val="auto"/>
        </w:rPr>
        <w:t>Section 5</w:t>
      </w:r>
      <w:r>
        <w:rPr>
          <w:rFonts w:ascii="Arial" w:cs="Arial" w:eastAsia="Arial" w:hAnsi="Arial"/>
          <w:sz w:val="20"/>
          <w:szCs w:val="20"/>
          <w:color w:val="auto"/>
        </w:rPr>
        <w:t xml:space="preserve"> by electronic communications by portable document format (.pdf), each of which will be deemed an original.</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Remainder of page intentionally left blank.</w:t>
      </w:r>
      <w:r>
        <w:rPr>
          <w:rFonts w:ascii="Arial" w:cs="Arial" w:eastAsia="Arial" w:hAnsi="Arial"/>
          <w:sz w:val="20"/>
          <w:szCs w:val="20"/>
          <w:color w:val="auto"/>
        </w:rPr>
        <w:t>]</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Exhibit B - 4</w:t>
      </w:r>
    </w:p>
    <w:p>
      <w:pPr>
        <w:sectPr>
          <w:pgSz w:w="11900" w:h="16838" w:orient="portrait"/>
          <w:cols w:equalWidth="0" w:num="1">
            <w:col w:w="11420"/>
          </w:cols>
          <w:pgMar w:left="240" w:top="757" w:right="239" w:bottom="1440" w:gutter="0" w:footer="0" w:header="0"/>
        </w:sectPr>
      </w:pPr>
    </w:p>
    <w:bookmarkStart w:id="217" w:name="page218"/>
    <w:bookmarkEnd w:id="217"/>
    <w:p>
      <w:pPr>
        <w:ind w:firstLine="601"/>
        <w:spacing w:after="0" w:line="275" w:lineRule="auto"/>
        <w:rPr>
          <w:sz w:val="20"/>
          <w:szCs w:val="20"/>
          <w:color w:val="auto"/>
        </w:rPr>
      </w:pPr>
      <w:r>
        <w:rPr>
          <w:rFonts w:ascii="Arial" w:cs="Arial" w:eastAsia="Arial" w:hAnsi="Arial"/>
          <w:sz w:val="20"/>
          <w:szCs w:val="20"/>
          <w:color w:val="auto"/>
        </w:rPr>
        <w:t>IN WITNESS WHEREOF, the Parties hereto have caused this Agreement to be duly executed and delivered as of the date first above written.</w:t>
      </w:r>
    </w:p>
    <w:p>
      <w:pPr>
        <w:spacing w:after="0" w:line="200" w:lineRule="exact"/>
        <w:rPr>
          <w:sz w:val="20"/>
          <w:szCs w:val="20"/>
          <w:color w:val="auto"/>
        </w:rPr>
      </w:pPr>
    </w:p>
    <w:p>
      <w:pPr>
        <w:spacing w:after="0" w:line="324" w:lineRule="exact"/>
        <w:rPr>
          <w:sz w:val="20"/>
          <w:szCs w:val="20"/>
          <w:color w:val="auto"/>
        </w:rPr>
      </w:pPr>
    </w:p>
    <w:p>
      <w:pPr>
        <w:jc w:val="center"/>
        <w:ind w:right="160"/>
        <w:spacing w:after="0"/>
        <w:rPr>
          <w:sz w:val="20"/>
          <w:szCs w:val="20"/>
          <w:color w:val="auto"/>
        </w:rPr>
      </w:pPr>
      <w:r>
        <w:rPr>
          <w:rFonts w:ascii="Arial" w:cs="Arial" w:eastAsia="Arial" w:hAnsi="Arial"/>
          <w:sz w:val="20"/>
          <w:szCs w:val="20"/>
          <w:color w:val="auto"/>
        </w:rPr>
        <w:t>[PLAN TRUSTEE]</w:t>
      </w:r>
    </w:p>
    <w:p>
      <w:pPr>
        <w:spacing w:after="0" w:line="346" w:lineRule="exact"/>
        <w:rPr>
          <w:sz w:val="20"/>
          <w:szCs w:val="20"/>
          <w:color w:val="auto"/>
        </w:rPr>
      </w:pPr>
    </w:p>
    <w:p>
      <w:pPr>
        <w:ind w:left="386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3012440</wp:posOffset>
            </wp:positionH>
            <wp:positionV relativeFrom="paragraph">
              <wp:posOffset>26670</wp:posOffset>
            </wp:positionV>
            <wp:extent cx="3751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751580" cy="8255"/>
                    </a:xfrm>
                    <a:prstGeom prst="rect">
                      <a:avLst/>
                    </a:prstGeom>
                    <a:noFill/>
                  </pic:spPr>
                </pic:pic>
              </a:graphicData>
            </a:graphic>
          </wp:anchor>
        </w:drawing>
      </w:r>
    </w:p>
    <w:p>
      <w:pPr>
        <w:spacing w:after="0" w:line="25" w:lineRule="exact"/>
        <w:rPr>
          <w:sz w:val="20"/>
          <w:szCs w:val="20"/>
          <w:color w:val="auto"/>
        </w:rPr>
      </w:pPr>
    </w:p>
    <w:p>
      <w:pPr>
        <w:ind w:left="3860"/>
        <w:spacing w:after="0"/>
        <w:rPr>
          <w:sz w:val="20"/>
          <w:szCs w:val="20"/>
          <w:color w:val="auto"/>
        </w:rPr>
      </w:pPr>
      <w:r>
        <w:rPr>
          <w:rFonts w:ascii="Arial" w:cs="Arial" w:eastAsia="Arial" w:hAnsi="Arial"/>
          <w:sz w:val="20"/>
          <w:szCs w:val="20"/>
          <w:color w:val="auto"/>
        </w:rPr>
        <w:t>Name:</w:t>
      </w:r>
    </w:p>
    <w:p>
      <w:pPr>
        <w:spacing w:after="0" w:line="45" w:lineRule="exact"/>
        <w:rPr>
          <w:sz w:val="20"/>
          <w:szCs w:val="20"/>
          <w:color w:val="auto"/>
        </w:rPr>
      </w:pPr>
    </w:p>
    <w:p>
      <w:pPr>
        <w:ind w:left="3860"/>
        <w:spacing w:after="0"/>
        <w:rPr>
          <w:sz w:val="20"/>
          <w:szCs w:val="20"/>
          <w:color w:val="auto"/>
        </w:rPr>
      </w:pPr>
      <w:r>
        <w:rPr>
          <w:rFonts w:ascii="Arial" w:cs="Arial" w:eastAsia="Arial" w:hAnsi="Arial"/>
          <w:sz w:val="20"/>
          <w:szCs w:val="20"/>
          <w:color w:val="auto"/>
        </w:rPr>
        <w:t>Title:</w:t>
      </w:r>
    </w:p>
    <w:p>
      <w:pPr>
        <w:spacing w:after="0" w:line="346" w:lineRule="exact"/>
        <w:rPr>
          <w:sz w:val="20"/>
          <w:szCs w:val="20"/>
          <w:color w:val="auto"/>
        </w:rPr>
      </w:pPr>
    </w:p>
    <w:p>
      <w:pPr>
        <w:ind w:left="4760"/>
        <w:spacing w:after="0"/>
        <w:rPr>
          <w:sz w:val="20"/>
          <w:szCs w:val="20"/>
          <w:color w:val="auto"/>
        </w:rPr>
      </w:pPr>
      <w:r>
        <w:rPr>
          <w:rFonts w:ascii="Arial" w:cs="Arial" w:eastAsia="Arial" w:hAnsi="Arial"/>
          <w:sz w:val="20"/>
          <w:szCs w:val="20"/>
          <w:color w:val="auto"/>
        </w:rPr>
        <w:t>THE PRUDENTIAL INSURANCE</w:t>
      </w:r>
    </w:p>
    <w:p>
      <w:pPr>
        <w:spacing w:after="0" w:line="45" w:lineRule="exact"/>
        <w:rPr>
          <w:sz w:val="20"/>
          <w:szCs w:val="20"/>
          <w:color w:val="auto"/>
        </w:rPr>
      </w:pPr>
    </w:p>
    <w:p>
      <w:pPr>
        <w:ind w:left="4760"/>
        <w:spacing w:after="0"/>
        <w:rPr>
          <w:sz w:val="20"/>
          <w:szCs w:val="20"/>
          <w:color w:val="auto"/>
        </w:rPr>
      </w:pPr>
      <w:r>
        <w:rPr>
          <w:rFonts w:ascii="Arial" w:cs="Arial" w:eastAsia="Arial" w:hAnsi="Arial"/>
          <w:sz w:val="20"/>
          <w:szCs w:val="20"/>
          <w:color w:val="auto"/>
        </w:rPr>
        <w:t>COMPANY OF AMERICA</w:t>
      </w:r>
    </w:p>
    <w:p>
      <w:pPr>
        <w:spacing w:after="0" w:line="346" w:lineRule="exact"/>
        <w:rPr>
          <w:sz w:val="20"/>
          <w:szCs w:val="20"/>
          <w:color w:val="auto"/>
        </w:rPr>
      </w:pPr>
    </w:p>
    <w:p>
      <w:pPr>
        <w:ind w:left="386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3012440</wp:posOffset>
            </wp:positionH>
            <wp:positionV relativeFrom="paragraph">
              <wp:posOffset>26670</wp:posOffset>
            </wp:positionV>
            <wp:extent cx="3751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751580" cy="8255"/>
                    </a:xfrm>
                    <a:prstGeom prst="rect">
                      <a:avLst/>
                    </a:prstGeom>
                    <a:noFill/>
                  </pic:spPr>
                </pic:pic>
              </a:graphicData>
            </a:graphic>
          </wp:anchor>
        </w:drawing>
      </w:r>
    </w:p>
    <w:p>
      <w:pPr>
        <w:spacing w:after="0" w:line="25" w:lineRule="exact"/>
        <w:rPr>
          <w:sz w:val="20"/>
          <w:szCs w:val="20"/>
          <w:color w:val="auto"/>
        </w:rPr>
      </w:pPr>
    </w:p>
    <w:p>
      <w:pPr>
        <w:ind w:left="3860"/>
        <w:spacing w:after="0"/>
        <w:rPr>
          <w:sz w:val="20"/>
          <w:szCs w:val="20"/>
          <w:color w:val="auto"/>
        </w:rPr>
      </w:pPr>
      <w:r>
        <w:rPr>
          <w:rFonts w:ascii="Arial" w:cs="Arial" w:eastAsia="Arial" w:hAnsi="Arial"/>
          <w:sz w:val="20"/>
          <w:szCs w:val="20"/>
          <w:color w:val="auto"/>
        </w:rPr>
        <w:t>Name:</w:t>
      </w:r>
    </w:p>
    <w:p>
      <w:pPr>
        <w:spacing w:after="0" w:line="45" w:lineRule="exact"/>
        <w:rPr>
          <w:sz w:val="20"/>
          <w:szCs w:val="20"/>
          <w:color w:val="auto"/>
        </w:rPr>
      </w:pPr>
    </w:p>
    <w:p>
      <w:pPr>
        <w:ind w:left="3860"/>
        <w:spacing w:after="0"/>
        <w:rPr>
          <w:sz w:val="20"/>
          <w:szCs w:val="20"/>
          <w:color w:val="auto"/>
        </w:rPr>
      </w:pPr>
      <w:r>
        <w:rPr>
          <w:rFonts w:ascii="Arial" w:cs="Arial" w:eastAsia="Arial" w:hAnsi="Arial"/>
          <w:sz w:val="20"/>
          <w:szCs w:val="20"/>
          <w:color w:val="auto"/>
        </w:rPr>
        <w:t>Title:</w:t>
      </w:r>
    </w:p>
    <w:p>
      <w:pPr>
        <w:spacing w:after="0" w:line="346" w:lineRule="exact"/>
        <w:rPr>
          <w:sz w:val="20"/>
          <w:szCs w:val="20"/>
          <w:color w:val="auto"/>
        </w:rPr>
      </w:pPr>
    </w:p>
    <w:p>
      <w:pPr>
        <w:ind w:left="4760"/>
        <w:spacing w:after="0"/>
        <w:rPr>
          <w:sz w:val="20"/>
          <w:szCs w:val="20"/>
          <w:color w:val="auto"/>
        </w:rPr>
      </w:pPr>
      <w:r>
        <w:rPr>
          <w:rFonts w:ascii="Arial" w:cs="Arial" w:eastAsia="Arial" w:hAnsi="Arial"/>
          <w:sz w:val="20"/>
          <w:szCs w:val="20"/>
          <w:color w:val="auto"/>
        </w:rPr>
        <w:t>STATE STREET BANK AND TRUST</w:t>
      </w:r>
    </w:p>
    <w:p>
      <w:pPr>
        <w:spacing w:after="0" w:line="45" w:lineRule="exact"/>
        <w:rPr>
          <w:sz w:val="20"/>
          <w:szCs w:val="20"/>
          <w:color w:val="auto"/>
        </w:rPr>
      </w:pPr>
    </w:p>
    <w:p>
      <w:pPr>
        <w:ind w:left="4760"/>
        <w:spacing w:after="0"/>
        <w:rPr>
          <w:sz w:val="20"/>
          <w:szCs w:val="20"/>
          <w:color w:val="auto"/>
        </w:rPr>
      </w:pPr>
      <w:r>
        <w:rPr>
          <w:rFonts w:ascii="Arial" w:cs="Arial" w:eastAsia="Arial" w:hAnsi="Arial"/>
          <w:sz w:val="20"/>
          <w:szCs w:val="20"/>
          <w:color w:val="auto"/>
        </w:rPr>
        <w:t>COMPANY, solely in its capacity as</w:t>
      </w:r>
    </w:p>
    <w:p>
      <w:pPr>
        <w:spacing w:after="0" w:line="45" w:lineRule="exact"/>
        <w:rPr>
          <w:sz w:val="20"/>
          <w:szCs w:val="20"/>
          <w:color w:val="auto"/>
        </w:rPr>
      </w:pPr>
    </w:p>
    <w:p>
      <w:pPr>
        <w:ind w:left="4760"/>
        <w:spacing w:after="0"/>
        <w:rPr>
          <w:sz w:val="20"/>
          <w:szCs w:val="20"/>
          <w:color w:val="auto"/>
        </w:rPr>
      </w:pPr>
      <w:r>
        <w:rPr>
          <w:rFonts w:ascii="Arial" w:cs="Arial" w:eastAsia="Arial" w:hAnsi="Arial"/>
          <w:sz w:val="20"/>
          <w:szCs w:val="20"/>
          <w:color w:val="auto"/>
        </w:rPr>
        <w:t>Independent Fiduciary of the General Motors</w:t>
      </w:r>
    </w:p>
    <w:p>
      <w:pPr>
        <w:spacing w:after="0" w:line="45" w:lineRule="exact"/>
        <w:rPr>
          <w:sz w:val="20"/>
          <w:szCs w:val="20"/>
          <w:color w:val="auto"/>
        </w:rPr>
      </w:pPr>
    </w:p>
    <w:p>
      <w:pPr>
        <w:ind w:left="4760"/>
        <w:spacing w:after="0"/>
        <w:rPr>
          <w:sz w:val="20"/>
          <w:szCs w:val="20"/>
          <w:color w:val="auto"/>
        </w:rPr>
      </w:pPr>
      <w:r>
        <w:rPr>
          <w:rFonts w:ascii="Arial" w:cs="Arial" w:eastAsia="Arial" w:hAnsi="Arial"/>
          <w:sz w:val="20"/>
          <w:szCs w:val="20"/>
          <w:color w:val="auto"/>
        </w:rPr>
        <w:t>Retirement Program for Salaried Employees</w:t>
      </w:r>
    </w:p>
    <w:p>
      <w:pPr>
        <w:spacing w:after="0" w:line="346" w:lineRule="exact"/>
        <w:rPr>
          <w:sz w:val="20"/>
          <w:szCs w:val="20"/>
          <w:color w:val="auto"/>
        </w:rPr>
      </w:pPr>
    </w:p>
    <w:p>
      <w:pPr>
        <w:ind w:left="386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3012440</wp:posOffset>
            </wp:positionH>
            <wp:positionV relativeFrom="paragraph">
              <wp:posOffset>26670</wp:posOffset>
            </wp:positionV>
            <wp:extent cx="3751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751580" cy="8255"/>
                    </a:xfrm>
                    <a:prstGeom prst="rect">
                      <a:avLst/>
                    </a:prstGeom>
                    <a:noFill/>
                  </pic:spPr>
                </pic:pic>
              </a:graphicData>
            </a:graphic>
          </wp:anchor>
        </w:drawing>
      </w:r>
    </w:p>
    <w:p>
      <w:pPr>
        <w:spacing w:after="0" w:line="25" w:lineRule="exact"/>
        <w:rPr>
          <w:sz w:val="20"/>
          <w:szCs w:val="20"/>
          <w:color w:val="auto"/>
        </w:rPr>
      </w:pPr>
    </w:p>
    <w:p>
      <w:pPr>
        <w:ind w:left="3860"/>
        <w:spacing w:after="0"/>
        <w:rPr>
          <w:sz w:val="20"/>
          <w:szCs w:val="20"/>
          <w:color w:val="auto"/>
        </w:rPr>
      </w:pPr>
      <w:r>
        <w:rPr>
          <w:rFonts w:ascii="Arial" w:cs="Arial" w:eastAsia="Arial" w:hAnsi="Arial"/>
          <w:sz w:val="20"/>
          <w:szCs w:val="20"/>
          <w:color w:val="auto"/>
        </w:rPr>
        <w:t>Name:</w:t>
      </w:r>
    </w:p>
    <w:p>
      <w:pPr>
        <w:spacing w:after="0" w:line="45" w:lineRule="exact"/>
        <w:rPr>
          <w:sz w:val="20"/>
          <w:szCs w:val="20"/>
          <w:color w:val="auto"/>
        </w:rPr>
      </w:pPr>
    </w:p>
    <w:p>
      <w:pPr>
        <w:ind w:left="386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Exhibit B - 5</w:t>
      </w:r>
    </w:p>
    <w:p>
      <w:pPr>
        <w:sectPr>
          <w:pgSz w:w="11900" w:h="16838" w:orient="portrait"/>
          <w:cols w:equalWidth="0" w:num="1">
            <w:col w:w="11280"/>
          </w:cols>
          <w:pgMar w:left="240" w:top="1345" w:right="379" w:bottom="1440" w:gutter="0" w:footer="0" w:header="0"/>
        </w:sectPr>
      </w:pPr>
    </w:p>
    <w:bookmarkStart w:id="218" w:name="page219"/>
    <w:bookmarkEnd w:id="218"/>
    <w:p>
      <w:pPr>
        <w:ind w:left="10440"/>
        <w:spacing w:after="0"/>
        <w:tabs>
          <w:tab w:leader="none" w:pos="11340" w:val="left"/>
        </w:tabs>
        <w:rPr>
          <w:sz w:val="20"/>
          <w:szCs w:val="20"/>
          <w:color w:val="auto"/>
        </w:rPr>
      </w:pPr>
      <w:r>
        <w:rPr>
          <w:rFonts w:ascii="Arial" w:cs="Arial" w:eastAsia="Arial" w:hAnsi="Arial"/>
          <w:sz w:val="20"/>
          <w:szCs w:val="20"/>
          <w:b w:val="1"/>
          <w:bCs w:val="1"/>
          <w:color w:val="auto"/>
        </w:rPr>
        <w:t>Date: [</w:t>
      </w:r>
      <w:r>
        <w:rPr>
          <w:sz w:val="20"/>
          <w:szCs w:val="20"/>
          <w:color w:val="auto"/>
        </w:rPr>
        <w:tab/>
      </w:r>
      <w:r>
        <w:rPr>
          <w:rFonts w:ascii="Arial" w:cs="Arial" w:eastAsia="Arial" w:hAnsi="Arial"/>
          <w:sz w:val="18"/>
          <w:szCs w:val="18"/>
          <w:b w:val="1"/>
          <w:bCs w:val="1"/>
          <w:color w:val="auto"/>
        </w:rPr>
        <w:t>]</w:t>
      </w:r>
    </w:p>
    <w:p>
      <w:pPr>
        <w:spacing w:after="0" w:line="221"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u w:val="single" w:color="auto"/>
          <w:color w:val="auto"/>
        </w:rPr>
        <w:t>Exhibit C</w:t>
      </w:r>
    </w:p>
    <w:p>
      <w:pPr>
        <w:spacing w:after="0" w:line="208"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FORM OF FINAL ASSET STATEMENT</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Fixed Income Assets</w:t>
      </w:r>
    </w:p>
    <w:p>
      <w:pPr>
        <w:spacing w:after="0" w:line="326" w:lineRule="exact"/>
        <w:rPr>
          <w:sz w:val="20"/>
          <w:szCs w:val="20"/>
          <w:color w:val="auto"/>
        </w:rPr>
      </w:pPr>
    </w:p>
    <w:tbl>
      <w:tblPr>
        <w:tblLayout w:type="fixed"/>
        <w:tblInd w:w="10" w:type="dxa"/>
        <w:tblCellMar>
          <w:top w:w="0" w:type="dxa"/>
          <w:left w:w="0" w:type="dxa"/>
          <w:bottom w:w="0" w:type="dxa"/>
          <w:right w:w="0" w:type="dxa"/>
        </w:tblCellMar>
      </w:tblPr>
      <w:tr>
        <w:trPr>
          <w:trHeight w:val="225"/>
        </w:trPr>
        <w:tc>
          <w:tcPr>
            <w:tcW w:w="2200" w:type="dxa"/>
            <w:vAlign w:val="bottom"/>
            <w:tcBorders>
              <w:top w:val="single" w:sz="8" w:color="auto"/>
              <w:left w:val="single" w:sz="8" w:color="auto"/>
            </w:tcBorders>
          </w:tcPr>
          <w:p>
            <w:pPr>
              <w:spacing w:after="0"/>
              <w:rPr>
                <w:sz w:val="19"/>
                <w:szCs w:val="19"/>
                <w:color w:val="auto"/>
              </w:rPr>
            </w:pPr>
          </w:p>
        </w:tc>
        <w:tc>
          <w:tcPr>
            <w:tcW w:w="120" w:type="dxa"/>
            <w:vAlign w:val="bottom"/>
            <w:tcBorders>
              <w:top w:val="single" w:sz="8" w:color="auto"/>
              <w:right w:val="single" w:sz="8" w:color="auto"/>
            </w:tcBorders>
          </w:tcPr>
          <w:p>
            <w:pPr>
              <w:spacing w:after="0"/>
              <w:rPr>
                <w:sz w:val="19"/>
                <w:szCs w:val="19"/>
                <w:color w:val="auto"/>
              </w:rPr>
            </w:pPr>
          </w:p>
        </w:tc>
        <w:tc>
          <w:tcPr>
            <w:tcW w:w="2160" w:type="dxa"/>
            <w:vAlign w:val="bottom"/>
            <w:tcBorders>
              <w:top w:val="single" w:sz="8" w:color="auto"/>
            </w:tcBorders>
          </w:tcPr>
          <w:p>
            <w:pPr>
              <w:spacing w:after="0"/>
              <w:rPr>
                <w:sz w:val="19"/>
                <w:szCs w:val="19"/>
                <w:color w:val="auto"/>
              </w:rPr>
            </w:pPr>
          </w:p>
        </w:tc>
        <w:tc>
          <w:tcPr>
            <w:tcW w:w="120" w:type="dxa"/>
            <w:vAlign w:val="bottom"/>
            <w:tcBorders>
              <w:top w:val="single" w:sz="8" w:color="auto"/>
              <w:right w:val="single" w:sz="8" w:color="auto"/>
            </w:tcBorders>
          </w:tcPr>
          <w:p>
            <w:pPr>
              <w:spacing w:after="0"/>
              <w:rPr>
                <w:sz w:val="19"/>
                <w:szCs w:val="19"/>
                <w:color w:val="auto"/>
              </w:rPr>
            </w:pPr>
          </w:p>
        </w:tc>
        <w:tc>
          <w:tcPr>
            <w:tcW w:w="1600" w:type="dxa"/>
            <w:vAlign w:val="bottom"/>
            <w:tcBorders>
              <w:top w:val="single" w:sz="8" w:color="auto"/>
              <w:right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480" w:type="dxa"/>
            <w:vAlign w:val="bottom"/>
            <w:tcBorders>
              <w:top w:val="single" w:sz="8" w:color="auto"/>
              <w:right w:val="single" w:sz="8" w:color="auto"/>
            </w:tcBorders>
          </w:tcPr>
          <w:p>
            <w:pPr>
              <w:jc w:val="center"/>
              <w:ind w:right="297"/>
              <w:spacing w:after="0"/>
              <w:rPr>
                <w:sz w:val="20"/>
                <w:szCs w:val="20"/>
                <w:color w:val="auto"/>
              </w:rPr>
            </w:pPr>
            <w:r>
              <w:rPr>
                <w:rFonts w:ascii="Arial" w:cs="Arial" w:eastAsia="Arial" w:hAnsi="Arial"/>
                <w:sz w:val="17"/>
                <w:szCs w:val="17"/>
                <w:color w:val="auto"/>
                <w:w w:val="98"/>
              </w:rPr>
              <w:t>MATURITY</w:t>
            </w:r>
          </w:p>
        </w:tc>
        <w:tc>
          <w:tcPr>
            <w:tcW w:w="22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260" w:type="dxa"/>
            <w:vAlign w:val="bottom"/>
            <w:tcBorders>
              <w:top w:val="single" w:sz="8" w:color="auto"/>
              <w:right w:val="single" w:sz="8" w:color="auto"/>
            </w:tcBorders>
          </w:tcPr>
          <w:p>
            <w:pPr>
              <w:jc w:val="center"/>
              <w:ind w:right="517"/>
              <w:spacing w:after="0"/>
              <w:rPr>
                <w:sz w:val="20"/>
                <w:szCs w:val="20"/>
                <w:color w:val="auto"/>
              </w:rPr>
            </w:pPr>
            <w:r>
              <w:rPr>
                <w:rFonts w:ascii="Arial" w:cs="Arial" w:eastAsia="Arial" w:hAnsi="Arial"/>
                <w:sz w:val="17"/>
                <w:szCs w:val="17"/>
                <w:color w:val="auto"/>
                <w:w w:val="85"/>
              </w:rPr>
              <w:t>PAR</w:t>
            </w:r>
          </w:p>
        </w:tc>
        <w:tc>
          <w:tcPr>
            <w:tcW w:w="120" w:type="dxa"/>
            <w:vAlign w:val="bottom"/>
            <w:tcBorders>
              <w:top w:val="single" w:sz="8" w:color="auto"/>
            </w:tcBorders>
          </w:tcPr>
          <w:p>
            <w:pPr>
              <w:spacing w:after="0"/>
              <w:rPr>
                <w:sz w:val="19"/>
                <w:szCs w:val="19"/>
                <w:color w:val="auto"/>
              </w:rPr>
            </w:pPr>
          </w:p>
        </w:tc>
        <w:tc>
          <w:tcPr>
            <w:tcW w:w="1460" w:type="dxa"/>
            <w:vAlign w:val="bottom"/>
            <w:tcBorders>
              <w:top w:val="single" w:sz="8" w:color="auto"/>
              <w:right w:val="single" w:sz="8" w:color="auto"/>
            </w:tcBorders>
          </w:tcPr>
          <w:p>
            <w:pPr>
              <w:jc w:val="center"/>
              <w:ind w:right="57"/>
              <w:spacing w:after="0"/>
              <w:rPr>
                <w:sz w:val="20"/>
                <w:szCs w:val="20"/>
                <w:color w:val="auto"/>
              </w:rPr>
            </w:pPr>
            <w:r>
              <w:rPr>
                <w:rFonts w:ascii="Arial" w:cs="Arial" w:eastAsia="Arial" w:hAnsi="Arial"/>
                <w:sz w:val="17"/>
                <w:szCs w:val="17"/>
                <w:color w:val="auto"/>
                <w:w w:val="94"/>
              </w:rPr>
              <w:t>CREDIT</w:t>
            </w:r>
          </w:p>
        </w:tc>
      </w:tr>
      <w:tr>
        <w:trPr>
          <w:trHeight w:val="213"/>
        </w:trPr>
        <w:tc>
          <w:tcPr>
            <w:tcW w:w="2320" w:type="dxa"/>
            <w:vAlign w:val="bottom"/>
            <w:tcBorders>
              <w:left w:val="single" w:sz="8" w:color="auto"/>
              <w:right w:val="single" w:sz="8" w:color="auto"/>
            </w:tcBorders>
            <w:gridSpan w:val="2"/>
          </w:tcPr>
          <w:p>
            <w:pPr>
              <w:jc w:val="center"/>
              <w:ind w:right="20"/>
              <w:spacing w:after="0"/>
              <w:rPr>
                <w:sz w:val="20"/>
                <w:szCs w:val="20"/>
                <w:color w:val="auto"/>
              </w:rPr>
            </w:pPr>
            <w:r>
              <w:rPr>
                <w:rFonts w:ascii="Arial" w:cs="Arial" w:eastAsia="Arial" w:hAnsi="Arial"/>
                <w:sz w:val="17"/>
                <w:szCs w:val="17"/>
                <w:color w:val="auto"/>
                <w:w w:val="88"/>
              </w:rPr>
              <w:t>CUSIP</w:t>
            </w:r>
          </w:p>
        </w:tc>
        <w:tc>
          <w:tcPr>
            <w:tcW w:w="2280" w:type="dxa"/>
            <w:vAlign w:val="bottom"/>
            <w:tcBorders>
              <w:right w:val="single" w:sz="8" w:color="auto"/>
            </w:tcBorders>
            <w:gridSpan w:val="2"/>
          </w:tcPr>
          <w:p>
            <w:pPr>
              <w:ind w:left="840"/>
              <w:spacing w:after="0"/>
              <w:rPr>
                <w:sz w:val="20"/>
                <w:szCs w:val="20"/>
                <w:color w:val="auto"/>
              </w:rPr>
            </w:pPr>
            <w:r>
              <w:rPr>
                <w:rFonts w:ascii="Arial" w:cs="Arial" w:eastAsia="Arial" w:hAnsi="Arial"/>
                <w:sz w:val="17"/>
                <w:szCs w:val="17"/>
                <w:color w:val="auto"/>
              </w:rPr>
              <w:t>ISSUER</w:t>
            </w:r>
          </w:p>
        </w:tc>
        <w:tc>
          <w:tcPr>
            <w:tcW w:w="1600" w:type="dxa"/>
            <w:vAlign w:val="bottom"/>
            <w:tcBorders>
              <w:right w:val="single" w:sz="8" w:color="auto"/>
            </w:tcBorders>
          </w:tcPr>
          <w:p>
            <w:pPr>
              <w:ind w:left="440"/>
              <w:spacing w:after="0"/>
              <w:rPr>
                <w:sz w:val="20"/>
                <w:szCs w:val="20"/>
                <w:color w:val="auto"/>
              </w:rPr>
            </w:pPr>
            <w:r>
              <w:rPr>
                <w:rFonts w:ascii="Arial" w:cs="Arial" w:eastAsia="Arial" w:hAnsi="Arial"/>
                <w:sz w:val="17"/>
                <w:szCs w:val="17"/>
                <w:color w:val="auto"/>
              </w:rPr>
              <w:t>COUPON</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Borders>
              <w:right w:val="single" w:sz="8" w:color="auto"/>
            </w:tcBorders>
          </w:tcPr>
          <w:p>
            <w:pPr>
              <w:jc w:val="center"/>
              <w:ind w:right="297"/>
              <w:spacing w:after="0"/>
              <w:rPr>
                <w:sz w:val="20"/>
                <w:szCs w:val="20"/>
                <w:color w:val="auto"/>
              </w:rPr>
            </w:pPr>
            <w:r>
              <w:rPr>
                <w:rFonts w:ascii="Arial" w:cs="Arial" w:eastAsia="Arial" w:hAnsi="Arial"/>
                <w:sz w:val="17"/>
                <w:szCs w:val="17"/>
                <w:color w:val="auto"/>
                <w:w w:val="92"/>
              </w:rPr>
              <w:t>DATE</w:t>
            </w:r>
          </w:p>
        </w:tc>
        <w:tc>
          <w:tcPr>
            <w:tcW w:w="220" w:type="dxa"/>
            <w:vAlign w:val="bottom"/>
          </w:tcPr>
          <w:p>
            <w:pPr>
              <w:spacing w:after="0"/>
              <w:rPr>
                <w:sz w:val="18"/>
                <w:szCs w:val="18"/>
                <w:color w:val="auto"/>
              </w:rPr>
            </w:pPr>
          </w:p>
        </w:tc>
        <w:tc>
          <w:tcPr>
            <w:tcW w:w="1600" w:type="dxa"/>
            <w:vAlign w:val="bottom"/>
            <w:tcBorders>
              <w:right w:val="single" w:sz="8" w:color="auto"/>
            </w:tcBorders>
            <w:gridSpan w:val="2"/>
          </w:tcPr>
          <w:p>
            <w:pPr>
              <w:jc w:val="center"/>
              <w:ind w:right="177"/>
              <w:spacing w:after="0"/>
              <w:rPr>
                <w:sz w:val="20"/>
                <w:szCs w:val="20"/>
                <w:color w:val="auto"/>
              </w:rPr>
            </w:pPr>
            <w:r>
              <w:rPr>
                <w:rFonts w:ascii="Arial" w:cs="Arial" w:eastAsia="Arial" w:hAnsi="Arial"/>
                <w:sz w:val="17"/>
                <w:szCs w:val="17"/>
                <w:color w:val="auto"/>
              </w:rPr>
              <w:t>AMOUNT</w:t>
            </w:r>
          </w:p>
        </w:tc>
        <w:tc>
          <w:tcPr>
            <w:tcW w:w="120" w:type="dxa"/>
            <w:vAlign w:val="bottom"/>
          </w:tcPr>
          <w:p>
            <w:pPr>
              <w:spacing w:after="0"/>
              <w:rPr>
                <w:sz w:val="18"/>
                <w:szCs w:val="18"/>
                <w:color w:val="auto"/>
              </w:rPr>
            </w:pPr>
          </w:p>
        </w:tc>
        <w:tc>
          <w:tcPr>
            <w:tcW w:w="1460" w:type="dxa"/>
            <w:vAlign w:val="bottom"/>
            <w:tcBorders>
              <w:right w:val="single" w:sz="8" w:color="auto"/>
            </w:tcBorders>
          </w:tcPr>
          <w:p>
            <w:pPr>
              <w:jc w:val="center"/>
              <w:ind w:right="57"/>
              <w:spacing w:after="0"/>
              <w:rPr>
                <w:sz w:val="20"/>
                <w:szCs w:val="20"/>
                <w:color w:val="auto"/>
              </w:rPr>
            </w:pPr>
            <w:r>
              <w:rPr>
                <w:rFonts w:ascii="Arial" w:cs="Arial" w:eastAsia="Arial" w:hAnsi="Arial"/>
                <w:sz w:val="17"/>
                <w:szCs w:val="17"/>
                <w:color w:val="auto"/>
              </w:rPr>
              <w:t>QUALITY</w:t>
            </w:r>
          </w:p>
        </w:tc>
      </w:tr>
      <w:tr>
        <w:trPr>
          <w:trHeight w:val="25"/>
        </w:trPr>
        <w:tc>
          <w:tcPr>
            <w:tcW w:w="2200" w:type="dxa"/>
            <w:vAlign w:val="bottom"/>
            <w:tcBorders>
              <w:left w:val="single" w:sz="8" w:color="auto"/>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r>
      <w:tr>
        <w:trPr>
          <w:trHeight w:val="506"/>
        </w:trPr>
        <w:tc>
          <w:tcPr>
            <w:tcW w:w="220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600" w:type="dxa"/>
            <w:vAlign w:val="bottom"/>
            <w:tcBorders>
              <w:bottom w:val="single" w:sz="8" w:color="auto"/>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80" w:type="dxa"/>
            <w:vAlign w:val="bottom"/>
            <w:tcBorders>
              <w:bottom w:val="single" w:sz="8" w:color="auto"/>
              <w:right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60" w:type="dxa"/>
            <w:vAlign w:val="bottom"/>
            <w:tcBorders>
              <w:bottom w:val="single" w:sz="8" w:color="auto"/>
              <w:right w:val="single" w:sz="8" w:color="auto"/>
            </w:tcBorders>
          </w:tcPr>
          <w:p>
            <w:pPr>
              <w:spacing w:after="0"/>
              <w:rPr>
                <w:sz w:val="24"/>
                <w:szCs w:val="24"/>
                <w:color w:val="auto"/>
              </w:rPr>
            </w:pPr>
          </w:p>
        </w:tc>
      </w:tr>
      <w:tr>
        <w:trPr>
          <w:trHeight w:val="468"/>
        </w:trPr>
        <w:tc>
          <w:tcPr>
            <w:tcW w:w="220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600" w:type="dxa"/>
            <w:vAlign w:val="bottom"/>
            <w:tcBorders>
              <w:bottom w:val="single" w:sz="8" w:color="auto"/>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80" w:type="dxa"/>
            <w:vAlign w:val="bottom"/>
            <w:tcBorders>
              <w:bottom w:val="single" w:sz="8" w:color="auto"/>
              <w:right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60" w:type="dxa"/>
            <w:vAlign w:val="bottom"/>
            <w:tcBorders>
              <w:bottom w:val="single" w:sz="8" w:color="auto"/>
              <w:right w:val="single" w:sz="8" w:color="auto"/>
            </w:tcBorders>
          </w:tcPr>
          <w:p>
            <w:pPr>
              <w:spacing w:after="0"/>
              <w:rPr>
                <w:sz w:val="24"/>
                <w:szCs w:val="24"/>
                <w:color w:val="auto"/>
              </w:rPr>
            </w:pPr>
          </w:p>
        </w:tc>
      </w:tr>
      <w:tr>
        <w:trPr>
          <w:trHeight w:val="205"/>
        </w:trPr>
        <w:tc>
          <w:tcPr>
            <w:tcW w:w="2320" w:type="dxa"/>
            <w:vAlign w:val="bottom"/>
            <w:tcBorders>
              <w:left w:val="single" w:sz="8" w:color="auto"/>
              <w:right w:val="single" w:sz="8" w:color="auto"/>
            </w:tcBorders>
            <w:gridSpan w:val="2"/>
          </w:tcPr>
          <w:p>
            <w:pPr>
              <w:jc w:val="center"/>
              <w:ind w:right="20"/>
              <w:spacing w:after="0"/>
              <w:rPr>
                <w:sz w:val="20"/>
                <w:szCs w:val="20"/>
                <w:color w:val="auto"/>
              </w:rPr>
            </w:pPr>
            <w:r>
              <w:rPr>
                <w:rFonts w:ascii="Arial" w:cs="Arial" w:eastAsia="Arial" w:hAnsi="Arial"/>
                <w:sz w:val="17"/>
                <w:szCs w:val="17"/>
                <w:color w:val="auto"/>
                <w:w w:val="97"/>
              </w:rPr>
              <w:t>SUB</w:t>
            </w:r>
          </w:p>
        </w:tc>
        <w:tc>
          <w:tcPr>
            <w:tcW w:w="216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Borders>
              <w:right w:val="single" w:sz="8" w:color="auto"/>
            </w:tcBorders>
          </w:tcPr>
          <w:p>
            <w:pPr>
              <w:spacing w:after="0"/>
              <w:rPr>
                <w:sz w:val="17"/>
                <w:szCs w:val="17"/>
                <w:color w:val="auto"/>
              </w:rPr>
            </w:pPr>
          </w:p>
        </w:tc>
      </w:tr>
      <w:tr>
        <w:trPr>
          <w:trHeight w:val="213"/>
        </w:trPr>
        <w:tc>
          <w:tcPr>
            <w:tcW w:w="2320" w:type="dxa"/>
            <w:vAlign w:val="bottom"/>
            <w:tcBorders>
              <w:left w:val="single" w:sz="8" w:color="auto"/>
              <w:right w:val="single" w:sz="8" w:color="auto"/>
            </w:tcBorders>
            <w:gridSpan w:val="2"/>
          </w:tcPr>
          <w:p>
            <w:pPr>
              <w:jc w:val="center"/>
              <w:ind w:right="20"/>
              <w:spacing w:after="0"/>
              <w:rPr>
                <w:sz w:val="20"/>
                <w:szCs w:val="20"/>
                <w:color w:val="auto"/>
              </w:rPr>
            </w:pPr>
            <w:r>
              <w:rPr>
                <w:rFonts w:ascii="Arial" w:cs="Arial" w:eastAsia="Arial" w:hAnsi="Arial"/>
                <w:sz w:val="17"/>
                <w:szCs w:val="17"/>
                <w:color w:val="auto"/>
                <w:w w:val="98"/>
              </w:rPr>
              <w:t>TOTAL</w:t>
            </w:r>
          </w:p>
        </w:tc>
        <w:tc>
          <w:tcPr>
            <w:tcW w:w="21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r>
      <w:tr>
        <w:trPr>
          <w:trHeight w:val="25"/>
        </w:trPr>
        <w:tc>
          <w:tcPr>
            <w:tcW w:w="2200" w:type="dxa"/>
            <w:vAlign w:val="bottom"/>
            <w:tcBorders>
              <w:left w:val="single" w:sz="8" w:color="auto"/>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r>
      <w:tr>
        <w:trPr>
          <w:trHeight w:val="445"/>
        </w:trPr>
        <w:tc>
          <w:tcPr>
            <w:tcW w:w="2200" w:type="dxa"/>
            <w:vAlign w:val="bottom"/>
          </w:tcPr>
          <w:p>
            <w:pPr>
              <w:spacing w:after="0"/>
              <w:rPr>
                <w:sz w:val="20"/>
                <w:szCs w:val="20"/>
                <w:color w:val="auto"/>
              </w:rPr>
            </w:pPr>
            <w:r>
              <w:rPr>
                <w:rFonts w:ascii="Arial" w:cs="Arial" w:eastAsia="Arial" w:hAnsi="Arial"/>
                <w:sz w:val="20"/>
                <w:szCs w:val="20"/>
                <w:color w:val="auto"/>
              </w:rPr>
              <w:t xml:space="preserve">[ *** </w:t>
            </w:r>
            <w:r>
              <w:rPr>
                <w:rFonts w:ascii="Arial" w:cs="Arial" w:eastAsia="Arial" w:hAnsi="Arial"/>
                <w:sz w:val="21"/>
                <w:szCs w:val="21"/>
                <w:color w:val="auto"/>
              </w:rPr>
              <w:t>]</w:t>
            </w:r>
          </w:p>
        </w:tc>
        <w:tc>
          <w:tcPr>
            <w:tcW w:w="1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324"/>
        </w:trPr>
        <w:tc>
          <w:tcPr>
            <w:tcW w:w="2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r>
      <w:tr>
        <w:trPr>
          <w:trHeight w:val="218"/>
        </w:trPr>
        <w:tc>
          <w:tcPr>
            <w:tcW w:w="22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 *** ]</w:t>
            </w:r>
          </w:p>
        </w:tc>
        <w:tc>
          <w:tcPr>
            <w:tcW w:w="120" w:type="dxa"/>
            <w:vAlign w:val="bottom"/>
          </w:tcPr>
          <w:p>
            <w:pPr>
              <w:spacing w:after="0"/>
              <w:rPr>
                <w:sz w:val="18"/>
                <w:szCs w:val="18"/>
                <w:color w:val="auto"/>
              </w:rPr>
            </w:pPr>
          </w:p>
        </w:tc>
        <w:tc>
          <w:tcPr>
            <w:tcW w:w="2160" w:type="dxa"/>
            <w:vAlign w:val="bottom"/>
            <w:tcBorders>
              <w:right w:val="single" w:sz="8" w:color="auto"/>
            </w:tcBorders>
          </w:tcPr>
          <w:p>
            <w:pPr>
              <w:ind w:left="460"/>
              <w:spacing w:after="0"/>
              <w:rPr>
                <w:sz w:val="20"/>
                <w:szCs w:val="20"/>
                <w:color w:val="auto"/>
              </w:rPr>
            </w:pPr>
            <w:r>
              <w:rPr>
                <w:rFonts w:ascii="Arial" w:cs="Arial" w:eastAsia="Arial" w:hAnsi="Arial"/>
                <w:sz w:val="17"/>
                <w:szCs w:val="17"/>
                <w:color w:val="auto"/>
              </w:rPr>
              <w:t>NEWCO [ *** ]</w:t>
            </w:r>
          </w:p>
        </w:tc>
        <w:tc>
          <w:tcPr>
            <w:tcW w:w="120" w:type="dxa"/>
            <w:vAlign w:val="bottom"/>
          </w:tcPr>
          <w:p>
            <w:pPr>
              <w:spacing w:after="0"/>
              <w:rPr>
                <w:sz w:val="18"/>
                <w:szCs w:val="18"/>
                <w:color w:val="auto"/>
              </w:rPr>
            </w:pPr>
          </w:p>
        </w:tc>
        <w:tc>
          <w:tcPr>
            <w:tcW w:w="1600" w:type="dxa"/>
            <w:vAlign w:val="bottom"/>
          </w:tcPr>
          <w:p>
            <w:pPr>
              <w:ind w:left="680"/>
              <w:spacing w:after="0"/>
              <w:rPr>
                <w:sz w:val="20"/>
                <w:szCs w:val="20"/>
                <w:color w:val="auto"/>
              </w:rPr>
            </w:pPr>
            <w:r>
              <w:rPr>
                <w:rFonts w:ascii="Arial" w:cs="Arial" w:eastAsia="Arial" w:hAnsi="Arial"/>
                <w:sz w:val="17"/>
                <w:szCs w:val="17"/>
                <w:color w:val="auto"/>
              </w:rPr>
              <w:t>[ *** ]</w:t>
            </w:r>
          </w:p>
        </w:tc>
        <w:tc>
          <w:tcPr>
            <w:tcW w:w="12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1480" w:type="dxa"/>
            <w:vAlign w:val="bottom"/>
          </w:tcPr>
          <w:p>
            <w:pPr>
              <w:jc w:val="right"/>
              <w:ind w:right="177"/>
              <w:spacing w:after="0"/>
              <w:rPr>
                <w:sz w:val="20"/>
                <w:szCs w:val="20"/>
                <w:color w:val="auto"/>
              </w:rPr>
            </w:pPr>
            <w:r>
              <w:rPr>
                <w:rFonts w:ascii="Arial" w:cs="Arial" w:eastAsia="Arial" w:hAnsi="Arial"/>
                <w:sz w:val="17"/>
                <w:szCs w:val="17"/>
                <w:color w:val="auto"/>
              </w:rPr>
              <w:t>[ *** ]</w:t>
            </w:r>
          </w:p>
        </w:tc>
        <w:tc>
          <w:tcPr>
            <w:tcW w:w="22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ind w:left="280"/>
              <w:spacing w:after="0"/>
              <w:rPr>
                <w:sz w:val="20"/>
                <w:szCs w:val="20"/>
                <w:color w:val="auto"/>
              </w:rPr>
            </w:pPr>
            <w:r>
              <w:rPr>
                <w:rFonts w:ascii="Arial" w:cs="Arial" w:eastAsia="Arial" w:hAnsi="Arial"/>
                <w:sz w:val="17"/>
                <w:szCs w:val="17"/>
                <w:color w:val="auto"/>
              </w:rPr>
              <w:t>[OTHER]</w:t>
            </w:r>
          </w:p>
        </w:tc>
        <w:tc>
          <w:tcPr>
            <w:tcW w:w="1580" w:type="dxa"/>
            <w:vAlign w:val="bottom"/>
            <w:tcBorders>
              <w:right w:val="single" w:sz="8" w:color="auto"/>
            </w:tcBorders>
            <w:gridSpan w:val="2"/>
          </w:tcPr>
          <w:p>
            <w:pPr>
              <w:jc w:val="center"/>
              <w:spacing w:after="0"/>
              <w:rPr>
                <w:sz w:val="20"/>
                <w:szCs w:val="20"/>
                <w:color w:val="auto"/>
              </w:rPr>
            </w:pPr>
            <w:r>
              <w:rPr>
                <w:rFonts w:ascii="Arial" w:cs="Arial" w:eastAsia="Arial" w:hAnsi="Arial"/>
                <w:sz w:val="17"/>
                <w:szCs w:val="17"/>
                <w:color w:val="auto"/>
              </w:rPr>
              <w:t>[ *** ]</w:t>
            </w:r>
          </w:p>
        </w:tc>
      </w:tr>
      <w:tr>
        <w:trPr>
          <w:trHeight w:val="25"/>
        </w:trPr>
        <w:tc>
          <w:tcPr>
            <w:tcW w:w="220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r>
      <w:tr>
        <w:trPr>
          <w:trHeight w:val="506"/>
        </w:trPr>
        <w:tc>
          <w:tcPr>
            <w:tcW w:w="2200" w:type="dxa"/>
            <w:vAlign w:val="bottom"/>
            <w:tcBorders>
              <w:left w:val="single" w:sz="8" w:color="auto"/>
              <w:bottom w:val="single" w:sz="8" w:color="auto"/>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160" w:type="dxa"/>
            <w:vAlign w:val="bottom"/>
            <w:tcBorders>
              <w:bottom w:val="single" w:sz="8" w:color="auto"/>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60" w:type="dxa"/>
            <w:vAlign w:val="bottom"/>
            <w:tcBorders>
              <w:bottom w:val="single" w:sz="8" w:color="auto"/>
              <w:right w:val="single" w:sz="8" w:color="auto"/>
            </w:tcBorders>
          </w:tcPr>
          <w:p>
            <w:pPr>
              <w:spacing w:after="0"/>
              <w:rPr>
                <w:sz w:val="24"/>
                <w:szCs w:val="24"/>
                <w:color w:val="auto"/>
              </w:rPr>
            </w:pPr>
          </w:p>
        </w:tc>
      </w:tr>
      <w:tr>
        <w:trPr>
          <w:trHeight w:val="205"/>
        </w:trPr>
        <w:tc>
          <w:tcPr>
            <w:tcW w:w="22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1"/>
              </w:rPr>
              <w:t>SUB</w:t>
            </w:r>
          </w:p>
        </w:tc>
        <w:tc>
          <w:tcPr>
            <w:tcW w:w="120" w:type="dxa"/>
            <w:vAlign w:val="bottom"/>
          </w:tcPr>
          <w:p>
            <w:pPr>
              <w:spacing w:after="0"/>
              <w:rPr>
                <w:sz w:val="17"/>
                <w:szCs w:val="17"/>
                <w:color w:val="auto"/>
              </w:rPr>
            </w:pPr>
          </w:p>
        </w:tc>
        <w:tc>
          <w:tcPr>
            <w:tcW w:w="216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1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Borders>
              <w:right w:val="single" w:sz="8" w:color="auto"/>
            </w:tcBorders>
          </w:tcPr>
          <w:p>
            <w:pPr>
              <w:spacing w:after="0"/>
              <w:rPr>
                <w:sz w:val="17"/>
                <w:szCs w:val="17"/>
                <w:color w:val="auto"/>
              </w:rPr>
            </w:pPr>
          </w:p>
        </w:tc>
        <w:tc>
          <w:tcPr>
            <w:tcW w:w="126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Borders>
              <w:right w:val="single" w:sz="8" w:color="auto"/>
            </w:tcBorders>
          </w:tcPr>
          <w:p>
            <w:pPr>
              <w:spacing w:after="0"/>
              <w:rPr>
                <w:sz w:val="17"/>
                <w:szCs w:val="17"/>
                <w:color w:val="auto"/>
              </w:rPr>
            </w:pPr>
          </w:p>
        </w:tc>
      </w:tr>
      <w:tr>
        <w:trPr>
          <w:trHeight w:val="213"/>
        </w:trPr>
        <w:tc>
          <w:tcPr>
            <w:tcW w:w="22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4"/>
              </w:rPr>
              <w:t>TOTAL</w:t>
            </w:r>
          </w:p>
        </w:tc>
        <w:tc>
          <w:tcPr>
            <w:tcW w:w="120" w:type="dxa"/>
            <w:vAlign w:val="bottom"/>
          </w:tcPr>
          <w:p>
            <w:pPr>
              <w:spacing w:after="0"/>
              <w:rPr>
                <w:sz w:val="18"/>
                <w:szCs w:val="18"/>
                <w:color w:val="auto"/>
              </w:rPr>
            </w:pPr>
          </w:p>
        </w:tc>
        <w:tc>
          <w:tcPr>
            <w:tcW w:w="21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r>
      <w:tr>
        <w:trPr>
          <w:trHeight w:val="25"/>
        </w:trPr>
        <w:tc>
          <w:tcPr>
            <w:tcW w:w="220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r>
      <w:tr>
        <w:trPr>
          <w:trHeight w:val="441"/>
        </w:trPr>
        <w:tc>
          <w:tcPr>
            <w:tcW w:w="2320" w:type="dxa"/>
            <w:vAlign w:val="bottom"/>
            <w:gridSpan w:val="2"/>
          </w:tcPr>
          <w:p>
            <w:pPr>
              <w:spacing w:after="0"/>
              <w:rPr>
                <w:sz w:val="20"/>
                <w:szCs w:val="20"/>
                <w:color w:val="auto"/>
              </w:rPr>
            </w:pPr>
            <w:r>
              <w:rPr>
                <w:rFonts w:ascii="Arial" w:cs="Arial" w:eastAsia="Arial" w:hAnsi="Arial"/>
                <w:sz w:val="20"/>
                <w:szCs w:val="20"/>
                <w:b w:val="1"/>
                <w:bCs w:val="1"/>
                <w:color w:val="auto"/>
              </w:rPr>
              <w:t>Other Assets</w:t>
            </w:r>
          </w:p>
        </w:tc>
        <w:tc>
          <w:tcPr>
            <w:tcW w:w="2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316"/>
        </w:trPr>
        <w:tc>
          <w:tcPr>
            <w:tcW w:w="2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r>
      <w:tr>
        <w:trPr>
          <w:trHeight w:val="205"/>
        </w:trPr>
        <w:tc>
          <w:tcPr>
            <w:tcW w:w="2200" w:type="dxa"/>
            <w:vAlign w:val="bottom"/>
            <w:tcBorders>
              <w:left w:val="single" w:sz="8" w:color="auto"/>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jc w:val="center"/>
              <w:spacing w:after="0"/>
              <w:rPr>
                <w:sz w:val="20"/>
                <w:szCs w:val="20"/>
                <w:color w:val="auto"/>
              </w:rPr>
            </w:pPr>
            <w:r>
              <w:rPr>
                <w:rFonts w:ascii="Arial" w:cs="Arial" w:eastAsia="Arial" w:hAnsi="Arial"/>
                <w:sz w:val="17"/>
                <w:szCs w:val="17"/>
                <w:color w:val="auto"/>
              </w:rPr>
              <w:t>[MATURITY</w:t>
            </w:r>
          </w:p>
        </w:tc>
        <w:tc>
          <w:tcPr>
            <w:tcW w:w="220" w:type="dxa"/>
            <w:vAlign w:val="bottom"/>
            <w:tcBorders>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jc w:val="center"/>
              <w:ind w:right="177"/>
              <w:spacing w:after="0"/>
              <w:rPr>
                <w:sz w:val="20"/>
                <w:szCs w:val="20"/>
                <w:color w:val="auto"/>
              </w:rPr>
            </w:pPr>
            <w:r>
              <w:rPr>
                <w:rFonts w:ascii="Arial" w:cs="Arial" w:eastAsia="Arial" w:hAnsi="Arial"/>
                <w:sz w:val="17"/>
                <w:szCs w:val="17"/>
                <w:color w:val="auto"/>
                <w:w w:val="90"/>
              </w:rPr>
              <w:t>[PAR</w:t>
            </w:r>
          </w:p>
        </w:tc>
        <w:tc>
          <w:tcPr>
            <w:tcW w:w="12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6"/>
              </w:rPr>
              <w:t>[CREDIT</w:t>
            </w:r>
          </w:p>
        </w:tc>
      </w:tr>
      <w:tr>
        <w:trPr>
          <w:trHeight w:val="213"/>
        </w:trPr>
        <w:tc>
          <w:tcPr>
            <w:tcW w:w="22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2"/>
              </w:rPr>
              <w:t>CUSIP</w:t>
            </w:r>
          </w:p>
        </w:tc>
        <w:tc>
          <w:tcPr>
            <w:tcW w:w="120" w:type="dxa"/>
            <w:vAlign w:val="bottom"/>
          </w:tcPr>
          <w:p>
            <w:pPr>
              <w:spacing w:after="0"/>
              <w:rPr>
                <w:sz w:val="18"/>
                <w:szCs w:val="18"/>
                <w:color w:val="auto"/>
              </w:rPr>
            </w:pPr>
          </w:p>
        </w:tc>
        <w:tc>
          <w:tcPr>
            <w:tcW w:w="2280" w:type="dxa"/>
            <w:vAlign w:val="bottom"/>
            <w:tcBorders>
              <w:right w:val="single" w:sz="8" w:color="auto"/>
            </w:tcBorders>
            <w:gridSpan w:val="2"/>
          </w:tcPr>
          <w:p>
            <w:pPr>
              <w:ind w:left="780"/>
              <w:spacing w:after="0"/>
              <w:rPr>
                <w:sz w:val="20"/>
                <w:szCs w:val="20"/>
                <w:color w:val="auto"/>
              </w:rPr>
            </w:pPr>
            <w:r>
              <w:rPr>
                <w:rFonts w:ascii="Arial" w:cs="Arial" w:eastAsia="Arial" w:hAnsi="Arial"/>
                <w:sz w:val="17"/>
                <w:szCs w:val="17"/>
                <w:color w:val="auto"/>
              </w:rPr>
              <w:t>ISSUER</w:t>
            </w:r>
          </w:p>
        </w:tc>
        <w:tc>
          <w:tcPr>
            <w:tcW w:w="1600" w:type="dxa"/>
            <w:vAlign w:val="bottom"/>
          </w:tcPr>
          <w:p>
            <w:pPr>
              <w:ind w:left="440"/>
              <w:spacing w:after="0"/>
              <w:rPr>
                <w:sz w:val="20"/>
                <w:szCs w:val="20"/>
                <w:color w:val="auto"/>
              </w:rPr>
            </w:pPr>
            <w:r>
              <w:rPr>
                <w:rFonts w:ascii="Arial" w:cs="Arial" w:eastAsia="Arial" w:hAnsi="Arial"/>
                <w:sz w:val="17"/>
                <w:szCs w:val="17"/>
                <w:color w:val="auto"/>
              </w:rPr>
              <w:t>[COUPON]</w:t>
            </w:r>
          </w:p>
        </w:tc>
        <w:tc>
          <w:tcPr>
            <w:tcW w:w="1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7"/>
                <w:szCs w:val="17"/>
                <w:color w:val="auto"/>
                <w:w w:val="95"/>
              </w:rPr>
              <w:t>DATE]</w:t>
            </w:r>
          </w:p>
        </w:tc>
        <w:tc>
          <w:tcPr>
            <w:tcW w:w="22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jc w:val="center"/>
              <w:ind w:right="157"/>
              <w:spacing w:after="0"/>
              <w:rPr>
                <w:sz w:val="20"/>
                <w:szCs w:val="20"/>
                <w:color w:val="auto"/>
              </w:rPr>
            </w:pPr>
            <w:r>
              <w:rPr>
                <w:rFonts w:ascii="Arial" w:cs="Arial" w:eastAsia="Arial" w:hAnsi="Arial"/>
                <w:sz w:val="17"/>
                <w:szCs w:val="17"/>
                <w:color w:val="auto"/>
              </w:rPr>
              <w:t>AMNT]</w:t>
            </w:r>
          </w:p>
        </w:tc>
        <w:tc>
          <w:tcPr>
            <w:tcW w:w="12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QUALITY]</w:t>
            </w:r>
          </w:p>
        </w:tc>
      </w:tr>
      <w:tr>
        <w:trPr>
          <w:trHeight w:val="25"/>
        </w:trPr>
        <w:tc>
          <w:tcPr>
            <w:tcW w:w="220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r>
      <w:tr>
        <w:trPr>
          <w:trHeight w:val="593"/>
        </w:trPr>
        <w:tc>
          <w:tcPr>
            <w:tcW w:w="2200" w:type="dxa"/>
            <w:vAlign w:val="bottom"/>
            <w:tcBorders>
              <w:left w:val="single" w:sz="8" w:color="auto"/>
              <w:bottom w:val="single" w:sz="8" w:color="auto"/>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460" w:type="dxa"/>
            <w:vAlign w:val="bottom"/>
            <w:tcBorders>
              <w:bottom w:val="single" w:sz="8" w:color="auto"/>
              <w:right w:val="single" w:sz="8" w:color="auto"/>
            </w:tcBorders>
          </w:tcPr>
          <w:p>
            <w:pPr>
              <w:spacing w:after="0"/>
              <w:rPr>
                <w:sz w:val="24"/>
                <w:szCs w:val="24"/>
                <w:color w:val="auto"/>
              </w:rPr>
            </w:pPr>
          </w:p>
        </w:tc>
      </w:tr>
      <w:tr>
        <w:trPr>
          <w:trHeight w:val="543"/>
        </w:trPr>
        <w:tc>
          <w:tcPr>
            <w:tcW w:w="2200" w:type="dxa"/>
            <w:vAlign w:val="bottom"/>
            <w:tcBorders>
              <w:left w:val="single" w:sz="8" w:color="auto"/>
              <w:bottom w:val="single" w:sz="8" w:color="auto"/>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460" w:type="dxa"/>
            <w:vAlign w:val="bottom"/>
            <w:tcBorders>
              <w:bottom w:val="single" w:sz="8" w:color="auto"/>
              <w:right w:val="single" w:sz="8" w:color="auto"/>
            </w:tcBorders>
          </w:tcPr>
          <w:p>
            <w:pPr>
              <w:spacing w:after="0"/>
              <w:rPr>
                <w:sz w:val="24"/>
                <w:szCs w:val="24"/>
                <w:color w:val="auto"/>
              </w:rPr>
            </w:pPr>
          </w:p>
        </w:tc>
      </w:tr>
      <w:tr>
        <w:trPr>
          <w:trHeight w:val="205"/>
        </w:trPr>
        <w:tc>
          <w:tcPr>
            <w:tcW w:w="22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1"/>
              </w:rPr>
              <w:t>SUB</w:t>
            </w:r>
          </w:p>
        </w:tc>
        <w:tc>
          <w:tcPr>
            <w:tcW w:w="1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tcPr>
          <w:p>
            <w:pPr>
              <w:spacing w:after="0"/>
              <w:rPr>
                <w:sz w:val="17"/>
                <w:szCs w:val="17"/>
                <w:color w:val="auto"/>
              </w:rPr>
            </w:pPr>
          </w:p>
        </w:tc>
      </w:tr>
      <w:tr>
        <w:trPr>
          <w:trHeight w:val="213"/>
        </w:trPr>
        <w:tc>
          <w:tcPr>
            <w:tcW w:w="22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4"/>
              </w:rPr>
              <w:t>TOTAL</w:t>
            </w:r>
          </w:p>
        </w:tc>
        <w:tc>
          <w:tcPr>
            <w:tcW w:w="1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r>
      <w:tr>
        <w:trPr>
          <w:trHeight w:val="25"/>
        </w:trPr>
        <w:tc>
          <w:tcPr>
            <w:tcW w:w="220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r>
      <w:tr>
        <w:trPr>
          <w:trHeight w:val="819"/>
        </w:trPr>
        <w:tc>
          <w:tcPr>
            <w:tcW w:w="2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ind w:left="680"/>
              <w:spacing w:after="0"/>
              <w:rPr>
                <w:sz w:val="20"/>
                <w:szCs w:val="20"/>
                <w:color w:val="auto"/>
              </w:rPr>
            </w:pPr>
            <w:r>
              <w:rPr>
                <w:rFonts w:ascii="Arial" w:cs="Arial" w:eastAsia="Arial" w:hAnsi="Arial"/>
                <w:sz w:val="17"/>
                <w:szCs w:val="17"/>
                <w:color w:val="auto"/>
                <w:w w:val="94"/>
              </w:rPr>
              <w:t>Exhibit C - 1</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r>
    </w:tbl>
    <w:p>
      <w:pPr>
        <w:sectPr>
          <w:pgSz w:w="11900" w:h="16838" w:orient="portrait"/>
          <w:cols w:equalWidth="0" w:num="1">
            <w:col w:w="11440"/>
          </w:cols>
          <w:pgMar w:left="240" w:top="1104" w:right="219" w:bottom="1440" w:gutter="0" w:footer="0" w:header="0"/>
        </w:sectPr>
      </w:pPr>
    </w:p>
    <w:bookmarkStart w:id="219" w:name="page220"/>
    <w:bookmarkEnd w:id="219"/>
    <w:p>
      <w:pPr>
        <w:jc w:val="center"/>
        <w:ind w:right="-59"/>
        <w:spacing w:after="0"/>
        <w:rPr>
          <w:sz w:val="20"/>
          <w:szCs w:val="20"/>
          <w:color w:val="auto"/>
        </w:rPr>
      </w:pPr>
      <w:r>
        <w:rPr>
          <w:rFonts w:ascii="Arial" w:cs="Arial" w:eastAsia="Arial" w:hAnsi="Arial"/>
          <w:sz w:val="20"/>
          <w:szCs w:val="20"/>
          <w:b w:val="1"/>
          <w:bCs w:val="1"/>
          <w:u w:val="single" w:color="auto"/>
          <w:color w:val="auto"/>
        </w:rPr>
        <w:t>Exhibit D</w:t>
      </w: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FORM OF NOTICE OF TERMINATION</w:t>
      </w:r>
      <w:r>
        <w:rPr>
          <w:rFonts w:ascii="Arial" w:cs="Arial" w:eastAsia="Arial" w:hAnsi="Arial"/>
          <w:sz w:val="20"/>
          <w:szCs w:val="20"/>
          <w:color w:val="auto"/>
        </w:rPr>
        <w:t>]</w:t>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TO: </w:t>
      </w:r>
      <w:r>
        <w:rPr>
          <w:rFonts w:ascii="Arial" w:cs="Arial" w:eastAsia="Arial" w:hAnsi="Arial"/>
          <w:sz w:val="20"/>
          <w:szCs w:val="20"/>
          <w:color w:val="auto"/>
        </w:rPr>
        <w:t>[ ***</w:t>
      </w:r>
      <w:r>
        <w:rPr>
          <w:rFonts w:ascii="Arial" w:cs="Arial" w:eastAsia="Arial" w:hAnsi="Arial"/>
          <w:sz w:val="18"/>
          <w:szCs w:val="18"/>
          <w:color w:val="auto"/>
        </w:rPr>
        <w:t xml:space="preserve"> </w:t>
      </w:r>
      <w:r>
        <w:rPr>
          <w:rFonts w:ascii="Arial" w:cs="Arial" w:eastAsia="Arial" w:hAnsi="Arial"/>
          <w:sz w:val="21"/>
          <w:szCs w:val="21"/>
          <w:color w:val="auto"/>
        </w:rPr>
        <w:t>]</w:t>
      </w:r>
    </w:p>
    <w:p>
      <w:pPr>
        <w:spacing w:after="0" w:line="3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Attn: General Counsel</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color w:val="auto"/>
        </w:rPr>
        <w:t>DATE: [_______________]</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_________________________________________________________________________________</w:t>
      </w:r>
    </w:p>
    <w:p>
      <w:pPr>
        <w:spacing w:after="0" w:line="200" w:lineRule="exact"/>
        <w:rPr>
          <w:sz w:val="20"/>
          <w:szCs w:val="20"/>
          <w:color w:val="auto"/>
        </w:rPr>
      </w:pPr>
    </w:p>
    <w:p>
      <w:pPr>
        <w:spacing w:after="0" w:line="231"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 xml:space="preserve">Reference is made to the Investment Management Agreement, made as of May 25, 2012 (the “Agreement”), by and among General Motors Investment Management Corporation (“GMIMCo”), in its capacity as the Named Fiduciary (as such term is defined by the Employee Retirement Income Security Act of 1974, as amended (“ERISA”)) for investments of the General Motors Retirement Program for Salaried Employees (the “Salary Plan”), The Prudential Insurance Company of America, an entity organized under the laws of New Jersey (“Prudential”), and </w:t>
      </w:r>
      <w:r>
        <w:rPr>
          <w:rFonts w:ascii="Arial" w:cs="Arial" w:eastAsia="Arial" w:hAnsi="Arial"/>
          <w:sz w:val="19"/>
          <w:szCs w:val="19"/>
          <w:color w:val="auto"/>
        </w:rPr>
        <w:t>[ ***</w:t>
      </w:r>
      <w:r>
        <w:rPr>
          <w:rFonts w:ascii="Arial" w:cs="Arial" w:eastAsia="Arial" w:hAnsi="Arial"/>
          <w:sz w:val="17"/>
          <w:szCs w:val="17"/>
          <w:color w:val="auto"/>
        </w:rPr>
        <w:t xml:space="preserve"> </w:t>
      </w:r>
      <w:r>
        <w:rPr>
          <w:rFonts w:ascii="Arial" w:cs="Arial" w:eastAsia="Arial" w:hAnsi="Arial"/>
          <w:sz w:val="20"/>
          <w:szCs w:val="20"/>
          <w:color w:val="auto"/>
        </w:rPr>
        <w: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Capitalized terms used herein and not defined have the same meanings as are ascribed thereto in the Agreement.</w:t>
      </w:r>
    </w:p>
    <w:p>
      <w:pPr>
        <w:spacing w:after="0" w:line="206" w:lineRule="exact"/>
        <w:rPr>
          <w:sz w:val="20"/>
          <w:szCs w:val="20"/>
          <w:color w:val="auto"/>
        </w:rPr>
      </w:pPr>
    </w:p>
    <w:p>
      <w:pPr>
        <w:ind w:right="940"/>
        <w:spacing w:after="0" w:line="277" w:lineRule="auto"/>
        <w:rPr>
          <w:sz w:val="20"/>
          <w:szCs w:val="20"/>
          <w:color w:val="auto"/>
        </w:rPr>
      </w:pPr>
      <w:r>
        <w:rPr>
          <w:rFonts w:ascii="Arial" w:cs="Arial" w:eastAsia="Arial" w:hAnsi="Arial"/>
          <w:sz w:val="18"/>
          <w:szCs w:val="18"/>
          <w:color w:val="auto"/>
        </w:rPr>
        <w:t>This serves as notice to you from GMIMCo and Prudential under Section 16(a) of the Agreement that the Agreement shall terminate effective [______________________].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THE PRUDENTIAL INSURANCE COMPANY OF</w:t>
      </w:r>
    </w:p>
    <w:p>
      <w:pPr>
        <w:spacing w:after="0" w:line="22"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AMERICA</w:t>
      </w:r>
    </w:p>
    <w:p>
      <w:pPr>
        <w:spacing w:after="0" w:line="40"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By: _______________________________</w:t>
      </w:r>
    </w:p>
    <w:p>
      <w:pPr>
        <w:spacing w:after="0" w:line="56"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Title: ______________________________</w:t>
      </w:r>
    </w:p>
    <w:p>
      <w:pPr>
        <w:spacing w:after="0" w:line="356"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GENERAL MOTORS INVESTMENT MANAGEMENT</w:t>
      </w:r>
    </w:p>
    <w:p>
      <w:pPr>
        <w:spacing w:after="0" w:line="22"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CORPORATION</w:t>
      </w:r>
    </w:p>
    <w:p>
      <w:pPr>
        <w:spacing w:after="0" w:line="40"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By: _______________________________</w:t>
      </w:r>
    </w:p>
    <w:p>
      <w:pPr>
        <w:spacing w:after="0" w:line="56"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Title: 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Exhibit D - 1</w:t>
      </w:r>
    </w:p>
    <w:p>
      <w:pPr>
        <w:sectPr>
          <w:pgSz w:w="11900" w:h="16838" w:orient="portrait"/>
          <w:cols w:equalWidth="0" w:num="1">
            <w:col w:w="11360"/>
          </w:cols>
          <w:pgMar w:left="240" w:top="553" w:right="299" w:bottom="1440" w:gutter="0" w:footer="0" w:header="0"/>
        </w:sectPr>
      </w:pPr>
    </w:p>
    <w:bookmarkStart w:id="220" w:name="page221"/>
    <w:bookmarkEnd w:id="220"/>
    <w:p>
      <w:pPr>
        <w:jc w:val="right"/>
        <w:spacing w:after="0"/>
        <w:rPr>
          <w:sz w:val="20"/>
          <w:szCs w:val="20"/>
          <w:color w:val="auto"/>
        </w:rPr>
      </w:pPr>
      <w:r>
        <w:rPr>
          <w:rFonts w:ascii="Arial" w:cs="Arial" w:eastAsia="Arial" w:hAnsi="Arial"/>
          <w:sz w:val="17"/>
          <w:szCs w:val="17"/>
          <w:b w:val="1"/>
          <w:bCs w:val="1"/>
          <w:color w:val="auto"/>
        </w:rPr>
        <w:t>Exhibit 31.1</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I, Daniel F. Akerson, certify that:</w:t>
      </w:r>
    </w:p>
    <w:p>
      <w:pPr>
        <w:spacing w:after="0" w:line="205" w:lineRule="exact"/>
        <w:rPr>
          <w:sz w:val="20"/>
          <w:szCs w:val="20"/>
          <w:color w:val="auto"/>
        </w:rPr>
      </w:pPr>
    </w:p>
    <w:p>
      <w:pPr>
        <w:ind w:left="340" w:hanging="165"/>
        <w:spacing w:after="0"/>
        <w:tabs>
          <w:tab w:leader="none" w:pos="340" w:val="left"/>
        </w:tabs>
        <w:numPr>
          <w:ilvl w:val="0"/>
          <w:numId w:val="181"/>
        </w:numPr>
        <w:rPr>
          <w:rFonts w:ascii="Arial" w:cs="Arial" w:eastAsia="Arial" w:hAnsi="Arial"/>
          <w:sz w:val="16"/>
          <w:szCs w:val="16"/>
          <w:color w:val="auto"/>
        </w:rPr>
      </w:pPr>
      <w:r>
        <w:rPr>
          <w:rFonts w:ascii="Arial" w:cs="Arial" w:eastAsia="Arial" w:hAnsi="Arial"/>
          <w:sz w:val="16"/>
          <w:szCs w:val="16"/>
          <w:color w:val="auto"/>
        </w:rPr>
        <w:t>I have reviewed this Amendment No. 1 to the quarterly report for the period ended June 30, 2012 on Form 10-Q/A of General Motors Company; and</w:t>
      </w:r>
    </w:p>
    <w:p>
      <w:pPr>
        <w:spacing w:after="0" w:line="216" w:lineRule="exact"/>
        <w:rPr>
          <w:rFonts w:ascii="Arial" w:cs="Arial" w:eastAsia="Arial" w:hAnsi="Arial"/>
          <w:sz w:val="16"/>
          <w:szCs w:val="16"/>
          <w:color w:val="auto"/>
        </w:rPr>
      </w:pPr>
    </w:p>
    <w:p>
      <w:pPr>
        <w:ind w:firstLine="175"/>
        <w:spacing w:after="0" w:line="298" w:lineRule="auto"/>
        <w:tabs>
          <w:tab w:leader="none" w:pos="342" w:val="left"/>
        </w:tabs>
        <w:numPr>
          <w:ilvl w:val="0"/>
          <w:numId w:val="18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4360"/>
        <w:spacing w:after="0"/>
        <w:rPr>
          <w:sz w:val="20"/>
          <w:szCs w:val="20"/>
          <w:color w:val="auto"/>
        </w:rPr>
      </w:pPr>
      <w:r>
        <w:rPr>
          <w:rFonts w:ascii="Arial" w:cs="Arial" w:eastAsia="Arial" w:hAnsi="Arial"/>
          <w:sz w:val="17"/>
          <w:szCs w:val="17"/>
          <w:u w:val="single" w:color="auto"/>
          <w:color w:val="auto"/>
        </w:rPr>
        <w:t>/s/ DANIEL F. AKERSON</w:t>
      </w:r>
    </w:p>
    <w:p>
      <w:pPr>
        <w:spacing w:after="0" w:line="17" w:lineRule="exact"/>
        <w:rPr>
          <w:sz w:val="20"/>
          <w:szCs w:val="20"/>
          <w:color w:val="auto"/>
        </w:rPr>
      </w:pPr>
    </w:p>
    <w:p>
      <w:pPr>
        <w:ind w:left="4360"/>
        <w:spacing w:after="0"/>
        <w:rPr>
          <w:sz w:val="20"/>
          <w:szCs w:val="20"/>
          <w:color w:val="auto"/>
        </w:rPr>
      </w:pPr>
      <w:r>
        <w:rPr>
          <w:rFonts w:ascii="Arial" w:cs="Arial" w:eastAsia="Arial" w:hAnsi="Arial"/>
          <w:sz w:val="17"/>
          <w:szCs w:val="17"/>
          <w:color w:val="auto"/>
        </w:rPr>
        <w:t>Daniel F. Akerson</w:t>
      </w:r>
    </w:p>
    <w:p>
      <w:pPr>
        <w:spacing w:after="0" w:line="5" w:lineRule="exact"/>
        <w:rPr>
          <w:sz w:val="20"/>
          <w:szCs w:val="20"/>
          <w:color w:val="auto"/>
        </w:rPr>
      </w:pPr>
    </w:p>
    <w:p>
      <w:pPr>
        <w:jc w:val="center"/>
        <w:ind w:right="120"/>
        <w:spacing w:after="0"/>
        <w:rPr>
          <w:sz w:val="20"/>
          <w:szCs w:val="20"/>
          <w:color w:val="auto"/>
        </w:rPr>
      </w:pPr>
      <w:r>
        <w:rPr>
          <w:rFonts w:ascii="Arial" w:cs="Arial" w:eastAsia="Arial" w:hAnsi="Arial"/>
          <w:sz w:val="17"/>
          <w:szCs w:val="17"/>
          <w:color w:val="auto"/>
        </w:rPr>
        <w:t>Chairman and Chief Executive Officer</w:t>
      </w:r>
    </w:p>
    <w:p>
      <w:pPr>
        <w:spacing w:after="0" w:line="393" w:lineRule="exact"/>
        <w:rPr>
          <w:sz w:val="20"/>
          <w:szCs w:val="20"/>
          <w:color w:val="auto"/>
        </w:rPr>
      </w:pPr>
    </w:p>
    <w:p>
      <w:pPr>
        <w:spacing w:after="0"/>
        <w:rPr>
          <w:sz w:val="20"/>
          <w:szCs w:val="20"/>
          <w:color w:val="auto"/>
        </w:rPr>
      </w:pPr>
      <w:r>
        <w:rPr>
          <w:rFonts w:ascii="Arial" w:cs="Arial" w:eastAsia="Arial" w:hAnsi="Arial"/>
          <w:sz w:val="17"/>
          <w:szCs w:val="17"/>
          <w:color w:val="auto"/>
        </w:rPr>
        <w:t>Date: November 15, 2012</w:t>
      </w:r>
    </w:p>
    <w:p>
      <w:pPr>
        <w:sectPr>
          <w:pgSz w:w="11900" w:h="16838" w:orient="portrait"/>
          <w:cols w:equalWidth="0" w:num="1">
            <w:col w:w="11420"/>
          </w:cols>
          <w:pgMar w:left="240" w:top="549" w:right="239" w:bottom="1440" w:gutter="0" w:footer="0" w:header="0"/>
        </w:sectPr>
      </w:pPr>
    </w:p>
    <w:bookmarkStart w:id="221" w:name="page222"/>
    <w:bookmarkEnd w:id="221"/>
    <w:p>
      <w:pPr>
        <w:jc w:val="right"/>
        <w:spacing w:after="0"/>
        <w:rPr>
          <w:sz w:val="20"/>
          <w:szCs w:val="20"/>
          <w:color w:val="auto"/>
        </w:rPr>
      </w:pPr>
      <w:r>
        <w:rPr>
          <w:rFonts w:ascii="Arial" w:cs="Arial" w:eastAsia="Arial" w:hAnsi="Arial"/>
          <w:sz w:val="17"/>
          <w:szCs w:val="17"/>
          <w:b w:val="1"/>
          <w:bCs w:val="1"/>
          <w:color w:val="auto"/>
        </w:rPr>
        <w:t>Exhibit 31.2</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I, Daniel Ammann, certify that:</w:t>
      </w:r>
    </w:p>
    <w:p>
      <w:pPr>
        <w:spacing w:after="0" w:line="205" w:lineRule="exact"/>
        <w:rPr>
          <w:sz w:val="20"/>
          <w:szCs w:val="20"/>
          <w:color w:val="auto"/>
        </w:rPr>
      </w:pPr>
    </w:p>
    <w:p>
      <w:pPr>
        <w:ind w:left="340" w:hanging="165"/>
        <w:spacing w:after="0"/>
        <w:tabs>
          <w:tab w:leader="none" w:pos="340" w:val="left"/>
        </w:tabs>
        <w:numPr>
          <w:ilvl w:val="0"/>
          <w:numId w:val="182"/>
        </w:numPr>
        <w:rPr>
          <w:rFonts w:ascii="Arial" w:cs="Arial" w:eastAsia="Arial" w:hAnsi="Arial"/>
          <w:sz w:val="16"/>
          <w:szCs w:val="16"/>
          <w:color w:val="auto"/>
        </w:rPr>
      </w:pPr>
      <w:r>
        <w:rPr>
          <w:rFonts w:ascii="Arial" w:cs="Arial" w:eastAsia="Arial" w:hAnsi="Arial"/>
          <w:sz w:val="16"/>
          <w:szCs w:val="16"/>
          <w:color w:val="auto"/>
        </w:rPr>
        <w:t>I have reviewed this Amendment No. 1 to the quarterly report for the period ended June 30, 2012 on Form 10-Q/A of General Motors Company; and</w:t>
      </w:r>
    </w:p>
    <w:p>
      <w:pPr>
        <w:spacing w:after="0" w:line="216" w:lineRule="exact"/>
        <w:rPr>
          <w:rFonts w:ascii="Arial" w:cs="Arial" w:eastAsia="Arial" w:hAnsi="Arial"/>
          <w:sz w:val="16"/>
          <w:szCs w:val="16"/>
          <w:color w:val="auto"/>
        </w:rPr>
      </w:pPr>
    </w:p>
    <w:p>
      <w:pPr>
        <w:ind w:firstLine="175"/>
        <w:spacing w:after="0" w:line="298" w:lineRule="auto"/>
        <w:tabs>
          <w:tab w:leader="none" w:pos="342" w:val="left"/>
        </w:tabs>
        <w:numPr>
          <w:ilvl w:val="0"/>
          <w:numId w:val="18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4360"/>
        <w:spacing w:after="0"/>
        <w:rPr>
          <w:sz w:val="20"/>
          <w:szCs w:val="20"/>
          <w:color w:val="auto"/>
        </w:rPr>
      </w:pPr>
      <w:r>
        <w:rPr>
          <w:rFonts w:ascii="Arial" w:cs="Arial" w:eastAsia="Arial" w:hAnsi="Arial"/>
          <w:sz w:val="17"/>
          <w:szCs w:val="17"/>
          <w:u w:val="single" w:color="auto"/>
          <w:color w:val="auto"/>
        </w:rPr>
        <w:t>/s/ DANIEL AMMANN</w:t>
      </w:r>
    </w:p>
    <w:p>
      <w:pPr>
        <w:spacing w:after="0" w:line="17" w:lineRule="exact"/>
        <w:rPr>
          <w:sz w:val="20"/>
          <w:szCs w:val="20"/>
          <w:color w:val="auto"/>
        </w:rPr>
      </w:pPr>
    </w:p>
    <w:p>
      <w:pPr>
        <w:ind w:left="4360"/>
        <w:spacing w:after="0"/>
        <w:rPr>
          <w:sz w:val="20"/>
          <w:szCs w:val="20"/>
          <w:color w:val="auto"/>
        </w:rPr>
      </w:pPr>
      <w:r>
        <w:rPr>
          <w:rFonts w:ascii="Arial" w:cs="Arial" w:eastAsia="Arial" w:hAnsi="Arial"/>
          <w:sz w:val="17"/>
          <w:szCs w:val="17"/>
          <w:color w:val="auto"/>
        </w:rPr>
        <w:t>Daniel Ammann</w:t>
      </w:r>
    </w:p>
    <w:p>
      <w:pPr>
        <w:spacing w:after="0" w:line="5" w:lineRule="exact"/>
        <w:rPr>
          <w:sz w:val="20"/>
          <w:szCs w:val="20"/>
          <w:color w:val="auto"/>
        </w:rPr>
      </w:pPr>
    </w:p>
    <w:p>
      <w:pPr>
        <w:ind w:left="4360"/>
        <w:spacing w:after="0"/>
        <w:rPr>
          <w:sz w:val="20"/>
          <w:szCs w:val="20"/>
          <w:color w:val="auto"/>
        </w:rPr>
      </w:pPr>
      <w:r>
        <w:rPr>
          <w:rFonts w:ascii="Arial" w:cs="Arial" w:eastAsia="Arial" w:hAnsi="Arial"/>
          <w:sz w:val="17"/>
          <w:szCs w:val="17"/>
          <w:color w:val="auto"/>
        </w:rPr>
        <w:t>Senior Vice President and Chief Financial Officer</w:t>
      </w:r>
    </w:p>
    <w:p>
      <w:pPr>
        <w:spacing w:after="0" w:line="393" w:lineRule="exact"/>
        <w:rPr>
          <w:sz w:val="20"/>
          <w:szCs w:val="20"/>
          <w:color w:val="auto"/>
        </w:rPr>
      </w:pPr>
    </w:p>
    <w:p>
      <w:pPr>
        <w:spacing w:after="0"/>
        <w:rPr>
          <w:sz w:val="20"/>
          <w:szCs w:val="20"/>
          <w:color w:val="auto"/>
        </w:rPr>
      </w:pPr>
      <w:r>
        <w:rPr>
          <w:rFonts w:ascii="Arial" w:cs="Arial" w:eastAsia="Arial" w:hAnsi="Arial"/>
          <w:sz w:val="17"/>
          <w:szCs w:val="17"/>
          <w:color w:val="auto"/>
        </w:rPr>
        <w:t>Date: November 15, 2012</w:t>
      </w:r>
    </w:p>
    <w:sectPr>
      <w:pgSz w:w="11900" w:h="16838" w:orient="portrait"/>
      <w:cols w:equalWidth="0" w:num="1">
        <w:col w:w="11420"/>
      </w:cols>
      <w:pgMar w:left="240" w:top="54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A2AC315"/>
    <w:multiLevelType w:val="hybridMultilevel"/>
    <w:lvl w:ilvl="0">
      <w:lvlJc w:val="left"/>
      <w:lvlText w:val="☑"/>
      <w:numFmt w:val="bullet"/>
      <w:start w:val="1"/>
    </w:lvl>
  </w:abstractNum>
  <w:abstractNum w:abstractNumId="1">
    <w:nsid w:val="39EE015C"/>
    <w:multiLevelType w:val="hybridMultilevel"/>
    <w:lvl w:ilvl="0">
      <w:lvlJc w:val="left"/>
      <w:lvlText w:val="☐"/>
      <w:numFmt w:val="bullet"/>
      <w:start w:val="1"/>
    </w:lvl>
  </w:abstractNum>
  <w:abstractNum w:abstractNumId="2">
    <w:nsid w:val="57FC4FBB"/>
    <w:multiLevelType w:val="hybridMultilevel"/>
    <w:lvl w:ilvl="0">
      <w:lvlJc w:val="left"/>
      <w:lvlText w:val="***"/>
      <w:numFmt w:val="bullet"/>
      <w:start w:val="1"/>
    </w:lvl>
  </w:abstractNum>
  <w:abstractNum w:abstractNumId="3">
    <w:nsid w:val="CC1016F"/>
    <w:multiLevelType w:val="hybridMultilevel"/>
    <w:lvl w:ilvl="0">
      <w:lvlJc w:val="left"/>
      <w:lvlText w:val="(%1)"/>
      <w:numFmt w:val="lowerLetter"/>
      <w:start w:val="1"/>
    </w:lvl>
  </w:abstractNum>
  <w:abstractNum w:abstractNumId="4">
    <w:nsid w:val="43F18422"/>
    <w:multiLevelType w:val="hybridMultilevel"/>
    <w:lvl w:ilvl="0">
      <w:lvlJc w:val="left"/>
      <w:lvlText w:val="(%1)"/>
      <w:numFmt w:val="lowerLetter"/>
      <w:start w:val="2"/>
    </w:lvl>
  </w:abstractNum>
  <w:abstractNum w:abstractNumId="5">
    <w:nsid w:val="60EF0119"/>
    <w:multiLevelType w:val="hybridMultilevel"/>
    <w:lvl w:ilvl="0">
      <w:lvlJc w:val="left"/>
      <w:lvlText w:val="%1."/>
      <w:numFmt w:val="upperLetter"/>
      <w:start w:val="1"/>
    </w:lvl>
    <w:lvl w:ilvl="1">
      <w:lvlJc w:val="left"/>
      <w:lvlText w:val="(%2)"/>
      <w:numFmt w:val="lowerLetter"/>
      <w:start w:val="1"/>
    </w:lvl>
  </w:abstractNum>
  <w:abstractNum w:abstractNumId="6">
    <w:nsid w:val="26F324BA"/>
    <w:multiLevelType w:val="hybridMultilevel"/>
    <w:lvl w:ilvl="0">
      <w:lvlJc w:val="left"/>
      <w:lvlText w:val="(%1)"/>
      <w:numFmt w:val="lowerLetter"/>
      <w:start w:val="1"/>
    </w:lvl>
    <w:lvl w:ilvl="1">
      <w:lvlJc w:val="left"/>
      <w:lvlText w:val="(%2)"/>
      <w:numFmt w:val="lowerRoman"/>
      <w:start w:val="1"/>
    </w:lvl>
  </w:abstractNum>
  <w:abstractNum w:abstractNumId="7">
    <w:nsid w:val="7F01579B"/>
    <w:multiLevelType w:val="hybridMultilevel"/>
    <w:lvl w:ilvl="0">
      <w:lvlJc w:val="left"/>
      <w:lvlText w:val="(%1)"/>
      <w:numFmt w:val="lowerRoman"/>
      <w:start w:val="4"/>
    </w:lvl>
  </w:abstractNum>
  <w:abstractNum w:abstractNumId="8">
    <w:nsid w:val="49DA307D"/>
    <w:multiLevelType w:val="hybridMultilevel"/>
    <w:lvl w:ilvl="0">
      <w:lvlJc w:val="left"/>
      <w:lvlText w:val="(%1)"/>
      <w:numFmt w:val="lowerLetter"/>
      <w:start w:val="2"/>
    </w:lvl>
  </w:abstractNum>
  <w:abstractNum w:abstractNumId="9">
    <w:nsid w:val="7055A5F5"/>
    <w:multiLevelType w:val="hybridMultilevel"/>
    <w:lvl w:ilvl="0">
      <w:lvlJc w:val="left"/>
      <w:lvlText w:val="(%1)"/>
      <w:numFmt w:val="lowerRoman"/>
      <w:start w:val="1"/>
    </w:lvl>
  </w:abstractNum>
  <w:abstractNum w:abstractNumId="10">
    <w:nsid w:val="5FB8370B"/>
    <w:multiLevelType w:val="hybridMultilevel"/>
    <w:lvl w:ilvl="0">
      <w:lvlJc w:val="left"/>
      <w:lvlText w:val="(%1)"/>
      <w:numFmt w:val="lowerRoman"/>
      <w:start w:val="4"/>
    </w:lvl>
  </w:abstractNum>
  <w:abstractNum w:abstractNumId="11">
    <w:nsid w:val="50801EE1"/>
    <w:multiLevelType w:val="hybridMultilevel"/>
    <w:lvl w:ilvl="0">
      <w:lvlJc w:val="left"/>
      <w:lvlText w:val="(%1)"/>
      <w:numFmt w:val="lowerLetter"/>
      <w:start w:val="1"/>
    </w:lvl>
  </w:abstractNum>
  <w:abstractNum w:abstractNumId="12">
    <w:nsid w:val="488AC1A"/>
    <w:multiLevelType w:val="hybridMultilevel"/>
    <w:lvl w:ilvl="0">
      <w:lvlJc w:val="left"/>
      <w:lvlText w:val="%1"/>
      <w:numFmt w:val="upperLetter"/>
      <w:start w:val="1"/>
    </w:lvl>
    <w:lvl w:ilvl="1">
      <w:lvlJc w:val="left"/>
      <w:lvlText w:val="(%2)"/>
      <w:numFmt w:val="lowerLetter"/>
      <w:start w:val="4"/>
    </w:lvl>
  </w:abstractNum>
  <w:abstractNum w:abstractNumId="13">
    <w:nsid w:val="5FB8011C"/>
    <w:multiLevelType w:val="hybridMultilevel"/>
    <w:lvl w:ilvl="0">
      <w:lvlJc w:val="left"/>
      <w:lvlText w:val="%1."/>
      <w:numFmt w:val="upperLetter"/>
      <w:start w:val="2"/>
    </w:lvl>
    <w:lvl w:ilvl="1">
      <w:lvlJc w:val="left"/>
      <w:lvlText w:val="%2"/>
      <w:numFmt w:val="lowerLetter"/>
      <w:start w:val="1"/>
    </w:lvl>
  </w:abstractNum>
  <w:abstractNum w:abstractNumId="14">
    <w:nsid w:val="6AA78F7F"/>
    <w:multiLevelType w:val="hybridMultilevel"/>
    <w:lvl w:ilvl="0">
      <w:lvlJc w:val="left"/>
      <w:lvlText w:val="(%1)"/>
      <w:numFmt w:val="lowerLetter"/>
      <w:start w:val="1"/>
    </w:lvl>
  </w:abstractNum>
  <w:abstractNum w:abstractNumId="15">
    <w:nsid w:val="7672BD23"/>
    <w:multiLevelType w:val="hybridMultilevel"/>
    <w:lvl w:ilvl="0">
      <w:lvlJc w:val="left"/>
      <w:lvlText w:val="(%1)"/>
      <w:numFmt w:val="lowerLetter"/>
      <w:start w:val="2"/>
    </w:lvl>
  </w:abstractNum>
  <w:abstractNum w:abstractNumId="16">
    <w:nsid w:val="6FC75AF8"/>
    <w:multiLevelType w:val="hybridMultilevel"/>
    <w:lvl w:ilvl="0">
      <w:lvlJc w:val="left"/>
      <w:lvlText w:val="(%1)"/>
      <w:numFmt w:val="decimal"/>
      <w:start w:val="5"/>
    </w:lvl>
    <w:lvl w:ilvl="1">
      <w:lvlJc w:val="left"/>
      <w:lvlText w:val="(%2)"/>
      <w:numFmt w:val="lowerLetter"/>
      <w:start w:val="3"/>
    </w:lvl>
  </w:abstractNum>
  <w:abstractNum w:abstractNumId="17">
    <w:nsid w:val="6A5F7029"/>
    <w:multiLevelType w:val="hybridMultilevel"/>
    <w:lvl w:ilvl="0">
      <w:lvlJc w:val="left"/>
      <w:lvlText w:val="(%1)"/>
      <w:numFmt w:val="lowerLetter"/>
      <w:start w:val="4"/>
    </w:lvl>
  </w:abstractNum>
  <w:abstractNum w:abstractNumId="18">
    <w:nsid w:val="7D5E18F8"/>
    <w:multiLevelType w:val="hybridMultilevel"/>
    <w:lvl w:ilvl="0">
      <w:lvlJc w:val="left"/>
      <w:lvlText w:val="(%1)"/>
      <w:numFmt w:val="lowerLetter"/>
      <w:start w:val="5"/>
    </w:lvl>
  </w:abstractNum>
  <w:abstractNum w:abstractNumId="19">
    <w:nsid w:val="5F3534A4"/>
    <w:multiLevelType w:val="hybridMultilevel"/>
    <w:lvl w:ilvl="0">
      <w:lvlJc w:val="left"/>
      <w:lvlText w:val="["/>
      <w:numFmt w:val="bullet"/>
      <w:start w:val="1"/>
    </w:lvl>
  </w:abstractNum>
  <w:abstractNum w:abstractNumId="20">
    <w:nsid w:val="73A1821B"/>
    <w:multiLevelType w:val="hybridMultilevel"/>
    <w:lvl w:ilvl="0">
      <w:lvlJc w:val="left"/>
      <w:lvlText w:val="(%1)"/>
      <w:numFmt w:val="lowerLetter"/>
      <w:start w:val="1"/>
    </w:lvl>
  </w:abstractNum>
  <w:abstractNum w:abstractNumId="21">
    <w:nsid w:val="7DE67713"/>
    <w:multiLevelType w:val="hybridMultilevel"/>
    <w:lvl w:ilvl="0">
      <w:lvlJc w:val="left"/>
      <w:lvlText w:val="(%1)"/>
      <w:numFmt w:val="lowerLetter"/>
      <w:start w:val="2"/>
    </w:lvl>
  </w:abstractNum>
  <w:abstractNum w:abstractNumId="22">
    <w:nsid w:val="555C55B5"/>
    <w:multiLevelType w:val="hybridMultilevel"/>
    <w:lvl w:ilvl="0">
      <w:lvlJc w:val="left"/>
      <w:lvlText w:val="(%1)"/>
      <w:numFmt w:val="lowerLetter"/>
      <w:start w:val="3"/>
    </w:lvl>
  </w:abstractNum>
  <w:abstractNum w:abstractNumId="23">
    <w:nsid w:val="3FA62ACA"/>
    <w:multiLevelType w:val="hybridMultilevel"/>
    <w:lvl w:ilvl="0">
      <w:lvlJc w:val="left"/>
      <w:lvlText w:val="(%1)"/>
      <w:numFmt w:val="lowerLetter"/>
      <w:start w:val="5"/>
    </w:lvl>
    <w:lvl w:ilvl="1">
      <w:lvlJc w:val="left"/>
      <w:lvlText w:val="(%2)"/>
      <w:numFmt w:val="lowerLetter"/>
      <w:start w:val="9"/>
    </w:lvl>
  </w:abstractNum>
  <w:abstractNum w:abstractNumId="24">
    <w:nsid w:val="14FCE74E"/>
    <w:multiLevelType w:val="hybridMultilevel"/>
    <w:lvl w:ilvl="0">
      <w:lvlJc w:val="left"/>
      <w:lvlText w:val="(%1)"/>
      <w:numFmt w:val="lowerRoman"/>
      <w:start w:val="2"/>
    </w:lvl>
  </w:abstractNum>
  <w:abstractNum w:abstractNumId="25">
    <w:nsid w:val="6A3DD3E8"/>
    <w:multiLevelType w:val="hybridMultilevel"/>
    <w:lvl w:ilvl="0">
      <w:lvlJc w:val="left"/>
      <w:lvlText w:val="(%1)"/>
      <w:numFmt w:val="lowerLetter"/>
      <w:start w:val="6"/>
    </w:lvl>
  </w:abstractNum>
  <w:abstractNum w:abstractNumId="26">
    <w:nsid w:val="71C91298"/>
    <w:multiLevelType w:val="hybridMultilevel"/>
    <w:lvl w:ilvl="0">
      <w:lvlJc w:val="left"/>
      <w:lvlText w:val="(%1)"/>
      <w:numFmt w:val="lowerLetter"/>
      <w:start w:val="2"/>
    </w:lvl>
  </w:abstractNum>
  <w:abstractNum w:abstractNumId="27">
    <w:nsid w:val="9DAF632"/>
    <w:multiLevelType w:val="hybridMultilevel"/>
    <w:lvl w:ilvl="0">
      <w:lvlJc w:val="left"/>
      <w:lvlText w:val="(%1)"/>
      <w:numFmt w:val="lowerRoman"/>
      <w:start w:val="1"/>
    </w:lvl>
  </w:abstractNum>
  <w:abstractNum w:abstractNumId="28">
    <w:nsid w:val="53299938"/>
    <w:multiLevelType w:val="hybridMultilevel"/>
    <w:lvl w:ilvl="0">
      <w:lvlJc w:val="left"/>
      <w:lvlText w:val="["/>
      <w:numFmt w:val="bullet"/>
      <w:start w:val="1"/>
    </w:lvl>
    <w:lvl w:ilvl="1">
      <w:lvlJc w:val="left"/>
      <w:lvlText w:val="(%2)"/>
      <w:numFmt w:val="lowerRoman"/>
      <w:start w:val="2"/>
    </w:lvl>
  </w:abstractNum>
  <w:abstractNum w:abstractNumId="29">
    <w:nsid w:val="1FBFE8E0"/>
    <w:multiLevelType w:val="hybridMultilevel"/>
    <w:lvl w:ilvl="0">
      <w:lvlJc w:val="left"/>
      <w:lvlText w:val="(%1)"/>
      <w:numFmt w:val="lowerLetter"/>
      <w:start w:val="3"/>
    </w:lvl>
  </w:abstractNum>
  <w:abstractNum w:abstractNumId="30">
    <w:nsid w:val="5092CA79"/>
    <w:multiLevelType w:val="hybridMultilevel"/>
    <w:lvl w:ilvl="0">
      <w:lvlJc w:val="left"/>
      <w:lvlText w:val="(%1)"/>
      <w:numFmt w:val="lowerLetter"/>
      <w:start w:val="5"/>
    </w:lvl>
  </w:abstractNum>
  <w:abstractNum w:abstractNumId="31">
    <w:nsid w:val="1D545C4D"/>
    <w:multiLevelType w:val="hybridMultilevel"/>
    <w:lvl w:ilvl="0">
      <w:lvlJc w:val="left"/>
      <w:lvlText w:val="(%1)"/>
      <w:numFmt w:val="lowerLetter"/>
      <w:start w:val="1"/>
    </w:lvl>
  </w:abstractNum>
  <w:abstractNum w:abstractNumId="32">
    <w:nsid w:val="59ADEA3D"/>
    <w:multiLevelType w:val="hybridMultilevel"/>
    <w:lvl w:ilvl="0">
      <w:lvlJc w:val="left"/>
      <w:lvlText w:val="(%1)"/>
      <w:numFmt w:val="lowerLetter"/>
      <w:start w:val="3"/>
    </w:lvl>
  </w:abstractNum>
  <w:abstractNum w:abstractNumId="33">
    <w:nsid w:val="288F1A34"/>
    <w:multiLevelType w:val="hybridMultilevel"/>
    <w:lvl w:ilvl="0">
      <w:lvlJc w:val="left"/>
      <w:lvlText w:val="(%1)"/>
      <w:numFmt w:val="lowerLetter"/>
      <w:start w:val="1"/>
    </w:lvl>
  </w:abstractNum>
  <w:abstractNum w:abstractNumId="34">
    <w:nsid w:val="2A155DBC"/>
    <w:multiLevelType w:val="hybridMultilevel"/>
    <w:lvl w:ilvl="0">
      <w:lvlJc w:val="left"/>
      <w:lvlText w:val="(%1)"/>
      <w:numFmt w:val="lowerLetter"/>
      <w:start w:val="3"/>
    </w:lvl>
  </w:abstractNum>
  <w:abstractNum w:abstractNumId="35">
    <w:nsid w:val="1D9F6E5F"/>
    <w:multiLevelType w:val="hybridMultilevel"/>
    <w:lvl w:ilvl="0">
      <w:lvlJc w:val="left"/>
      <w:lvlText w:val="***"/>
      <w:numFmt w:val="bullet"/>
      <w:start w:val="1"/>
    </w:lvl>
    <w:lvl w:ilvl="1">
      <w:lvlJc w:val="left"/>
      <w:lvlText w:val="(%2)"/>
      <w:numFmt w:val="lowerLetter"/>
      <w:start w:val="4"/>
    </w:lvl>
  </w:abstractNum>
  <w:abstractNum w:abstractNumId="36">
    <w:nsid w:val="97E1B4E"/>
    <w:multiLevelType w:val="hybridMultilevel"/>
    <w:lvl w:ilvl="0">
      <w:lvlJc w:val="left"/>
      <w:lvlText w:val="(%1)"/>
      <w:numFmt w:val="lowerLetter"/>
      <w:start w:val="1"/>
    </w:lvl>
  </w:abstractNum>
  <w:abstractNum w:abstractNumId="37">
    <w:nsid w:val="51088277"/>
    <w:multiLevelType w:val="hybridMultilevel"/>
    <w:lvl w:ilvl="0">
      <w:lvlJc w:val="left"/>
      <w:lvlText w:val="(%1)"/>
      <w:numFmt w:val="lowerLetter"/>
      <w:start w:val="3"/>
    </w:lvl>
  </w:abstractNum>
  <w:abstractNum w:abstractNumId="38">
    <w:nsid w:val="1CA0C5FA"/>
    <w:multiLevelType w:val="hybridMultilevel"/>
    <w:lvl w:ilvl="0">
      <w:lvlJc w:val="left"/>
      <w:lvlText w:val="***"/>
      <w:numFmt w:val="bullet"/>
      <w:start w:val="1"/>
    </w:lvl>
  </w:abstractNum>
  <w:abstractNum w:abstractNumId="39">
    <w:nsid w:val="53584BCB"/>
    <w:multiLevelType w:val="hybridMultilevel"/>
    <w:lvl w:ilvl="0">
      <w:lvlJc w:val="left"/>
      <w:lvlText w:val="(%1)"/>
      <w:numFmt w:val="lowerLetter"/>
      <w:start w:val="4"/>
    </w:lvl>
  </w:abstractNum>
  <w:abstractNum w:abstractNumId="40">
    <w:nsid w:val="415E286C"/>
    <w:multiLevelType w:val="hybridMultilevel"/>
    <w:lvl w:ilvl="0">
      <w:lvlJc w:val="left"/>
      <w:lvlText w:val="(%1)"/>
      <w:numFmt w:val="lowerLetter"/>
      <w:start w:val="6"/>
    </w:lvl>
  </w:abstractNum>
  <w:abstractNum w:abstractNumId="41">
    <w:nsid w:val="7C58FD05"/>
    <w:multiLevelType w:val="hybridMultilevel"/>
    <w:lvl w:ilvl="0">
      <w:lvlJc w:val="left"/>
      <w:lvlText w:val="(%1)"/>
      <w:numFmt w:val="lowerLetter"/>
      <w:start w:val="2"/>
    </w:lvl>
    <w:lvl w:ilvl="1">
      <w:lvlJc w:val="left"/>
      <w:lvlText w:val="(%2)"/>
      <w:numFmt w:val="lowerLetter"/>
      <w:start w:val="9"/>
    </w:lvl>
  </w:abstractNum>
  <w:abstractNum w:abstractNumId="42">
    <w:nsid w:val="23D86AAC"/>
    <w:multiLevelType w:val="hybridMultilevel"/>
    <w:lvl w:ilvl="0">
      <w:lvlJc w:val="left"/>
      <w:lvlText w:val="***"/>
      <w:numFmt w:val="bullet"/>
      <w:start w:val="1"/>
    </w:lvl>
  </w:abstractNum>
  <w:abstractNum w:abstractNumId="43">
    <w:nsid w:val="45E6D486"/>
    <w:multiLevelType w:val="hybridMultilevel"/>
    <w:lvl w:ilvl="0">
      <w:lvlJc w:val="left"/>
      <w:lvlText w:val="(%1)"/>
      <w:numFmt w:val="lowerRoman"/>
      <w:start w:val="2"/>
    </w:lvl>
  </w:abstractNum>
  <w:abstractNum w:abstractNumId="44">
    <w:nsid w:val="5C10FE21"/>
    <w:multiLevelType w:val="hybridMultilevel"/>
    <w:lvl w:ilvl="0">
      <w:lvlJc w:val="left"/>
      <w:lvlText w:val="%1"/>
      <w:numFmt w:val="lowerLetter"/>
      <w:start w:val="1"/>
    </w:lvl>
    <w:lvl w:ilvl="1">
      <w:lvlJc w:val="left"/>
      <w:lvlText w:val="(%2)"/>
      <w:numFmt w:val="lowerLetter"/>
      <w:start w:val="61"/>
    </w:lvl>
  </w:abstractNum>
  <w:abstractNum w:abstractNumId="45">
    <w:nsid w:val="E7FFA2B"/>
    <w:multiLevelType w:val="hybridMultilevel"/>
    <w:lvl w:ilvl="0">
      <w:lvlJc w:val="left"/>
      <w:lvlText w:val="(%1)"/>
      <w:numFmt w:val="lowerLetter"/>
      <w:start w:val="3"/>
    </w:lvl>
    <w:lvl w:ilvl="1">
      <w:lvlJc w:val="left"/>
      <w:lvlText w:val="(%2)"/>
      <w:numFmt w:val="lowerLetter"/>
      <w:start w:val="9"/>
    </w:lvl>
  </w:abstractNum>
  <w:abstractNum w:abstractNumId="46">
    <w:nsid w:val="3C5991AA"/>
    <w:multiLevelType w:val="hybridMultilevel"/>
    <w:lvl w:ilvl="0">
      <w:lvlJc w:val="left"/>
      <w:lvlText w:val="%1"/>
      <w:numFmt w:val="lowerLetter"/>
      <w:start w:val="1"/>
    </w:lvl>
    <w:lvl w:ilvl="1">
      <w:lvlJc w:val="left"/>
      <w:lvlText w:val="(%2)"/>
      <w:numFmt w:val="lowerLetter"/>
      <w:start w:val="35"/>
    </w:lvl>
  </w:abstractNum>
  <w:abstractNum w:abstractNumId="47">
    <w:nsid w:val="4BD8591A"/>
    <w:multiLevelType w:val="hybridMultilevel"/>
    <w:lvl w:ilvl="0">
      <w:lvlJc w:val="left"/>
      <w:lvlText w:val="(%1)"/>
      <w:numFmt w:val="lowerLetter"/>
      <w:start w:val="4"/>
    </w:lvl>
    <w:lvl w:ilvl="1">
      <w:lvlJc w:val="left"/>
      <w:lvlText w:val="%2"/>
      <w:numFmt w:val="lowerLetter"/>
      <w:start w:val="1"/>
    </w:lvl>
  </w:abstractNum>
  <w:abstractNum w:abstractNumId="48">
    <w:nsid w:val="78DF6A55"/>
    <w:multiLevelType w:val="hybridMultilevel"/>
    <w:lvl w:ilvl="0">
      <w:lvlJc w:val="left"/>
      <w:lvlText w:val="(%1)"/>
      <w:numFmt w:val="lowerLetter"/>
      <w:start w:val="1"/>
    </w:lvl>
  </w:abstractNum>
  <w:abstractNum w:abstractNumId="49">
    <w:nsid w:val="39B7AAA2"/>
    <w:multiLevelType w:val="hybridMultilevel"/>
    <w:lvl w:ilvl="0">
      <w:lvlJc w:val="left"/>
      <w:lvlText w:val="(%1)"/>
      <w:numFmt w:val="lowerLetter"/>
      <w:start w:val="2"/>
    </w:lvl>
    <w:lvl w:ilvl="1">
      <w:lvlJc w:val="left"/>
      <w:lvlText w:val="(%2)"/>
      <w:numFmt w:val="lowerLetter"/>
      <w:start w:val="9"/>
    </w:lvl>
  </w:abstractNum>
  <w:abstractNum w:abstractNumId="50">
    <w:nsid w:val="2B0D8DBE"/>
    <w:multiLevelType w:val="hybridMultilevel"/>
    <w:lvl w:ilvl="0">
      <w:lvlJc w:val="left"/>
      <w:lvlText w:val="(%1)"/>
      <w:numFmt w:val="lowerRoman"/>
      <w:start w:val="2"/>
    </w:lvl>
  </w:abstractNum>
  <w:abstractNum w:abstractNumId="51">
    <w:nsid w:val="6C80EC70"/>
    <w:multiLevelType w:val="hybridMultilevel"/>
    <w:lvl w:ilvl="0">
      <w:lvlJc w:val="left"/>
      <w:lvlText w:val="***"/>
      <w:numFmt w:val="bullet"/>
      <w:start w:val="1"/>
    </w:lvl>
    <w:lvl w:ilvl="1">
      <w:lvlJc w:val="left"/>
      <w:lvlText w:val="(%2)"/>
      <w:numFmt w:val="lowerRoman"/>
      <w:start w:val="3"/>
    </w:lvl>
  </w:abstractNum>
  <w:abstractNum w:abstractNumId="52">
    <w:nsid w:val="379E21B5"/>
    <w:multiLevelType w:val="hybridMultilevel"/>
    <w:lvl w:ilvl="0">
      <w:lvlJc w:val="left"/>
      <w:lvlText w:val="(%1)"/>
      <w:numFmt w:val="lowerLetter"/>
      <w:start w:val="4"/>
    </w:lvl>
  </w:abstractNum>
  <w:abstractNum w:abstractNumId="53">
    <w:nsid w:val="69E373"/>
    <w:multiLevelType w:val="hybridMultilevel"/>
    <w:lvl w:ilvl="0">
      <w:lvlJc w:val="left"/>
      <w:lvlText w:val="(%1)"/>
      <w:numFmt w:val="lowerLetter"/>
      <w:start w:val="1"/>
    </w:lvl>
  </w:abstractNum>
  <w:abstractNum w:abstractNumId="54">
    <w:nsid w:val="2C27173B"/>
    <w:multiLevelType w:val="hybridMultilevel"/>
    <w:lvl w:ilvl="0">
      <w:lvlJc w:val="left"/>
      <w:lvlText w:val="%1"/>
      <w:numFmt w:val="decimal"/>
      <w:start w:val="1"/>
    </w:lvl>
    <w:lvl w:ilvl="1">
      <w:lvlJc w:val="left"/>
      <w:lvlText w:val="(%2)"/>
      <w:numFmt w:val="lowerLetter"/>
      <w:start w:val="2"/>
    </w:lvl>
  </w:abstractNum>
  <w:abstractNum w:abstractNumId="55">
    <w:nsid w:val="4C9B0904"/>
    <w:multiLevelType w:val="hybridMultilevel"/>
    <w:lvl w:ilvl="0">
      <w:lvlJc w:val="left"/>
      <w:lvlText w:val="(%1)"/>
      <w:numFmt w:val="decimal"/>
      <w:start w:val="1"/>
    </w:lvl>
    <w:lvl w:ilvl="1">
      <w:lvlJc w:val="left"/>
      <w:lvlText w:val="%2"/>
      <w:numFmt w:val="lowerLetter"/>
      <w:start w:val="1"/>
    </w:lvl>
  </w:abstractNum>
  <w:abstractNum w:abstractNumId="56">
    <w:nsid w:val="6AA7B75C"/>
    <w:multiLevelType w:val="hybridMultilevel"/>
    <w:lvl w:ilvl="0">
      <w:lvlJc w:val="left"/>
      <w:lvlText w:val="(%1)"/>
      <w:numFmt w:val="lowerLetter"/>
      <w:start w:val="3"/>
    </w:lvl>
  </w:abstractNum>
  <w:abstractNum w:abstractNumId="57">
    <w:nsid w:val="1DF029D3"/>
    <w:multiLevelType w:val="hybridMultilevel"/>
    <w:lvl w:ilvl="0">
      <w:lvlJc w:val="left"/>
      <w:lvlText w:val="(%1)"/>
      <w:numFmt w:val="lowerLetter"/>
      <w:start w:val="1"/>
    </w:lvl>
    <w:lvl w:ilvl="1">
      <w:lvlJc w:val="left"/>
      <w:lvlText w:val="(%2)"/>
      <w:numFmt w:val="lowerLetter"/>
      <w:start w:val="9"/>
    </w:lvl>
  </w:abstractNum>
  <w:abstractNum w:abstractNumId="58">
    <w:nsid w:val="5675FF36"/>
    <w:multiLevelType w:val="hybridMultilevel"/>
    <w:lvl w:ilvl="0">
      <w:lvlJc w:val="left"/>
      <w:lvlText w:val="%1"/>
      <w:numFmt w:val="lowerLetter"/>
      <w:start w:val="1"/>
    </w:lvl>
    <w:lvl w:ilvl="1">
      <w:lvlJc w:val="left"/>
      <w:lvlText w:val="(%2)"/>
      <w:numFmt w:val="lowerLetter"/>
      <w:start w:val="35"/>
    </w:lvl>
  </w:abstractNum>
  <w:abstractNum w:abstractNumId="59">
    <w:nsid w:val="3DD15094"/>
    <w:multiLevelType w:val="hybridMultilevel"/>
    <w:lvl w:ilvl="0">
      <w:lvlJc w:val="left"/>
      <w:lvlText w:val="(%1)"/>
      <w:numFmt w:val="lowerLetter"/>
      <w:start w:val="2"/>
    </w:lvl>
    <w:lvl w:ilvl="1">
      <w:lvlJc w:val="left"/>
      <w:lvlText w:val="%2"/>
      <w:numFmt w:val="lowerLetter"/>
      <w:start w:val="1"/>
    </w:lvl>
  </w:abstractNum>
  <w:abstractNum w:abstractNumId="60">
    <w:nsid w:val="3DB012B3"/>
    <w:multiLevelType w:val="hybridMultilevel"/>
    <w:lvl w:ilvl="0">
      <w:lvlJc w:val="left"/>
      <w:lvlText w:val="(%1)"/>
      <w:numFmt w:val="lowerLetter"/>
      <w:start w:val="1"/>
    </w:lvl>
  </w:abstractNum>
  <w:abstractNum w:abstractNumId="61">
    <w:nsid w:val="2708C9AF"/>
    <w:multiLevelType w:val="hybridMultilevel"/>
    <w:lvl w:ilvl="0">
      <w:lvlJc w:val="left"/>
      <w:lvlText w:val="(%1)"/>
      <w:numFmt w:val="lowerLetter"/>
      <w:start w:val="1"/>
    </w:lvl>
  </w:abstractNum>
  <w:abstractNum w:abstractNumId="62">
    <w:nsid w:val="5B25ACE2"/>
    <w:multiLevelType w:val="hybridMultilevel"/>
    <w:lvl w:ilvl="0">
      <w:lvlJc w:val="left"/>
      <w:lvlText w:val="(%1)"/>
      <w:numFmt w:val="lowerLetter"/>
      <w:start w:val="1"/>
    </w:lvl>
  </w:abstractNum>
  <w:abstractNum w:abstractNumId="63">
    <w:nsid w:val="175DFCF0"/>
    <w:multiLevelType w:val="hybridMultilevel"/>
    <w:lvl w:ilvl="0">
      <w:lvlJc w:val="left"/>
      <w:lvlText w:val="(%1)"/>
      <w:numFmt w:val="lowerLetter"/>
      <w:start w:val="1"/>
    </w:lvl>
  </w:abstractNum>
  <w:abstractNum w:abstractNumId="64">
    <w:nsid w:val="4F97E3E4"/>
    <w:multiLevelType w:val="hybridMultilevel"/>
    <w:lvl w:ilvl="0">
      <w:lvlJc w:val="left"/>
      <w:lvlText w:val="(%1)"/>
      <w:numFmt w:val="lowerLetter"/>
      <w:start w:val="2"/>
    </w:lvl>
  </w:abstractNum>
  <w:abstractNum w:abstractNumId="65">
    <w:nsid w:val="53B0A9E"/>
    <w:multiLevelType w:val="hybridMultilevel"/>
    <w:lvl w:ilvl="0">
      <w:lvlJc w:val="left"/>
      <w:lvlText w:val="(%1)"/>
      <w:numFmt w:val="lowerRoman"/>
      <w:start w:val="2"/>
    </w:lvl>
  </w:abstractNum>
  <w:abstractNum w:abstractNumId="66">
    <w:nsid w:val="34FD6B4F"/>
    <w:multiLevelType w:val="hybridMultilevel"/>
    <w:lvl w:ilvl="0">
      <w:lvlJc w:val="left"/>
      <w:lvlText w:val="***"/>
      <w:numFmt w:val="bullet"/>
      <w:start w:val="1"/>
    </w:lvl>
  </w:abstractNum>
  <w:abstractNum w:abstractNumId="67">
    <w:nsid w:val="5915FF32"/>
    <w:multiLevelType w:val="hybridMultilevel"/>
    <w:lvl w:ilvl="0">
      <w:lvlJc w:val="left"/>
      <w:lvlText w:val="["/>
      <w:numFmt w:val="bullet"/>
      <w:start w:val="1"/>
    </w:lvl>
  </w:abstractNum>
  <w:abstractNum w:abstractNumId="68">
    <w:nsid w:val="56438D15"/>
    <w:multiLevelType w:val="hybridMultilevel"/>
    <w:lvl w:ilvl="0">
      <w:lvlJc w:val="left"/>
      <w:lvlText w:val="%1"/>
      <w:numFmt w:val="decimal"/>
      <w:start w:val="1"/>
    </w:lvl>
    <w:lvl w:ilvl="1">
      <w:lvlJc w:val="left"/>
      <w:lvlText w:val="(%2)"/>
      <w:numFmt w:val="lowerLetter"/>
      <w:start w:val="1"/>
    </w:lvl>
  </w:abstractNum>
  <w:abstractNum w:abstractNumId="69">
    <w:nsid w:val="519E3149"/>
    <w:multiLevelType w:val="hybridMultilevel"/>
    <w:lvl w:ilvl="0">
      <w:lvlJc w:val="left"/>
      <w:lvlText w:val="%1."/>
      <w:numFmt w:val="decimal"/>
      <w:start w:val="14"/>
    </w:lvl>
    <w:lvl w:ilvl="1">
      <w:lvlJc w:val="left"/>
      <w:lvlText w:val="%2"/>
      <w:numFmt w:val="lowerLetter"/>
      <w:start w:val="1"/>
    </w:lvl>
  </w:abstractNum>
  <w:abstractNum w:abstractNumId="70">
    <w:nsid w:val="2C6E4AFD"/>
    <w:multiLevelType w:val="hybridMultilevel"/>
    <w:lvl w:ilvl="0">
      <w:lvlJc w:val="left"/>
      <w:lvlText w:val="(%1)"/>
      <w:numFmt w:val="lowerLetter"/>
      <w:start w:val="1"/>
    </w:lvl>
  </w:abstractNum>
  <w:abstractNum w:abstractNumId="71">
    <w:nsid w:val="17A1B582"/>
    <w:multiLevelType w:val="hybridMultilevel"/>
    <w:lvl w:ilvl="0">
      <w:lvlJc w:val="left"/>
      <w:lvlText w:val="(%1)"/>
      <w:numFmt w:val="lowerLetter"/>
      <w:start w:val="3"/>
    </w:lvl>
  </w:abstractNum>
  <w:abstractNum w:abstractNumId="72">
    <w:nsid w:val="4DF72E4E"/>
    <w:multiLevelType w:val="hybridMultilevel"/>
    <w:lvl w:ilvl="0">
      <w:lvlJc w:val="left"/>
      <w:lvlText w:val="(%1)"/>
      <w:numFmt w:val="lowerLetter"/>
      <w:start w:val="1"/>
    </w:lvl>
  </w:abstractNum>
  <w:abstractNum w:abstractNumId="73">
    <w:nsid w:val="5046B5A9"/>
    <w:multiLevelType w:val="hybridMultilevel"/>
    <w:lvl w:ilvl="0">
      <w:lvlJc w:val="left"/>
      <w:lvlText w:val="(%1)"/>
      <w:numFmt w:val="lowerLetter"/>
      <w:start w:val="1"/>
    </w:lvl>
  </w:abstractNum>
  <w:abstractNum w:abstractNumId="74">
    <w:nsid w:val="5D888A08"/>
    <w:multiLevelType w:val="hybridMultilevel"/>
    <w:lvl w:ilvl="0">
      <w:lvlJc w:val="left"/>
      <w:lvlText w:val="(%1)"/>
      <w:numFmt w:val="lowerLetter"/>
      <w:start w:val="1"/>
    </w:lvl>
  </w:abstractNum>
  <w:abstractNum w:abstractNumId="75">
    <w:nsid w:val="2A082C70"/>
    <w:multiLevelType w:val="hybridMultilevel"/>
    <w:lvl w:ilvl="0">
      <w:lvlJc w:val="left"/>
      <w:lvlText w:val="(%1)"/>
      <w:numFmt w:val="lowerLetter"/>
      <w:start w:val="2"/>
    </w:lvl>
  </w:abstractNum>
  <w:abstractNum w:abstractNumId="76">
    <w:nsid w:val="5EC6AFD4"/>
    <w:multiLevelType w:val="hybridMultilevel"/>
    <w:lvl w:ilvl="0">
      <w:lvlJc w:val="left"/>
      <w:lvlText w:val="(%1)"/>
      <w:numFmt w:val="lowerLetter"/>
      <w:start w:val="1"/>
    </w:lvl>
  </w:abstractNum>
  <w:abstractNum w:abstractNumId="77">
    <w:nsid w:val="19E21BB2"/>
    <w:multiLevelType w:val="hybridMultilevel"/>
    <w:lvl w:ilvl="0">
      <w:lvlJc w:val="left"/>
      <w:lvlText w:val="(%1)"/>
      <w:numFmt w:val="lowerLetter"/>
      <w:start w:val="6"/>
    </w:lvl>
  </w:abstractNum>
  <w:abstractNum w:abstractNumId="78">
    <w:nsid w:val="75E0858A"/>
    <w:multiLevelType w:val="hybridMultilevel"/>
    <w:lvl w:ilvl="0">
      <w:lvlJc w:val="left"/>
      <w:lvlText w:val="(%1)"/>
      <w:numFmt w:val="lowerLetter"/>
      <w:start w:val="1"/>
    </w:lvl>
  </w:abstractNum>
  <w:abstractNum w:abstractNumId="79">
    <w:nsid w:val="57A61A29"/>
    <w:multiLevelType w:val="hybridMultilevel"/>
    <w:lvl w:ilvl="0">
      <w:lvlJc w:val="left"/>
      <w:lvlText w:val="***"/>
      <w:numFmt w:val="bullet"/>
      <w:start w:val="1"/>
    </w:lvl>
    <w:lvl w:ilvl="1">
      <w:lvlJc w:val="left"/>
      <w:lvlText w:val="(%2)"/>
      <w:numFmt w:val="lowerLetter"/>
      <w:start w:val="5"/>
    </w:lvl>
  </w:abstractNum>
  <w:abstractNum w:abstractNumId="80">
    <w:nsid w:val="5399C654"/>
    <w:multiLevelType w:val="hybridMultilevel"/>
    <w:lvl w:ilvl="0">
      <w:lvlJc w:val="left"/>
      <w:lvlText w:val="(%1)"/>
      <w:numFmt w:val="lowerLetter"/>
      <w:start w:val="1"/>
    </w:lvl>
  </w:abstractNum>
  <w:abstractNum w:abstractNumId="81">
    <w:nsid w:val="20EE1348"/>
    <w:multiLevelType w:val="hybridMultilevel"/>
    <w:lvl w:ilvl="0">
      <w:lvlJc w:val="left"/>
      <w:lvlText w:val="(%1)"/>
      <w:numFmt w:val="lowerLetter"/>
      <w:start w:val="5"/>
    </w:lvl>
  </w:abstractNum>
  <w:abstractNum w:abstractNumId="82">
    <w:nsid w:val="4427069A"/>
    <w:multiLevelType w:val="hybridMultilevel"/>
    <w:lvl w:ilvl="0">
      <w:lvlJc w:val="left"/>
      <w:lvlText w:val="(%1)"/>
      <w:numFmt w:val="decimal"/>
      <w:start w:val="5"/>
    </w:lvl>
  </w:abstractNum>
  <w:abstractNum w:abstractNumId="83">
    <w:nsid w:val="B37E80A"/>
    <w:multiLevelType w:val="hybridMultilevel"/>
    <w:lvl w:ilvl="0">
      <w:lvlJc w:val="left"/>
      <w:lvlText w:val="(%1)"/>
      <w:numFmt w:val="lowerLetter"/>
      <w:start w:val="1"/>
    </w:lvl>
  </w:abstractNum>
  <w:abstractNum w:abstractNumId="84">
    <w:nsid w:val="2157F6BC"/>
    <w:multiLevelType w:val="hybridMultilevel"/>
    <w:lvl w:ilvl="0">
      <w:lvlJc w:val="left"/>
      <w:lvlText w:val="§"/>
      <w:numFmt w:val="bullet"/>
      <w:start w:val="1"/>
    </w:lvl>
    <w:lvl w:ilvl="1">
      <w:lvlJc w:val="left"/>
      <w:lvlText w:val="(%2)"/>
      <w:numFmt w:val="lowerLetter"/>
      <w:start w:val="1"/>
    </w:lvl>
  </w:abstractNum>
  <w:abstractNum w:abstractNumId="85">
    <w:nsid w:val="704E1DD5"/>
    <w:multiLevelType w:val="hybridMultilevel"/>
    <w:lvl w:ilvl="0">
      <w:lvlJc w:val="left"/>
      <w:lvlText w:val="§"/>
      <w:numFmt w:val="bullet"/>
      <w:start w:val="1"/>
    </w:lvl>
    <w:lvl w:ilvl="1">
      <w:lvlJc w:val="left"/>
      <w:lvlText w:val="(%2)"/>
      <w:numFmt w:val="lowerLetter"/>
      <w:start w:val="3"/>
    </w:lvl>
  </w:abstractNum>
  <w:abstractNum w:abstractNumId="86">
    <w:nsid w:val="57D2F10E"/>
    <w:multiLevelType w:val="hybridMultilevel"/>
    <w:lvl w:ilvl="0">
      <w:lvlJc w:val="left"/>
      <w:lvlText w:val="(%1)"/>
      <w:numFmt w:val="lowerLetter"/>
      <w:start w:val="5"/>
    </w:lvl>
  </w:abstractNum>
  <w:abstractNum w:abstractNumId="87">
    <w:nsid w:val="BFFAE18"/>
    <w:multiLevelType w:val="hybridMultilevel"/>
    <w:lvl w:ilvl="0">
      <w:lvlJc w:val="left"/>
      <w:lvlText w:val="(%1)"/>
      <w:numFmt w:val="lowerLetter"/>
      <w:start w:val="1"/>
    </w:lvl>
  </w:abstractNum>
  <w:abstractNum w:abstractNumId="88">
    <w:nsid w:val="E3E47A8"/>
    <w:multiLevelType w:val="hybridMultilevel"/>
    <w:lvl w:ilvl="0">
      <w:lvlJc w:val="left"/>
      <w:lvlText w:val="(%1)"/>
      <w:numFmt w:val="lowerLetter"/>
      <w:start w:val="3"/>
    </w:lvl>
  </w:abstractNum>
  <w:abstractNum w:abstractNumId="89">
    <w:nsid w:val="2E48F044"/>
    <w:multiLevelType w:val="hybridMultilevel"/>
    <w:lvl w:ilvl="0">
      <w:lvlJc w:val="left"/>
      <w:lvlText w:val="(%1)"/>
      <w:numFmt w:val="lowerLetter"/>
      <w:start w:val="1"/>
    </w:lvl>
  </w:abstractNum>
  <w:abstractNum w:abstractNumId="90">
    <w:nsid w:val="49D0FEAC"/>
    <w:multiLevelType w:val="hybridMultilevel"/>
    <w:lvl w:ilvl="0">
      <w:lvlJc w:val="left"/>
      <w:lvlText w:val="(%1)"/>
      <w:numFmt w:val="lowerLetter"/>
      <w:start w:val="11"/>
    </w:lvl>
  </w:abstractNum>
  <w:abstractNum w:abstractNumId="91">
    <w:nsid w:val="4BEE5A5B"/>
    <w:multiLevelType w:val="hybridMultilevel"/>
    <w:lvl w:ilvl="0">
      <w:lvlJc w:val="left"/>
      <w:lvlText w:val="(%1)"/>
      <w:numFmt w:val="lowerLetter"/>
      <w:start w:val="1"/>
    </w:lvl>
  </w:abstractNum>
  <w:abstractNum w:abstractNumId="92">
    <w:nsid w:val="5551B9F3"/>
    <w:multiLevelType w:val="hybridMultilevel"/>
    <w:lvl w:ilvl="0">
      <w:lvlJc w:val="left"/>
      <w:lvlText w:val="(%1)"/>
      <w:numFmt w:val="lowerLetter"/>
      <w:start w:val="1"/>
    </w:lvl>
  </w:abstractNum>
  <w:abstractNum w:abstractNumId="93">
    <w:nsid w:val="24F6AB8E"/>
    <w:multiLevelType w:val="hybridMultilevel"/>
    <w:lvl w:ilvl="0">
      <w:lvlJc w:val="left"/>
      <w:lvlText w:val="(%1)"/>
      <w:numFmt w:val="lowerLetter"/>
      <w:start w:val="1"/>
    </w:lvl>
  </w:abstractNum>
  <w:abstractNum w:abstractNumId="94">
    <w:nsid w:val="634C574C"/>
    <w:multiLevelType w:val="hybridMultilevel"/>
    <w:lvl w:ilvl="0">
      <w:lvlJc w:val="left"/>
      <w:lvlText w:val="(%1)"/>
      <w:numFmt w:val="lowerLetter"/>
      <w:start w:val="3"/>
    </w:lvl>
  </w:abstractNum>
  <w:abstractNum w:abstractNumId="95">
    <w:nsid w:val="24E99DD7"/>
    <w:multiLevelType w:val="hybridMultilevel"/>
    <w:lvl w:ilvl="0">
      <w:lvlJc w:val="left"/>
      <w:lvlText w:val="(%1)"/>
      <w:numFmt w:val="lowerLetter"/>
      <w:start w:val="7"/>
    </w:lvl>
  </w:abstractNum>
  <w:abstractNum w:abstractNumId="96">
    <w:nsid w:val="2A31B62D"/>
    <w:multiLevelType w:val="hybridMultilevel"/>
    <w:lvl w:ilvl="0">
      <w:lvlJc w:val="left"/>
      <w:lvlText w:val="(%1)"/>
      <w:numFmt w:val="lowerLetter"/>
      <w:start w:val="9"/>
    </w:lvl>
  </w:abstractNum>
  <w:abstractNum w:abstractNumId="97">
    <w:nsid w:val="1849C29B"/>
    <w:multiLevelType w:val="hybridMultilevel"/>
    <w:lvl w:ilvl="0">
      <w:lvlJc w:val="left"/>
      <w:lvlText w:val="(%1)"/>
      <w:numFmt w:val="lowerLetter"/>
      <w:start w:val="1"/>
    </w:lvl>
  </w:abstractNum>
  <w:abstractNum w:abstractNumId="98">
    <w:nsid w:val="7DFF9D09"/>
    <w:multiLevelType w:val="hybridMultilevel"/>
    <w:lvl w:ilvl="0">
      <w:lvlJc w:val="left"/>
      <w:lvlText w:val="(%1)"/>
      <w:numFmt w:val="lowerLetter"/>
      <w:start w:val="2"/>
    </w:lvl>
  </w:abstractNum>
  <w:abstractNum w:abstractNumId="99">
    <w:nsid w:val="754342"/>
    <w:multiLevelType w:val="hybridMultilevel"/>
    <w:lvl w:ilvl="0">
      <w:lvlJc w:val="left"/>
      <w:lvlText w:val="(%1)"/>
      <w:numFmt w:val="lowerLetter"/>
      <w:start w:val="4"/>
    </w:lvl>
  </w:abstractNum>
  <w:abstractNum w:abstractNumId="100">
    <w:nsid w:val="69E7F3E5"/>
    <w:multiLevelType w:val="hybridMultilevel"/>
    <w:lvl w:ilvl="0">
      <w:lvlJc w:val="left"/>
      <w:lvlText w:val="(%1)"/>
      <w:numFmt w:val="lowerRoman"/>
      <w:start w:val="2"/>
    </w:lvl>
  </w:abstractNum>
  <w:abstractNum w:abstractNumId="101">
    <w:nsid w:val="2A6DE806"/>
    <w:multiLevelType w:val="hybridMultilevel"/>
    <w:lvl w:ilvl="0">
      <w:lvlJc w:val="left"/>
      <w:lvlText w:val="(%1)"/>
      <w:numFmt w:val="lowerRoman"/>
      <w:start w:val="4"/>
    </w:lvl>
  </w:abstractNum>
  <w:abstractNum w:abstractNumId="102">
    <w:nsid w:val="1816F8C4"/>
    <w:multiLevelType w:val="hybridMultilevel"/>
    <w:lvl w:ilvl="0">
      <w:lvlJc w:val="left"/>
      <w:lvlText w:val="(%1)"/>
      <w:numFmt w:val="upperLetter"/>
      <w:start w:val="3"/>
    </w:lvl>
  </w:abstractNum>
  <w:abstractNum w:abstractNumId="103">
    <w:nsid w:val="37DF2233"/>
    <w:multiLevelType w:val="hybridMultilevel"/>
    <w:lvl w:ilvl="0">
      <w:lvlJc w:val="left"/>
      <w:lvlText w:val="***"/>
      <w:numFmt w:val="bullet"/>
      <w:start w:val="1"/>
    </w:lvl>
  </w:abstractNum>
  <w:abstractNum w:abstractNumId="104">
    <w:nsid w:val="7AB49DAF"/>
    <w:multiLevelType w:val="hybridMultilevel"/>
    <w:lvl w:ilvl="0">
      <w:lvlJc w:val="left"/>
      <w:lvlText w:val="(%1)"/>
      <w:numFmt w:val="upperLetter"/>
      <w:start w:val="5"/>
    </w:lvl>
  </w:abstractNum>
  <w:abstractNum w:abstractNumId="105">
    <w:nsid w:val="759F82CD"/>
    <w:multiLevelType w:val="hybridMultilevel"/>
    <w:lvl w:ilvl="0">
      <w:lvlJc w:val="left"/>
      <w:lvlText w:val="(%1)"/>
      <w:numFmt w:val="lowerLetter"/>
      <w:start w:val="1"/>
    </w:lvl>
  </w:abstractNum>
  <w:abstractNum w:abstractNumId="106">
    <w:nsid w:val="61E74EA3"/>
    <w:multiLevelType w:val="hybridMultilevel"/>
    <w:lvl w:ilvl="0">
      <w:lvlJc w:val="left"/>
      <w:lvlText w:val="(%1)"/>
      <w:numFmt w:val="lowerLetter"/>
      <w:start w:val="1"/>
    </w:lvl>
  </w:abstractNum>
  <w:abstractNum w:abstractNumId="107">
    <w:nsid w:val="597B4D84"/>
    <w:multiLevelType w:val="hybridMultilevel"/>
    <w:lvl w:ilvl="0">
      <w:lvlJc w:val="left"/>
      <w:lvlText w:val="(%1)"/>
      <w:numFmt w:val="lowerLetter"/>
      <w:start w:val="1"/>
    </w:lvl>
    <w:lvl w:ilvl="1">
      <w:lvlJc w:val="left"/>
      <w:lvlText w:val="(%2)"/>
      <w:numFmt w:val="lowerRoman"/>
      <w:start w:val="1"/>
    </w:lvl>
  </w:abstractNum>
  <w:abstractNum w:abstractNumId="108">
    <w:nsid w:val="F819E7F"/>
    <w:multiLevelType w:val="hybridMultilevel"/>
    <w:lvl w:ilvl="0">
      <w:lvlJc w:val="left"/>
      <w:lvlText w:val="%1"/>
      <w:numFmt w:val="decimal"/>
      <w:start w:val="1"/>
    </w:lvl>
    <w:lvl w:ilvl="1">
      <w:lvlJc w:val="left"/>
      <w:lvlText w:val="(%2)"/>
      <w:numFmt w:val="lowerLetter"/>
      <w:start w:val="3"/>
    </w:lvl>
  </w:abstractNum>
  <w:abstractNum w:abstractNumId="109">
    <w:nsid w:val="57C7D42D"/>
    <w:multiLevelType w:val="hybridMultilevel"/>
    <w:lvl w:ilvl="0">
      <w:lvlJc w:val="left"/>
      <w:lvlText w:val="(%1)"/>
      <w:numFmt w:val="decimal"/>
      <w:start w:val="5"/>
    </w:lvl>
    <w:lvl w:ilvl="1">
      <w:lvlJc w:val="left"/>
      <w:lvlText w:val="(%2)"/>
      <w:numFmt w:val="lowerLetter"/>
      <w:start w:val="5"/>
    </w:lvl>
  </w:abstractNum>
  <w:abstractNum w:abstractNumId="110">
    <w:nsid w:val="312167AD"/>
    <w:multiLevelType w:val="hybridMultilevel"/>
    <w:lvl w:ilvl="0">
      <w:lvlJc w:val="left"/>
      <w:lvlText w:val="(%1)"/>
      <w:numFmt w:val="upperLetter"/>
      <w:start w:val="1"/>
    </w:lvl>
  </w:abstractNum>
  <w:abstractNum w:abstractNumId="111">
    <w:nsid w:val="631B64D4"/>
    <w:multiLevelType w:val="hybridMultilevel"/>
    <w:lvl w:ilvl="0">
      <w:lvlJc w:val="left"/>
      <w:lvlText w:val="(%1)"/>
      <w:numFmt w:val="upperLetter"/>
      <w:start w:val="1"/>
    </w:lvl>
  </w:abstractNum>
  <w:abstractNum w:abstractNumId="112">
    <w:nsid w:val="78B5E776"/>
    <w:multiLevelType w:val="hybridMultilevel"/>
    <w:lvl w:ilvl="0">
      <w:lvlJc w:val="left"/>
      <w:lvlText w:val="(%1)"/>
      <w:numFmt w:val="upperLetter"/>
      <w:start w:val="2"/>
    </w:lvl>
  </w:abstractNum>
  <w:abstractNum w:abstractNumId="113">
    <w:nsid w:val="75486E47"/>
    <w:multiLevelType w:val="hybridMultilevel"/>
    <w:lvl w:ilvl="0">
      <w:lvlJc w:val="left"/>
      <w:lvlText w:val="(%1)"/>
      <w:numFmt w:val="lowerRoman"/>
      <w:start w:val="1"/>
    </w:lvl>
  </w:abstractNum>
  <w:abstractNum w:abstractNumId="114">
    <w:nsid w:val="6E534CDE"/>
    <w:multiLevelType w:val="hybridMultilevel"/>
    <w:lvl w:ilvl="0">
      <w:lvlJc w:val="left"/>
      <w:lvlText w:val="(%1)"/>
      <w:numFmt w:val="lowerRoman"/>
      <w:start w:val="1"/>
    </w:lvl>
  </w:abstractNum>
  <w:abstractNum w:abstractNumId="115">
    <w:nsid w:val="1A0DDE32"/>
    <w:multiLevelType w:val="hybridMultilevel"/>
    <w:lvl w:ilvl="0">
      <w:lvlJc w:val="left"/>
      <w:lvlText w:val="(%1)"/>
      <w:numFmt w:val="lowerRoman"/>
      <w:start w:val="2"/>
    </w:lvl>
  </w:abstractNum>
  <w:abstractNum w:abstractNumId="116">
    <w:nsid w:val="65968C1C"/>
    <w:multiLevelType w:val="hybridMultilevel"/>
    <w:lvl w:ilvl="0">
      <w:lvlJc w:val="left"/>
      <w:lvlText w:val="(%1)"/>
      <w:numFmt w:val="lowerRoman"/>
      <w:start w:val="4"/>
    </w:lvl>
  </w:abstractNum>
  <w:abstractNum w:abstractNumId="117">
    <w:nsid w:val="46263DEC"/>
    <w:multiLevelType w:val="hybridMultilevel"/>
    <w:lvl w:ilvl="0">
      <w:lvlJc w:val="left"/>
      <w:lvlText w:val="(%1)"/>
      <w:numFmt w:val="lowerRoman"/>
      <w:start w:val="5"/>
    </w:lvl>
  </w:abstractNum>
  <w:abstractNum w:abstractNumId="118">
    <w:nsid w:val="260D8C4A"/>
    <w:multiLevelType w:val="hybridMultilevel"/>
    <w:lvl w:ilvl="0">
      <w:lvlJc w:val="left"/>
      <w:lvlText w:val="(%1)"/>
      <w:numFmt w:val="lowerRoman"/>
      <w:start w:val="6"/>
    </w:lvl>
  </w:abstractNum>
  <w:abstractNum w:abstractNumId="119">
    <w:nsid w:val="73D4D3C4"/>
    <w:multiLevelType w:val="hybridMultilevel"/>
    <w:lvl w:ilvl="0">
      <w:lvlJc w:val="left"/>
      <w:lvlText w:val="(%1)"/>
      <w:numFmt w:val="lowerRoman"/>
      <w:start w:val="7"/>
    </w:lvl>
  </w:abstractNum>
  <w:abstractNum w:abstractNumId="120">
    <w:nsid w:val="746F2E30"/>
    <w:multiLevelType w:val="hybridMultilevel"/>
    <w:lvl w:ilvl="0">
      <w:lvlJc w:val="left"/>
      <w:lvlText w:val="%1"/>
      <w:numFmt w:val="lowerRoman"/>
      <w:start w:val="1"/>
    </w:lvl>
    <w:lvl w:ilvl="1">
      <w:lvlJc w:val="left"/>
      <w:lvlText w:val="(%2)"/>
      <w:numFmt w:val="upperLetter"/>
      <w:start w:val="1"/>
    </w:lvl>
  </w:abstractNum>
  <w:abstractNum w:abstractNumId="121">
    <w:nsid w:val="6FDE8AF6"/>
    <w:multiLevelType w:val="hybridMultilevel"/>
    <w:lvl w:ilvl="0">
      <w:lvlJc w:val="left"/>
      <w:lvlText w:val="(%1)"/>
      <w:numFmt w:val="lowerRoman"/>
      <w:start w:val="2"/>
    </w:lvl>
    <w:lvl w:ilvl="1">
      <w:lvlJc w:val="left"/>
      <w:lvlText w:val="(%2)"/>
      <w:numFmt w:val="upperLetter"/>
      <w:start w:val="1"/>
    </w:lvl>
  </w:abstractNum>
  <w:abstractNum w:abstractNumId="122">
    <w:nsid w:val="3FC32E20"/>
    <w:multiLevelType w:val="hybridMultilevel"/>
    <w:lvl w:ilvl="0">
      <w:lvlJc w:val="left"/>
      <w:lvlText w:val="%1"/>
      <w:numFmt w:val="lowerRoman"/>
      <w:start w:val="1"/>
    </w:lvl>
    <w:lvl w:ilvl="1">
      <w:lvlJc w:val="left"/>
      <w:lvlText w:val="(%2)"/>
      <w:numFmt w:val="upperLetter"/>
      <w:start w:val="24"/>
    </w:lvl>
  </w:abstractNum>
  <w:abstractNum w:abstractNumId="123">
    <w:nsid w:val="49C0E823"/>
    <w:multiLevelType w:val="hybridMultilevel"/>
    <w:lvl w:ilvl="0">
      <w:lvlJc w:val="left"/>
      <w:lvlText w:val="(%1)"/>
      <w:numFmt w:val="lowerRoman"/>
      <w:start w:val="3"/>
    </w:lvl>
    <w:lvl w:ilvl="1">
      <w:lvlJc w:val="left"/>
      <w:lvlText w:val="(%2)"/>
      <w:numFmt w:val="upperLetter"/>
      <w:start w:val="1"/>
    </w:lvl>
  </w:abstractNum>
  <w:abstractNum w:abstractNumId="124">
    <w:nsid w:val="14D53685"/>
    <w:multiLevelType w:val="hybridMultilevel"/>
    <w:lvl w:ilvl="0">
      <w:lvlJc w:val="left"/>
      <w:lvlText w:val="(%1)"/>
      <w:numFmt w:val="lowerRoman"/>
      <w:start w:val="1"/>
    </w:lvl>
  </w:abstractNum>
  <w:abstractNum w:abstractNumId="125">
    <w:nsid w:val="230F856C"/>
    <w:multiLevelType w:val="hybridMultilevel"/>
    <w:lvl w:ilvl="0">
      <w:lvlJc w:val="left"/>
      <w:lvlText w:val="(%1)"/>
      <w:numFmt w:val="lowerRoman"/>
      <w:start w:val="2"/>
    </w:lvl>
  </w:abstractNum>
  <w:abstractNum w:abstractNumId="126">
    <w:nsid w:val="6EAA85FB"/>
    <w:multiLevelType w:val="hybridMultilevel"/>
    <w:lvl w:ilvl="0">
      <w:lvlJc w:val="left"/>
      <w:lvlText w:val="(%1)"/>
      <w:numFmt w:val="lowerRoman"/>
      <w:start w:val="3"/>
    </w:lvl>
  </w:abstractNum>
  <w:abstractNum w:abstractNumId="127">
    <w:nsid w:val="3F06ECB2"/>
    <w:multiLevelType w:val="hybridMultilevel"/>
    <w:lvl w:ilvl="0">
      <w:lvlJc w:val="left"/>
      <w:lvlText w:val="*"/>
      <w:numFmt w:val="bullet"/>
      <w:start w:val="1"/>
    </w:lvl>
  </w:abstractNum>
  <w:abstractNum w:abstractNumId="128">
    <w:nsid w:val="3B594807"/>
    <w:multiLevelType w:val="hybridMultilevel"/>
    <w:lvl w:ilvl="0">
      <w:lvlJc w:val="left"/>
      <w:lvlText w:val="(%1)"/>
      <w:numFmt w:val="lowerRoman"/>
      <w:start w:val="1"/>
    </w:lvl>
  </w:abstractNum>
  <w:abstractNum w:abstractNumId="129">
    <w:nsid w:val="6CAA2304"/>
    <w:multiLevelType w:val="hybridMultilevel"/>
    <w:lvl w:ilvl="0">
      <w:lvlJc w:val="left"/>
      <w:lvlText w:val="(%1)"/>
      <w:numFmt w:val="lowerRoman"/>
      <w:start w:val="2"/>
    </w:lvl>
  </w:abstractNum>
  <w:abstractNum w:abstractNumId="130">
    <w:nsid w:val="3F7C2FF4"/>
    <w:multiLevelType w:val="hybridMultilevel"/>
    <w:lvl w:ilvl="0">
      <w:lvlJc w:val="left"/>
      <w:lvlText w:val="(%1)"/>
      <w:numFmt w:val="lowerRoman"/>
      <w:start w:val="3"/>
    </w:lvl>
  </w:abstractNum>
  <w:abstractNum w:abstractNumId="131">
    <w:nsid w:val="25413BEC"/>
    <w:multiLevelType w:val="hybridMultilevel"/>
    <w:lvl w:ilvl="0">
      <w:lvlJc w:val="left"/>
      <w:lvlText w:val="(%1)"/>
      <w:numFmt w:val="lowerRoman"/>
      <w:start w:val="1"/>
    </w:lvl>
  </w:abstractNum>
  <w:abstractNum w:abstractNumId="132">
    <w:nsid w:val="17180B0B"/>
    <w:multiLevelType w:val="hybridMultilevel"/>
    <w:lvl w:ilvl="0">
      <w:lvlJc w:val="left"/>
      <w:lvlText w:val="(%1)"/>
      <w:numFmt w:val="lowerRoman"/>
      <w:start w:val="2"/>
    </w:lvl>
  </w:abstractNum>
  <w:abstractNum w:abstractNumId="133">
    <w:nsid w:val="579328B9"/>
    <w:multiLevelType w:val="hybridMultilevel"/>
    <w:lvl w:ilvl="0">
      <w:lvlJc w:val="left"/>
      <w:lvlText w:val="(%1)"/>
      <w:numFmt w:val="lowerRoman"/>
      <w:start w:val="3"/>
    </w:lvl>
  </w:abstractNum>
  <w:abstractNum w:abstractNumId="134">
    <w:nsid w:val="5D205E20"/>
    <w:multiLevelType w:val="hybridMultilevel"/>
    <w:lvl w:ilvl="0">
      <w:lvlJc w:val="left"/>
      <w:lvlText w:val="(%1)"/>
      <w:numFmt w:val="lowerRoman"/>
      <w:start w:val="4"/>
    </w:lvl>
  </w:abstractNum>
  <w:abstractNum w:abstractNumId="135">
    <w:nsid w:val="11CCA8BA"/>
    <w:multiLevelType w:val="hybridMultilevel"/>
    <w:lvl w:ilvl="0">
      <w:lvlJc w:val="left"/>
      <w:lvlText w:val="(%1)"/>
      <w:numFmt w:val="lowerRoman"/>
      <w:start w:val="5"/>
    </w:lvl>
  </w:abstractNum>
  <w:abstractNum w:abstractNumId="136">
    <w:nsid w:val="4D32AB86"/>
    <w:multiLevelType w:val="hybridMultilevel"/>
    <w:lvl w:ilvl="0">
      <w:lvlJc w:val="left"/>
      <w:lvlText w:val="(%1)"/>
      <w:numFmt w:val="lowerRoman"/>
      <w:start w:val="6"/>
    </w:lvl>
  </w:abstractNum>
  <w:abstractNum w:abstractNumId="137">
    <w:nsid w:val="3F07ACC3"/>
    <w:multiLevelType w:val="hybridMultilevel"/>
    <w:lvl w:ilvl="0">
      <w:lvlJc w:val="left"/>
      <w:lvlText w:val="(%1)"/>
      <w:numFmt w:val="lowerRoman"/>
      <w:start w:val="7"/>
    </w:lvl>
  </w:abstractNum>
  <w:abstractNum w:abstractNumId="138">
    <w:nsid w:val="6B47F63E"/>
    <w:multiLevelType w:val="hybridMultilevel"/>
    <w:lvl w:ilvl="0">
      <w:lvlJc w:val="left"/>
      <w:lvlText w:val="(%1)"/>
      <w:numFmt w:val="lowerRoman"/>
      <w:start w:val="3"/>
    </w:lvl>
  </w:abstractNum>
  <w:abstractNum w:abstractNumId="139">
    <w:nsid w:val="5CB44A05"/>
    <w:multiLevelType w:val="hybridMultilevel"/>
    <w:lvl w:ilvl="0">
      <w:lvlJc w:val="left"/>
      <w:lvlText w:val="(%1)"/>
      <w:numFmt w:val="upperLetter"/>
      <w:start w:val="9"/>
    </w:lvl>
  </w:abstractNum>
  <w:abstractNum w:abstractNumId="140">
    <w:nsid w:val="16CF80F1"/>
    <w:multiLevelType w:val="hybridMultilevel"/>
    <w:lvl w:ilvl="0">
      <w:lvlJc w:val="left"/>
      <w:lvlText w:val="(%1)"/>
      <w:numFmt w:val="upperLetter"/>
      <w:start w:val="35"/>
    </w:lvl>
  </w:abstractNum>
  <w:abstractNum w:abstractNumId="141">
    <w:nsid w:val="1C695DEC"/>
    <w:multiLevelType w:val="hybridMultilevel"/>
    <w:lvl w:ilvl="0">
      <w:lvlJc w:val="left"/>
      <w:lvlText w:val="(%1)"/>
      <w:numFmt w:val="lowerLetter"/>
      <w:start w:val="1"/>
    </w:lvl>
    <w:lvl w:ilvl="1">
      <w:lvlJc w:val="left"/>
      <w:lvlText w:val="(%2)"/>
      <w:numFmt w:val="lowerRoman"/>
      <w:start w:val="1"/>
    </w:lvl>
  </w:abstractNum>
  <w:abstractNum w:abstractNumId="142">
    <w:nsid w:val="3FCFAED9"/>
    <w:multiLevelType w:val="hybridMultilevel"/>
    <w:lvl w:ilvl="0">
      <w:lvlJc w:val="left"/>
      <w:lvlText w:val="%1."/>
      <w:numFmt w:val="decimal"/>
      <w:start w:val="1"/>
    </w:lvl>
  </w:abstractNum>
  <w:abstractNum w:abstractNumId="143">
    <w:nsid w:val="F856867"/>
    <w:multiLevelType w:val="hybridMultilevel"/>
    <w:lvl w:ilvl="0">
      <w:lvlJc w:val="left"/>
      <w:lvlText w:val="[%1]"/>
      <w:numFmt w:val="decimal"/>
      <w:start w:val="5"/>
    </w:lvl>
    <w:lvl w:ilvl="1">
      <w:lvlJc w:val="left"/>
      <w:lvlText w:val="["/>
      <w:numFmt w:val="bullet"/>
      <w:start w:val="1"/>
    </w:lvl>
  </w:abstractNum>
  <w:abstractNum w:abstractNumId="144">
    <w:nsid w:val="11B1CC33"/>
    <w:multiLevelType w:val="hybridMultilevel"/>
    <w:lvl w:ilvl="0">
      <w:lvlJc w:val="left"/>
      <w:lvlText w:val="(%1)"/>
      <w:numFmt w:val="upperLetter"/>
      <w:start w:val="1"/>
    </w:lvl>
  </w:abstractNum>
  <w:abstractNum w:abstractNumId="145">
    <w:nsid w:val="2E22FBB7"/>
    <w:multiLevelType w:val="hybridMultilevel"/>
    <w:lvl w:ilvl="0">
      <w:lvlJc w:val="left"/>
      <w:lvlText w:val="(%1)"/>
      <w:numFmt w:val="upperLetter"/>
      <w:start w:val="1"/>
    </w:lvl>
  </w:abstractNum>
  <w:abstractNum w:abstractNumId="146">
    <w:nsid w:val="29934699"/>
    <w:multiLevelType w:val="hybridMultilevel"/>
    <w:lvl w:ilvl="0">
      <w:lvlJc w:val="left"/>
      <w:lvlText w:val="(%1)"/>
      <w:numFmt w:val="lowerRoman"/>
      <w:start w:val="2"/>
    </w:lvl>
  </w:abstractNum>
  <w:abstractNum w:abstractNumId="147">
    <w:nsid w:val="77485850"/>
    <w:multiLevelType w:val="hybridMultilevel"/>
    <w:lvl w:ilvl="0">
      <w:lvlJc w:val="left"/>
      <w:lvlText w:val="•"/>
      <w:numFmt w:val="bullet"/>
      <w:start w:val="1"/>
    </w:lvl>
  </w:abstractNum>
  <w:abstractNum w:abstractNumId="148">
    <w:nsid w:val="744939A3"/>
    <w:multiLevelType w:val="hybridMultilevel"/>
    <w:lvl w:ilvl="0">
      <w:lvlJc w:val="left"/>
      <w:lvlText w:val="(%1)"/>
      <w:numFmt w:val="upperLetter"/>
      <w:start w:val="1"/>
    </w:lvl>
  </w:abstractNum>
  <w:abstractNum w:abstractNumId="149">
    <w:nsid w:val="4FA0D2E3"/>
    <w:multiLevelType w:val="hybridMultilevel"/>
    <w:lvl w:ilvl="0">
      <w:lvlJc w:val="left"/>
      <w:lvlText w:val="(%1)"/>
      <w:numFmt w:val="upperLetter"/>
      <w:start w:val="1"/>
    </w:lvl>
  </w:abstractNum>
  <w:abstractNum w:abstractNumId="150">
    <w:nsid w:val="6B1D2C14"/>
    <w:multiLevelType w:val="hybridMultilevel"/>
    <w:lvl w:ilvl="0">
      <w:lvlJc w:val="left"/>
      <w:lvlText w:val="(%1)"/>
      <w:numFmt w:val="upperLetter"/>
      <w:start w:val="24"/>
    </w:lvl>
  </w:abstractNum>
  <w:abstractNum w:abstractNumId="151">
    <w:nsid w:val="68B867D3"/>
    <w:multiLevelType w:val="hybridMultilevel"/>
    <w:lvl w:ilvl="0">
      <w:lvlJc w:val="left"/>
      <w:lvlText w:val="(%1)"/>
      <w:numFmt w:val="lowerRoman"/>
      <w:start w:val="2"/>
    </w:lvl>
  </w:abstractNum>
  <w:abstractNum w:abstractNumId="152">
    <w:nsid w:val="3F7F5DD9"/>
    <w:multiLevelType w:val="hybridMultilevel"/>
    <w:lvl w:ilvl="0">
      <w:lvlJc w:val="left"/>
      <w:lvlText w:val="%1."/>
      <w:numFmt w:val="upperLetter"/>
      <w:start w:val="9"/>
    </w:lvl>
  </w:abstractNum>
  <w:abstractNum w:abstractNumId="153">
    <w:nsid w:val="2AE05A34"/>
    <w:multiLevelType w:val="hybridMultilevel"/>
    <w:lvl w:ilvl="0">
      <w:lvlJc w:val="left"/>
      <w:lvlText w:val="["/>
      <w:numFmt w:val="bullet"/>
      <w:start w:val="1"/>
    </w:lvl>
    <w:lvl w:ilvl="1">
      <w:lvlJc w:val="left"/>
      <w:lvlText w:val="%2."/>
      <w:numFmt w:val="upperLetter"/>
      <w:start w:val="1"/>
    </w:lvl>
    <w:lvl w:ilvl="2">
      <w:lvlJc w:val="left"/>
      <w:lvlText w:val="***"/>
      <w:numFmt w:val="bullet"/>
      <w:start w:val="1"/>
    </w:lvl>
  </w:abstractNum>
  <w:abstractNum w:abstractNumId="154">
    <w:nsid w:val="32794FF7"/>
    <w:multiLevelType w:val="hybridMultilevel"/>
    <w:lvl w:ilvl="0">
      <w:lvlJc w:val="left"/>
      <w:lvlText w:val="%1."/>
      <w:numFmt w:val="upperLetter"/>
      <w:start w:val="35"/>
    </w:lvl>
  </w:abstractNum>
  <w:abstractNum w:abstractNumId="155">
    <w:nsid w:val="5454945E"/>
    <w:multiLevelType w:val="hybridMultilevel"/>
    <w:lvl w:ilvl="0">
      <w:lvlJc w:val="left"/>
      <w:lvlText w:val="%1."/>
      <w:numFmt w:val="upperLetter"/>
      <w:start w:val="61"/>
    </w:lvl>
  </w:abstractNum>
  <w:abstractNum w:abstractNumId="156">
    <w:nsid w:val="4DEFDFA0"/>
    <w:multiLevelType w:val="hybridMultilevel"/>
    <w:lvl w:ilvl="0">
      <w:lvlJc w:val="left"/>
      <w:lvlText w:val="(%1)"/>
      <w:numFmt w:val="lowerRoman"/>
      <w:start w:val="1"/>
    </w:lvl>
  </w:abstractNum>
  <w:abstractNum w:abstractNumId="157">
    <w:nsid w:val="2123D5F2"/>
    <w:multiLevelType w:val="hybridMultilevel"/>
    <w:lvl w:ilvl="0">
      <w:lvlJc w:val="left"/>
      <w:lvlText w:val="(%1)"/>
      <w:numFmt w:val="lowerRoman"/>
      <w:start w:val="1"/>
    </w:lvl>
  </w:abstractNum>
  <w:abstractNum w:abstractNumId="158">
    <w:nsid w:val="135B8110"/>
    <w:multiLevelType w:val="hybridMultilevel"/>
    <w:lvl w:ilvl="0">
      <w:lvlJc w:val="left"/>
      <w:lvlText w:val="["/>
      <w:numFmt w:val="bullet"/>
      <w:start w:val="1"/>
    </w:lvl>
  </w:abstractNum>
  <w:abstractNum w:abstractNumId="159">
    <w:nsid w:val="94927A8"/>
    <w:multiLevelType w:val="hybridMultilevel"/>
    <w:lvl w:ilvl="0">
      <w:lvlJc w:val="left"/>
      <w:lvlText w:val="%1."/>
      <w:numFmt w:val="decimal"/>
      <w:start w:val="1"/>
    </w:lvl>
  </w:abstractNum>
  <w:abstractNum w:abstractNumId="160">
    <w:nsid w:val="DCDF8F6"/>
    <w:multiLevelType w:val="hybridMultilevel"/>
    <w:lvl w:ilvl="0">
      <w:lvlJc w:val="left"/>
      <w:lvlText w:val="%1."/>
      <w:numFmt w:val="decimal"/>
      <w:start w:val="1"/>
    </w:lvl>
  </w:abstractNum>
  <w:abstractNum w:abstractNumId="161">
    <w:nsid w:val="52D7B105"/>
    <w:multiLevelType w:val="hybridMultilevel"/>
    <w:lvl w:ilvl="0">
      <w:lvlJc w:val="left"/>
      <w:lvlText w:val="%1."/>
      <w:numFmt w:val="decimal"/>
      <w:start w:val="2"/>
    </w:lvl>
  </w:abstractNum>
  <w:abstractNum w:abstractNumId="162">
    <w:nsid w:val="2E8A6394"/>
    <w:multiLevelType w:val="hybridMultilevel"/>
    <w:lvl w:ilvl="0">
      <w:lvlJc w:val="left"/>
      <w:lvlText w:val="%1."/>
      <w:numFmt w:val="decimal"/>
      <w:start w:val="5"/>
    </w:lvl>
  </w:abstractNum>
  <w:abstractNum w:abstractNumId="163">
    <w:nsid w:val="24E60401"/>
    <w:multiLevelType w:val="hybridMultilevel"/>
    <w:lvl w:ilvl="0">
      <w:lvlJc w:val="left"/>
      <w:lvlText w:val="%1."/>
      <w:numFmt w:val="decimal"/>
      <w:start w:val="1"/>
    </w:lvl>
  </w:abstractNum>
  <w:abstractNum w:abstractNumId="164">
    <w:nsid w:val="2A6AD9BE"/>
    <w:multiLevelType w:val="hybridMultilevel"/>
    <w:lvl w:ilvl="0">
      <w:lvlJc w:val="left"/>
      <w:lvlText w:val="(%1)"/>
      <w:numFmt w:val="lowerRoman"/>
      <w:start w:val="2"/>
    </w:lvl>
  </w:abstractNum>
  <w:abstractNum w:abstractNumId="165">
    <w:nsid w:val="BAAC1B4"/>
    <w:multiLevelType w:val="hybridMultilevel"/>
    <w:lvl w:ilvl="0">
      <w:lvlJc w:val="left"/>
      <w:lvlText w:val="%1."/>
      <w:numFmt w:val="decimal"/>
      <w:start w:val="1"/>
    </w:lvl>
  </w:abstractNum>
  <w:abstractNum w:abstractNumId="166">
    <w:nsid w:val="36B2ACBC"/>
    <w:multiLevelType w:val="hybridMultilevel"/>
    <w:lvl w:ilvl="0">
      <w:lvlJc w:val="left"/>
      <w:lvlText w:val="•"/>
      <w:numFmt w:val="bullet"/>
      <w:start w:val="1"/>
    </w:lvl>
    <w:lvl w:ilvl="1">
      <w:lvlJc w:val="left"/>
      <w:lvlText w:val="-"/>
      <w:numFmt w:val="bullet"/>
      <w:start w:val="1"/>
    </w:lvl>
  </w:abstractNum>
  <w:abstractNum w:abstractNumId="167">
    <w:nsid w:val="779D8544"/>
    <w:multiLevelType w:val="hybridMultilevel"/>
    <w:lvl w:ilvl="0">
      <w:lvlJc w:val="left"/>
      <w:lvlText w:val="%1."/>
      <w:numFmt w:val="decimal"/>
      <w:start w:val="4"/>
    </w:lvl>
    <w:lvl w:ilvl="1">
      <w:lvlJc w:val="left"/>
      <w:lvlText w:val="•"/>
      <w:numFmt w:val="bullet"/>
      <w:start w:val="1"/>
    </w:lvl>
    <w:lvl w:ilvl="2">
      <w:lvlJc w:val="left"/>
      <w:lvlText w:val="-"/>
      <w:numFmt w:val="bullet"/>
      <w:start w:val="1"/>
    </w:lvl>
  </w:abstractNum>
  <w:abstractNum w:abstractNumId="168">
    <w:nsid w:val="4AB26E78"/>
    <w:multiLevelType w:val="hybridMultilevel"/>
    <w:lvl w:ilvl="0">
      <w:lvlJc w:val="left"/>
      <w:lvlText w:val="%1."/>
      <w:numFmt w:val="decimal"/>
      <w:start w:val="7"/>
    </w:lvl>
  </w:abstractNum>
  <w:abstractNum w:abstractNumId="169">
    <w:nsid w:val="21FAA2FA"/>
    <w:multiLevelType w:val="hybridMultilevel"/>
    <w:lvl w:ilvl="0">
      <w:lvlJc w:val="left"/>
      <w:lvlText w:val="•"/>
      <w:numFmt w:val="bullet"/>
      <w:start w:val="1"/>
    </w:lvl>
  </w:abstractNum>
  <w:abstractNum w:abstractNumId="170">
    <w:nsid w:val="5451CF49"/>
    <w:multiLevelType w:val="hybridMultilevel"/>
    <w:lvl w:ilvl="0">
      <w:lvlJc w:val="left"/>
      <w:lvlText w:val="▪"/>
      <w:numFmt w:val="bullet"/>
      <w:start w:val="1"/>
    </w:lvl>
  </w:abstractNum>
  <w:abstractNum w:abstractNumId="171">
    <w:nsid w:val="6181EF69"/>
    <w:multiLevelType w:val="hybridMultilevel"/>
    <w:lvl w:ilvl="0">
      <w:lvlJc w:val="left"/>
      <w:lvlText w:val="%1."/>
      <w:numFmt w:val="decimal"/>
      <w:start w:val="1"/>
    </w:lvl>
    <w:lvl w:ilvl="1">
      <w:lvlJc w:val="left"/>
      <w:lvlText w:val="◦"/>
      <w:numFmt w:val="bullet"/>
      <w:start w:val="1"/>
    </w:lvl>
  </w:abstractNum>
  <w:abstractNum w:abstractNumId="172">
    <w:nsid w:val="3E6400E6"/>
    <w:multiLevelType w:val="hybridMultilevel"/>
    <w:lvl w:ilvl="0">
      <w:lvlJc w:val="left"/>
      <w:lvlText w:val="%1."/>
      <w:numFmt w:val="decimal"/>
      <w:start w:val="5"/>
    </w:lvl>
    <w:lvl w:ilvl="1">
      <w:lvlJc w:val="left"/>
      <w:lvlText w:val="◦"/>
      <w:numFmt w:val="bullet"/>
      <w:start w:val="1"/>
    </w:lvl>
  </w:abstractNum>
  <w:abstractNum w:abstractNumId="173">
    <w:nsid w:val="14217E23"/>
    <w:multiLevelType w:val="hybridMultilevel"/>
    <w:lvl w:ilvl="0">
      <w:lvlJc w:val="left"/>
      <w:lvlText w:val="◦"/>
      <w:numFmt w:val="bullet"/>
      <w:start w:val="1"/>
    </w:lvl>
  </w:abstractNum>
  <w:abstractNum w:abstractNumId="174">
    <w:nsid w:val="710757D0"/>
    <w:multiLevelType w:val="hybridMultilevel"/>
    <w:lvl w:ilvl="0">
      <w:lvlJc w:val="left"/>
      <w:lvlText w:val="["/>
      <w:numFmt w:val="bullet"/>
      <w:start w:val="1"/>
    </w:lvl>
  </w:abstractNum>
  <w:abstractNum w:abstractNumId="175">
    <w:nsid w:val="5015CD1A"/>
    <w:multiLevelType w:val="hybridMultilevel"/>
    <w:lvl w:ilvl="0">
      <w:lvlJc w:val="left"/>
      <w:lvlText w:val="["/>
      <w:numFmt w:val="bullet"/>
      <w:start w:val="1"/>
    </w:lvl>
  </w:abstractNum>
  <w:abstractNum w:abstractNumId="176">
    <w:nsid w:val="424479DA"/>
    <w:multiLevelType w:val="hybridMultilevel"/>
    <w:lvl w:ilvl="0">
      <w:lvlJc w:val="left"/>
      <w:lvlText w:val="["/>
      <w:numFmt w:val="bullet"/>
      <w:start w:val="1"/>
    </w:lvl>
  </w:abstractNum>
  <w:abstractNum w:abstractNumId="177">
    <w:nsid w:val="1A9A9E69"/>
    <w:multiLevelType w:val="hybridMultilevel"/>
    <w:lvl w:ilvl="0">
      <w:lvlJc w:val="left"/>
      <w:lvlText w:val="["/>
      <w:numFmt w:val="bullet"/>
      <w:start w:val="1"/>
    </w:lvl>
  </w:abstractNum>
  <w:abstractNum w:abstractNumId="178">
    <w:nsid w:val="475E256A"/>
    <w:multiLevelType w:val="hybridMultilevel"/>
    <w:lvl w:ilvl="0">
      <w:lvlJc w:val="left"/>
      <w:lvlText w:val="["/>
      <w:numFmt w:val="bullet"/>
      <w:start w:val="1"/>
    </w:lvl>
  </w:abstractNum>
  <w:abstractNum w:abstractNumId="179">
    <w:nsid w:val="368DB37E"/>
    <w:multiLevelType w:val="hybridMultilevel"/>
    <w:lvl w:ilvl="0">
      <w:lvlJc w:val="left"/>
      <w:lvlText w:val="["/>
      <w:numFmt w:val="bullet"/>
      <w:start w:val="1"/>
    </w:lvl>
  </w:abstractNum>
  <w:abstractNum w:abstractNumId="180">
    <w:nsid w:val="6A3B714C"/>
    <w:multiLevelType w:val="hybridMultilevel"/>
    <w:lvl w:ilvl="0">
      <w:lvlJc w:val="left"/>
      <w:lvlText w:val="%1."/>
      <w:numFmt w:val="decimal"/>
      <w:start w:val="1"/>
    </w:lvl>
  </w:abstractNum>
  <w:abstractNum w:abstractNumId="181">
    <w:nsid w:val="327B517E"/>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2019-12-09T18:33:26Z</dcterms:created>
  <dcterms:modified xsi:type="dcterms:W3CDTF">2019-12-09T18:33:26Z</dcterms:modified>
</cp:coreProperties>
</file>