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848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4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Hatto Christopher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0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482-C23-A68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 &amp; CAO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20,724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41.4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20,724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02/07/2033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20,724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1"/>
          <w:szCs w:val="21"/>
          <w:color w:val="008000"/>
          <w:vertAlign w:val="superscript"/>
        </w:rPr>
        <w:t>(1)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Stock Options were granted on February 7, 2023. One-third will vest on February 7, 2024; one-third will vest on February 7, 2025; and one-third will vest on February 7, 2026.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Fact for Mr. Hatto</w:t>
            </w:r>
          </w:p>
        </w:tc>
        <w:tc>
          <w:tcPr>
            <w:tcW w:w="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15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2023-02-09T16:37:06Z</dcterms:created>
  <dcterms:modified xsi:type="dcterms:W3CDTF">2023-02-09T16:37:06Z</dcterms:modified>
</cp:coreProperties>
</file>