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-17780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574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13335</wp:posOffset>
            </wp:positionV>
            <wp:extent cx="7019290" cy="3104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0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6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7"/>
                <w:szCs w:val="17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17"/>
                  <w:szCs w:val="17"/>
                  <w:color w:val="0000EE"/>
                  <w:w w:val="86"/>
                </w:rPr>
                <w:t>Stephenson Carol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GM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 RENAISSANCE CENTER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12/31/2021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M/C: 482-C24-A68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56" w:lineRule="auto"/>
        <w:tabs>
          <w:tab w:leader="none" w:pos="122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6" w:right="4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MI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48265-3000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Deferred Share Units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12/31/2021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4,317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  <w:w w:val="72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4,317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55.88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80,869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40" w:right="180" w:hanging="6"/>
        <w:spacing w:after="0" w:line="269" w:lineRule="auto"/>
        <w:tabs>
          <w:tab w:leader="none" w:pos="144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Deferred Share Units ("DSUs") were awarded pursuant to the General Motors Company Deferred Compensation Plan for Non-Employee Directors (the ("Plan"). Under the Plan, each non-employee director is required to defer one-half of the $305,000 annual retainer fee for service on the Board of Directors into DSUs and may elect to defer more.</w:t>
      </w:r>
    </w:p>
    <w:p>
      <w:pPr>
        <w:spacing w:after="0" w:line="11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The price of the DSUs is the average closing price of the Company's Common Stock during the previous calendar year.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/s/ Tia Y. Turk, Attorney-In-Fact for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Ms. Stephenson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325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2022-01-04T16:40:32Z</dcterms:created>
  <dcterms:modified xsi:type="dcterms:W3CDTF">2022-01-04T16:40:32Z</dcterms:modified>
</cp:coreProperties>
</file>