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8"/>
        <w:spacing w:after="0"/>
        <w:rPr>
          <w:sz w:val="20"/>
          <w:szCs w:val="20"/>
          <w:color w:val="auto"/>
        </w:rPr>
      </w:pPr>
      <w:r>
        <w:rPr>
          <w:rFonts w:ascii="Arial" w:cs="Arial" w:eastAsia="Arial" w:hAnsi="Arial"/>
          <w:sz w:val="17"/>
          <w:szCs w:val="17"/>
          <w:color w:val="0000FF"/>
        </w:rPr>
        <w:t>Senior Vice President &amp; GC</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1,866</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23,431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91"/>
              </w:rPr>
              <w:t>599</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22,832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4,434</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27,266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1,422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25,844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8"/>
              </w:rPr>
              <w:t>25,308</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51,152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1,866</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1,866</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1,866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4,434</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4,434</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8,865</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cash, less a portion withheld for taxes.</w:t>
      </w: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1,866 SSUs, of which 622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5,598 SSUs granted on September 30, 2009, of which 1,866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4,433 SSUs, of which 1,478 SSUs were scheduled to be payable on September 30, 2011. Pursuant to the terms of the GMSSP, each issued and outstanding SSUs was automatically converted upon the effectiveness of the Stock Split into three SSUs, so that the employee was credited with a total of 13,299 SSUs granted on September 30, 2010, of which 4,434 SSUs became payable on September 30, 2011.</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Mr. Millikin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2019-12-17T00:52:20Z</dcterms:created>
  <dcterms:modified xsi:type="dcterms:W3CDTF">2019-12-17T00:52:20Z</dcterms:modified>
</cp:coreProperties>
</file>