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-609600</wp:posOffset>
            </wp:positionV>
            <wp:extent cx="57150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3923665</wp:posOffset>
            </wp:positionH>
            <wp:positionV relativeFrom="paragraph">
              <wp:posOffset>-609600</wp:posOffset>
            </wp:positionV>
            <wp:extent cx="57150" cy="622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641350</wp:posOffset>
            </wp:positionV>
            <wp:extent cx="6997065" cy="5060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506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Barra Mary T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1240 WOODWARD AVENUE M/C: 482-22381-1003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700" w:firstLine="10"/>
        <w:spacing w:after="0" w:line="247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13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Chair &amp; CEO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48265-3000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02/04/2026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36,031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469,558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02/04/2026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13,127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86.29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456,431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66,212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66,212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66,212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36,031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36,031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72,061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-2075815</wp:posOffset>
            </wp:positionV>
            <wp:extent cx="28575" cy="2080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8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 Upon vesting, they will be settled in shares of the Company's common stock on a one-for-one basis.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one-third will vest on February 3, 2027, one-third will vest on February 4, 2028, and one-third will vest on February 3, 2029.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hanging="2"/>
        <w:spacing w:after="0" w:line="244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awarded on February 4, 2025. One-third of the RSUs vested on February 4, 2026, and the remaining two-thirds will vest on February 4, 2027 and February 4, 2028. Each RSU represents a right to receive one share of the Company's common stock upon settlement.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Tia Y. Turk, Attorney-In-Fact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-26035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Ms. Barra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560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18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215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2026-02-05T15:54:15Z</dcterms:created>
  <dcterms:modified xsi:type="dcterms:W3CDTF">2026-02-05T15:54:15Z</dcterms:modified>
</cp:coreProperties>
</file>