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51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03/01/2015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2"/>
              </w:rPr>
              <w:t>10,448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12,048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03/01/2015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71"/>
              <w:spacing w:after="0"/>
              <w:rPr>
                <w:sz w:val="20"/>
                <w:szCs w:val="20"/>
                <w:color w:val="auto"/>
              </w:rPr>
            </w:pPr>
            <w:r>
              <w:rPr>
                <w:rFonts w:ascii="Arial" w:cs="Arial" w:eastAsia="Arial" w:hAnsi="Arial"/>
                <w:sz w:val="17"/>
                <w:szCs w:val="17"/>
                <w:color w:val="0000FF"/>
                <w:w w:val="89"/>
              </w:rPr>
              <w:t>6,065</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37.28</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5,983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03/01/2015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71"/>
              <w:spacing w:after="0"/>
              <w:rPr>
                <w:sz w:val="20"/>
                <w:szCs w:val="20"/>
                <w:color w:val="auto"/>
              </w:rPr>
            </w:pPr>
            <w:r>
              <w:rPr>
                <w:rFonts w:ascii="Arial" w:cs="Arial" w:eastAsia="Arial" w:hAnsi="Arial"/>
                <w:sz w:val="17"/>
                <w:szCs w:val="17"/>
                <w:color w:val="0000FF"/>
                <w:w w:val="89"/>
              </w:rPr>
              <w:t>4,383</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37.28</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10,448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03/01/2015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10,448</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240"/>
              <w:spacing w:after="0"/>
              <w:rPr>
                <w:sz w:val="20"/>
                <w:szCs w:val="20"/>
                <w:color w:val="auto"/>
              </w:rPr>
            </w:pPr>
            <w:r>
              <w:rPr>
                <w:rFonts w:ascii="Arial" w:cs="Arial" w:eastAsia="Arial" w:hAnsi="Arial"/>
                <w:sz w:val="11"/>
                <w:szCs w:val="11"/>
                <w:color w:val="008000"/>
              </w:rPr>
              <w:t>(3)</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5" w:lineRule="exact"/>
              <w:rPr>
                <w:sz w:val="20"/>
                <w:szCs w:val="20"/>
                <w:color w:val="auto"/>
              </w:rPr>
            </w:pPr>
            <w:r>
              <w:rPr>
                <w:rFonts w:ascii="Arial" w:cs="Arial" w:eastAsia="Arial" w:hAnsi="Arial"/>
                <w:sz w:val="13"/>
                <w:szCs w:val="13"/>
                <w:color w:val="0000FF"/>
                <w:w w:val="98"/>
              </w:rPr>
              <w:t>5,224</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on March 1, 2013 pursuant to the Company's 2009 Long-Term Incentive Plan (the "GMLTIP").</w:t>
      </w:r>
    </w:p>
    <w:p>
      <w:pPr>
        <w:spacing w:after="0" w:line="10" w:lineRule="exact"/>
        <w:rPr>
          <w:rFonts w:ascii="Arial" w:cs="Arial" w:eastAsia="Arial" w:hAnsi="Arial"/>
          <w:sz w:val="13"/>
          <w:szCs w:val="13"/>
          <w:color w:val="008000"/>
        </w:rPr>
      </w:pPr>
    </w:p>
    <w:p>
      <w:pPr>
        <w:ind w:left="40" w:right="520" w:firstLine="8"/>
        <w:spacing w:after="0" w:line="28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RSUs were awarded on March 1, 2013, pursuant to the GMLTIP. Two-thirds of the RSUs will vest on March 1, 2015, and the remaining one-third will vest on March 1, 2016, provided that the reporting person remains continuously employed through the vesting date. Each RSU represents a right to receive one share of the Company's common stock upon settlement. RSUs will be settled when they vest, provided that all other conditions under the GMLTP has been satisified. The employee is required to have these settlements made by delivery of cash, less a portion withheld for taxes.</w:t>
      </w:r>
    </w:p>
    <w:p>
      <w:pPr>
        <w:spacing w:after="0" w:line="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a right to receive one share of the Company's common stock upon settlement. The RSUs do not have a conversion or exercise price, or a date on which they are exercisable or expire.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03/03/2015</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rPr>
                <w:sz w:val="20"/>
                <w:szCs w:val="20"/>
                <w:color w:val="auto"/>
              </w:rPr>
            </w:pPr>
            <w:r>
              <w:rPr>
                <w:rFonts w:ascii="Arial" w:cs="Arial" w:eastAsia="Arial" w:hAnsi="Arial"/>
                <w:sz w:val="17"/>
                <w:szCs w:val="17"/>
                <w:color w:val="0000FF"/>
                <w:w w:val="95"/>
              </w:rPr>
              <w:t>attorney-in-fact for Mr. Tsien</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2019-12-08T21:19:42Z</dcterms:created>
  <dcterms:modified xsi:type="dcterms:W3CDTF">2019-12-08T21:19:42Z</dcterms:modified>
</cp:coreProperties>
</file>