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5495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49529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60" w:space="500"/>
            <w:col w:w="8760"/>
          </w:cols>
          <w:pgMar w:left="240" w:top="222"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spacing w:after="0" w:line="239" w:lineRule="exact"/>
              <w:rPr>
                <w:rFonts w:ascii="Arial" w:cs="Arial" w:eastAsia="Arial" w:hAnsi="Arial"/>
                <w:sz w:val="21"/>
                <w:szCs w:val="21"/>
                <w:color w:val="0000EE"/>
                <w:w w:val="89"/>
              </w:rPr>
            </w:pPr>
            <w:hyperlink r:id="rId12">
              <w:r>
                <w:rPr>
                  <w:rFonts w:ascii="Arial" w:cs="Arial" w:eastAsia="Arial" w:hAnsi="Arial"/>
                  <w:sz w:val="21"/>
                  <w:szCs w:val="21"/>
                  <w:color w:val="0000EE"/>
                  <w:w w:val="89"/>
                </w:rPr>
                <w:t>Reuss Mark L</w:t>
              </w:r>
            </w:hyperlink>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gridSpan w:val="6"/>
          </w:tcPr>
          <w:p>
            <w:pPr>
              <w:ind w:left="60"/>
              <w:spacing w:after="0" w:line="104"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General Motors Co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tcBorders>
              <w:bottom w:val="single" w:sz="8" w:color="0000EE"/>
            </w:tcBorders>
            <w:gridSpan w:val="2"/>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vMerge w:val="restart"/>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1"/>
                <w:szCs w:val="11"/>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20"/>
              <w:spacing w:after="0" w:line="97" w:lineRule="exact"/>
              <w:rPr>
                <w:sz w:val="20"/>
                <w:szCs w:val="20"/>
                <w:color w:val="auto"/>
              </w:rPr>
            </w:pPr>
            <w:r>
              <w:rPr>
                <w:rFonts w:ascii="Arial" w:cs="Arial" w:eastAsia="Arial" w:hAnsi="Arial"/>
                <w:sz w:val="11"/>
                <w:szCs w:val="11"/>
                <w:color w:val="auto"/>
              </w:rPr>
              <w:t>below)</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ind w:left="220"/>
              <w:spacing w:after="0" w:line="97"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ind w:left="20"/>
              <w:spacing w:after="0" w:line="109" w:lineRule="exact"/>
              <w:rPr>
                <w:sz w:val="20"/>
                <w:szCs w:val="20"/>
                <w:color w:val="auto"/>
              </w:rPr>
            </w:pPr>
            <w:r>
              <w:rPr>
                <w:rFonts w:ascii="Arial" w:cs="Arial" w:eastAsia="Arial" w:hAnsi="Arial"/>
                <w:sz w:val="12"/>
                <w:szCs w:val="12"/>
                <w:color w:val="auto"/>
              </w:rPr>
              <w:t>(Last)</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2"/>
          </w:tcPr>
          <w:p>
            <w:pPr>
              <w:ind w:left="20"/>
              <w:spacing w:after="0" w:line="109" w:lineRule="exact"/>
              <w:rPr>
                <w:sz w:val="20"/>
                <w:szCs w:val="20"/>
                <w:color w:val="auto"/>
              </w:rPr>
            </w:pPr>
            <w:r>
              <w:rPr>
                <w:rFonts w:ascii="Arial" w:cs="Arial" w:eastAsia="Arial" w:hAnsi="Arial"/>
                <w:sz w:val="12"/>
                <w:szCs w:val="12"/>
                <w:color w:val="auto"/>
              </w:rPr>
              <w:t>(First)</w:t>
            </w:r>
          </w:p>
        </w:tc>
        <w:tc>
          <w:tcPr>
            <w:tcW w:w="1100" w:type="dxa"/>
            <w:vAlign w:val="bottom"/>
            <w:gridSpan w:val="2"/>
          </w:tcPr>
          <w:p>
            <w:pPr>
              <w:ind w:left="60"/>
              <w:spacing w:after="0" w:line="109" w:lineRule="exact"/>
              <w:rPr>
                <w:sz w:val="20"/>
                <w:szCs w:val="20"/>
                <w:color w:val="auto"/>
              </w:rPr>
            </w:pPr>
            <w:r>
              <w:rPr>
                <w:rFonts w:ascii="Arial" w:cs="Arial" w:eastAsia="Arial" w:hAnsi="Arial"/>
                <w:sz w:val="12"/>
                <w:szCs w:val="12"/>
                <w:color w:val="auto"/>
              </w:rPr>
              <w:t>(Middle)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Borders>
              <w:top w:val="single" w:sz="8" w:color="2C2C2C"/>
            </w:tcBorders>
          </w:tcPr>
          <w:p>
            <w:pPr>
              <w:spacing w:after="0"/>
              <w:rPr>
                <w:sz w:val="9"/>
                <w:szCs w:val="9"/>
                <w:color w:val="auto"/>
              </w:rPr>
            </w:pPr>
          </w:p>
        </w:tc>
        <w:tc>
          <w:tcPr>
            <w:tcW w:w="200" w:type="dxa"/>
            <w:vAlign w:val="bottom"/>
            <w:tcBorders>
              <w:top w:val="single" w:sz="8" w:color="2C2C2C"/>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0" w:type="dxa"/>
            <w:vAlign w:val="bottom"/>
            <w:gridSpan w:val="4"/>
            <w:vMerge w:val="restart"/>
          </w:tcPr>
          <w:p>
            <w:pPr>
              <w:ind w:left="380"/>
              <w:spacing w:after="0"/>
              <w:rPr>
                <w:sz w:val="20"/>
                <w:szCs w:val="20"/>
                <w:color w:val="auto"/>
              </w:rPr>
            </w:pPr>
            <w:r>
              <w:rPr>
                <w:rFonts w:ascii="Arial" w:cs="Arial" w:eastAsia="Arial" w:hAnsi="Arial"/>
                <w:sz w:val="17"/>
                <w:szCs w:val="17"/>
                <w:color w:val="0000FF"/>
                <w:w w:val="95"/>
              </w:rPr>
              <w:t>Executive Vice President</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7"/>
                <w:szCs w:val="17"/>
                <w:color w:val="0000FF"/>
              </w:rPr>
              <w:t>300 RENAISSANCE CENTER</w:t>
            </w: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40" w:type="dxa"/>
            <w:vAlign w:val="bottom"/>
            <w:gridSpan w:val="7"/>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vMerge w:val="continue"/>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5"/>
          </w:tcPr>
          <w:p>
            <w:pPr>
              <w:ind w:left="360"/>
              <w:spacing w:after="0"/>
              <w:rPr>
                <w:sz w:val="20"/>
                <w:szCs w:val="20"/>
                <w:color w:val="auto"/>
              </w:rPr>
            </w:pPr>
            <w:r>
              <w:rPr>
                <w:rFonts w:ascii="Arial" w:cs="Arial" w:eastAsia="Arial" w:hAnsi="Arial"/>
                <w:sz w:val="17"/>
                <w:szCs w:val="17"/>
                <w:color w:val="0000FF"/>
              </w:rPr>
              <w:t>02/15/2018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5"/>
          </w:tcPr>
          <w:p>
            <w:pPr>
              <w:ind w:left="20"/>
              <w:spacing w:after="0"/>
              <w:rPr>
                <w:sz w:val="20"/>
                <w:szCs w:val="20"/>
                <w:color w:val="auto"/>
              </w:rPr>
            </w:pPr>
            <w:r>
              <w:rPr>
                <w:rFonts w:ascii="Arial" w:cs="Arial" w:eastAsia="Arial" w:hAnsi="Arial"/>
                <w:sz w:val="17"/>
                <w:szCs w:val="17"/>
                <w:color w:val="0000FF"/>
                <w:w w:val="95"/>
              </w:rPr>
              <w:t>M/C: 482-C23-D24</w:t>
            </w: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0" w:type="dxa"/>
            <w:vAlign w:val="bottom"/>
            <w:tcBorders>
              <w:bottom w:val="single" w:sz="8" w:color="808080"/>
            </w:tcBorders>
            <w:gridSpan w:val="4"/>
          </w:tcPr>
          <w:p>
            <w:pPr>
              <w:spacing w:after="0"/>
              <w:rPr>
                <w:sz w:val="17"/>
                <w:szCs w:val="17"/>
                <w:color w:val="auto"/>
              </w:rPr>
            </w:pPr>
          </w:p>
        </w:tc>
        <w:tc>
          <w:tcPr>
            <w:tcW w:w="2120" w:type="dxa"/>
            <w:vAlign w:val="bottom"/>
            <w:tcBorders>
              <w:bottom w:val="single" w:sz="8" w:color="808080"/>
            </w:tcBorders>
            <w:gridSpan w:val="3"/>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gridSpan w:val="2"/>
          </w:tcPr>
          <w:p>
            <w:pPr>
              <w:spacing w:after="0"/>
              <w:rPr>
                <w:sz w:val="17"/>
                <w:szCs w:val="17"/>
                <w:color w:val="auto"/>
              </w:rPr>
            </w:pPr>
          </w:p>
        </w:tc>
        <w:tc>
          <w:tcPr>
            <w:tcW w:w="2940" w:type="dxa"/>
            <w:vAlign w:val="bottom"/>
            <w:tcBorders>
              <w:bottom w:val="single" w:sz="8" w:color="808080"/>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top w:val="single" w:sz="8" w:color="2C2C2C"/>
            </w:tcBorders>
            <w:gridSpan w:val="8"/>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17"/>
                <w:szCs w:val="17"/>
                <w:color w:val="auto"/>
              </w:rPr>
            </w:pPr>
          </w:p>
        </w:tc>
        <w:tc>
          <w:tcPr>
            <w:tcW w:w="34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4"/>
          </w:tcPr>
          <w:p>
            <w:pPr>
              <w:ind w:left="20"/>
              <w:spacing w:after="0"/>
              <w:rPr>
                <w:sz w:val="20"/>
                <w:szCs w:val="20"/>
                <w:color w:val="auto"/>
              </w:rPr>
            </w:pPr>
            <w:r>
              <w:rPr>
                <w:rFonts w:ascii="Arial" w:cs="Arial" w:eastAsia="Arial" w:hAnsi="Arial"/>
                <w:sz w:val="17"/>
                <w:szCs w:val="17"/>
                <w:color w:val="0000FF"/>
              </w:rPr>
              <w:t>DETROIT</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MI</w:t>
            </w:r>
          </w:p>
        </w:tc>
        <w:tc>
          <w:tcPr>
            <w:tcW w:w="1060" w:type="dxa"/>
            <w:vAlign w:val="bottom"/>
          </w:tcPr>
          <w:p>
            <w:pPr>
              <w:ind w:left="60"/>
              <w:spacing w:after="0"/>
              <w:rPr>
                <w:sz w:val="20"/>
                <w:szCs w:val="20"/>
                <w:color w:val="auto"/>
              </w:rPr>
            </w:pPr>
            <w:r>
              <w:rPr>
                <w:rFonts w:ascii="Arial" w:cs="Arial" w:eastAsia="Arial" w:hAnsi="Arial"/>
                <w:sz w:val="17"/>
                <w:szCs w:val="17"/>
                <w:color w:val="0000FF"/>
              </w:rPr>
              <w:t>48265-3000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0"/>
                <w:szCs w:val="20"/>
                <w:color w:val="auto"/>
              </w:rPr>
            </w:pPr>
          </w:p>
        </w:tc>
        <w:tc>
          <w:tcPr>
            <w:tcW w:w="2200" w:type="dxa"/>
            <w:vAlign w:val="bottom"/>
            <w:gridSpan w:val="4"/>
          </w:tcPr>
          <w:p>
            <w:pPr>
              <w:ind w:left="12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7"/>
          </w:tcPr>
          <w:p>
            <w:pPr>
              <w:ind w:left="120"/>
              <w:spacing w:after="0" w:line="124"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320" w:type="dxa"/>
            <w:vAlign w:val="bottom"/>
            <w:tcBorders>
              <w:bottom w:val="single" w:sz="8" w:color="2C2C2C"/>
            </w:tcBorders>
            <w:gridSpan w:val="4"/>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7"/>
          </w:tcPr>
          <w:p>
            <w:pPr>
              <w:ind w:left="10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gridSpan w:val="2"/>
          </w:tcPr>
          <w:p>
            <w:pPr>
              <w:ind w:left="840"/>
              <w:spacing w:after="0" w:line="126"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gridSpan w:val="6"/>
          </w:tcPr>
          <w:p>
            <w:pPr>
              <w:ind w:left="8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920"/>
              <w:spacing w:after="0"/>
              <w:rPr>
                <w:sz w:val="20"/>
                <w:szCs w:val="20"/>
                <w:color w:val="auto"/>
              </w:rPr>
            </w:pPr>
            <w:r>
              <w:rPr>
                <w:rFonts w:ascii="Arial" w:cs="Arial" w:eastAsia="Arial" w:hAnsi="Arial"/>
                <w:sz w:val="17"/>
                <w:szCs w:val="17"/>
                <w:color w:val="0000FF"/>
              </w:rPr>
              <w:t>02/15/2018</w:t>
            </w:r>
          </w:p>
        </w:tc>
        <w:tc>
          <w:tcPr>
            <w:tcW w:w="6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15"/>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0000FF"/>
              </w:rPr>
              <w:t>165,944</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jc w:val="right"/>
              <w:ind w:right="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31.32</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369,878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920"/>
              <w:spacing w:after="0"/>
              <w:rPr>
                <w:sz w:val="20"/>
                <w:szCs w:val="20"/>
                <w:color w:val="auto"/>
              </w:rPr>
            </w:pPr>
            <w:r>
              <w:rPr>
                <w:rFonts w:ascii="Arial" w:cs="Arial" w:eastAsia="Arial" w:hAnsi="Arial"/>
                <w:sz w:val="17"/>
                <w:szCs w:val="17"/>
                <w:color w:val="0000FF"/>
              </w:rPr>
              <w:t>02/15/2018</w:t>
            </w:r>
          </w:p>
        </w:tc>
        <w:tc>
          <w:tcPr>
            <w:tcW w:w="6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15"/>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6"/>
              </w:rPr>
              <w:t>165,944</w:t>
            </w:r>
            <w:r>
              <w:rPr>
                <w:rFonts w:ascii="Arial" w:cs="Arial" w:eastAsia="Arial" w:hAnsi="Arial"/>
                <w:sz w:val="21"/>
                <w:szCs w:val="21"/>
                <w:color w:val="008000"/>
                <w:w w:val="96"/>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41.85</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203,934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6"/>
          </w:tcPr>
          <w:p>
            <w:pPr>
              <w:jc w:val="center"/>
              <w:ind w:right="13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4"/>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4"/>
              </w:rPr>
              <w:t>Derivative</w:t>
            </w:r>
          </w:p>
        </w:tc>
        <w:tc>
          <w:tcPr>
            <w:tcW w:w="440" w:type="dxa"/>
            <w:vAlign w:val="bottom"/>
          </w:tcPr>
          <w:p>
            <w:pPr>
              <w:spacing w:after="0"/>
              <w:rPr>
                <w:sz w:val="11"/>
                <w:szCs w:val="11"/>
                <w:color w:val="auto"/>
              </w:rPr>
            </w:pPr>
          </w:p>
        </w:tc>
        <w:tc>
          <w:tcPr>
            <w:tcW w:w="16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4"/>
              </w:rPr>
              <w:t>Securities</w:t>
            </w:r>
          </w:p>
        </w:tc>
        <w:tc>
          <w:tcPr>
            <w:tcW w:w="440" w:type="dxa"/>
            <w:vAlign w:val="bottom"/>
          </w:tcPr>
          <w:p>
            <w:pPr>
              <w:spacing w:after="0"/>
              <w:rPr>
                <w:sz w:val="11"/>
                <w:szCs w:val="11"/>
                <w:color w:val="auto"/>
              </w:rPr>
            </w:pPr>
          </w:p>
        </w:tc>
        <w:tc>
          <w:tcPr>
            <w:tcW w:w="16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Disposed of (D)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(Instr. 3, 4 and 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jc w:val="right"/>
              <w:ind w:right="8"/>
              <w:spacing w:after="0"/>
              <w:rPr>
                <w:sz w:val="20"/>
                <w:szCs w:val="20"/>
                <w:color w:val="auto"/>
              </w:rPr>
            </w:pPr>
            <w:r>
              <w:rPr>
                <w:rFonts w:ascii="Arial" w:cs="Arial" w:eastAsia="Arial" w:hAnsi="Arial"/>
                <w:sz w:val="17"/>
                <w:szCs w:val="17"/>
                <w:color w:val="0000FF"/>
                <w:w w:val="87"/>
              </w:rPr>
              <w:t>165,944</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vMerge w:val="restart"/>
          </w:tcPr>
          <w:p>
            <w:pPr>
              <w:jc w:val="center"/>
              <w:ind w:right="102"/>
              <w:spacing w:after="0"/>
              <w:rPr>
                <w:sz w:val="20"/>
                <w:szCs w:val="20"/>
                <w:color w:val="auto"/>
              </w:rPr>
            </w:pPr>
            <w:r>
              <w:rPr>
                <w:rFonts w:ascii="Arial" w:cs="Arial" w:eastAsia="Arial" w:hAnsi="Arial"/>
                <w:sz w:val="13"/>
                <w:szCs w:val="13"/>
                <w:color w:val="0000FF"/>
              </w:rPr>
              <w:t>165,944</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tcPr>
          <w:p>
            <w:pPr>
              <w:ind w:left="220"/>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31.32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15"/>
              <w:spacing w:after="0"/>
              <w:rPr>
                <w:sz w:val="20"/>
                <w:szCs w:val="20"/>
                <w:color w:val="auto"/>
              </w:rPr>
            </w:pPr>
            <w:r>
              <w:rPr>
                <w:rFonts w:ascii="Arial" w:cs="Arial" w:eastAsia="Arial" w:hAnsi="Arial"/>
                <w:sz w:val="13"/>
                <w:szCs w:val="13"/>
                <w:color w:val="0000FF"/>
              </w:rPr>
              <w:t>02/15/2018</w:t>
            </w: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ind w:left="14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165,944</w:t>
            </w:r>
          </w:p>
        </w:tc>
        <w:tc>
          <w:tcPr>
            <w:tcW w:w="44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color w:val="0000FF"/>
                <w:w w:val="95"/>
              </w:rPr>
              <w:t>02/15/2018</w:t>
            </w:r>
          </w:p>
        </w:tc>
        <w:tc>
          <w:tcPr>
            <w:tcW w:w="800" w:type="dxa"/>
            <w:vAlign w:val="bottom"/>
          </w:tcPr>
          <w:p>
            <w:pPr>
              <w:ind w:left="100"/>
              <w:spacing w:after="0"/>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3"/>
                <w:szCs w:val="13"/>
                <w:color w:val="0000FF"/>
              </w:rPr>
              <w:t>(Right to</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120"/>
              <w:spacing w:after="0" w:line="116"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3"/>
          </w:tcPr>
          <w:p>
            <w:pPr>
              <w:ind w:left="60"/>
              <w:spacing w:after="0" w:line="233"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w:t>
            </w:r>
          </w:p>
        </w:tc>
        <w:tc>
          <w:tcPr>
            <w:tcW w:w="6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jc w:val="right"/>
              <w:ind w:right="8"/>
              <w:spacing w:after="0"/>
              <w:rPr>
                <w:sz w:val="20"/>
                <w:szCs w:val="20"/>
                <w:color w:val="auto"/>
              </w:rPr>
            </w:pPr>
            <w:r>
              <w:rPr>
                <w:rFonts w:ascii="Arial" w:cs="Arial" w:eastAsia="Arial" w:hAnsi="Arial"/>
                <w:sz w:val="17"/>
                <w:szCs w:val="17"/>
                <w:color w:val="0000FF"/>
                <w:w w:val="87"/>
              </w:rPr>
              <w:t>165,944</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vMerge w:val="restart"/>
          </w:tcPr>
          <w:p>
            <w:pPr>
              <w:jc w:val="center"/>
              <w:spacing w:after="0" w:line="268" w:lineRule="exact"/>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(4)</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Option</w:t>
            </w:r>
          </w:p>
        </w:tc>
        <w:tc>
          <w:tcPr>
            <w:tcW w:w="600" w:type="dxa"/>
            <w:vAlign w:val="bottom"/>
          </w:tcPr>
          <w:p>
            <w:pPr>
              <w:ind w:left="220"/>
              <w:spacing w:after="0" w:line="125" w:lineRule="exact"/>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31.32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right"/>
              <w:ind w:right="215"/>
              <w:spacing w:after="0" w:line="126" w:lineRule="exact"/>
              <w:rPr>
                <w:sz w:val="20"/>
                <w:szCs w:val="20"/>
                <w:color w:val="auto"/>
              </w:rPr>
            </w:pPr>
            <w:r>
              <w:rPr>
                <w:rFonts w:ascii="Arial" w:cs="Arial" w:eastAsia="Arial" w:hAnsi="Arial"/>
                <w:sz w:val="13"/>
                <w:szCs w:val="13"/>
                <w:color w:val="0000FF"/>
              </w:rPr>
              <w:t>02/15/2018</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ind w:left="120"/>
              <w:spacing w:after="0" w:line="126" w:lineRule="exact"/>
              <w:rPr>
                <w:sz w:val="20"/>
                <w:szCs w:val="20"/>
                <w:color w:val="auto"/>
              </w:rPr>
            </w:pPr>
            <w:r>
              <w:rPr>
                <w:rFonts w:ascii="Arial" w:cs="Arial" w:eastAsia="Arial" w:hAnsi="Arial"/>
                <w:sz w:val="13"/>
                <w:szCs w:val="13"/>
                <w:color w:val="0000FF"/>
              </w:rPr>
              <w:t>M</w:t>
            </w:r>
          </w:p>
        </w:tc>
        <w:tc>
          <w:tcPr>
            <w:tcW w:w="660" w:type="dxa"/>
            <w:vAlign w:val="bottom"/>
          </w:tcPr>
          <w:p>
            <w:pPr>
              <w:spacing w:after="0"/>
              <w:rPr>
                <w:sz w:val="10"/>
                <w:szCs w:val="10"/>
                <w:color w:val="auto"/>
              </w:rPr>
            </w:pPr>
          </w:p>
        </w:tc>
        <w:tc>
          <w:tcPr>
            <w:tcW w:w="440" w:type="dxa"/>
            <w:vAlign w:val="bottom"/>
          </w:tcPr>
          <w:p>
            <w:pPr>
              <w:spacing w:after="0" w:line="126" w:lineRule="exact"/>
              <w:rPr>
                <w:sz w:val="20"/>
                <w:szCs w:val="20"/>
                <w:color w:val="auto"/>
              </w:rPr>
            </w:pPr>
            <w:r>
              <w:rPr>
                <w:rFonts w:ascii="Arial" w:cs="Arial" w:eastAsia="Arial" w:hAnsi="Arial"/>
                <w:sz w:val="13"/>
                <w:szCs w:val="13"/>
                <w:color w:val="0000FF"/>
                <w:w w:val="89"/>
              </w:rPr>
              <w:t>165,944</w:t>
            </w:r>
          </w:p>
        </w:tc>
        <w:tc>
          <w:tcPr>
            <w:tcW w:w="800" w:type="dxa"/>
            <w:vAlign w:val="bottom"/>
            <w:gridSpan w:val="2"/>
          </w:tcPr>
          <w:p>
            <w:pPr>
              <w:ind w:left="160"/>
              <w:spacing w:after="0" w:line="126" w:lineRule="exact"/>
              <w:rPr>
                <w:sz w:val="20"/>
                <w:szCs w:val="20"/>
                <w:color w:val="auto"/>
              </w:rPr>
            </w:pPr>
            <w:r>
              <w:rPr>
                <w:rFonts w:ascii="Arial" w:cs="Arial" w:eastAsia="Arial" w:hAnsi="Arial"/>
                <w:sz w:val="13"/>
                <w:szCs w:val="13"/>
                <w:color w:val="0000FF"/>
                <w:w w:val="95"/>
              </w:rPr>
              <w:t>02/15/2018</w:t>
            </w:r>
          </w:p>
        </w:tc>
        <w:tc>
          <w:tcPr>
            <w:tcW w:w="800" w:type="dxa"/>
            <w:vAlign w:val="bottom"/>
          </w:tcPr>
          <w:p>
            <w:pPr>
              <w:ind w:left="100"/>
              <w:spacing w:after="0" w:line="126"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8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15, 2018, 20% of the July 28, 2015 Driving Stockholder Value Stock Option Grant vested upon meeting or exceeding the median Total Shareholder Return ("TSR") of the peer group for the period July 28, 2015 through December 31, 2017.</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4" w:lineRule="exact"/>
        <w:rPr>
          <w:rFonts w:ascii="Arial" w:cs="Arial" w:eastAsia="Arial" w:hAnsi="Arial"/>
          <w:sz w:val="13"/>
          <w:szCs w:val="13"/>
          <w:color w:val="008000"/>
        </w:rPr>
      </w:pPr>
    </w:p>
    <w:p>
      <w:pPr>
        <w:ind w:left="40" w:right="30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$41.60 to $42.12, inclusive. The Reporting Person undertakes to provide to the SEC, GM and any security holder, upon request, full information regarding the number of shares sold at each price point within the ranges set forth in this footnote.</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the vested and unexercised portion of the 2015 Driving Shareholder Value Stock Option Grant, 40% of which vested on February 15, 2017 and 20% of which vested on February 15, 2018.</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5" w:lineRule="auto"/>
        <w:rPr>
          <w:sz w:val="20"/>
          <w:szCs w:val="20"/>
          <w:color w:val="auto"/>
        </w:rPr>
      </w:pPr>
      <w:r>
        <w:rPr>
          <w:rFonts w:ascii="Arial" w:cs="Arial" w:eastAsia="Arial" w:hAnsi="Arial"/>
          <w:sz w:val="17"/>
          <w:szCs w:val="17"/>
          <w:color w:val="0000FF"/>
        </w:rPr>
        <w:t xml:space="preserve">/s/ Tia Y. Turk, Attorney-In-Fact </w:t>
      </w:r>
      <w:r>
        <w:rPr>
          <w:rFonts w:ascii="Arial" w:cs="Arial" w:eastAsia="Arial" w:hAnsi="Arial"/>
          <w:sz w:val="33"/>
          <w:szCs w:val="33"/>
          <w:color w:val="0000FF"/>
          <w:vertAlign w:val="subscript"/>
        </w:rPr>
        <w:t>02/20/2018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-26670</wp:posOffset>
            </wp:positionV>
            <wp:extent cx="1390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for Mr. Reuss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-20320</wp:posOffset>
            </wp:positionV>
            <wp:extent cx="584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84200" cy="825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-85725</wp:posOffset>
            </wp:positionV>
            <wp:extent cx="486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4020" w:firstLine="2"/>
        <w:spacing w:after="0" w:line="335"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2019-12-07T16:30:45Z</dcterms:created>
  <dcterms:modified xsi:type="dcterms:W3CDTF">2019-12-07T16:30:45Z</dcterms:modified>
</cp:coreProperties>
</file>