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405765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20549-1004</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5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5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May 6, 2020</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875" w:right="559" w:bottom="1440" w:gutter="0" w:footer="0" w:header="0"/>
        </w:sectPr>
      </w:pPr>
    </w:p>
    <w:p>
      <w:pPr>
        <w:spacing w:after="0" w:line="119"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18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27-0756180</w:t>
      </w:r>
    </w:p>
    <w:p>
      <w:pPr>
        <w:spacing w:after="0" w:line="78" w:lineRule="exact"/>
        <w:rPr>
          <w:sz w:val="24"/>
          <w:szCs w:val="24"/>
          <w:color w:val="auto"/>
        </w:rPr>
      </w:pPr>
    </w:p>
    <w:p>
      <w:pPr>
        <w:sectPr>
          <w:pgSz w:w="11900" w:h="16838" w:orient="portrait"/>
          <w:cols w:equalWidth="0" w:num="3">
            <w:col w:w="4860" w:space="720"/>
            <w:col w:w="2780" w:space="720"/>
            <w:col w:w="1960"/>
          </w:cols>
          <w:pgMar w:left="300" w:top="875" w:right="5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65" w:lineRule="exact"/>
        <w:rPr>
          <w:sz w:val="24"/>
          <w:szCs w:val="24"/>
          <w:color w:val="auto"/>
        </w:rPr>
      </w:pPr>
    </w:p>
    <w:p>
      <w:pPr>
        <w:sectPr>
          <w:pgSz w:w="11900" w:h="16838" w:orient="portrait"/>
          <w:cols w:equalWidth="0" w:num="3">
            <w:col w:w="4380" w:space="720"/>
            <w:col w:w="2580" w:space="720"/>
            <w:col w:w="2640"/>
          </w:cols>
          <w:pgMar w:left="300" w:top="875" w:right="55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48265 -3000</w:t>
      </w:r>
    </w:p>
    <w:p>
      <w:pPr>
        <w:spacing w:after="0" w:line="67" w:lineRule="exact"/>
        <w:rPr>
          <w:sz w:val="24"/>
          <w:szCs w:val="24"/>
          <w:color w:val="auto"/>
        </w:rPr>
      </w:pPr>
    </w:p>
    <w:p>
      <w:pPr>
        <w:sectPr>
          <w:pgSz w:w="11900" w:h="16838" w:orient="portrait"/>
          <w:cols w:equalWidth="0" w:num="4">
            <w:col w:w="3060" w:space="220"/>
            <w:col w:w="480" w:space="220"/>
            <w:col w:w="3820" w:space="720"/>
            <w:col w:w="2520"/>
          </w:cols>
          <w:pgMar w:left="300" w:top="875" w:right="55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860" w:space="720"/>
            <w:col w:w="2460"/>
          </w:cols>
          <w:pgMar w:left="300" w:top="875" w:right="559" w:bottom="1440" w:gutter="0" w:footer="0" w:header="0"/>
          <w:type w:val="continuous"/>
        </w:sectPr>
      </w:pP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64"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70"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37"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74" w:lineRule="exact"/>
        <w:rPr>
          <w:rFonts w:ascii="MS PGothic" w:cs="MS PGothic" w:eastAsia="MS PGothic" w:hAnsi="MS PGothic"/>
          <w:sz w:val="14"/>
          <w:szCs w:val="14"/>
          <w:color w:val="auto"/>
        </w:rPr>
      </w:pPr>
    </w:p>
    <w:p>
      <w:pPr>
        <w:ind w:left="600" w:hanging="574"/>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74" w:lineRule="exact"/>
        <w:rPr>
          <w:rFonts w:ascii="MS PGothic" w:cs="MS PGothic" w:eastAsia="MS PGothic" w:hAnsi="MS PGothic"/>
          <w:sz w:val="14"/>
          <w:szCs w:val="14"/>
          <w:color w:val="auto"/>
        </w:rPr>
      </w:pPr>
    </w:p>
    <w:p>
      <w:pPr>
        <w:ind w:left="600" w:hanging="574"/>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600" w:hanging="574"/>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73"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00" w:type="dxa"/>
            <w:vAlign w:val="bottom"/>
            <w:gridSpan w:val="3"/>
          </w:tcPr>
          <w:p>
            <w:pPr>
              <w:jc w:val="center"/>
              <w:ind w:right="160"/>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2260" w:type="dxa"/>
            <w:vAlign w:val="bottom"/>
          </w:tcPr>
          <w:p>
            <w:pPr>
              <w:spacing w:after="0"/>
              <w:rPr>
                <w:sz w:val="14"/>
                <w:szCs w:val="14"/>
                <w:color w:val="auto"/>
              </w:rPr>
            </w:pPr>
          </w:p>
        </w:tc>
      </w:tr>
      <w:tr>
        <w:trPr>
          <w:trHeight w:val="248"/>
        </w:trPr>
        <w:tc>
          <w:tcPr>
            <w:tcW w:w="3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20" w:type="dxa"/>
            <w:vAlign w:val="bottom"/>
            <w:gridSpan w:val="2"/>
          </w:tcPr>
          <w:p>
            <w:pPr>
              <w:jc w:val="center"/>
              <w:ind w:right="1660"/>
              <w:spacing w:after="0"/>
              <w:rPr>
                <w:sz w:val="20"/>
                <w:szCs w:val="20"/>
                <w:color w:val="auto"/>
              </w:rPr>
            </w:pPr>
            <w:r>
              <w:rPr>
                <w:rFonts w:ascii="Arial" w:cs="Arial" w:eastAsia="Arial" w:hAnsi="Arial"/>
                <w:sz w:val="13"/>
                <w:szCs w:val="13"/>
                <w:color w:val="auto"/>
                <w:w w:val="90"/>
              </w:rPr>
              <w:t>Trading Symbol(s)</w:t>
            </w:r>
          </w:p>
        </w:tc>
        <w:tc>
          <w:tcPr>
            <w:tcW w:w="226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209"/>
        </w:trPr>
        <w:tc>
          <w:tcPr>
            <w:tcW w:w="2120" w:type="dxa"/>
            <w:vAlign w:val="bottom"/>
            <w:gridSpan w:val="3"/>
          </w:tcPr>
          <w:p>
            <w:pPr>
              <w:jc w:val="center"/>
              <w:ind w:right="480"/>
              <w:spacing w:after="0"/>
              <w:rPr>
                <w:sz w:val="20"/>
                <w:szCs w:val="20"/>
                <w:color w:val="auto"/>
              </w:rPr>
            </w:pPr>
            <w:r>
              <w:rPr>
                <w:rFonts w:ascii="Arial" w:cs="Arial" w:eastAsia="Arial" w:hAnsi="Arial"/>
                <w:sz w:val="13"/>
                <w:szCs w:val="13"/>
                <w:color w:val="auto"/>
                <w:w w:val="88"/>
              </w:rPr>
              <w:t>Common Stock, $0.01 par value</w:t>
            </w:r>
          </w:p>
        </w:tc>
        <w:tc>
          <w:tcPr>
            <w:tcW w:w="1480" w:type="dxa"/>
            <w:vAlign w:val="bottom"/>
          </w:tcPr>
          <w:p>
            <w:pPr>
              <w:spacing w:after="0"/>
              <w:rPr>
                <w:sz w:val="18"/>
                <w:szCs w:val="18"/>
                <w:color w:val="auto"/>
              </w:rPr>
            </w:pPr>
          </w:p>
        </w:tc>
        <w:tc>
          <w:tcPr>
            <w:tcW w:w="2620" w:type="dxa"/>
            <w:vAlign w:val="bottom"/>
            <w:gridSpan w:val="2"/>
          </w:tcPr>
          <w:p>
            <w:pPr>
              <w:jc w:val="center"/>
              <w:ind w:right="1640"/>
              <w:spacing w:after="0"/>
              <w:rPr>
                <w:sz w:val="20"/>
                <w:szCs w:val="20"/>
                <w:color w:val="auto"/>
              </w:rPr>
            </w:pPr>
            <w:r>
              <w:rPr>
                <w:rFonts w:ascii="Arial" w:cs="Arial" w:eastAsia="Arial" w:hAnsi="Arial"/>
                <w:sz w:val="13"/>
                <w:szCs w:val="13"/>
                <w:color w:val="auto"/>
              </w:rPr>
              <w:t>GM</w:t>
            </w: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231"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875"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83"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May 6, 2020 General Motors Company (GM) issued a news release and supplemental materials on the subject of its 2020 first quarter earnings. The news release and supplemental materials are attached as Exhibit 99.1 and Exhibit 99.2.</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Charts furnished to securities analysts in connection with GM's 2020 first quarter earnings release are available on GM's website at www.gm.com/investors/earnings-releases.html.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447"/>
        </w:trPr>
        <w:tc>
          <w:tcPr>
            <w:tcW w:w="282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50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478"/>
        </w:trPr>
        <w:tc>
          <w:tcPr>
            <w:tcW w:w="282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4540" w:type="dxa"/>
            <w:vAlign w:val="bottom"/>
            <w:gridSpan w:val="4"/>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News Release Dated May 6, 2020</w:t>
              </w:r>
            </w:hyperlink>
          </w:p>
        </w:tc>
      </w:tr>
      <w:tr>
        <w:trPr>
          <w:trHeight w:val="212"/>
        </w:trPr>
        <w:tc>
          <w:tcPr>
            <w:tcW w:w="282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4540" w:type="dxa"/>
            <w:vAlign w:val="bottom"/>
            <w:gridSpan w:val="4"/>
          </w:tcPr>
          <w:p>
            <w:pPr>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Financial Highlights Dated May 6, 2020</w:t>
              </w:r>
            </w:hyperlink>
          </w:p>
        </w:tc>
      </w:tr>
      <w:tr>
        <w:trPr>
          <w:trHeight w:val="212"/>
        </w:trPr>
        <w:tc>
          <w:tcPr>
            <w:tcW w:w="282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4540" w:type="dxa"/>
            <w:vAlign w:val="bottom"/>
            <w:gridSpan w:val="4"/>
          </w:tcPr>
          <w:p>
            <w:pPr>
              <w:spacing w:after="0"/>
              <w:rPr>
                <w:sz w:val="20"/>
                <w:szCs w:val="20"/>
                <w:color w:val="auto"/>
              </w:rPr>
            </w:pPr>
            <w:r>
              <w:rPr>
                <w:rFonts w:ascii="Arial" w:cs="Arial" w:eastAsia="Arial" w:hAnsi="Arial"/>
                <w:sz w:val="14"/>
                <w:szCs w:val="14"/>
                <w:color w:val="auto"/>
                <w:w w:val="92"/>
              </w:rPr>
              <w:t>Cover Page Interactive Data File (embedded within the Inline XBRL document)</w:t>
            </w:r>
          </w:p>
        </w:tc>
      </w:tr>
    </w:tbl>
    <w:p>
      <w:pPr>
        <w:sectPr>
          <w:pgSz w:w="11900" w:h="16838" w:orient="portrait"/>
          <w:cols w:equalWidth="0" w:num="1">
            <w:col w:w="11280"/>
          </w:cols>
          <w:pgMar w:left="300" w:top="464"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c>
          <w:tcPr>
            <w:tcW w:w="0" w:type="dxa"/>
            <w:vAlign w:val="bottom"/>
          </w:tcPr>
          <w:p>
            <w:pPr>
              <w:spacing w:after="0"/>
              <w:rPr>
                <w:sz w:val="1"/>
                <w:szCs w:val="1"/>
                <w:color w:val="auto"/>
              </w:rPr>
            </w:pPr>
          </w:p>
        </w:tc>
      </w:tr>
      <w:tr>
        <w:trPr>
          <w:trHeight w:val="552"/>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CHRISTOPHER T. HATTO</w:t>
            </w:r>
          </w:p>
        </w:tc>
        <w:tc>
          <w:tcPr>
            <w:tcW w:w="0" w:type="dxa"/>
            <w:vAlign w:val="bottom"/>
          </w:tcPr>
          <w:p>
            <w:pPr>
              <w:spacing w:after="0"/>
              <w:rPr>
                <w:sz w:val="1"/>
                <w:szCs w:val="1"/>
                <w:color w:val="auto"/>
              </w:rPr>
            </w:pPr>
          </w:p>
        </w:tc>
      </w:tr>
      <w:tr>
        <w:trPr>
          <w:trHeight w:val="22"/>
        </w:trPr>
        <w:tc>
          <w:tcPr>
            <w:tcW w:w="6080" w:type="dxa"/>
            <w:vAlign w:val="bottom"/>
            <w:vMerge w:val="restart"/>
          </w:tcPr>
          <w:p>
            <w:pPr>
              <w:spacing w:after="0"/>
              <w:rPr>
                <w:sz w:val="20"/>
                <w:szCs w:val="20"/>
                <w:color w:val="auto"/>
              </w:rPr>
            </w:pPr>
            <w:r>
              <w:rPr>
                <w:rFonts w:ascii="Arial" w:cs="Arial" w:eastAsia="Arial" w:hAnsi="Arial"/>
                <w:sz w:val="14"/>
                <w:szCs w:val="14"/>
                <w:color w:val="auto"/>
              </w:rPr>
              <w:t>Date: May 6, 2020</w:t>
            </w: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w w:val="96"/>
              </w:rPr>
              <w:t>Christopher T. Hatto, Vice President, Global Business Solutions and Chief Accounting</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60"/>
          </w:cols>
          <w:pgMar w:left="320" w:top="634"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47"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33"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29"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34" w:lineRule="exact"/>
        <w:rPr>
          <w:sz w:val="20"/>
          <w:szCs w:val="20"/>
          <w:color w:val="auto"/>
        </w:rPr>
      </w:pPr>
    </w:p>
    <w:p>
      <w:pPr>
        <w:jc w:val="both"/>
        <w:ind w:firstLine="127"/>
        <w:spacing w:after="0" w:line="282"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14"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23"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attributable to stockholders under U.S. GAAP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78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March 31, 2019</w:t>
            </w:r>
          </w:p>
        </w:tc>
        <w:tc>
          <w:tcPr>
            <w:tcW w:w="0" w:type="dxa"/>
            <w:vAlign w:val="bottom"/>
          </w:tcPr>
          <w:p>
            <w:pPr>
              <w:spacing w:after="0"/>
              <w:rPr>
                <w:sz w:val="1"/>
                <w:szCs w:val="1"/>
                <w:color w:val="auto"/>
              </w:rPr>
            </w:pPr>
          </w:p>
        </w:tc>
      </w:tr>
      <w:tr>
        <w:trPr>
          <w:trHeight w:val="205"/>
        </w:trPr>
        <w:tc>
          <w:tcPr>
            <w:tcW w:w="780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North America (GMNA)</w:t>
            </w:r>
          </w:p>
        </w:tc>
        <w:tc>
          <w:tcPr>
            <w:tcW w:w="1220" w:type="dxa"/>
            <w:vAlign w:val="bottom"/>
            <w:shd w:val="clear" w:color="auto" w:fill="CCEEFF"/>
          </w:tcPr>
          <w:p>
            <w:pPr>
              <w:jc w:val="right"/>
              <w:ind w:right="108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1,896</w:t>
            </w:r>
          </w:p>
        </w:tc>
        <w:tc>
          <w:tcPr>
            <w:tcW w:w="0" w:type="dxa"/>
            <w:vAlign w:val="bottom"/>
          </w:tcPr>
          <w:p>
            <w:pPr>
              <w:spacing w:after="0"/>
              <w:rPr>
                <w:sz w:val="1"/>
                <w:szCs w:val="1"/>
                <w:color w:val="auto"/>
              </w:rPr>
            </w:pPr>
          </w:p>
        </w:tc>
      </w:tr>
      <w:tr>
        <w:trPr>
          <w:trHeight w:val="205"/>
        </w:trPr>
        <w:tc>
          <w:tcPr>
            <w:tcW w:w="7800" w:type="dxa"/>
            <w:vAlign w:val="bottom"/>
          </w:tcPr>
          <w:p>
            <w:pPr>
              <w:ind w:left="140"/>
              <w:spacing w:after="0"/>
              <w:rPr>
                <w:sz w:val="20"/>
                <w:szCs w:val="20"/>
                <w:color w:val="auto"/>
              </w:rPr>
            </w:pPr>
            <w:r>
              <w:rPr>
                <w:rFonts w:ascii="Arial" w:cs="Arial" w:eastAsia="Arial" w:hAnsi="Arial"/>
                <w:sz w:val="13"/>
                <w:szCs w:val="13"/>
                <w:color w:val="auto"/>
              </w:rPr>
              <w:t>GM International (GMI)</w:t>
            </w:r>
          </w:p>
        </w:tc>
        <w:tc>
          <w:tcPr>
            <w:tcW w:w="1220" w:type="dxa"/>
            <w:vAlign w:val="bottom"/>
          </w:tcPr>
          <w:p>
            <w:pPr>
              <w:spacing w:after="0"/>
              <w:rPr>
                <w:sz w:val="17"/>
                <w:szCs w:val="17"/>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Cruise</w:t>
            </w: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Financial(a)</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2,117</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2,310</w:t>
            </w:r>
          </w:p>
        </w:tc>
        <w:tc>
          <w:tcPr>
            <w:tcW w:w="0" w:type="dxa"/>
            <w:vAlign w:val="bottom"/>
          </w:tcPr>
          <w:p>
            <w:pPr>
              <w:spacing w:after="0"/>
              <w:rPr>
                <w:sz w:val="1"/>
                <w:szCs w:val="1"/>
                <w:color w:val="auto"/>
              </w:rPr>
            </w:pPr>
          </w:p>
        </w:tc>
      </w:tr>
      <w:tr>
        <w:trPr>
          <w:trHeight w:val="205"/>
        </w:trPr>
        <w:tc>
          <w:tcPr>
            <w:tcW w:w="780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GMI restructuring(c)</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800" w:type="dxa"/>
            <w:vAlign w:val="bottom"/>
          </w:tcPr>
          <w:p>
            <w:pPr>
              <w:ind w:left="140"/>
              <w:spacing w:after="0"/>
              <w:rPr>
                <w:sz w:val="20"/>
                <w:szCs w:val="20"/>
                <w:color w:val="auto"/>
              </w:rPr>
            </w:pPr>
            <w:r>
              <w:rPr>
                <w:rFonts w:ascii="Arial" w:cs="Arial" w:eastAsia="Arial" w:hAnsi="Arial"/>
                <w:sz w:val="13"/>
                <w:szCs w:val="13"/>
                <w:color w:val="auto"/>
              </w:rPr>
              <w:t>Transformation activities(d)</w:t>
            </w:r>
          </w:p>
        </w:tc>
        <w:tc>
          <w:tcPr>
            <w:tcW w:w="12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9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Brazil indirect tax recoveries(e)</w:t>
            </w:r>
          </w:p>
        </w:tc>
        <w:tc>
          <w:tcPr>
            <w:tcW w:w="1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92"/>
        </w:trPr>
        <w:tc>
          <w:tcPr>
            <w:tcW w:w="780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5"/>
        </w:trPr>
        <w:tc>
          <w:tcPr>
            <w:tcW w:w="78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220" w:type="dxa"/>
            <w:vAlign w:val="bottom"/>
          </w:tcPr>
          <w:p>
            <w:pPr>
              <w:spacing w:after="0"/>
              <w:rPr>
                <w:sz w:val="17"/>
                <w:szCs w:val="17"/>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Arial" w:cs="Arial" w:eastAsia="Arial" w:hAnsi="Arial"/>
                <w:sz w:val="13"/>
                <w:szCs w:val="13"/>
                <w:color w:val="auto"/>
              </w:rPr>
              <w:t>Net income attributable to stockholders(f)</w:t>
            </w:r>
          </w:p>
        </w:tc>
        <w:tc>
          <w:tcPr>
            <w:tcW w:w="1220" w:type="dxa"/>
            <w:vAlign w:val="bottom"/>
            <w:tcBorders>
              <w:bottom w:val="single" w:sz="8" w:color="auto"/>
            </w:tcBorders>
          </w:tcPr>
          <w:p>
            <w:pPr>
              <w:jc w:val="right"/>
              <w:ind w:right="108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2,157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1"/>
                <w:szCs w:val="11"/>
                <w:color w:val="auto"/>
              </w:rPr>
              <w:t>__________</w:t>
            </w: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8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41"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ind w:left="260" w:hanging="255"/>
        <w:spacing w:after="0" w:line="241"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dealer restructurings, employee separation charges and sales allowances in Australia, New Zealand and Thailand.</w:t>
      </w:r>
    </w:p>
    <w:p>
      <w:pPr>
        <w:ind w:left="260" w:hanging="255"/>
        <w:spacing w:after="0" w:line="241"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accelerate our transformation for the future to strengthen our core business, capitalize on the future of personal mobility and drive significant cost efficiencies. The adjustment primarily consists of accelerated depreciation.</w:t>
      </w:r>
    </w:p>
    <w:p>
      <w:pPr>
        <w:ind w:left="260" w:hanging="255"/>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60" w:hanging="255"/>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464"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EBIT-adjusted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5"/>
          </w:tcPr>
          <w:p>
            <w:pPr>
              <w:ind w:left="300"/>
              <w:spacing w:after="0"/>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stockholders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2,390</w:t>
            </w: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rPr>
                <w:sz w:val="20"/>
                <w:szCs w:val="20"/>
                <w:color w:val="auto"/>
              </w:rPr>
            </w:pPr>
            <w:r>
              <w:rPr>
                <w:rFonts w:ascii="Arial" w:cs="Arial" w:eastAsia="Arial" w:hAnsi="Arial"/>
                <w:sz w:val="11"/>
                <w:szCs w:val="11"/>
                <w:color w:val="auto"/>
              </w:rPr>
              <w:t>Income tax expense (benefit)</w:t>
            </w:r>
          </w:p>
        </w:tc>
        <w:tc>
          <w:tcPr>
            <w:tcW w:w="200" w:type="dxa"/>
            <w:vAlign w:val="bottom"/>
          </w:tcPr>
          <w:p>
            <w:pPr>
              <w:spacing w:after="0"/>
              <w:rPr>
                <w:sz w:val="16"/>
                <w:szCs w:val="16"/>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Automotive interest expense</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rPr>
                <w:sz w:val="20"/>
                <w:szCs w:val="20"/>
                <w:color w:val="auto"/>
              </w:rPr>
            </w:pPr>
            <w:r>
              <w:rPr>
                <w:rFonts w:ascii="Arial" w:cs="Arial" w:eastAsia="Arial" w:hAnsi="Arial"/>
                <w:sz w:val="11"/>
                <w:szCs w:val="11"/>
                <w:color w:val="auto"/>
              </w:rPr>
              <w:t>Automotive interest income</w:t>
            </w:r>
          </w:p>
        </w:tc>
        <w:tc>
          <w:tcPr>
            <w:tcW w:w="20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tcPr>
          <w:p>
            <w:pPr>
              <w:ind w:left="160"/>
              <w:spacing w:after="0"/>
              <w:rPr>
                <w:sz w:val="20"/>
                <w:szCs w:val="20"/>
                <w:color w:val="auto"/>
              </w:rPr>
            </w:pPr>
            <w:r>
              <w:rPr>
                <w:rFonts w:ascii="Arial" w:cs="Arial" w:eastAsia="Arial" w:hAnsi="Arial"/>
                <w:sz w:val="11"/>
                <w:szCs w:val="11"/>
                <w:color w:val="auto"/>
              </w:rPr>
              <w:t>GMI restructuring(a)</w:t>
            </w:r>
          </w:p>
        </w:tc>
        <w:tc>
          <w:tcPr>
            <w:tcW w:w="20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Transformation activities(b)</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180" w:type="dxa"/>
            <w:vAlign w:val="bottom"/>
          </w:tcPr>
          <w:p>
            <w:pPr>
              <w:ind w:left="160"/>
              <w:spacing w:after="0"/>
              <w:rPr>
                <w:sz w:val="20"/>
                <w:szCs w:val="20"/>
                <w:color w:val="auto"/>
              </w:rPr>
            </w:pPr>
            <w:r>
              <w:rPr>
                <w:rFonts w:ascii="Arial" w:cs="Arial" w:eastAsia="Arial" w:hAnsi="Arial"/>
                <w:sz w:val="11"/>
                <w:szCs w:val="11"/>
                <w:color w:val="auto"/>
              </w:rPr>
              <w:t>GM Brazil indirect tax recoveries(c)</w:t>
            </w:r>
          </w:p>
        </w:tc>
        <w:tc>
          <w:tcPr>
            <w:tcW w:w="2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(857)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FAW-GM divestiture(d)</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180" w:type="dxa"/>
            <w:vAlign w:val="bottom"/>
          </w:tcPr>
          <w:p>
            <w:pPr>
              <w:ind w:left="160"/>
              <w:spacing w:after="0"/>
              <w:rPr>
                <w:sz w:val="20"/>
                <w:szCs w:val="20"/>
                <w:color w:val="auto"/>
              </w:rPr>
            </w:pPr>
            <w:r>
              <w:rPr>
                <w:rFonts w:ascii="Arial" w:cs="Arial" w:eastAsia="Arial" w:hAnsi="Arial"/>
                <w:sz w:val="11"/>
                <w:szCs w:val="11"/>
                <w:color w:val="auto"/>
              </w:rPr>
              <w:t>Ignition switch recall and related legal matters(e)</w:t>
            </w:r>
          </w:p>
        </w:tc>
        <w:tc>
          <w:tcPr>
            <w:tcW w:w="2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adjustments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489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(67)</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358</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267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440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86"/>
        </w:trPr>
        <w:tc>
          <w:tcPr>
            <w:tcW w:w="4180" w:type="dxa"/>
            <w:vAlign w:val="bottom"/>
          </w:tcPr>
          <w:p>
            <w:pPr>
              <w:ind w:left="20"/>
              <w:spacing w:after="0"/>
              <w:rPr>
                <w:sz w:val="20"/>
                <w:szCs w:val="20"/>
                <w:color w:val="auto"/>
              </w:rPr>
            </w:pPr>
            <w:r>
              <w:rPr>
                <w:rFonts w:ascii="Arial" w:cs="Arial" w:eastAsia="Arial" w:hAnsi="Arial"/>
                <w:sz w:val="11"/>
                <w:szCs w:val="11"/>
                <w:color w:val="auto"/>
              </w:rPr>
              <w:t>EBIT-adjusted</w:t>
            </w: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2,310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2,828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2,966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3,153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3,012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3,192</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260" w:hanging="255"/>
        <w:spacing w:after="0" w:line="241"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asset impairments, dealer restructurings, employee separation charges and sales allowances in Australia, New Zealand and Thailand in the three months ended March 31, 2020, and supplier claims and employee separation charges in Korea in the three months ended June 30, 2018.</w:t>
      </w:r>
    </w:p>
    <w:p>
      <w:pPr>
        <w:jc w:val="both"/>
        <w:ind w:left="260" w:hanging="255"/>
        <w:spacing w:after="0" w:line="241"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in the three months ended March 31, 2019, accelerated depreciation and employee separation charges in the three months ended December 31, 2019, employee separation charges and accelerated depreciation in the three months ended December 31, 2018, supplier-related charges and pension curtailment and other charges in the three months ended September 30, 2019 and supplier-related charges and accelerated depreciation in the three months ended June 30, 2019.</w:t>
      </w:r>
    </w:p>
    <w:p>
      <w:pPr>
        <w:spacing w:after="0" w:line="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60" w:hanging="255"/>
        <w:spacing w:after="0" w:line="241"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Three Months Ended</w:t>
            </w: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 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 2019</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0"/>
                <w:szCs w:val="10"/>
                <w:b w:val="1"/>
                <w:bCs w:val="1"/>
                <w:color w:val="auto"/>
              </w:rPr>
              <w:t>Amount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 Share</w:t>
            </w:r>
          </w:p>
        </w:tc>
        <w:tc>
          <w:tcPr>
            <w:tcW w:w="50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0"/>
                <w:szCs w:val="10"/>
                <w:b w:val="1"/>
                <w:bCs w:val="1"/>
                <w:color w:val="auto"/>
              </w:rPr>
              <w:t>Per Share</w:t>
            </w:r>
          </w:p>
        </w:tc>
        <w:tc>
          <w:tcPr>
            <w:tcW w:w="0" w:type="dxa"/>
            <w:vAlign w:val="bottom"/>
          </w:tcPr>
          <w:p>
            <w:pPr>
              <w:spacing w:after="0"/>
              <w:rPr>
                <w:sz w:val="1"/>
                <w:szCs w:val="1"/>
                <w:color w:val="auto"/>
              </w:rPr>
            </w:pPr>
          </w:p>
        </w:tc>
      </w:tr>
      <w:tr>
        <w:trPr>
          <w:trHeight w:val="19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04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247</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0.17</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2,119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5"/>
        </w:trPr>
        <w:tc>
          <w:tcPr>
            <w:tcW w:w="508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04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3"/>
                <w:szCs w:val="13"/>
                <w:color w:val="auto"/>
              </w:rPr>
              <w:t>489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3"/>
                <w:szCs w:val="13"/>
                <w:color w:val="auto"/>
              </w:rPr>
              <w:t>0.34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adjustment(b)</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205"/>
        </w:trPr>
        <w:tc>
          <w:tcPr>
            <w:tcW w:w="5080" w:type="dxa"/>
            <w:vAlign w:val="bottom"/>
          </w:tcPr>
          <w:p>
            <w:pPr>
              <w:ind w:left="20"/>
              <w:spacing w:after="0"/>
              <w:rPr>
                <w:sz w:val="20"/>
                <w:szCs w:val="20"/>
                <w:color w:val="auto"/>
              </w:rPr>
            </w:pPr>
            <w:r>
              <w:rPr>
                <w:rFonts w:ascii="Arial" w:cs="Arial" w:eastAsia="Arial" w:hAnsi="Arial"/>
                <w:sz w:val="13"/>
                <w:szCs w:val="13"/>
                <w:color w:val="auto"/>
              </w:rPr>
              <w:t>Tax adjustment(c)</w:t>
            </w:r>
          </w:p>
        </w:tc>
        <w:tc>
          <w:tcPr>
            <w:tcW w:w="104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3"/>
                <w:szCs w:val="13"/>
                <w:color w:val="auto"/>
              </w:rPr>
              <w:t>236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04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899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0.62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2,020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w:t>
      </w: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ind w:left="260" w:hanging="255"/>
        <w:spacing w:after="0" w:line="260"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consists of tax expense related to the establishment of a valuation allowance against deferred tax assets that are no longer realizable in Australia and New Zealand. This adjustment was excluded because significant impacts of valuation allowances are not considered part of our core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464"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0"/>
                <w:szCs w:val="10"/>
                <w:b w:val="1"/>
                <w:bCs w:val="1"/>
                <w:color w:val="auto"/>
              </w:rPr>
              <w:t>Three Months Ended</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0"/>
                <w:szCs w:val="10"/>
                <w:b w:val="1"/>
                <w:bCs w:val="1"/>
                <w:color w:val="auto"/>
                <w:w w:val="95"/>
              </w:rPr>
              <w:t>March 31, 2020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0"/>
                <w:szCs w:val="10"/>
                <w:b w:val="1"/>
                <w:bCs w:val="1"/>
                <w:color w:val="auto"/>
              </w:rPr>
              <w:t>March 31, 2019</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right"/>
              <w:ind w:right="46"/>
              <w:spacing w:after="0" w:line="109" w:lineRule="exact"/>
              <w:rPr>
                <w:sz w:val="20"/>
                <w:szCs w:val="20"/>
                <w:color w:val="auto"/>
              </w:rPr>
            </w:pPr>
            <w:r>
              <w:rPr>
                <w:rFonts w:ascii="Arial" w:cs="Arial" w:eastAsia="Arial" w:hAnsi="Arial"/>
                <w:sz w:val="10"/>
                <w:szCs w:val="10"/>
                <w:b w:val="1"/>
                <w:bCs w:val="1"/>
                <w:color w:val="auto"/>
                <w:w w:val="97"/>
              </w:rPr>
              <w:t>Income before income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ind w:right="146"/>
              <w:spacing w:after="0" w:line="109" w:lineRule="exact"/>
              <w:rPr>
                <w:sz w:val="20"/>
                <w:szCs w:val="20"/>
                <w:color w:val="auto"/>
              </w:rPr>
            </w:pPr>
            <w:r>
              <w:rPr>
                <w:rFonts w:ascii="Arial" w:cs="Arial" w:eastAsia="Arial" w:hAnsi="Arial"/>
                <w:sz w:val="10"/>
                <w:szCs w:val="10"/>
                <w:b w:val="1"/>
                <w:bCs w:val="1"/>
                <w:color w:val="auto"/>
              </w:rPr>
              <w:t>Income tax</w:t>
            </w:r>
          </w:p>
        </w:tc>
        <w:tc>
          <w:tcPr>
            <w:tcW w:w="120" w:type="dxa"/>
            <w:vAlign w:val="bottom"/>
          </w:tcPr>
          <w:p>
            <w:pPr>
              <w:spacing w:after="0"/>
              <w:rPr>
                <w:sz w:val="9"/>
                <w:szCs w:val="9"/>
                <w:color w:val="auto"/>
              </w:rPr>
            </w:pPr>
          </w:p>
        </w:tc>
        <w:tc>
          <w:tcPr>
            <w:tcW w:w="920" w:type="dxa"/>
            <w:vAlign w:val="bottom"/>
            <w:gridSpan w:val="2"/>
          </w:tcPr>
          <w:p>
            <w:pPr>
              <w:ind w:left="120"/>
              <w:spacing w:after="0" w:line="109" w:lineRule="exact"/>
              <w:rPr>
                <w:sz w:val="20"/>
                <w:szCs w:val="20"/>
                <w:color w:val="auto"/>
              </w:rPr>
            </w:pPr>
            <w:r>
              <w:rPr>
                <w:rFonts w:ascii="Arial" w:cs="Arial" w:eastAsia="Arial" w:hAnsi="Arial"/>
                <w:sz w:val="10"/>
                <w:szCs w:val="10"/>
                <w:b w:val="1"/>
                <w:bCs w:val="1"/>
                <w:color w:val="auto"/>
              </w:rPr>
              <w:t>Effective tax</w:t>
            </w:r>
          </w:p>
        </w:tc>
        <w:tc>
          <w:tcPr>
            <w:tcW w:w="80" w:type="dxa"/>
            <w:vAlign w:val="bottom"/>
          </w:tcPr>
          <w:p>
            <w:pPr>
              <w:spacing w:after="0"/>
              <w:rPr>
                <w:sz w:val="9"/>
                <w:szCs w:val="9"/>
                <w:color w:val="auto"/>
              </w:rPr>
            </w:pPr>
          </w:p>
        </w:tc>
        <w:tc>
          <w:tcPr>
            <w:tcW w:w="1100" w:type="dxa"/>
            <w:vAlign w:val="bottom"/>
          </w:tcPr>
          <w:p>
            <w:pPr>
              <w:jc w:val="right"/>
              <w:ind w:right="6"/>
              <w:spacing w:after="0" w:line="109" w:lineRule="exact"/>
              <w:rPr>
                <w:sz w:val="20"/>
                <w:szCs w:val="20"/>
                <w:color w:val="auto"/>
              </w:rPr>
            </w:pPr>
            <w:r>
              <w:rPr>
                <w:rFonts w:ascii="Arial" w:cs="Arial" w:eastAsia="Arial" w:hAnsi="Arial"/>
                <w:sz w:val="10"/>
                <w:szCs w:val="10"/>
                <w:b w:val="1"/>
                <w:bCs w:val="1"/>
                <w:color w:val="auto"/>
                <w:w w:val="96"/>
              </w:rPr>
              <w:t>Income before income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26"/>
              <w:spacing w:after="0" w:line="109"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9"/>
                <w:szCs w:val="9"/>
                <w:color w:val="auto"/>
              </w:rPr>
            </w:pPr>
          </w:p>
        </w:tc>
        <w:tc>
          <w:tcPr>
            <w:tcW w:w="800" w:type="dxa"/>
            <w:vAlign w:val="bottom"/>
          </w:tcPr>
          <w:p>
            <w:pPr>
              <w:jc w:val="right"/>
              <w:ind w:right="51"/>
              <w:spacing w:after="0" w:line="109" w:lineRule="exact"/>
              <w:rPr>
                <w:sz w:val="20"/>
                <w:szCs w:val="20"/>
                <w:color w:val="auto"/>
              </w:rPr>
            </w:pPr>
            <w:r>
              <w:rPr>
                <w:rFonts w:ascii="Arial" w:cs="Arial" w:eastAsia="Arial" w:hAnsi="Arial"/>
                <w:sz w:val="10"/>
                <w:szCs w:val="10"/>
                <w:b w:val="1"/>
                <w:bCs w:val="1"/>
                <w:color w:val="auto"/>
              </w:rPr>
              <w:t>Effective tax</w:t>
            </w:r>
          </w:p>
        </w:tc>
        <w:tc>
          <w:tcPr>
            <w:tcW w:w="0" w:type="dxa"/>
            <w:vAlign w:val="bottom"/>
          </w:tcPr>
          <w:p>
            <w:pPr>
              <w:spacing w:after="0"/>
              <w:rPr>
                <w:sz w:val="1"/>
                <w:szCs w:val="1"/>
                <w:color w:val="auto"/>
              </w:rPr>
            </w:pPr>
          </w:p>
        </w:tc>
      </w:tr>
      <w:tr>
        <w:trPr>
          <w:trHeight w:val="137"/>
        </w:trPr>
        <w:tc>
          <w:tcPr>
            <w:tcW w:w="48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taxes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expense</w:t>
            </w: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rate</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taxes</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rate</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2,282</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00" w:type="dxa"/>
            <w:vAlign w:val="bottom"/>
          </w:tcPr>
          <w:p>
            <w:pPr>
              <w:spacing w:after="0"/>
              <w:rPr>
                <w:sz w:val="18"/>
                <w:szCs w:val="18"/>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(236)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6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1,132</w:t>
            </w: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194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2,215</w:t>
            </w:r>
          </w:p>
        </w:tc>
        <w:tc>
          <w:tcPr>
            <w:tcW w:w="2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169</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60" w:hanging="255"/>
        <w:spacing w:after="0" w:line="241" w:lineRule="auto"/>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 The tax effect of each adjustment is determined based on the tax laws and valuation allowance status of the jurisdiction to which the adjustment relates.</w:t>
      </w: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 adjusted within the previous section for adjustment details.</w:t>
      </w:r>
    </w:p>
    <w:p>
      <w:pPr>
        <w:spacing w:after="0" w:line="126"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6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Four Quarters Ended</w:t>
            </w:r>
          </w:p>
        </w:tc>
        <w:tc>
          <w:tcPr>
            <w:tcW w:w="1220" w:type="dxa"/>
            <w:vAlign w:val="bottom"/>
            <w:tcBorders>
              <w:bottom w:val="single" w:sz="8" w:color="auto"/>
            </w:tcBorders>
          </w:tcPr>
          <w:p>
            <w:pPr>
              <w:spacing w:after="0"/>
              <w:rPr>
                <w:sz w:val="11"/>
                <w:szCs w:val="11"/>
                <w:color w:val="auto"/>
              </w:rPr>
            </w:pPr>
          </w:p>
        </w:tc>
      </w:tr>
      <w:tr>
        <w:trPr>
          <w:trHeight w:val="203"/>
        </w:trPr>
        <w:tc>
          <w:tcPr>
            <w:tcW w:w="77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w w:val="98"/>
              </w:rPr>
              <w:t>March 31, 2019</w:t>
            </w:r>
          </w:p>
        </w:tc>
      </w:tr>
      <w:tr>
        <w:trPr>
          <w:trHeight w:val="199"/>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240" w:type="dxa"/>
            <w:vAlign w:val="bottom"/>
            <w:shd w:val="clear" w:color="auto" w:fill="CCEEFF"/>
          </w:tcPr>
          <w:p>
            <w:pPr>
              <w:jc w:val="right"/>
              <w:ind w:right="108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9.1</w:t>
            </w:r>
          </w:p>
        </w:tc>
      </w:tr>
      <w:tr>
        <w:trPr>
          <w:trHeight w:val="205"/>
        </w:trPr>
        <w:tc>
          <w:tcPr>
            <w:tcW w:w="776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40" w:type="dxa"/>
            <w:vAlign w:val="bottom"/>
          </w:tcPr>
          <w:p>
            <w:pPr>
              <w:jc w:val="right"/>
              <w:ind w:right="1081"/>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60"/>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17"/>
                <w:szCs w:val="17"/>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80"/>
              <w:spacing w:after="0"/>
              <w:rPr>
                <w:sz w:val="20"/>
                <w:szCs w:val="20"/>
                <w:color w:val="auto"/>
              </w:rPr>
            </w:pPr>
            <w:r>
              <w:rPr>
                <w:rFonts w:ascii="Arial" w:cs="Arial" w:eastAsia="Arial" w:hAnsi="Arial"/>
                <w:sz w:val="13"/>
                <w:szCs w:val="13"/>
                <w:color w:val="auto"/>
              </w:rPr>
              <w:t>39.3</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r>
      <w:tr>
        <w:trPr>
          <w:trHeight w:val="131"/>
        </w:trPr>
        <w:tc>
          <w:tcPr>
            <w:tcW w:w="7760" w:type="dxa"/>
            <w:vAlign w:val="bottom"/>
          </w:tcPr>
          <w:p>
            <w:pPr>
              <w:jc w:val="right"/>
              <w:ind w:right="7198"/>
              <w:spacing w:after="0"/>
              <w:rPr>
                <w:sz w:val="20"/>
                <w:szCs w:val="20"/>
                <w:color w:val="auto"/>
              </w:rPr>
            </w:pPr>
            <w:r>
              <w:rPr>
                <w:rFonts w:ascii="Arial" w:cs="Arial" w:eastAsia="Arial" w:hAnsi="Arial"/>
                <w:sz w:val="11"/>
                <w:szCs w:val="11"/>
                <w:color w:val="auto"/>
                <w:w w:val="97"/>
              </w:rPr>
              <w:t>________</w:t>
            </w: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(loss) attributable to stockholders.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6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Four Quarters Ended</w:t>
            </w:r>
          </w:p>
        </w:tc>
        <w:tc>
          <w:tcPr>
            <w:tcW w:w="1220" w:type="dxa"/>
            <w:vAlign w:val="bottom"/>
            <w:tcBorders>
              <w:bottom w:val="single" w:sz="8" w:color="auto"/>
            </w:tcBorders>
          </w:tcPr>
          <w:p>
            <w:pPr>
              <w:spacing w:after="0"/>
              <w:rPr>
                <w:sz w:val="11"/>
                <w:szCs w:val="11"/>
                <w:color w:val="auto"/>
              </w:rPr>
            </w:pPr>
          </w:p>
        </w:tc>
      </w:tr>
      <w:tr>
        <w:trPr>
          <w:trHeight w:val="203"/>
        </w:trPr>
        <w:tc>
          <w:tcPr>
            <w:tcW w:w="77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w w:val="98"/>
              </w:rPr>
              <w:t>March 31, 2019</w:t>
            </w: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EBIT-adjusted(a)</w:t>
            </w:r>
          </w:p>
        </w:tc>
        <w:tc>
          <w:tcPr>
            <w:tcW w:w="1240" w:type="dxa"/>
            <w:vAlign w:val="bottom"/>
            <w:shd w:val="clear" w:color="auto" w:fill="CCEEFF"/>
          </w:tcPr>
          <w:p>
            <w:pPr>
              <w:jc w:val="right"/>
              <w:ind w:right="10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11.5</w:t>
            </w:r>
          </w:p>
        </w:tc>
      </w:tr>
      <w:tr>
        <w:trPr>
          <w:trHeight w:val="183"/>
        </w:trPr>
        <w:tc>
          <w:tcPr>
            <w:tcW w:w="776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40" w:type="dxa"/>
            <w:vAlign w:val="bottom"/>
          </w:tcPr>
          <w:p>
            <w:pPr>
              <w:jc w:val="right"/>
              <w:ind w:right="108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78"/>
              <w:spacing w:after="0"/>
              <w:rPr>
                <w:sz w:val="20"/>
                <w:szCs w:val="20"/>
                <w:color w:val="auto"/>
              </w:rPr>
            </w:pPr>
            <w:r>
              <w:rPr>
                <w:rFonts w:ascii="Arial" w:cs="Arial" w:eastAsia="Arial" w:hAnsi="Arial"/>
                <w:sz w:val="13"/>
                <w:szCs w:val="13"/>
                <w:color w:val="auto"/>
              </w:rPr>
              <w:t>39.3</w:t>
            </w:r>
          </w:p>
        </w:tc>
      </w:tr>
      <w:tr>
        <w:trPr>
          <w:trHeight w:val="199"/>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14.4</w:t>
            </w:r>
          </w:p>
        </w:tc>
      </w:tr>
      <w:tr>
        <w:trPr>
          <w:trHeight w:val="183"/>
        </w:trPr>
        <w:tc>
          <w:tcPr>
            <w:tcW w:w="776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4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78"/>
              <w:spacing w:after="0"/>
              <w:rPr>
                <w:sz w:val="20"/>
                <w:szCs w:val="20"/>
                <w:color w:val="auto"/>
              </w:rPr>
            </w:pPr>
            <w:r>
              <w:rPr>
                <w:rFonts w:ascii="Arial" w:cs="Arial" w:eastAsia="Arial" w:hAnsi="Arial"/>
                <w:sz w:val="13"/>
                <w:szCs w:val="13"/>
                <w:color w:val="auto"/>
              </w:rPr>
              <w:t>17.5</w:t>
            </w: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(22.9)</w:t>
            </w:r>
          </w:p>
        </w:tc>
      </w:tr>
      <w:tr>
        <w:trPr>
          <w:trHeight w:val="22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ROIC-adjusted average net assets</w:t>
            </w:r>
          </w:p>
        </w:tc>
        <w:tc>
          <w:tcPr>
            <w:tcW w:w="1240" w:type="dxa"/>
            <w:vAlign w:val="bottom"/>
            <w:tcBorders>
              <w:bottom w:val="single" w:sz="8" w:color="auto"/>
            </w:tcBorders>
          </w:tcPr>
          <w:p>
            <w:pPr>
              <w:jc w:val="right"/>
              <w:ind w:right="10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48.3</w:t>
            </w:r>
          </w:p>
        </w:tc>
      </w:tr>
      <w:tr>
        <w:trPr>
          <w:trHeight w:val="165"/>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31"/>
        </w:trPr>
        <w:tc>
          <w:tcPr>
            <w:tcW w:w="7760" w:type="dxa"/>
            <w:vAlign w:val="bottom"/>
          </w:tcPr>
          <w:p>
            <w:pPr>
              <w:spacing w:after="0"/>
              <w:rPr>
                <w:sz w:val="20"/>
                <w:szCs w:val="20"/>
                <w:color w:val="auto"/>
              </w:rPr>
            </w:pPr>
            <w:r>
              <w:rPr>
                <w:rFonts w:ascii="Arial" w:cs="Arial" w:eastAsia="Arial" w:hAnsi="Arial"/>
                <w:sz w:val="11"/>
                <w:szCs w:val="11"/>
                <w:color w:val="auto"/>
              </w:rPr>
              <w:t>________</w:t>
            </w: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EBIT-adjusted for adjustment details.</w:t>
      </w: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465"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220" w:type="dxa"/>
            <w:vAlign w:val="bottom"/>
            <w:tcBorders>
              <w:bottom w:val="single" w:sz="8" w:color="auto"/>
            </w:tcBorders>
          </w:tcPr>
          <w:p>
            <w:pPr>
              <w:spacing w:after="0"/>
              <w:rPr>
                <w:sz w:val="11"/>
                <w:szCs w:val="1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March 31, 2019</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1220" w:type="dxa"/>
            <w:vAlign w:val="bottom"/>
            <w:shd w:val="clear" w:color="auto" w:fill="CCEEFF"/>
          </w:tcPr>
          <w:p>
            <w:pPr>
              <w:jc w:val="right"/>
              <w:ind w:right="108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337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w:t>
            </w:r>
          </w:p>
        </w:tc>
      </w:tr>
      <w:tr>
        <w:trPr>
          <w:trHeight w:val="205"/>
        </w:trPr>
        <w:tc>
          <w:tcPr>
            <w:tcW w:w="78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220" w:type="dxa"/>
            <w:vAlign w:val="bottom"/>
          </w:tcPr>
          <w:p>
            <w:pPr>
              <w:spacing w:after="0"/>
              <w:rPr>
                <w:sz w:val="17"/>
                <w:szCs w:val="17"/>
                <w:color w:val="auto"/>
              </w:rPr>
            </w:pPr>
          </w:p>
        </w:tc>
        <w:tc>
          <w:tcPr>
            <w:tcW w:w="480" w:type="dxa"/>
            <w:vAlign w:val="bottom"/>
          </w:tcPr>
          <w:p>
            <w:pPr>
              <w:jc w:val="right"/>
              <w:ind w:right="18"/>
              <w:spacing w:after="0"/>
              <w:rPr>
                <w:sz w:val="20"/>
                <w:szCs w:val="20"/>
                <w:color w:val="auto"/>
              </w:rPr>
            </w:pPr>
            <w:r>
              <w:rPr>
                <w:rFonts w:ascii="Arial" w:cs="Arial" w:eastAsia="Arial" w:hAnsi="Arial"/>
                <w:sz w:val="13"/>
                <w:szCs w:val="13"/>
                <w:color w:val="auto"/>
                <w:w w:val="92"/>
              </w:rPr>
              <w:t>(1,205)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(1,993)</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w:t>
            </w:r>
          </w:p>
        </w:tc>
      </w:tr>
      <w:tr>
        <w:trPr>
          <w:trHeight w:val="205"/>
        </w:trPr>
        <w:tc>
          <w:tcPr>
            <w:tcW w:w="7800" w:type="dxa"/>
            <w:vAlign w:val="bottom"/>
          </w:tcPr>
          <w:p>
            <w:pPr>
              <w:ind w:left="20"/>
              <w:spacing w:after="0"/>
              <w:rPr>
                <w:sz w:val="20"/>
                <w:szCs w:val="20"/>
                <w:color w:val="auto"/>
              </w:rPr>
            </w:pPr>
            <w:r>
              <w:rPr>
                <w:rFonts w:ascii="Arial" w:cs="Arial" w:eastAsia="Arial" w:hAnsi="Arial"/>
                <w:sz w:val="13"/>
                <w:szCs w:val="13"/>
                <w:color w:val="auto"/>
              </w:rPr>
              <w:t>Add: Transformation activities</w:t>
            </w:r>
          </w:p>
        </w:tc>
        <w:tc>
          <w:tcPr>
            <w:tcW w:w="12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315</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1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r>
      <w:tr>
        <w:trPr>
          <w:trHeight w:val="187"/>
        </w:trPr>
        <w:tc>
          <w:tcPr>
            <w:tcW w:w="780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1220" w:type="dxa"/>
            <w:vAlign w:val="bottom"/>
            <w:tcBorders>
              <w:bottom w:val="single" w:sz="8" w:color="auto"/>
            </w:tcBorders>
          </w:tcPr>
          <w:p>
            <w:pPr>
              <w:jc w:val="right"/>
              <w:ind w:right="108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(3,876)</w:t>
            </w:r>
          </w:p>
        </w:tc>
      </w:tr>
      <w:tr>
        <w:trPr>
          <w:trHeight w:val="20"/>
        </w:trPr>
        <w:tc>
          <w:tcPr>
            <w:tcW w:w="7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GM</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GMNA</w:t>
            </w:r>
          </w:p>
        </w:tc>
        <w:tc>
          <w:tcPr>
            <w:tcW w:w="200" w:type="dxa"/>
            <w:vAlign w:val="bottom"/>
          </w:tcPr>
          <w:p>
            <w:pPr>
              <w:spacing w:after="0"/>
              <w:rPr>
                <w:sz w:val="10"/>
                <w:szCs w:val="10"/>
                <w:color w:val="auto"/>
              </w:rPr>
            </w:pPr>
          </w:p>
        </w:tc>
        <w:tc>
          <w:tcPr>
            <w:tcW w:w="720" w:type="dxa"/>
            <w:vAlign w:val="bottom"/>
            <w:gridSpan w:val="2"/>
          </w:tcPr>
          <w:p>
            <w:pPr>
              <w:ind w:left="120"/>
              <w:spacing w:after="0"/>
              <w:rPr>
                <w:sz w:val="20"/>
                <w:szCs w:val="20"/>
                <w:color w:val="auto"/>
              </w:rPr>
            </w:pPr>
            <w:r>
              <w:rPr>
                <w:rFonts w:ascii="Arial" w:cs="Arial" w:eastAsia="Arial" w:hAnsi="Arial"/>
                <w:sz w:val="8"/>
                <w:szCs w:val="8"/>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200" w:type="dxa"/>
            <w:vAlign w:val="bottom"/>
          </w:tcPr>
          <w:p>
            <w:pPr>
              <w:spacing w:after="0"/>
              <w:rPr>
                <w:sz w:val="10"/>
                <w:szCs w:val="10"/>
                <w:color w:val="auto"/>
              </w:rPr>
            </w:pPr>
          </w:p>
        </w:tc>
        <w:tc>
          <w:tcPr>
            <w:tcW w:w="580" w:type="dxa"/>
            <w:vAlign w:val="bottom"/>
          </w:tcPr>
          <w:p>
            <w:pPr>
              <w:jc w:val="right"/>
              <w:ind w:right="232"/>
              <w:spacing w:after="0"/>
              <w:rPr>
                <w:sz w:val="20"/>
                <w:szCs w:val="20"/>
                <w:color w:val="auto"/>
              </w:rPr>
            </w:pPr>
            <w:r>
              <w:rPr>
                <w:rFonts w:ascii="Arial" w:cs="Arial" w:eastAsia="Arial" w:hAnsi="Arial"/>
                <w:sz w:val="8"/>
                <w:szCs w:val="8"/>
                <w:b w:val="1"/>
                <w:bCs w:val="1"/>
                <w:color w:val="auto"/>
              </w:rPr>
              <w:t>Total</w:t>
            </w:r>
          </w:p>
        </w:tc>
      </w:tr>
      <w:tr>
        <w:trPr>
          <w:trHeight w:val="203"/>
        </w:trPr>
        <w:tc>
          <w:tcPr>
            <w:tcW w:w="2720" w:type="dxa"/>
            <w:vAlign w:val="bottom"/>
          </w:tcPr>
          <w:p>
            <w:pPr>
              <w:ind w:left="20"/>
              <w:spacing w:after="0"/>
              <w:rPr>
                <w:sz w:val="20"/>
                <w:szCs w:val="20"/>
                <w:color w:val="auto"/>
              </w:rPr>
            </w:pPr>
            <w:r>
              <w:rPr>
                <w:rFonts w:ascii="Arial" w:cs="Arial" w:eastAsia="Arial" w:hAnsi="Arial"/>
                <w:sz w:val="8"/>
                <w:szCs w:val="8"/>
                <w:b w:val="1"/>
                <w:bCs w:val="1"/>
                <w:color w:val="auto"/>
              </w:rPr>
              <w:t>Three Months Ended March 31, 2020</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20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25,831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3,280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29,149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3,561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32,709</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946</w:t>
            </w:r>
          </w:p>
        </w:tc>
        <w:tc>
          <w:tcPr>
            <w:tcW w:w="120" w:type="dxa"/>
            <w:vAlign w:val="bottom"/>
          </w:tcPr>
          <w:p>
            <w:pPr>
              <w:spacing w:after="0"/>
              <w:rPr>
                <w:sz w:val="12"/>
                <w:szCs w:val="12"/>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255</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53"/>
              <w:spacing w:after="0"/>
              <w:rPr>
                <w:sz w:val="20"/>
                <w:szCs w:val="20"/>
                <w:color w:val="auto"/>
              </w:rPr>
            </w:pPr>
            <w:r>
              <w:rPr>
                <w:rFonts w:ascii="Arial" w:cs="Arial" w:eastAsia="Arial" w:hAnsi="Arial"/>
                <w:sz w:val="10"/>
                <w:szCs w:val="10"/>
                <w:color w:val="auto"/>
              </w:rPr>
              <w:t>1,205</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3"/>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1,224</w:t>
            </w:r>
          </w:p>
        </w:tc>
      </w:tr>
      <w:tr>
        <w:trPr>
          <w:trHeight w:val="25"/>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1,227</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166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9</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1,402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1,788</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3,198</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2"/>
                <w:szCs w:val="12"/>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53"/>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110</w:t>
            </w:r>
          </w:p>
        </w:tc>
      </w:tr>
      <w:tr>
        <w:trPr>
          <w:trHeight w:val="25"/>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Equity income (loss)(a)</w:t>
            </w: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(163)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0"/>
                <w:szCs w:val="10"/>
                <w:color w:val="auto"/>
              </w:rPr>
              <w:t>(157)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25</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(132)</w:t>
            </w:r>
          </w:p>
        </w:tc>
      </w:tr>
      <w:tr>
        <w:trPr>
          <w:trHeight w:val="359"/>
        </w:trPr>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GM</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20"/>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GMNA</w:t>
            </w:r>
          </w:p>
        </w:tc>
        <w:tc>
          <w:tcPr>
            <w:tcW w:w="200" w:type="dxa"/>
            <w:vAlign w:val="bottom"/>
          </w:tcPr>
          <w:p>
            <w:pPr>
              <w:spacing w:after="0"/>
              <w:rPr>
                <w:sz w:val="10"/>
                <w:szCs w:val="10"/>
                <w:color w:val="auto"/>
              </w:rPr>
            </w:pPr>
          </w:p>
        </w:tc>
        <w:tc>
          <w:tcPr>
            <w:tcW w:w="720" w:type="dxa"/>
            <w:vAlign w:val="bottom"/>
            <w:gridSpan w:val="2"/>
          </w:tcPr>
          <w:p>
            <w:pPr>
              <w:ind w:left="120"/>
              <w:spacing w:after="0"/>
              <w:rPr>
                <w:sz w:val="20"/>
                <w:szCs w:val="20"/>
                <w:color w:val="auto"/>
              </w:rPr>
            </w:pPr>
            <w:r>
              <w:rPr>
                <w:rFonts w:ascii="Arial" w:cs="Arial" w:eastAsia="Arial" w:hAnsi="Arial"/>
                <w:sz w:val="8"/>
                <w:szCs w:val="8"/>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200" w:type="dxa"/>
            <w:vAlign w:val="bottom"/>
          </w:tcPr>
          <w:p>
            <w:pPr>
              <w:spacing w:after="0"/>
              <w:rPr>
                <w:sz w:val="10"/>
                <w:szCs w:val="10"/>
                <w:color w:val="auto"/>
              </w:rPr>
            </w:pPr>
          </w:p>
        </w:tc>
        <w:tc>
          <w:tcPr>
            <w:tcW w:w="580" w:type="dxa"/>
            <w:vAlign w:val="bottom"/>
          </w:tcPr>
          <w:p>
            <w:pPr>
              <w:jc w:val="right"/>
              <w:ind w:right="232"/>
              <w:spacing w:after="0"/>
              <w:rPr>
                <w:sz w:val="20"/>
                <w:szCs w:val="20"/>
                <w:color w:val="auto"/>
              </w:rPr>
            </w:pPr>
            <w:r>
              <w:rPr>
                <w:rFonts w:ascii="Arial" w:cs="Arial" w:eastAsia="Arial" w:hAnsi="Arial"/>
                <w:sz w:val="8"/>
                <w:szCs w:val="8"/>
                <w:b w:val="1"/>
                <w:bCs w:val="1"/>
                <w:color w:val="auto"/>
              </w:rPr>
              <w:t>Total</w:t>
            </w:r>
          </w:p>
        </w:tc>
      </w:tr>
      <w:tr>
        <w:trPr>
          <w:trHeight w:val="203"/>
        </w:trPr>
        <w:tc>
          <w:tcPr>
            <w:tcW w:w="2720" w:type="dxa"/>
            <w:vAlign w:val="bottom"/>
          </w:tcPr>
          <w:p>
            <w:pPr>
              <w:ind w:left="20"/>
              <w:spacing w:after="0"/>
              <w:rPr>
                <w:sz w:val="20"/>
                <w:szCs w:val="20"/>
                <w:color w:val="auto"/>
              </w:rPr>
            </w:pPr>
            <w:r>
              <w:rPr>
                <w:rFonts w:ascii="Arial" w:cs="Arial" w:eastAsia="Arial" w:hAnsi="Arial"/>
                <w:sz w:val="8"/>
                <w:szCs w:val="8"/>
                <w:b w:val="1"/>
                <w:bCs w:val="1"/>
                <w:color w:val="auto"/>
              </w:rPr>
              <w:t>Three Months Ended March 31, 2019</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20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27,365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3,850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31,261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3,620</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34,878</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1,701</w:t>
            </w:r>
          </w:p>
        </w:tc>
        <w:tc>
          <w:tcPr>
            <w:tcW w:w="120" w:type="dxa"/>
            <w:vAlign w:val="bottom"/>
          </w:tcPr>
          <w:p>
            <w:pPr>
              <w:spacing w:after="0"/>
              <w:rPr>
                <w:sz w:val="12"/>
                <w:szCs w:val="12"/>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53"/>
              <w:spacing w:after="0"/>
              <w:rPr>
                <w:sz w:val="20"/>
                <w:szCs w:val="20"/>
                <w:color w:val="auto"/>
              </w:rPr>
            </w:pPr>
            <w:r>
              <w:rPr>
                <w:rFonts w:ascii="Arial" w:cs="Arial" w:eastAsia="Arial" w:hAnsi="Arial"/>
                <w:sz w:val="10"/>
                <w:szCs w:val="10"/>
                <w:color w:val="auto"/>
              </w:rPr>
              <w:t>1,993</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3"/>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2,014</w:t>
            </w:r>
          </w:p>
        </w:tc>
      </w:tr>
      <w:tr>
        <w:trPr>
          <w:trHeight w:val="25"/>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2,069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127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2,208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0"/>
                <w:szCs w:val="10"/>
                <w:color w:val="auto"/>
              </w:rPr>
              <w:t>1,899</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4,109</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2"/>
                <w:szCs w:val="12"/>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53"/>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2"/>
                <w:szCs w:val="12"/>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7</w:t>
            </w:r>
          </w:p>
        </w:tc>
      </w:tr>
      <w:tr>
        <w:trPr>
          <w:trHeight w:val="25"/>
        </w:trPr>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 (loss)(a)</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369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414</w:t>
            </w:r>
          </w:p>
        </w:tc>
      </w:tr>
      <w:tr>
        <w:trPr>
          <w:trHeight w:val="46"/>
        </w:trPr>
        <w:tc>
          <w:tcPr>
            <w:tcW w:w="2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60" w:hanging="255"/>
        <w:spacing w:after="0"/>
        <w:tabs>
          <w:tab w:leader="none" w:pos="26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Automotive China equity loss of $167 million and Automotive China equity income of $376 million in the three months ended March 31, 2020 and 2019.</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464"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64"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42"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2020, 32.4% of our wholesale vehicle sales volume was generated outside the U.S. The following table summarizes wholesale vehicle sales by automotive segment (vehicles in thousands):</w:t>
      </w:r>
    </w:p>
    <w:p>
      <w:pPr>
        <w:spacing w:after="0" w:line="168" w:lineRule="exact"/>
        <w:rPr>
          <w:sz w:val="20"/>
          <w:szCs w:val="20"/>
          <w:color w:val="auto"/>
        </w:rPr>
      </w:pPr>
    </w:p>
    <w:p>
      <w:pPr>
        <w:ind w:left="906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4947920</wp:posOffset>
            </wp:positionH>
            <wp:positionV relativeFrom="paragraph">
              <wp:posOffset>18415</wp:posOffset>
            </wp:positionV>
            <wp:extent cx="22167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March 31, 2020</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March 31, 2019</w:t>
            </w:r>
          </w:p>
        </w:tc>
      </w:tr>
      <w:tr>
        <w:trPr>
          <w:trHeight w:val="189"/>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859</w:t>
            </w:r>
          </w:p>
        </w:tc>
      </w:tr>
      <w:tr>
        <w:trPr>
          <w:trHeight w:val="18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191</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236</w:t>
            </w:r>
          </w:p>
        </w:tc>
      </w:tr>
      <w:tr>
        <w:trPr>
          <w:trHeight w:val="187"/>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966</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1,095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465"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9" w:lineRule="exact"/>
        <w:rPr>
          <w:sz w:val="20"/>
          <w:szCs w:val="20"/>
          <w:color w:val="auto"/>
        </w:rPr>
      </w:pPr>
    </w:p>
    <w:p>
      <w:pPr>
        <w:jc w:val="both"/>
        <w:ind w:firstLine="127"/>
        <w:spacing w:after="0" w:line="263"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72" w:lineRule="exact"/>
        <w:rPr>
          <w:sz w:val="20"/>
          <w:szCs w:val="20"/>
          <w:color w:val="auto"/>
        </w:rPr>
      </w:pPr>
    </w:p>
    <w:p>
      <w:pPr>
        <w:ind w:left="906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4947920</wp:posOffset>
            </wp:positionH>
            <wp:positionV relativeFrom="paragraph">
              <wp:posOffset>18415</wp:posOffset>
            </wp:positionV>
            <wp:extent cx="22167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00" w:type="dxa"/>
            <w:vAlign w:val="bottom"/>
          </w:tcPr>
          <w:p>
            <w:pPr>
              <w:spacing w:after="0"/>
              <w:rPr>
                <w:sz w:val="11"/>
                <w:szCs w:val="11"/>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March 31, 2020</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March 31, 2019</w:t>
            </w:r>
          </w:p>
        </w:tc>
        <w:tc>
          <w:tcPr>
            <w:tcW w:w="0" w:type="dxa"/>
            <w:vAlign w:val="bottom"/>
          </w:tcPr>
          <w:p>
            <w:pPr>
              <w:spacing w:after="0"/>
              <w:rPr>
                <w:sz w:val="1"/>
                <w:szCs w:val="1"/>
                <w:color w:val="auto"/>
              </w:rPr>
            </w:pPr>
          </w:p>
        </w:tc>
      </w:tr>
      <w:tr>
        <w:trPr>
          <w:trHeight w:val="203"/>
        </w:trPr>
        <w:tc>
          <w:tcPr>
            <w:tcW w:w="902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Chevrolet – Cars</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5"/>
        </w:trPr>
        <w:tc>
          <w:tcPr>
            <w:tcW w:w="9020" w:type="dxa"/>
            <w:vAlign w:val="bottom"/>
            <w:gridSpan w:val="2"/>
          </w:tcPr>
          <w:p>
            <w:pPr>
              <w:ind w:left="220"/>
              <w:spacing w:after="0"/>
              <w:rPr>
                <w:sz w:val="20"/>
                <w:szCs w:val="20"/>
                <w:color w:val="auto"/>
              </w:rPr>
            </w:pPr>
            <w:r>
              <w:rPr>
                <w:rFonts w:ascii="Arial" w:cs="Arial" w:eastAsia="Arial" w:hAnsi="Arial"/>
                <w:sz w:val="13"/>
                <w:szCs w:val="13"/>
                <w:color w:val="auto"/>
              </w:rPr>
              <w:t>Chevrolet – Trucks</w:t>
            </w: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7"/>
                <w:szCs w:val="17"/>
                <w:color w:val="auto"/>
              </w:rPr>
            </w:pPr>
          </w:p>
        </w:tc>
        <w:tc>
          <w:tcPr>
            <w:tcW w:w="1680" w:type="dxa"/>
            <w:vAlign w:val="bottom"/>
          </w:tcPr>
          <w:p>
            <w:pPr>
              <w:jc w:val="right"/>
              <w:ind w:right="37"/>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2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Chevrolet – Crossovers</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05"/>
        </w:trPr>
        <w:tc>
          <w:tcPr>
            <w:tcW w:w="9020" w:type="dxa"/>
            <w:vAlign w:val="bottom"/>
            <w:gridSpan w:val="2"/>
          </w:tcPr>
          <w:p>
            <w:pPr>
              <w:ind w:left="220"/>
              <w:spacing w:after="0"/>
              <w:rPr>
                <w:sz w:val="20"/>
                <w:szCs w:val="20"/>
                <w:color w:val="auto"/>
              </w:rPr>
            </w:pPr>
            <w:r>
              <w:rPr>
                <w:rFonts w:ascii="Arial" w:cs="Arial" w:eastAsia="Arial" w:hAnsi="Arial"/>
                <w:sz w:val="13"/>
                <w:szCs w:val="13"/>
                <w:color w:val="auto"/>
              </w:rPr>
              <w:t>Cadillac</w:t>
            </w: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7"/>
                <w:szCs w:val="17"/>
                <w:color w:val="auto"/>
              </w:rPr>
            </w:pPr>
          </w:p>
        </w:tc>
        <w:tc>
          <w:tcPr>
            <w:tcW w:w="168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2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GMC</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119</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0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United States</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North America</w:t>
            </w:r>
          </w:p>
        </w:tc>
        <w:tc>
          <w:tcPr>
            <w:tcW w:w="12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203"/>
        </w:trPr>
        <w:tc>
          <w:tcPr>
            <w:tcW w:w="9020" w:type="dxa"/>
            <w:vAlign w:val="bottom"/>
            <w:gridSpan w:val="2"/>
          </w:tcPr>
          <w:p>
            <w:pPr>
              <w:ind w:left="20"/>
              <w:spacing w:after="0"/>
              <w:rPr>
                <w:sz w:val="20"/>
                <w:szCs w:val="20"/>
                <w:color w:val="auto"/>
              </w:rPr>
            </w:pPr>
            <w:r>
              <w:rPr>
                <w:rFonts w:ascii="Arial" w:cs="Arial" w:eastAsia="Arial" w:hAnsi="Arial"/>
                <w:sz w:val="13"/>
                <w:szCs w:val="13"/>
                <w:color w:val="auto"/>
              </w:rPr>
              <w:t>Asia/Pacific, Middle East and Africa</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Chevrolet</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205"/>
        </w:trPr>
        <w:tc>
          <w:tcPr>
            <w:tcW w:w="9020" w:type="dxa"/>
            <w:vAlign w:val="bottom"/>
            <w:gridSpan w:val="2"/>
          </w:tcPr>
          <w:p>
            <w:pPr>
              <w:ind w:left="220"/>
              <w:spacing w:after="0"/>
              <w:rPr>
                <w:sz w:val="20"/>
                <w:szCs w:val="20"/>
                <w:color w:val="auto"/>
              </w:rPr>
            </w:pPr>
            <w:r>
              <w:rPr>
                <w:rFonts w:ascii="Arial" w:cs="Arial" w:eastAsia="Arial" w:hAnsi="Arial"/>
                <w:sz w:val="13"/>
                <w:szCs w:val="13"/>
                <w:color w:val="auto"/>
              </w:rPr>
              <w:t>Wuling</w:t>
            </w: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7"/>
                <w:szCs w:val="17"/>
                <w:color w:val="auto"/>
              </w:rPr>
            </w:pPr>
          </w:p>
        </w:tc>
        <w:tc>
          <w:tcPr>
            <w:tcW w:w="1680" w:type="dxa"/>
            <w:vAlign w:val="bottom"/>
          </w:tcPr>
          <w:p>
            <w:pPr>
              <w:jc w:val="right"/>
              <w:ind w:right="37"/>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2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05"/>
        </w:trPr>
        <w:tc>
          <w:tcPr>
            <w:tcW w:w="9020" w:type="dxa"/>
            <w:vAlign w:val="bottom"/>
            <w:gridSpan w:val="2"/>
          </w:tcPr>
          <w:p>
            <w:pPr>
              <w:ind w:left="220"/>
              <w:spacing w:after="0"/>
              <w:rPr>
                <w:sz w:val="20"/>
                <w:szCs w:val="20"/>
                <w:color w:val="auto"/>
              </w:rPr>
            </w:pPr>
            <w:r>
              <w:rPr>
                <w:rFonts w:ascii="Arial" w:cs="Arial" w:eastAsia="Arial" w:hAnsi="Arial"/>
                <w:sz w:val="13"/>
                <w:szCs w:val="13"/>
                <w:color w:val="auto"/>
              </w:rPr>
              <w:t>Baojun</w:t>
            </w: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7"/>
                <w:szCs w:val="17"/>
                <w:color w:val="auto"/>
              </w:rPr>
            </w:pPr>
          </w:p>
        </w:tc>
        <w:tc>
          <w:tcPr>
            <w:tcW w:w="1680" w:type="dxa"/>
            <w:vAlign w:val="bottom"/>
          </w:tcPr>
          <w:p>
            <w:pPr>
              <w:jc w:val="right"/>
              <w:ind w:right="37"/>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2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Cadillac</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0"/>
        </w:trPr>
        <w:tc>
          <w:tcPr>
            <w:tcW w:w="9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Asia/Pacific, Middle East and Africa</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606</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947</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132</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0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1,457</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1,877</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7"/>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1,457</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8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9020" w:type="dxa"/>
            <w:vAlign w:val="bottom"/>
            <w:gridSpan w:val="2"/>
          </w:tcPr>
          <w:p>
            <w:pPr>
              <w:spacing w:after="0"/>
              <w:rPr>
                <w:sz w:val="20"/>
                <w:szCs w:val="20"/>
                <w:color w:val="auto"/>
              </w:rPr>
            </w:pPr>
            <w:r>
              <w:rPr>
                <w:rFonts w:ascii="Arial" w:cs="Arial" w:eastAsia="Arial" w:hAnsi="Arial"/>
                <w:sz w:val="11"/>
                <w:szCs w:val="11"/>
                <w:color w:val="auto"/>
              </w:rPr>
              <w:t>(a)  Primarily Chevrolet.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72" w:lineRule="exact"/>
        <w:rPr>
          <w:sz w:val="20"/>
          <w:szCs w:val="20"/>
          <w:color w:val="auto"/>
        </w:rPr>
      </w:pPr>
    </w:p>
    <w:p>
      <w:pPr>
        <w:ind w:left="906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4947920</wp:posOffset>
            </wp:positionH>
            <wp:positionV relativeFrom="paragraph">
              <wp:posOffset>18415</wp:posOffset>
            </wp:positionV>
            <wp:extent cx="22167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March 31, 2020</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March 31, 2019</w:t>
            </w:r>
          </w:p>
        </w:tc>
      </w:tr>
      <w:tr>
        <w:trPr>
          <w:trHeight w:val="189"/>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382</w:t>
            </w:r>
          </w:p>
        </w:tc>
      </w:tr>
      <w:tr>
        <w:trPr>
          <w:trHeight w:val="176"/>
        </w:trPr>
        <w:tc>
          <w:tcPr>
            <w:tcW w:w="908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420" w:type="dxa"/>
            <w:vAlign w:val="bottom"/>
          </w:tcPr>
          <w:p>
            <w:pPr>
              <w:jc w:val="right"/>
              <w:ind w:right="56"/>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680" w:type="dxa"/>
            <w:vAlign w:val="bottom"/>
          </w:tcPr>
          <w:p>
            <w:pPr>
              <w:jc w:val="right"/>
              <w:ind w:right="41"/>
              <w:spacing w:after="0"/>
              <w:rPr>
                <w:sz w:val="20"/>
                <w:szCs w:val="20"/>
                <w:color w:val="auto"/>
              </w:rPr>
            </w:pPr>
            <w:r>
              <w:rPr>
                <w:rFonts w:ascii="Arial" w:cs="Arial" w:eastAsia="Arial" w:hAnsi="Arial"/>
                <w:sz w:val="13"/>
                <w:szCs w:val="13"/>
                <w:color w:val="auto"/>
              </w:rPr>
              <w:t>432</w:t>
            </w:r>
          </w:p>
        </w:tc>
      </w:tr>
      <w:tr>
        <w:trPr>
          <w:trHeight w:val="509"/>
        </w:trPr>
        <w:tc>
          <w:tcPr>
            <w:tcW w:w="7800" w:type="dxa"/>
            <w:vAlign w:val="bottom"/>
          </w:tcPr>
          <w:p>
            <w:pPr>
              <w:jc w:val="right"/>
              <w:ind w:right="2056"/>
              <w:spacing w:after="0"/>
              <w:rPr>
                <w:sz w:val="20"/>
                <w:szCs w:val="20"/>
                <w:color w:val="auto"/>
              </w:rPr>
            </w:pPr>
            <w:r>
              <w:rPr>
                <w:rFonts w:ascii="Arial" w:cs="Arial" w:eastAsia="Arial" w:hAnsi="Arial"/>
                <w:sz w:val="13"/>
                <w:szCs w:val="13"/>
                <w:color w:val="auto"/>
              </w:rPr>
              <w:t>7</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80"/>
          </w:cols>
          <w:pgMar w:left="300" w:top="465"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42" w:lineRule="exact"/>
        <w:rPr>
          <w:sz w:val="20"/>
          <w:szCs w:val="20"/>
          <w:color w:val="auto"/>
        </w:rPr>
      </w:pPr>
    </w:p>
    <w:p>
      <w:pPr>
        <w:ind w:left="904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18415</wp:posOffset>
            </wp:positionV>
            <wp:extent cx="22364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60" w:type="dxa"/>
            <w:vAlign w:val="bottom"/>
          </w:tcPr>
          <w:p>
            <w:pPr>
              <w:spacing w:after="0"/>
              <w:rPr>
                <w:sz w:val="11"/>
                <w:szCs w:val="11"/>
                <w:color w:val="auto"/>
              </w:rPr>
            </w:pP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w w:val="98"/>
              </w:rPr>
              <w:t>March 31, 2020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March 31, 2019</w:t>
            </w:r>
          </w:p>
        </w:tc>
      </w:tr>
      <w:tr>
        <w:trPr>
          <w:trHeight w:val="203"/>
        </w:trPr>
        <w:tc>
          <w:tcPr>
            <w:tcW w:w="8980" w:type="dxa"/>
            <w:vAlign w:val="bottom"/>
            <w:gridSpan w:val="2"/>
          </w:tcPr>
          <w:p>
            <w:pPr>
              <w:ind w:left="20"/>
              <w:spacing w:after="0"/>
              <w:rPr>
                <w:sz w:val="20"/>
                <w:szCs w:val="20"/>
                <w:color w:val="auto"/>
              </w:rPr>
            </w:pPr>
            <w:r>
              <w:rPr>
                <w:rFonts w:ascii="Arial" w:cs="Arial" w:eastAsia="Arial" w:hAnsi="Arial"/>
                <w:sz w:val="13"/>
                <w:szCs w:val="13"/>
                <w:color w:val="auto"/>
              </w:rPr>
              <w:t>Market Share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0"/>
        </w:trPr>
        <w:tc>
          <w:tcPr>
            <w:tcW w:w="8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Cars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205"/>
        </w:trPr>
        <w:tc>
          <w:tcPr>
            <w:tcW w:w="8980" w:type="dxa"/>
            <w:vAlign w:val="bottom"/>
            <w:gridSpan w:val="2"/>
          </w:tcPr>
          <w:p>
            <w:pPr>
              <w:ind w:left="160"/>
              <w:spacing w:after="0"/>
              <w:rPr>
                <w:sz w:val="20"/>
                <w:szCs w:val="20"/>
                <w:color w:val="auto"/>
              </w:rPr>
            </w:pPr>
            <w:r>
              <w:rPr>
                <w:rFonts w:ascii="Arial" w:cs="Arial" w:eastAsia="Arial" w:hAnsi="Arial"/>
                <w:sz w:val="13"/>
                <w:szCs w:val="13"/>
                <w:color w:val="auto"/>
              </w:rPr>
              <w:t>United States – Trucks</w:t>
            </w:r>
          </w:p>
        </w:tc>
        <w:tc>
          <w:tcPr>
            <w:tcW w:w="480" w:type="dxa"/>
            <w:vAlign w:val="bottom"/>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28.2%</w:t>
            </w:r>
          </w:p>
        </w:tc>
      </w:tr>
      <w:tr>
        <w:trPr>
          <w:trHeight w:val="220"/>
        </w:trPr>
        <w:tc>
          <w:tcPr>
            <w:tcW w:w="8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Crossovers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83"/>
        </w:trPr>
        <w:tc>
          <w:tcPr>
            <w:tcW w:w="8980" w:type="dxa"/>
            <w:vAlign w:val="bottom"/>
            <w:gridSpan w:val="2"/>
          </w:tcPr>
          <w:p>
            <w:pPr>
              <w:ind w:left="160"/>
              <w:spacing w:after="0"/>
              <w:rPr>
                <w:sz w:val="20"/>
                <w:szCs w:val="20"/>
                <w:color w:val="auto"/>
              </w:rPr>
            </w:pPr>
            <w:r>
              <w:rPr>
                <w:rFonts w:ascii="Arial" w:cs="Arial" w:eastAsia="Arial" w:hAnsi="Arial"/>
                <w:sz w:val="13"/>
                <w:szCs w:val="13"/>
                <w:color w:val="auto"/>
              </w:rPr>
              <w:t>Total United States</w:t>
            </w:r>
          </w:p>
        </w:tc>
        <w:tc>
          <w:tcPr>
            <w:tcW w:w="480" w:type="dxa"/>
            <w:vAlign w:val="bottom"/>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16.2%</w:t>
            </w:r>
          </w:p>
        </w:tc>
      </w:tr>
      <w:tr>
        <w:trPr>
          <w:trHeight w:val="199"/>
        </w:trPr>
        <w:tc>
          <w:tcPr>
            <w:tcW w:w="8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83"/>
        </w:trPr>
        <w:tc>
          <w:tcPr>
            <w:tcW w:w="8980" w:type="dxa"/>
            <w:vAlign w:val="bottom"/>
            <w:gridSpan w:val="2"/>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48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99"/>
        </w:trPr>
        <w:tc>
          <w:tcPr>
            <w:tcW w:w="8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South America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83"/>
        </w:trPr>
        <w:tc>
          <w:tcPr>
            <w:tcW w:w="898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48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9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27"/>
        </w:trPr>
        <w:tc>
          <w:tcPr>
            <w:tcW w:w="7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212"/>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27"/>
        </w:trPr>
        <w:tc>
          <w:tcPr>
            <w:tcW w:w="7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212"/>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104.9%</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r>
      <w:tr>
        <w:trPr>
          <w:trHeight w:val="876"/>
        </w:trPr>
        <w:tc>
          <w:tcPr>
            <w:tcW w:w="7760" w:type="dxa"/>
            <w:vAlign w:val="bottom"/>
          </w:tcPr>
          <w:p>
            <w:pPr>
              <w:ind w:left="5600"/>
              <w:spacing w:after="0"/>
              <w:rPr>
                <w:sz w:val="20"/>
                <w:szCs w:val="20"/>
                <w:color w:val="auto"/>
              </w:rPr>
            </w:pPr>
            <w:r>
              <w:rPr>
                <w:rFonts w:ascii="Arial" w:cs="Arial" w:eastAsia="Arial" w:hAnsi="Arial"/>
                <w:sz w:val="13"/>
                <w:szCs w:val="13"/>
                <w:color w:val="auto"/>
              </w:rPr>
              <w:t>8</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80"/>
          </w:cols>
          <w:pgMar w:left="300" w:top="464"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20"/>
        </w:trPr>
        <w:tc>
          <w:tcPr>
            <w:tcW w:w="19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8"/>
                <w:szCs w:val="8"/>
                <w:b w:val="1"/>
                <w:bCs w:val="1"/>
                <w:color w:val="auto"/>
              </w:rPr>
              <w:t>Three Months Ended March 31, 2020</w:t>
            </w: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8"/>
                <w:szCs w:val="8"/>
                <w:b w:val="1"/>
                <w:bCs w:val="1"/>
                <w:color w:val="auto"/>
              </w:rPr>
              <w:t>Three Months Ended March 31, 2019</w:t>
            </w:r>
          </w:p>
        </w:tc>
        <w:tc>
          <w:tcPr>
            <w:tcW w:w="780" w:type="dxa"/>
            <w:vAlign w:val="bottom"/>
            <w:tcBorders>
              <w:bottom w:val="single" w:sz="8" w:color="auto"/>
            </w:tcBorders>
          </w:tcPr>
          <w:p>
            <w:pPr>
              <w:spacing w:after="0"/>
              <w:rPr>
                <w:sz w:val="10"/>
                <w:szCs w:val="10"/>
                <w:color w:val="auto"/>
              </w:rPr>
            </w:pPr>
          </w:p>
        </w:tc>
      </w:tr>
      <w:tr>
        <w:trPr>
          <w:trHeight w:val="203"/>
        </w:trPr>
        <w:tc>
          <w:tcPr>
            <w:tcW w:w="19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8"/>
                <w:szCs w:val="8"/>
                <w:b w:val="1"/>
                <w:bCs w:val="1"/>
                <w:color w:val="auto"/>
              </w:rPr>
              <w:t>Automotive</w:t>
            </w:r>
          </w:p>
        </w:tc>
        <w:tc>
          <w:tcPr>
            <w:tcW w:w="560" w:type="dxa"/>
            <w:vAlign w:val="bottom"/>
          </w:tcPr>
          <w:p>
            <w:pPr>
              <w:ind w:left="14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GM Financial</w:t>
            </w:r>
          </w:p>
        </w:tc>
        <w:tc>
          <w:tcPr>
            <w:tcW w:w="1400" w:type="dxa"/>
            <w:vAlign w:val="bottom"/>
            <w:gridSpan w:val="2"/>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900" w:type="dxa"/>
            <w:vAlign w:val="bottom"/>
            <w:gridSpan w:val="2"/>
          </w:tcPr>
          <w:p>
            <w:pPr>
              <w:ind w:left="180"/>
              <w:spacing w:after="0"/>
              <w:rPr>
                <w:sz w:val="20"/>
                <w:szCs w:val="20"/>
                <w:color w:val="auto"/>
              </w:rPr>
            </w:pPr>
            <w:r>
              <w:rPr>
                <w:rFonts w:ascii="Arial" w:cs="Arial" w:eastAsia="Arial" w:hAnsi="Arial"/>
                <w:sz w:val="8"/>
                <w:szCs w:val="8"/>
                <w:b w:val="1"/>
                <w:bCs w:val="1"/>
                <w:color w:val="auto"/>
              </w:rPr>
              <w:t>Combined</w:t>
            </w:r>
          </w:p>
        </w:tc>
        <w:tc>
          <w:tcPr>
            <w:tcW w:w="980" w:type="dxa"/>
            <w:vAlign w:val="bottom"/>
            <w:gridSpan w:val="2"/>
          </w:tcPr>
          <w:p>
            <w:pPr>
              <w:ind w:left="200"/>
              <w:spacing w:after="0"/>
              <w:rPr>
                <w:sz w:val="20"/>
                <w:szCs w:val="20"/>
                <w:color w:val="auto"/>
              </w:rPr>
            </w:pPr>
            <w:r>
              <w:rPr>
                <w:rFonts w:ascii="Arial" w:cs="Arial" w:eastAsia="Arial" w:hAnsi="Arial"/>
                <w:sz w:val="8"/>
                <w:szCs w:val="8"/>
                <w:b w:val="1"/>
                <w:bCs w:val="1"/>
                <w:color w:val="auto"/>
              </w:rPr>
              <w:t>Automotive</w:t>
            </w:r>
          </w:p>
        </w:tc>
        <w:tc>
          <w:tcPr>
            <w:tcW w:w="540" w:type="dxa"/>
            <w:vAlign w:val="bottom"/>
          </w:tcPr>
          <w:p>
            <w:pPr>
              <w:ind w:left="140"/>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2"/>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780" w:type="dxa"/>
            <w:vAlign w:val="bottom"/>
          </w:tcPr>
          <w:p>
            <w:pPr>
              <w:ind w:left="180"/>
              <w:spacing w:after="0"/>
              <w:rPr>
                <w:sz w:val="20"/>
                <w:szCs w:val="20"/>
                <w:color w:val="auto"/>
              </w:rPr>
            </w:pPr>
            <w:r>
              <w:rPr>
                <w:rFonts w:ascii="Arial" w:cs="Arial" w:eastAsia="Arial" w:hAnsi="Arial"/>
                <w:sz w:val="8"/>
                <w:szCs w:val="8"/>
                <w:b w:val="1"/>
                <w:bCs w:val="1"/>
                <w:color w:val="auto"/>
              </w:rPr>
              <w:t>Combined</w:t>
            </w:r>
          </w:p>
        </w:tc>
      </w:tr>
      <w:tr>
        <w:trPr>
          <w:trHeight w:val="123"/>
        </w:trPr>
        <w:tc>
          <w:tcPr>
            <w:tcW w:w="1900" w:type="dxa"/>
            <w:vAlign w:val="bottom"/>
          </w:tcPr>
          <w:p>
            <w:pPr>
              <w:spacing w:after="0"/>
              <w:rPr>
                <w:sz w:val="20"/>
                <w:szCs w:val="20"/>
                <w:color w:val="auto"/>
              </w:rPr>
            </w:pPr>
            <w:r>
              <w:rPr>
                <w:rFonts w:ascii="Arial" w:cs="Arial" w:eastAsia="Arial" w:hAnsi="Arial"/>
                <w:sz w:val="10"/>
                <w:szCs w:val="10"/>
                <w:b w:val="1"/>
                <w:bCs w:val="1"/>
                <w:color w:val="auto"/>
              </w:rPr>
              <w:t>Net sales and revenue</w:t>
            </w: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29,150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31,261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31,261</w:t>
            </w:r>
          </w:p>
        </w:tc>
        <w:tc>
          <w:tcPr>
            <w:tcW w:w="0" w:type="dxa"/>
            <w:vAlign w:val="bottom"/>
          </w:tcPr>
          <w:p>
            <w:pPr>
              <w:spacing w:after="0"/>
              <w:rPr>
                <w:sz w:val="1"/>
                <w:szCs w:val="1"/>
                <w:color w:val="auto"/>
              </w:rPr>
            </w:pPr>
          </w:p>
        </w:tc>
      </w:tr>
      <w:tr>
        <w:trPr>
          <w:trHeight w:val="208"/>
        </w:trPr>
        <w:tc>
          <w:tcPr>
            <w:tcW w:w="192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3,561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3,559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3,620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color w:val="auto"/>
              </w:rPr>
              <w:t>3,617</w:t>
            </w:r>
          </w:p>
        </w:tc>
        <w:tc>
          <w:tcPr>
            <w:tcW w:w="0" w:type="dxa"/>
            <w:vAlign w:val="bottom"/>
          </w:tcPr>
          <w:p>
            <w:pPr>
              <w:spacing w:after="0"/>
              <w:rPr>
                <w:sz w:val="1"/>
                <w:szCs w:val="1"/>
                <w:color w:val="auto"/>
              </w:rPr>
            </w:pPr>
          </w:p>
        </w:tc>
      </w:tr>
      <w:tr>
        <w:trPr>
          <w:trHeight w:val="196"/>
        </w:trPr>
        <w:tc>
          <w:tcPr>
            <w:tcW w:w="1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net sales and revenue</w:t>
            </w: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29,149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3,561</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32,709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31,261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3,620</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34,878</w:t>
            </w:r>
          </w:p>
        </w:tc>
        <w:tc>
          <w:tcPr>
            <w:tcW w:w="0" w:type="dxa"/>
            <w:vAlign w:val="bottom"/>
          </w:tcPr>
          <w:p>
            <w:pPr>
              <w:spacing w:after="0"/>
              <w:rPr>
                <w:sz w:val="1"/>
                <w:szCs w:val="1"/>
                <w:color w:val="auto"/>
              </w:rPr>
            </w:pPr>
          </w:p>
        </w:tc>
      </w:tr>
      <w:tr>
        <w:trPr>
          <w:trHeight w:val="205"/>
        </w:trPr>
        <w:tc>
          <w:tcPr>
            <w:tcW w:w="192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 and other cost of sales</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26,543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26,726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28,229</w:t>
            </w:r>
          </w:p>
        </w:tc>
        <w:tc>
          <w:tcPr>
            <w:tcW w:w="0" w:type="dxa"/>
            <w:vAlign w:val="bottom"/>
          </w:tcPr>
          <w:p>
            <w:pPr>
              <w:spacing w:after="0"/>
              <w:rPr>
                <w:sz w:val="1"/>
                <w:szCs w:val="1"/>
                <w:color w:val="auto"/>
              </w:rPr>
            </w:pPr>
          </w:p>
        </w:tc>
      </w:tr>
      <w:tr>
        <w:trPr>
          <w:trHeight w:val="123"/>
        </w:trPr>
        <w:tc>
          <w:tcPr>
            <w:tcW w:w="1920" w:type="dxa"/>
            <w:vAlign w:val="bottom"/>
          </w:tcPr>
          <w:p>
            <w:pPr>
              <w:ind w:left="140"/>
              <w:spacing w:after="0"/>
              <w:rPr>
                <w:sz w:val="20"/>
                <w:szCs w:val="20"/>
                <w:color w:val="auto"/>
              </w:rPr>
            </w:pPr>
            <w:r>
              <w:rPr>
                <w:rFonts w:ascii="Arial" w:cs="Arial" w:eastAsia="Arial" w:hAnsi="Arial"/>
                <w:sz w:val="10"/>
                <w:szCs w:val="10"/>
                <w:color w:val="auto"/>
              </w:rPr>
              <w:t>GM Financial interest, operating and</w:t>
            </w:r>
          </w:p>
        </w:tc>
        <w:tc>
          <w:tcPr>
            <w:tcW w:w="2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00" w:type="dxa"/>
            <w:vAlign w:val="bottom"/>
            <w:vMerge w:val="restart"/>
          </w:tcPr>
          <w:p>
            <w:pPr>
              <w:jc w:val="right"/>
              <w:ind w:right="63"/>
              <w:spacing w:after="0"/>
              <w:rPr>
                <w:sz w:val="20"/>
                <w:szCs w:val="20"/>
                <w:color w:val="auto"/>
              </w:rPr>
            </w:pPr>
            <w:r>
              <w:rPr>
                <w:rFonts w:ascii="Arial" w:cs="Arial" w:eastAsia="Arial" w:hAnsi="Arial"/>
                <w:sz w:val="11"/>
                <w:szCs w:val="11"/>
                <w:color w:val="auto"/>
              </w:rPr>
              <w:t>3,356</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80" w:type="dxa"/>
            <w:vAlign w:val="bottom"/>
            <w:vMerge w:val="restart"/>
          </w:tcPr>
          <w:p>
            <w:pPr>
              <w:jc w:val="right"/>
              <w:ind w:right="43"/>
              <w:spacing w:after="0"/>
              <w:rPr>
                <w:sz w:val="20"/>
                <w:szCs w:val="20"/>
                <w:color w:val="auto"/>
              </w:rPr>
            </w:pPr>
            <w:r>
              <w:rPr>
                <w:rFonts w:ascii="Arial" w:cs="Arial" w:eastAsia="Arial" w:hAnsi="Arial"/>
                <w:sz w:val="11"/>
                <w:szCs w:val="11"/>
                <w:color w:val="auto"/>
              </w:rPr>
              <w:t>3,356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80" w:type="dxa"/>
            <w:vAlign w:val="bottom"/>
            <w:vMerge w:val="restart"/>
          </w:tcPr>
          <w:p>
            <w:pPr>
              <w:jc w:val="right"/>
              <w:ind w:right="43"/>
              <w:spacing w:after="0"/>
              <w:rPr>
                <w:sz w:val="20"/>
                <w:szCs w:val="20"/>
                <w:color w:val="auto"/>
              </w:rPr>
            </w:pPr>
            <w:r>
              <w:rPr>
                <w:rFonts w:ascii="Arial" w:cs="Arial" w:eastAsia="Arial" w:hAnsi="Arial"/>
                <w:sz w:val="11"/>
                <w:szCs w:val="11"/>
                <w:color w:val="auto"/>
              </w:rPr>
              <w:t>3,306</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60" w:type="dxa"/>
            <w:vAlign w:val="bottom"/>
            <w:vMerge w:val="restart"/>
          </w:tcPr>
          <w:p>
            <w:pPr>
              <w:jc w:val="right"/>
              <w:ind w:right="43"/>
              <w:spacing w:after="0"/>
              <w:rPr>
                <w:sz w:val="20"/>
                <w:szCs w:val="20"/>
                <w:color w:val="auto"/>
              </w:rPr>
            </w:pPr>
            <w:r>
              <w:rPr>
                <w:rFonts w:ascii="Arial" w:cs="Arial" w:eastAsia="Arial" w:hAnsi="Arial"/>
                <w:sz w:val="11"/>
                <w:szCs w:val="11"/>
                <w:color w:val="auto"/>
              </w:rPr>
              <w:t>3,306</w:t>
            </w:r>
          </w:p>
        </w:tc>
        <w:tc>
          <w:tcPr>
            <w:tcW w:w="0" w:type="dxa"/>
            <w:vAlign w:val="bottom"/>
          </w:tcPr>
          <w:p>
            <w:pPr>
              <w:spacing w:after="0"/>
              <w:rPr>
                <w:sz w:val="1"/>
                <w:szCs w:val="1"/>
                <w:color w:val="auto"/>
              </w:rPr>
            </w:pPr>
          </w:p>
        </w:tc>
      </w:tr>
      <w:tr>
        <w:trPr>
          <w:trHeight w:val="128"/>
        </w:trPr>
        <w:tc>
          <w:tcPr>
            <w:tcW w:w="1920" w:type="dxa"/>
            <w:vAlign w:val="bottom"/>
          </w:tcPr>
          <w:p>
            <w:pPr>
              <w:ind w:left="260"/>
              <w:spacing w:after="0"/>
              <w:rPr>
                <w:sz w:val="20"/>
                <w:szCs w:val="20"/>
                <w:color w:val="auto"/>
              </w:rPr>
            </w:pPr>
            <w:r>
              <w:rPr>
                <w:rFonts w:ascii="Arial" w:cs="Arial" w:eastAsia="Arial" w:hAnsi="Arial"/>
                <w:sz w:val="10"/>
                <w:szCs w:val="10"/>
                <w:color w:val="auto"/>
              </w:rPr>
              <w:t>other expenses</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 and other selling, general</w:t>
            </w:r>
          </w:p>
        </w:tc>
        <w:tc>
          <w:tcPr>
            <w:tcW w:w="2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1,902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1,970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2,080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2,099</w:t>
            </w:r>
          </w:p>
        </w:tc>
        <w:tc>
          <w:tcPr>
            <w:tcW w:w="0" w:type="dxa"/>
            <w:vAlign w:val="bottom"/>
          </w:tcPr>
          <w:p>
            <w:pPr>
              <w:spacing w:after="0"/>
              <w:rPr>
                <w:sz w:val="1"/>
                <w:szCs w:val="1"/>
                <w:color w:val="auto"/>
              </w:rPr>
            </w:pPr>
          </w:p>
        </w:tc>
      </w:tr>
      <w:tr>
        <w:trPr>
          <w:trHeight w:val="128"/>
        </w:trPr>
        <w:tc>
          <w:tcPr>
            <w:tcW w:w="19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and administrative expense</w:t>
            </w:r>
          </w:p>
        </w:tc>
        <w:tc>
          <w:tcPr>
            <w:tcW w:w="2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20" w:type="dxa"/>
            <w:vAlign w:val="bottom"/>
          </w:tcPr>
          <w:p>
            <w:pPr>
              <w:ind w:left="140"/>
              <w:spacing w:after="0"/>
              <w:rPr>
                <w:sz w:val="20"/>
                <w:szCs w:val="20"/>
                <w:color w:val="auto"/>
              </w:rPr>
            </w:pPr>
            <w:r>
              <w:rPr>
                <w:rFonts w:ascii="Arial" w:cs="Arial" w:eastAsia="Arial" w:hAnsi="Arial"/>
                <w:sz w:val="10"/>
                <w:szCs w:val="10"/>
                <w:color w:val="auto"/>
              </w:rPr>
              <w:t>Total costs and expenses</w:t>
            </w:r>
          </w:p>
        </w:tc>
        <w:tc>
          <w:tcPr>
            <w:tcW w:w="28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28,445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43"/>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3,356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32,052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30,115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43"/>
              <w:spacing w:after="0"/>
              <w:rPr>
                <w:sz w:val="20"/>
                <w:szCs w:val="20"/>
                <w:color w:val="auto"/>
              </w:rPr>
            </w:pPr>
            <w:r>
              <w:rPr>
                <w:rFonts w:ascii="Arial" w:cs="Arial" w:eastAsia="Arial" w:hAnsi="Arial"/>
                <w:sz w:val="11"/>
                <w:szCs w:val="11"/>
                <w:color w:val="auto"/>
              </w:rPr>
              <w:t>214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3,306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color w:val="auto"/>
              </w:rPr>
              <w:t>33,634</w:t>
            </w:r>
          </w:p>
        </w:tc>
        <w:tc>
          <w:tcPr>
            <w:tcW w:w="0" w:type="dxa"/>
            <w:vAlign w:val="bottom"/>
          </w:tcPr>
          <w:p>
            <w:pPr>
              <w:spacing w:after="0"/>
              <w:rPr>
                <w:sz w:val="1"/>
                <w:szCs w:val="1"/>
                <w:color w:val="auto"/>
              </w:rPr>
            </w:pPr>
          </w:p>
        </w:tc>
      </w:tr>
      <w:tr>
        <w:trPr>
          <w:trHeight w:val="196"/>
        </w:trPr>
        <w:tc>
          <w:tcPr>
            <w:tcW w:w="19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Operating income (loss)</w:t>
            </w: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704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205</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657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314</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1,244</w:t>
            </w:r>
          </w:p>
        </w:tc>
        <w:tc>
          <w:tcPr>
            <w:tcW w:w="0" w:type="dxa"/>
            <w:vAlign w:val="bottom"/>
          </w:tcPr>
          <w:p>
            <w:pPr>
              <w:spacing w:after="0"/>
              <w:rPr>
                <w:sz w:val="1"/>
                <w:szCs w:val="1"/>
                <w:color w:val="auto"/>
              </w:rPr>
            </w:pPr>
          </w:p>
        </w:tc>
      </w:tr>
      <w:tr>
        <w:trPr>
          <w:trHeight w:val="208"/>
        </w:trPr>
        <w:tc>
          <w:tcPr>
            <w:tcW w:w="192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28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income and other non-operating</w:t>
            </w:r>
          </w:p>
        </w:tc>
        <w:tc>
          <w:tcPr>
            <w:tcW w:w="2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278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311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768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2"/>
        </w:trPr>
        <w:tc>
          <w:tcPr>
            <w:tcW w:w="19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income (loss), net</w:t>
            </w:r>
          </w:p>
        </w:tc>
        <w:tc>
          <w:tcPr>
            <w:tcW w:w="28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 (loss)</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196"/>
        </w:trPr>
        <w:tc>
          <w:tcPr>
            <w:tcW w:w="1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359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2,282</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w:t>
            </w: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96"/>
        </w:trPr>
        <w:tc>
          <w:tcPr>
            <w:tcW w:w="19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2,145</w:t>
            </w:r>
          </w:p>
        </w:tc>
        <w:tc>
          <w:tcPr>
            <w:tcW w:w="0" w:type="dxa"/>
            <w:vAlign w:val="bottom"/>
          </w:tcPr>
          <w:p>
            <w:pPr>
              <w:spacing w:after="0"/>
              <w:rPr>
                <w:sz w:val="1"/>
                <w:szCs w:val="1"/>
                <w:color w:val="auto"/>
              </w:rPr>
            </w:pPr>
          </w:p>
        </w:tc>
      </w:tr>
      <w:tr>
        <w:trPr>
          <w:trHeight w:val="123"/>
        </w:trPr>
        <w:tc>
          <w:tcPr>
            <w:tcW w:w="1920" w:type="dxa"/>
            <w:vAlign w:val="bottom"/>
          </w:tcPr>
          <w:p>
            <w:pPr>
              <w:ind w:left="20"/>
              <w:spacing w:after="0"/>
              <w:rPr>
                <w:sz w:val="20"/>
                <w:szCs w:val="20"/>
                <w:color w:val="auto"/>
              </w:rPr>
            </w:pPr>
            <w:r>
              <w:rPr>
                <w:rFonts w:ascii="Arial" w:cs="Arial" w:eastAsia="Arial" w:hAnsi="Arial"/>
                <w:sz w:val="10"/>
                <w:szCs w:val="10"/>
                <w:color w:val="auto"/>
              </w:rPr>
              <w:t>Net loss attributable to noncontrolling</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43"/>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43"/>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8"/>
        </w:trPr>
        <w:tc>
          <w:tcPr>
            <w:tcW w:w="192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interests</w:t>
            </w:r>
          </w:p>
        </w:tc>
        <w:tc>
          <w:tcPr>
            <w:tcW w:w="28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99"/>
              </w:rPr>
              <w:t>Net income attributable to stockholders</w:t>
            </w:r>
          </w:p>
        </w:tc>
        <w:tc>
          <w:tcPr>
            <w:tcW w:w="2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294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2,157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9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b w:val="1"/>
                <w:bCs w:val="1"/>
                <w:color w:val="auto"/>
              </w:rPr>
              <w:t>Net income attributable to common</w:t>
            </w: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247</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2,119</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464"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220" w:type="dxa"/>
            <w:vAlign w:val="bottom"/>
            <w:tcBorders>
              <w:bottom w:val="single" w:sz="8" w:color="auto"/>
            </w:tcBorders>
          </w:tcPr>
          <w:p>
            <w:pPr>
              <w:spacing w:after="0"/>
              <w:rPr>
                <w:sz w:val="11"/>
                <w:szCs w:val="11"/>
                <w:color w:val="auto"/>
              </w:rPr>
            </w:pPr>
          </w:p>
        </w:tc>
      </w:tr>
      <w:tr>
        <w:trPr>
          <w:trHeight w:val="137"/>
        </w:trPr>
        <w:tc>
          <w:tcPr>
            <w:tcW w:w="780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2020</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March 31, 2019</w:t>
            </w:r>
          </w:p>
        </w:tc>
      </w:tr>
      <w:tr>
        <w:trPr>
          <w:trHeight w:val="187"/>
        </w:trPr>
        <w:tc>
          <w:tcPr>
            <w:tcW w:w="780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stockholders(a)</w:t>
            </w:r>
          </w:p>
        </w:tc>
        <w:tc>
          <w:tcPr>
            <w:tcW w:w="1220" w:type="dxa"/>
            <w:vAlign w:val="bottom"/>
            <w:shd w:val="clear" w:color="auto" w:fill="CCEEFF"/>
          </w:tcPr>
          <w:p>
            <w:pPr>
              <w:jc w:val="right"/>
              <w:ind w:right="10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2,157</w:t>
            </w:r>
          </w:p>
        </w:tc>
      </w:tr>
      <w:tr>
        <w:trPr>
          <w:trHeight w:val="187"/>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w:t>
            </w:r>
          </w:p>
        </w:tc>
        <w:tc>
          <w:tcPr>
            <w:tcW w:w="1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86"/>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w:t>
            </w:r>
          </w:p>
        </w:tc>
        <w:tc>
          <w:tcPr>
            <w:tcW w:w="122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247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2,119</w:t>
            </w:r>
          </w:p>
        </w:tc>
      </w:tr>
      <w:tr>
        <w:trPr>
          <w:trHeight w:val="20"/>
        </w:trPr>
        <w:tc>
          <w:tcPr>
            <w:tcW w:w="7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99"/>
        </w:trPr>
        <w:tc>
          <w:tcPr>
            <w:tcW w:w="7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91"/>
        </w:trPr>
        <w:tc>
          <w:tcPr>
            <w:tcW w:w="7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1,433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1,417</w:t>
            </w:r>
          </w:p>
        </w:tc>
      </w:tr>
      <w:tr>
        <w:trPr>
          <w:trHeight w:val="127"/>
        </w:trPr>
        <w:tc>
          <w:tcPr>
            <w:tcW w:w="7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1"/>
        </w:trPr>
        <w:tc>
          <w:tcPr>
            <w:tcW w:w="7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w:t>
            </w:r>
          </w:p>
        </w:tc>
        <w:tc>
          <w:tcPr>
            <w:tcW w:w="1220" w:type="dxa"/>
            <w:vAlign w:val="bottom"/>
            <w:shd w:val="clear" w:color="auto" w:fill="CCEEFF"/>
          </w:tcPr>
          <w:p>
            <w:pPr>
              <w:jc w:val="right"/>
              <w:ind w:right="10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1.50</w:t>
            </w:r>
          </w:p>
        </w:tc>
      </w:tr>
      <w:tr>
        <w:trPr>
          <w:trHeight w:val="187"/>
        </w:trPr>
        <w:tc>
          <w:tcPr>
            <w:tcW w:w="780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 – diluted(a)</w:t>
            </w:r>
          </w:p>
        </w:tc>
        <w:tc>
          <w:tcPr>
            <w:tcW w:w="1220" w:type="dxa"/>
            <w:vAlign w:val="bottom"/>
            <w:shd w:val="clear" w:color="auto" w:fill="CCEEFF"/>
          </w:tcPr>
          <w:p>
            <w:pPr>
              <w:jc w:val="right"/>
              <w:ind w:right="10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2,119</w:t>
            </w:r>
          </w:p>
        </w:tc>
      </w:tr>
      <w:tr>
        <w:trPr>
          <w:trHeight w:val="127"/>
        </w:trPr>
        <w:tc>
          <w:tcPr>
            <w:tcW w:w="7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1"/>
        </w:trPr>
        <w:tc>
          <w:tcPr>
            <w:tcW w:w="7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1,440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1,436</w:t>
            </w:r>
          </w:p>
        </w:tc>
      </w:tr>
      <w:tr>
        <w:trPr>
          <w:trHeight w:val="127"/>
        </w:trPr>
        <w:tc>
          <w:tcPr>
            <w:tcW w:w="7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1"/>
        </w:trPr>
        <w:tc>
          <w:tcPr>
            <w:tcW w:w="7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w:t>
            </w:r>
          </w:p>
        </w:tc>
        <w:tc>
          <w:tcPr>
            <w:tcW w:w="1220" w:type="dxa"/>
            <w:vAlign w:val="bottom"/>
            <w:shd w:val="clear" w:color="auto" w:fill="CCEEFF"/>
          </w:tcPr>
          <w:p>
            <w:pPr>
              <w:jc w:val="right"/>
              <w:ind w:right="10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1.48</w:t>
            </w:r>
          </w:p>
        </w:tc>
      </w:tr>
      <w:tr>
        <w:trPr>
          <w:trHeight w:val="183"/>
        </w:trPr>
        <w:tc>
          <w:tcPr>
            <w:tcW w:w="780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122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8</w:t>
            </w:r>
          </w:p>
        </w:tc>
      </w:tr>
      <w:tr>
        <w:trPr>
          <w:trHeight w:val="139"/>
        </w:trPr>
        <w:tc>
          <w:tcPr>
            <w:tcW w:w="7800" w:type="dxa"/>
            <w:vAlign w:val="bottom"/>
          </w:tcPr>
          <w:p>
            <w:pPr>
              <w:spacing w:after="0"/>
              <w:rPr>
                <w:sz w:val="20"/>
                <w:szCs w:val="20"/>
                <w:color w:val="auto"/>
              </w:rPr>
            </w:pPr>
            <w:r>
              <w:rPr>
                <w:rFonts w:ascii="Arial" w:cs="Arial" w:eastAsia="Arial" w:hAnsi="Arial"/>
                <w:sz w:val="11"/>
                <w:szCs w:val="11"/>
                <w:color w:val="auto"/>
              </w:rPr>
              <w:t>__________</w:t>
            </w: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r>
    </w:tbl>
    <w:p>
      <w:pPr>
        <w:ind w:left="260" w:hanging="255"/>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260" w:hanging="255"/>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465"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ind w:left="200"/>
              <w:spacing w:after="0"/>
              <w:rPr>
                <w:sz w:val="20"/>
                <w:szCs w:val="20"/>
                <w:color w:val="auto"/>
              </w:rPr>
            </w:pPr>
            <w:r>
              <w:rPr>
                <w:rFonts w:ascii="Arial" w:cs="Arial" w:eastAsia="Arial" w:hAnsi="Arial"/>
                <w:sz w:val="8"/>
                <w:szCs w:val="8"/>
                <w:b w:val="1"/>
                <w:bCs w:val="1"/>
                <w:color w:val="auto"/>
              </w:rPr>
              <w:t>March 31, 2020</w:t>
            </w:r>
          </w:p>
        </w:tc>
        <w:tc>
          <w:tcPr>
            <w:tcW w:w="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8"/>
                <w:szCs w:val="8"/>
                <w:b w:val="1"/>
                <w:bCs w:val="1"/>
                <w:color w:val="auto"/>
              </w:rPr>
              <w:t>December 31, 2019</w:t>
            </w: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7"/>
                <w:szCs w:val="7"/>
                <w:b w:val="1"/>
                <w:bCs w:val="1"/>
                <w:color w:val="auto"/>
              </w:rPr>
              <w:t>Automotive</w:t>
            </w:r>
          </w:p>
        </w:tc>
        <w:tc>
          <w:tcPr>
            <w:tcW w:w="140" w:type="dxa"/>
            <w:vAlign w:val="bottom"/>
          </w:tcPr>
          <w:p>
            <w:pPr>
              <w:spacing w:after="0"/>
              <w:rPr>
                <w:sz w:val="17"/>
                <w:szCs w:val="17"/>
                <w:color w:val="auto"/>
              </w:rPr>
            </w:pPr>
          </w:p>
        </w:tc>
        <w:tc>
          <w:tcPr>
            <w:tcW w:w="56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7"/>
                <w:szCs w:val="7"/>
                <w:b w:val="1"/>
                <w:bCs w:val="1"/>
                <w:color w:val="auto"/>
              </w:rPr>
              <w:t>Combined</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60" w:type="dxa"/>
            <w:vAlign w:val="bottom"/>
          </w:tcPr>
          <w:p>
            <w:pPr>
              <w:spacing w:after="0"/>
              <w:rPr>
                <w:sz w:val="17"/>
                <w:szCs w:val="17"/>
                <w:color w:val="auto"/>
              </w:rPr>
            </w:pPr>
          </w:p>
        </w:tc>
        <w:tc>
          <w:tcPr>
            <w:tcW w:w="620" w:type="dxa"/>
            <w:vAlign w:val="bottom"/>
          </w:tcPr>
          <w:p>
            <w:pPr>
              <w:jc w:val="right"/>
              <w:ind w:right="171"/>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23"/>
        </w:trPr>
        <w:tc>
          <w:tcPr>
            <w:tcW w:w="2380" w:type="dxa"/>
            <w:vAlign w:val="bottom"/>
          </w:tcPr>
          <w:p>
            <w:pPr>
              <w:ind w:left="1000"/>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38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Cash and cash equivalents</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25,340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11,632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38,506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2,349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19,069</w:t>
            </w: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Marketable debt securities(b)</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6,743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904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7,620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3,908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320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7"/>
                <w:szCs w:val="17"/>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4,174</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Accounts and notes receivable, net(c)</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6,797</w:t>
            </w: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GM Financial receivables, net(d)</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26,859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(539)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26,320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27,101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26,601</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Inventories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10,398</w:t>
            </w:r>
          </w:p>
        </w:tc>
        <w:tc>
          <w:tcPr>
            <w:tcW w:w="0" w:type="dxa"/>
            <w:vAlign w:val="bottom"/>
          </w:tcPr>
          <w:p>
            <w:pPr>
              <w:spacing w:after="0"/>
              <w:rPr>
                <w:sz w:val="1"/>
                <w:szCs w:val="1"/>
                <w:color w:val="auto"/>
              </w:rPr>
            </w:pPr>
          </w:p>
        </w:tc>
      </w:tr>
      <w:tr>
        <w:trPr>
          <w:trHeight w:val="20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current assets(e)</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2,123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4,782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6,918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2,517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5,424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7,953</w:t>
            </w: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current assets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52,115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2,462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44,452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97,699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36,846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36,841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74,992</w:t>
            </w:r>
          </w:p>
        </w:tc>
        <w:tc>
          <w:tcPr>
            <w:tcW w:w="0" w:type="dxa"/>
            <w:vAlign w:val="bottom"/>
          </w:tcPr>
          <w:p>
            <w:pPr>
              <w:spacing w:after="0"/>
              <w:rPr>
                <w:sz w:val="1"/>
                <w:szCs w:val="1"/>
                <w:color w:val="auto"/>
              </w:rPr>
            </w:pPr>
          </w:p>
        </w:tc>
      </w:tr>
      <w:tr>
        <w:trPr>
          <w:trHeight w:val="205"/>
        </w:trPr>
        <w:tc>
          <w:tcPr>
            <w:tcW w:w="238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GM Financial receivables, net(d)</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25,961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25,948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26,355</w:t>
            </w: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Equity in net assets of nonconsolidated affiliates</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6,084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1,437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7,521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7,107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1,455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8,562</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Property, net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37,608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37,969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38,374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38,750</w:t>
            </w: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Goodwill and intangible assets, net</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3,253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634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1,338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5,225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3,348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634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1,355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5,337</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Equipment on operating leases, net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41,296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41,296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42,055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42,055</w:t>
            </w: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Deferred income taxes</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24,137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415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(111)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24,441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24,582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345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(287)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24,640</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5,373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413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791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6,525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6,123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413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863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7,346</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non-current assets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76,456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1,607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70,929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(66)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148,925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79,533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1,542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72,040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(70)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153,045</w:t>
            </w:r>
          </w:p>
        </w:tc>
        <w:tc>
          <w:tcPr>
            <w:tcW w:w="0" w:type="dxa"/>
            <w:vAlign w:val="bottom"/>
          </w:tcPr>
          <w:p>
            <w:pPr>
              <w:spacing w:after="0"/>
              <w:rPr>
                <w:sz w:val="1"/>
                <w:szCs w:val="1"/>
                <w:color w:val="auto"/>
              </w:rPr>
            </w:pPr>
          </w:p>
        </w:tc>
      </w:tr>
      <w:tr>
        <w:trPr>
          <w:trHeight w:val="18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128,571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4,069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115,381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(1,397)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246,624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116,380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4,230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108,881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0"/>
              <w:spacing w:after="0"/>
              <w:rPr>
                <w:sz w:val="20"/>
                <w:szCs w:val="20"/>
                <w:color w:val="auto"/>
              </w:rPr>
            </w:pPr>
            <w:r>
              <w:rPr>
                <w:rFonts w:ascii="Arial" w:cs="Arial" w:eastAsia="Arial" w:hAnsi="Arial"/>
                <w:sz w:val="10"/>
                <w:szCs w:val="10"/>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Accounts payable (principally trade)(c)</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20,163</w:t>
            </w:r>
          </w:p>
        </w:tc>
        <w:tc>
          <w:tcPr>
            <w:tcW w:w="12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78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553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20,031</w:t>
            </w:r>
          </w:p>
        </w:tc>
        <w:tc>
          <w:tcPr>
            <w:tcW w:w="10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21,101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109</w:t>
            </w:r>
          </w:p>
        </w:tc>
        <w:tc>
          <w:tcPr>
            <w:tcW w:w="12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644</w:t>
            </w:r>
          </w:p>
        </w:tc>
        <w:tc>
          <w:tcPr>
            <w:tcW w:w="12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(836)</w:t>
            </w:r>
          </w:p>
        </w:tc>
        <w:tc>
          <w:tcPr>
            <w:tcW w:w="100" w:type="dxa"/>
            <w:vAlign w:val="bottom"/>
          </w:tcPr>
          <w:p>
            <w:pPr>
              <w:spacing w:after="0"/>
              <w:rPr>
                <w:sz w:val="17"/>
                <w:szCs w:val="17"/>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21,018</w:t>
            </w: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Short-term debt and current portion of long-term</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debt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380" w:type="dxa"/>
            <w:vAlign w:val="bottom"/>
          </w:tcPr>
          <w:p>
            <w:pPr>
              <w:ind w:left="260"/>
              <w:spacing w:after="0"/>
              <w:rPr>
                <w:sz w:val="20"/>
                <w:szCs w:val="20"/>
                <w:color w:val="auto"/>
              </w:rPr>
            </w:pPr>
            <w:r>
              <w:rPr>
                <w:rFonts w:ascii="Arial" w:cs="Arial" w:eastAsia="Arial" w:hAnsi="Arial"/>
                <w:sz w:val="10"/>
                <w:szCs w:val="10"/>
                <w:color w:val="auto"/>
              </w:rPr>
              <w:t>Automotive(d)</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2,269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(539)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1,730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2,397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7"/>
                <w:szCs w:val="17"/>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1,897</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GM Financial</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43,331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43,331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35,503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35,503</w:t>
            </w:r>
          </w:p>
        </w:tc>
        <w:tc>
          <w:tcPr>
            <w:tcW w:w="0" w:type="dxa"/>
            <w:vAlign w:val="bottom"/>
          </w:tcPr>
          <w:p>
            <w:pPr>
              <w:spacing w:after="0"/>
              <w:rPr>
                <w:sz w:val="1"/>
                <w:szCs w:val="1"/>
                <w:color w:val="auto"/>
              </w:rPr>
            </w:pPr>
          </w:p>
        </w:tc>
      </w:tr>
      <w:tr>
        <w:trPr>
          <w:trHeight w:val="20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Accrued liabilities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21,285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110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4,811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26,200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22,493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82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3,916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26,487</w:t>
            </w: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current liabilities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43,717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48,695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91,292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45,990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40,064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84,905</w:t>
            </w:r>
          </w:p>
        </w:tc>
        <w:tc>
          <w:tcPr>
            <w:tcW w:w="0" w:type="dxa"/>
            <w:vAlign w:val="bottom"/>
          </w:tcPr>
          <w:p>
            <w:pPr>
              <w:spacing w:after="0"/>
              <w:rPr>
                <w:sz w:val="1"/>
                <w:szCs w:val="1"/>
                <w:color w:val="auto"/>
              </w:rPr>
            </w:pPr>
          </w:p>
        </w:tc>
      </w:tr>
      <w:tr>
        <w:trPr>
          <w:trHeight w:val="205"/>
        </w:trPr>
        <w:tc>
          <w:tcPr>
            <w:tcW w:w="238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Long-term debt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80" w:type="dxa"/>
            <w:vAlign w:val="bottom"/>
          </w:tcPr>
          <w:p>
            <w:pPr>
              <w:ind w:left="260"/>
              <w:spacing w:after="0"/>
              <w:rPr>
                <w:sz w:val="20"/>
                <w:szCs w:val="20"/>
                <w:color w:val="auto"/>
              </w:rPr>
            </w:pPr>
            <w:r>
              <w:rPr>
                <w:rFonts w:ascii="Arial" w:cs="Arial" w:eastAsia="Arial" w:hAnsi="Arial"/>
                <w:sz w:val="10"/>
                <w:szCs w:val="10"/>
                <w:color w:val="auto"/>
              </w:rPr>
              <w:t>Automotive(d)</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28,594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28,581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12,507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7"/>
                <w:szCs w:val="17"/>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12,489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GM Financial</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52,858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52,858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53,435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53,435</w:t>
            </w:r>
          </w:p>
        </w:tc>
        <w:tc>
          <w:tcPr>
            <w:tcW w:w="0" w:type="dxa"/>
            <w:vAlign w:val="bottom"/>
          </w:tcPr>
          <w:p>
            <w:pPr>
              <w:spacing w:after="0"/>
              <w:rPr>
                <w:sz w:val="1"/>
                <w:szCs w:val="1"/>
                <w:color w:val="auto"/>
              </w:rPr>
            </w:pPr>
          </w:p>
        </w:tc>
      </w:tr>
      <w:tr>
        <w:trPr>
          <w:trHeight w:val="205"/>
        </w:trPr>
        <w:tc>
          <w:tcPr>
            <w:tcW w:w="2380" w:type="dxa"/>
            <w:vAlign w:val="bottom"/>
          </w:tcPr>
          <w:p>
            <w:pPr>
              <w:ind w:left="140"/>
              <w:spacing w:after="0"/>
              <w:rPr>
                <w:sz w:val="20"/>
                <w:szCs w:val="20"/>
                <w:color w:val="auto"/>
              </w:rPr>
            </w:pPr>
            <w:r>
              <w:rPr>
                <w:rFonts w:ascii="Arial" w:cs="Arial" w:eastAsia="Arial" w:hAnsi="Arial"/>
                <w:sz w:val="10"/>
                <w:szCs w:val="10"/>
                <w:color w:val="auto"/>
              </w:rPr>
              <w:t>Postretirement benefits other than pensions</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5,766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5,766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5,935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5,935</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Pensions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12,170</w:t>
            </w:r>
          </w:p>
        </w:tc>
        <w:tc>
          <w:tcPr>
            <w:tcW w:w="0" w:type="dxa"/>
            <w:vAlign w:val="bottom"/>
          </w:tcPr>
          <w:p>
            <w:pPr>
              <w:spacing w:after="0"/>
              <w:rPr>
                <w:sz w:val="1"/>
                <w:szCs w:val="1"/>
                <w:color w:val="auto"/>
              </w:rPr>
            </w:pPr>
          </w:p>
        </w:tc>
      </w:tr>
      <w:tr>
        <w:trPr>
          <w:trHeight w:val="20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liabilities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9,823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506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2,030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12,305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10,518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2,176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13,146</w:t>
            </w: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55,683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506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54,892</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111,015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41,126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505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55,615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97,175</w:t>
            </w:r>
          </w:p>
        </w:tc>
        <w:tc>
          <w:tcPr>
            <w:tcW w:w="0" w:type="dxa"/>
            <w:vAlign w:val="bottom"/>
          </w:tcPr>
          <w:p>
            <w:pPr>
              <w:spacing w:after="0"/>
              <w:rPr>
                <w:sz w:val="1"/>
                <w:szCs w:val="1"/>
                <w:color w:val="auto"/>
              </w:rPr>
            </w:pPr>
          </w:p>
        </w:tc>
      </w:tr>
      <w:tr>
        <w:trPr>
          <w:trHeight w:val="185"/>
        </w:trPr>
        <w:tc>
          <w:tcPr>
            <w:tcW w:w="238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40" w:type="dxa"/>
            <w:vAlign w:val="bottom"/>
          </w:tcPr>
          <w:p>
            <w:pPr>
              <w:spacing w:after="0"/>
              <w:rPr>
                <w:sz w:val="16"/>
                <w:szCs w:val="16"/>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99,400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694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103,587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(1,374)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202,307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87,114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697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95,679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(1,410)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182,080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8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205"/>
        </w:trPr>
        <w:tc>
          <w:tcPr>
            <w:tcW w:w="2380" w:type="dxa"/>
            <w:vAlign w:val="bottom"/>
          </w:tcPr>
          <w:p>
            <w:pPr>
              <w:ind w:left="80"/>
              <w:spacing w:after="0"/>
              <w:rPr>
                <w:sz w:val="20"/>
                <w:szCs w:val="20"/>
                <w:color w:val="auto"/>
              </w:rPr>
            </w:pPr>
            <w:r>
              <w:rPr>
                <w:rFonts w:ascii="Arial" w:cs="Arial" w:eastAsia="Arial" w:hAnsi="Arial"/>
                <w:sz w:val="10"/>
                <w:szCs w:val="10"/>
                <w:color w:val="auto"/>
              </w:rPr>
              <w:t>Preferred stock, $0.01 par value</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capital(b)(e)</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26,032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26,074</w:t>
            </w:r>
          </w:p>
        </w:tc>
        <w:tc>
          <w:tcPr>
            <w:tcW w:w="0" w:type="dxa"/>
            <w:vAlign w:val="bottom"/>
          </w:tcPr>
          <w:p>
            <w:pPr>
              <w:spacing w:after="0"/>
              <w:rPr>
                <w:sz w:val="1"/>
                <w:szCs w:val="1"/>
                <w:color w:val="auto"/>
              </w:rPr>
            </w:pPr>
          </w:p>
        </w:tc>
      </w:tr>
      <w:tr>
        <w:trPr>
          <w:trHeight w:val="205"/>
        </w:trPr>
        <w:tc>
          <w:tcPr>
            <w:tcW w:w="2380" w:type="dxa"/>
            <w:vAlign w:val="bottom"/>
          </w:tcPr>
          <w:p>
            <w:pPr>
              <w:ind w:left="80"/>
              <w:spacing w:after="0"/>
              <w:rPr>
                <w:sz w:val="20"/>
                <w:szCs w:val="20"/>
                <w:color w:val="auto"/>
              </w:rPr>
            </w:pPr>
            <w:r>
              <w:rPr>
                <w:rFonts w:ascii="Arial" w:cs="Arial" w:eastAsia="Arial" w:hAnsi="Arial"/>
                <w:sz w:val="10"/>
                <w:szCs w:val="10"/>
                <w:color w:val="auto"/>
              </w:rPr>
              <w:t>Retained earnings(b)</w:t>
            </w:r>
          </w:p>
        </w:tc>
        <w:tc>
          <w:tcPr>
            <w:tcW w:w="14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12,344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1,397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12,149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25,885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12,303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1,566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13,013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26,860</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Accumulated other comprehensive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(10,163)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(1,637)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(10,062)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(11,156)</w:t>
            </w:r>
          </w:p>
        </w:tc>
        <w:tc>
          <w:tcPr>
            <w:tcW w:w="0" w:type="dxa"/>
            <w:vAlign w:val="bottom"/>
          </w:tcPr>
          <w:p>
            <w:pPr>
              <w:spacing w:after="0"/>
              <w:rPr>
                <w:sz w:val="1"/>
                <w:szCs w:val="1"/>
                <w:color w:val="auto"/>
              </w:rPr>
            </w:pPr>
          </w:p>
        </w:tc>
      </w:tr>
      <w:tr>
        <w:trPr>
          <w:trHeight w:val="192"/>
        </w:trPr>
        <w:tc>
          <w:tcPr>
            <w:tcW w:w="238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28,228</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1,454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11,794</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(1,363)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40,113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28,348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1,617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13,202</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(1,376)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41,792</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interests(e)</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1,916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4,165</w:t>
            </w:r>
          </w:p>
        </w:tc>
        <w:tc>
          <w:tcPr>
            <w:tcW w:w="0" w:type="dxa"/>
            <w:vAlign w:val="bottom"/>
          </w:tcPr>
          <w:p>
            <w:pPr>
              <w:spacing w:after="0"/>
              <w:rPr>
                <w:sz w:val="1"/>
                <w:szCs w:val="1"/>
                <w:color w:val="auto"/>
              </w:rPr>
            </w:pPr>
          </w:p>
        </w:tc>
      </w:tr>
      <w:tr>
        <w:trPr>
          <w:trHeight w:val="185"/>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29,171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3,375</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11,794</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44,317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29,266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3,533</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13,202</w:t>
            </w: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(43)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45,957</w:t>
            </w:r>
          </w:p>
        </w:tc>
        <w:tc>
          <w:tcPr>
            <w:tcW w:w="0" w:type="dxa"/>
            <w:vAlign w:val="bottom"/>
          </w:tcPr>
          <w:p>
            <w:pPr>
              <w:spacing w:after="0"/>
              <w:rPr>
                <w:sz w:val="1"/>
                <w:szCs w:val="1"/>
                <w:color w:val="auto"/>
              </w:rPr>
            </w:pPr>
          </w:p>
        </w:tc>
      </w:tr>
      <w:tr>
        <w:trPr>
          <w:trHeight w:val="18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128,571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4,069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115,381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(1,397)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246,624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116,380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4,230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108,881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8"/>
                <w:szCs w:val="8"/>
                <w:color w:val="auto"/>
              </w:rPr>
              <w:t>_________</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 includes Cruise investment in GM common stock at March 31, 2020 and December 31, 2019.</w:t>
      </w:r>
    </w:p>
    <w:p>
      <w:pPr>
        <w:spacing w:after="0" w:line="3" w:lineRule="exact"/>
        <w:rPr>
          <w:rFonts w:ascii="Arial" w:cs="Arial" w:eastAsia="Arial" w:hAnsi="Arial"/>
          <w:sz w:val="8"/>
          <w:szCs w:val="8"/>
          <w:color w:val="auto"/>
        </w:rPr>
      </w:pPr>
    </w:p>
    <w:p>
      <w:pPr>
        <w:ind w:left="260" w:hanging="255"/>
        <w:spacing w:after="0" w:line="249" w:lineRule="auto"/>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primarily include GM Financial accounts receivable of $670 million offset by Automotive accounts payable and Automotive accounts receivable of $43 million offset by GM Financial accounts payable at March 31, 2020 and GM Financial accounts receivable of $678 million offset by Automotive accounts payable and Automotive accounts receivable of $78 million offset by GM Financial accounts payable at December 31, 2019.</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GM Financial loan receivable of $552 million and $517 million offset by an Automotive loan payable at March 31, 2020 and December 31, 2019.</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and B. The preferred stock is classified as noncontrolling interests in our condensed consolidated balance sheet.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464"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millions) (Unaudited)(a)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ind w:left="20"/>
              <w:spacing w:after="0"/>
              <w:rPr>
                <w:sz w:val="20"/>
                <w:szCs w:val="20"/>
                <w:color w:val="auto"/>
              </w:rPr>
            </w:pPr>
            <w:r>
              <w:rPr>
                <w:rFonts w:ascii="Arial" w:cs="Arial" w:eastAsia="Arial" w:hAnsi="Arial"/>
                <w:sz w:val="8"/>
                <w:szCs w:val="8"/>
                <w:b w:val="1"/>
                <w:bCs w:val="1"/>
                <w:color w:val="auto"/>
              </w:rPr>
              <w:t>Three Months Ended March 31, 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8"/>
                <w:szCs w:val="8"/>
                <w:b w:val="1"/>
                <w:bCs w:val="1"/>
                <w:color w:val="auto"/>
              </w:rPr>
              <w:t>Three Months Ended March 31, 2019</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17"/>
                <w:szCs w:val="17"/>
                <w:color w:val="auto"/>
              </w:rPr>
            </w:pPr>
          </w:p>
        </w:tc>
        <w:tc>
          <w:tcPr>
            <w:tcW w:w="400" w:type="dxa"/>
            <w:vAlign w:val="bottom"/>
          </w:tcPr>
          <w:p>
            <w:pPr>
              <w:jc w:val="right"/>
              <w:ind w:right="71"/>
              <w:spacing w:after="0"/>
              <w:rPr>
                <w:sz w:val="20"/>
                <w:szCs w:val="20"/>
                <w:color w:val="auto"/>
              </w:rPr>
            </w:pPr>
            <w:r>
              <w:rPr>
                <w:rFonts w:ascii="Arial" w:cs="Arial" w:eastAsia="Arial" w:hAnsi="Arial"/>
                <w:sz w:val="7"/>
                <w:szCs w:val="7"/>
                <w:b w:val="1"/>
                <w:bCs w:val="1"/>
                <w:color w:val="auto"/>
              </w:rPr>
              <w:t>Cruise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Reclassification/Eliminations</w:t>
            </w:r>
          </w:p>
        </w:tc>
        <w:tc>
          <w:tcPr>
            <w:tcW w:w="14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17"/>
                <w:szCs w:val="17"/>
                <w:color w:val="auto"/>
              </w:rPr>
            </w:pPr>
          </w:p>
        </w:tc>
        <w:tc>
          <w:tcPr>
            <w:tcW w:w="360" w:type="dxa"/>
            <w:vAlign w:val="bottom"/>
          </w:tcPr>
          <w:p>
            <w:pPr>
              <w:jc w:val="right"/>
              <w:ind w:right="51"/>
              <w:spacing w:after="0"/>
              <w:rPr>
                <w:sz w:val="20"/>
                <w:szCs w:val="20"/>
                <w:color w:val="auto"/>
              </w:rPr>
            </w:pPr>
            <w:r>
              <w:rPr>
                <w:rFonts w:ascii="Arial" w:cs="Arial" w:eastAsia="Arial" w:hAnsi="Arial"/>
                <w:sz w:val="7"/>
                <w:szCs w:val="7"/>
                <w:b w:val="1"/>
                <w:bCs w:val="1"/>
                <w:color w:val="auto"/>
              </w:rPr>
              <w:t>Cruise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2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Reclassification/Eliminations</w:t>
            </w:r>
          </w:p>
        </w:tc>
        <w:tc>
          <w:tcPr>
            <w:tcW w:w="1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2,001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2,145</w:t>
            </w:r>
          </w:p>
        </w:tc>
        <w:tc>
          <w:tcPr>
            <w:tcW w:w="0" w:type="dxa"/>
            <w:vAlign w:val="bottom"/>
          </w:tcPr>
          <w:p>
            <w:pPr>
              <w:spacing w:after="0"/>
              <w:rPr>
                <w:sz w:val="1"/>
                <w:szCs w:val="1"/>
                <w:color w:val="auto"/>
              </w:rPr>
            </w:pPr>
          </w:p>
        </w:tc>
      </w:tr>
      <w:tr>
        <w:trPr>
          <w:trHeight w:val="123"/>
        </w:trPr>
        <w:tc>
          <w:tcPr>
            <w:tcW w:w="3040" w:type="dxa"/>
            <w:vAlign w:val="bottom"/>
          </w:tcPr>
          <w:p>
            <w:pPr>
              <w:ind w:left="140"/>
              <w:spacing w:after="0"/>
              <w:rPr>
                <w:sz w:val="20"/>
                <w:szCs w:val="20"/>
                <w:color w:val="auto"/>
              </w:rPr>
            </w:pPr>
            <w:r>
              <w:rPr>
                <w:rFonts w:ascii="Arial" w:cs="Arial" w:eastAsia="Arial" w:hAnsi="Arial"/>
                <w:sz w:val="10"/>
                <w:szCs w:val="10"/>
                <w:color w:val="auto"/>
              </w:rPr>
              <w:t>Depreciation and impairment of Equipment on operating leases,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40" w:type="dxa"/>
            <w:vAlign w:val="bottom"/>
          </w:tcPr>
          <w:p>
            <w:pPr>
              <w:ind w:left="260"/>
              <w:spacing w:after="0"/>
              <w:rPr>
                <w:sz w:val="20"/>
                <w:szCs w:val="20"/>
                <w:color w:val="auto"/>
              </w:rPr>
            </w:pPr>
            <w:r>
              <w:rPr>
                <w:rFonts w:ascii="Arial" w:cs="Arial" w:eastAsia="Arial" w:hAnsi="Arial"/>
                <w:sz w:val="10"/>
                <w:szCs w:val="10"/>
                <w:color w:val="auto"/>
              </w:rPr>
              <w:t>net</w:t>
            </w:r>
          </w:p>
        </w:tc>
        <w:tc>
          <w:tcPr>
            <w:tcW w:w="120" w:type="dxa"/>
            <w:vAlign w:val="bottom"/>
          </w:tcPr>
          <w:p>
            <w:pPr>
              <w:spacing w:after="0"/>
              <w:rPr>
                <w:sz w:val="10"/>
                <w:szCs w:val="10"/>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1,770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1,806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51"/>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1,881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1,897</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Depreciation, amortization and impairment charges on Property,</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2,199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2,219</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Foreign currency remeasurement and transaction (gains) losses</w:t>
            </w:r>
          </w:p>
        </w:tc>
        <w:tc>
          <w:tcPr>
            <w:tcW w:w="12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(117)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0"/>
                <w:szCs w:val="10"/>
                <w:color w:val="auto"/>
              </w:rPr>
              <w:t>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Undistributed earnings of nonconsolidated affiliates,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(413)</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(212)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(291)</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(149)</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212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(70)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46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(253)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Change in other operating assets and liabilities(b)(c)(d)</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(1,217)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234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(798)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(1,761)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(5,424)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141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(5,316)</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20" w:type="dxa"/>
            <w:vAlign w:val="bottom"/>
          </w:tcPr>
          <w:p>
            <w:pPr>
              <w:spacing w:after="0"/>
              <w:rPr>
                <w:sz w:val="13"/>
                <w:szCs w:val="13"/>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337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2,213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(781)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1,561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(2,207)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2,143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jc w:val="right"/>
              <w:ind w:right="51"/>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(1,205)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(1,224)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(2,014)</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Available-for-sale marketable securities, acquisitions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(3,281)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(4,091)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(677)</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Available-for-sale marketable securities, liquidations</w:t>
            </w:r>
          </w:p>
        </w:tc>
        <w:tc>
          <w:tcPr>
            <w:tcW w:w="12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911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4"/>
                <w:szCs w:val="14"/>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0"/>
                <w:szCs w:val="10"/>
                <w:color w:val="auto"/>
              </w:rPr>
              <w:t>678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4"/>
                <w:szCs w:val="14"/>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678</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finance receivables, net(b)(c)</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(6,939)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(6,374)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(7,222)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(7,215)</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Principal collections and recoveries on finance receivables(c)</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4,890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4,739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6,370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(163)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6,207</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(3,733)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(3,733)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(3,747)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(3,747)</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3,088</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3,088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3,059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3,059</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investing activities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investing activities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(3,592)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(607)</w:t>
            </w: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(2,710)</w:t>
            </w: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338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(6,570)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(1,996)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(1,556)</w:t>
            </w: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(167)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(3,711)</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Net increase in short-term debt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13</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0"/>
                <w:szCs w:val="10"/>
                <w:color w:val="auto"/>
              </w:rPr>
              <w:t>480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479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959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debt (original maturities greater than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three months)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16,362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19,502</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35,863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11,074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11,757</w:t>
            </w:r>
          </w:p>
        </w:tc>
        <w:tc>
          <w:tcPr>
            <w:tcW w:w="0" w:type="dxa"/>
            <w:vAlign w:val="bottom"/>
          </w:tcPr>
          <w:p>
            <w:pPr>
              <w:spacing w:after="0"/>
              <w:rPr>
                <w:sz w:val="1"/>
                <w:szCs w:val="1"/>
                <w:color w:val="auto"/>
              </w:rPr>
            </w:pPr>
          </w:p>
        </w:tc>
      </w:tr>
      <w:tr>
        <w:trPr>
          <w:trHeight w:val="163"/>
        </w:trPr>
        <w:tc>
          <w:tcPr>
            <w:tcW w:w="3040" w:type="dxa"/>
            <w:vAlign w:val="bottom"/>
          </w:tcPr>
          <w:p>
            <w:pPr>
              <w:ind w:left="140"/>
              <w:spacing w:after="0"/>
              <w:rPr>
                <w:sz w:val="20"/>
                <w:szCs w:val="20"/>
                <w:color w:val="auto"/>
              </w:rPr>
            </w:pPr>
            <w:r>
              <w:rPr>
                <w:rFonts w:ascii="Arial" w:cs="Arial" w:eastAsia="Arial" w:hAnsi="Arial"/>
                <w:sz w:val="10"/>
                <w:szCs w:val="10"/>
                <w:color w:val="auto"/>
              </w:rPr>
              <w:t>Payments on debt (original maturities greater than three months)</w:t>
            </w:r>
          </w:p>
        </w:tc>
        <w:tc>
          <w:tcPr>
            <w:tcW w:w="12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(104)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(11,259)</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(11,339)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(10,682)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ind w:right="5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(10,777)</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Dividends paid(d)</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(545)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(445)</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(590)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(565)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(626)</w:t>
            </w:r>
          </w:p>
        </w:tc>
        <w:tc>
          <w:tcPr>
            <w:tcW w:w="0" w:type="dxa"/>
            <w:vAlign w:val="bottom"/>
          </w:tcPr>
          <w:p>
            <w:pPr>
              <w:spacing w:after="0"/>
              <w:rPr>
                <w:sz w:val="1"/>
                <w:szCs w:val="1"/>
                <w:color w:val="auto"/>
              </w:rPr>
            </w:pPr>
          </w:p>
        </w:tc>
      </w:tr>
      <w:tr>
        <w:trPr>
          <w:trHeight w:val="205"/>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financing activities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(28)</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(267)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(236)</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15,455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7,782</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23,680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791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1,077</w:t>
            </w:r>
          </w:p>
        </w:tc>
        <w:tc>
          <w:tcPr>
            <w:tcW w:w="0" w:type="dxa"/>
            <w:vAlign w:val="bottom"/>
          </w:tcPr>
          <w:p>
            <w:pPr>
              <w:spacing w:after="0"/>
              <w:rPr>
                <w:sz w:val="1"/>
                <w:szCs w:val="1"/>
                <w:color w:val="auto"/>
              </w:rPr>
            </w:pPr>
          </w:p>
        </w:tc>
      </w:tr>
      <w:tr>
        <w:trPr>
          <w:trHeight w:val="123"/>
        </w:trPr>
        <w:tc>
          <w:tcPr>
            <w:tcW w:w="3040" w:type="dxa"/>
            <w:vAlign w:val="bottom"/>
          </w:tcPr>
          <w:p>
            <w:pPr>
              <w:ind w:left="140"/>
              <w:spacing w:after="0"/>
              <w:rPr>
                <w:sz w:val="20"/>
                <w:szCs w:val="20"/>
                <w:color w:val="auto"/>
              </w:rPr>
            </w:pPr>
            <w:r>
              <w:rPr>
                <w:rFonts w:ascii="Arial" w:cs="Arial" w:eastAsia="Arial" w:hAnsi="Arial"/>
                <w:sz w:val="10"/>
                <w:szCs w:val="10"/>
                <w:color w:val="auto"/>
              </w:rPr>
              <w:t>Effect of exchange rate changes on cash, cash equivalents and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40" w:type="dxa"/>
            <w:vAlign w:val="bottom"/>
          </w:tcPr>
          <w:p>
            <w:pPr>
              <w:ind w:left="260"/>
              <w:spacing w:after="0"/>
              <w:rPr>
                <w:sz w:val="20"/>
                <w:szCs w:val="20"/>
                <w:color w:val="auto"/>
              </w:rPr>
            </w:pPr>
            <w:r>
              <w:rPr>
                <w:rFonts w:ascii="Arial" w:cs="Arial" w:eastAsia="Arial" w:hAnsi="Arial"/>
                <w:sz w:val="10"/>
                <w:szCs w:val="10"/>
                <w:color w:val="auto"/>
              </w:rPr>
              <w:t>restricted cash</w:t>
            </w:r>
          </w:p>
        </w:tc>
        <w:tc>
          <w:tcPr>
            <w:tcW w:w="120" w:type="dxa"/>
            <w:vAlign w:val="bottom"/>
          </w:tcPr>
          <w:p>
            <w:pPr>
              <w:spacing w:after="0"/>
              <w:rPr>
                <w:sz w:val="10"/>
                <w:szCs w:val="10"/>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(288)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(159)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(448)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3040" w:type="dxa"/>
            <w:vAlign w:val="bottom"/>
            <w:tcBorders>
              <w:top w:val="single" w:sz="8" w:color="CCEEFF"/>
            </w:tcBorders>
            <w:shd w:val="clear" w:color="auto" w:fill="CCEEFF"/>
          </w:tcPr>
          <w:p>
            <w:pPr>
              <w:ind w:left="140"/>
              <w:spacing w:after="0" w:line="110" w:lineRule="exact"/>
              <w:rPr>
                <w:sz w:val="20"/>
                <w:szCs w:val="20"/>
                <w:color w:val="auto"/>
              </w:rPr>
            </w:pPr>
            <w:r>
              <w:rPr>
                <w:rFonts w:ascii="Arial" w:cs="Arial" w:eastAsia="Arial" w:hAnsi="Arial"/>
                <w:sz w:val="10"/>
                <w:szCs w:val="10"/>
                <w:color w:val="auto"/>
              </w:rPr>
              <w:t>Net increase (decrease) in cash, cash equivalents and restricted</w:t>
            </w: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cash</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11,912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7,126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18,223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(3,945)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1,386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(2,715)</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13,487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2,355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7,102</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22,943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13,762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2,291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7,443</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23,496</w:t>
            </w:r>
          </w:p>
        </w:tc>
        <w:tc>
          <w:tcPr>
            <w:tcW w:w="0" w:type="dxa"/>
            <w:vAlign w:val="bottom"/>
          </w:tcPr>
          <w:p>
            <w:pPr>
              <w:spacing w:after="0"/>
              <w:rPr>
                <w:sz w:val="1"/>
                <w:szCs w:val="1"/>
                <w:color w:val="auto"/>
              </w:rPr>
            </w:pPr>
          </w:p>
        </w:tc>
      </w:tr>
      <w:tr>
        <w:trPr>
          <w:trHeight w:val="166"/>
        </w:trPr>
        <w:tc>
          <w:tcPr>
            <w:tcW w:w="30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25,398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1,540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14,228</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41,166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9,817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8,829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20,781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8"/>
                <w:szCs w:val="8"/>
                <w:color w:val="auto"/>
              </w:rPr>
              <w:t>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3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Includes reclassifications of $325 million and $200 million in the three months ended March 31, 2020 and 2019 for purchases/collections of wholesale finance receivables resulting from vehicles sold by GM to dealers that have arranged their inventory floor plan financing through GM Financial.</w:t>
      </w:r>
    </w:p>
    <w:p>
      <w:pPr>
        <w:spacing w:after="0" w:line="3" w:lineRule="exact"/>
        <w:rPr>
          <w:rFonts w:ascii="Arial" w:cs="Arial" w:eastAsia="Arial" w:hAnsi="Arial"/>
          <w:sz w:val="8"/>
          <w:szCs w:val="8"/>
          <w:color w:val="auto"/>
        </w:rPr>
      </w:pPr>
    </w:p>
    <w:p>
      <w:pPr>
        <w:ind w:left="260" w:hanging="255"/>
        <w:spacing w:after="0" w:line="249" w:lineRule="auto"/>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Eliminations include $240 million and $207 million in Purchases of finance receivables, net in the three months ended March 31, 2020 and 2019, and $151 million and $163 million in Principal collections and recoveries on finance receivables in the three months ended March 31, 2020 and 2019 primarily related to the re-timing of cash receipts and payments between Automotive and GM Financial.</w:t>
      </w: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sectPr>
      <w:pgSz w:w="11900" w:h="16838" w:orient="portrait"/>
      <w:cols w:equalWidth="0" w:num="1">
        <w:col w:w="11280"/>
      </w:cols>
      <w:pgMar w:left="300" w:top="4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2020-05-06T07:52:19Z</dcterms:created>
  <dcterms:modified xsi:type="dcterms:W3CDTF">2020-05-06T07:52:19Z</dcterms:modified>
</cp:coreProperties>
</file>