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193675</wp:posOffset>
            </wp:positionH>
            <wp:positionV relativeFrom="page">
              <wp:posOffset>628015</wp:posOffset>
            </wp:positionV>
            <wp:extent cx="7161530"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SECURITIES AND EXCHANGE COMMISSION</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6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FORM 8-K</w:t>
      </w:r>
    </w:p>
    <w:p>
      <w:pPr>
        <w:spacing w:after="0" w:line="39"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79"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Pursuant to Section 13 or 15(d) of</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7"/>
          <w:szCs w:val="17"/>
          <w:b w:val="1"/>
          <w:bCs w:val="1"/>
          <w:color w:val="auto"/>
        </w:rPr>
        <w:t>the Securities Exchange Act of 1934</w:t>
      </w:r>
    </w:p>
    <w:p>
      <w:pPr>
        <w:spacing w:after="0" w:line="17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Date of Report (Date of earliest event reported): February 10, 2021</w:t>
      </w:r>
    </w:p>
    <w:p>
      <w:pPr>
        <w:spacing w:after="0" w:line="23" w:lineRule="exact"/>
        <w:rPr>
          <w:sz w:val="24"/>
          <w:szCs w:val="24"/>
          <w:color w:val="auto"/>
        </w:rPr>
      </w:pPr>
    </w:p>
    <w:p>
      <w:pPr>
        <w:ind w:left="4840"/>
        <w:spacing w:after="0"/>
        <w:rPr>
          <w:sz w:val="20"/>
          <w:szCs w:val="20"/>
          <w:color w:val="auto"/>
        </w:rPr>
      </w:pPr>
      <w:r>
        <w:rPr>
          <w:rFonts w:ascii="Arial" w:cs="Arial" w:eastAsia="Arial" w:hAnsi="Arial"/>
          <w:sz w:val="17"/>
          <w:szCs w:val="17"/>
          <w:color w:val="auto"/>
        </w:rPr>
        <w:t>___________________</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34"/>
          <w:szCs w:val="34"/>
          <w:b w:val="1"/>
          <w:bCs w:val="1"/>
          <w:color w:val="auto"/>
        </w:rPr>
        <w:t>GENERAL MOTORS COMPANY</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(Exact name of registrant as specified in its charter)</w:t>
      </w:r>
    </w:p>
    <w:p>
      <w:pPr>
        <w:spacing w:after="0" w:line="7"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ectPr>
          <w:pgSz w:w="11900" w:h="16838" w:orient="portrait"/>
          <w:cols w:equalWidth="0" w:num="1">
            <w:col w:w="11040"/>
          </w:cols>
          <w:pgMar w:left="300" w:top="1246" w:right="559" w:bottom="1440" w:gutter="0" w:footer="0" w:header="0"/>
        </w:sectPr>
      </w:pPr>
    </w:p>
    <w:p>
      <w:pPr>
        <w:spacing w:after="0" w:line="109" w:lineRule="exact"/>
        <w:rPr>
          <w:sz w:val="24"/>
          <w:szCs w:val="24"/>
          <w:color w:val="auto"/>
        </w:rPr>
      </w:pPr>
    </w:p>
    <w:p>
      <w:pPr>
        <w:ind w:left="176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jc w:val="center"/>
        <w:ind w:right="2220"/>
        <w:spacing w:after="0"/>
        <w:rPr>
          <w:sz w:val="20"/>
          <w:szCs w:val="20"/>
          <w:color w:val="auto"/>
        </w:rPr>
      </w:pPr>
      <w:r>
        <w:rPr>
          <w:rFonts w:ascii="Arial" w:cs="Arial" w:eastAsia="Arial" w:hAnsi="Arial"/>
          <w:sz w:val="12"/>
          <w:szCs w:val="12"/>
          <w:b w:val="1"/>
          <w:bCs w:val="1"/>
          <w:color w:val="auto"/>
        </w:rPr>
        <w:t>001-34960</w:t>
      </w:r>
    </w:p>
    <w:p>
      <w:pPr>
        <w:spacing w:after="0" w:line="20" w:lineRule="exact"/>
        <w:rPr>
          <w:sz w:val="24"/>
          <w:szCs w:val="24"/>
          <w:color w:val="auto"/>
        </w:rPr>
      </w:pPr>
      <w:r>
        <w:rPr>
          <w:sz w:val="24"/>
          <w:szCs w:val="24"/>
          <w:color w:val="auto"/>
        </w:rPr>
        <w:br w:type="column"/>
      </w:r>
    </w:p>
    <w:p>
      <w:pPr>
        <w:spacing w:after="0" w:line="8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27-0756180</w:t>
      </w:r>
    </w:p>
    <w:p>
      <w:pPr>
        <w:spacing w:after="0" w:line="67" w:lineRule="exact"/>
        <w:rPr>
          <w:sz w:val="24"/>
          <w:szCs w:val="24"/>
          <w:color w:val="auto"/>
        </w:rPr>
      </w:pPr>
    </w:p>
    <w:p>
      <w:pPr>
        <w:sectPr>
          <w:pgSz w:w="11900" w:h="16838" w:orient="portrait"/>
          <w:cols w:equalWidth="0" w:num="3">
            <w:col w:w="4780" w:space="720"/>
            <w:col w:w="2820" w:space="720"/>
            <w:col w:w="2000"/>
          </w:cols>
          <w:pgMar w:left="300" w:top="1246" w:right="559" w:bottom="1440" w:gutter="0" w:footer="0" w:header="0"/>
          <w:type w:val="continuous"/>
        </w:sectPr>
      </w:pPr>
    </w:p>
    <w:p>
      <w:pPr>
        <w:ind w:left="8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06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44" w:lineRule="exact"/>
        <w:rPr>
          <w:sz w:val="24"/>
          <w:szCs w:val="24"/>
          <w:color w:val="auto"/>
        </w:rPr>
      </w:pPr>
    </w:p>
    <w:p>
      <w:pPr>
        <w:sectPr>
          <w:pgSz w:w="11900" w:h="16838" w:orient="portrait"/>
          <w:cols w:equalWidth="0" w:num="3">
            <w:col w:w="4300" w:space="720"/>
            <w:col w:w="2620" w:space="720"/>
            <w:col w:w="2680"/>
          </w:cols>
          <w:pgMar w:left="300" w:top="1246" w:right="559" w:bottom="1440" w:gutter="0" w:footer="0" w:header="0"/>
          <w:type w:val="continuous"/>
        </w:sectPr>
      </w:pPr>
    </w:p>
    <w:p>
      <w:pPr>
        <w:jc w:val="right"/>
        <w:ind w:right="3440"/>
        <w:spacing w:after="0"/>
        <w:tabs>
          <w:tab w:leader="none" w:pos="4700" w:val="left"/>
          <w:tab w:leader="none" w:pos="4000" w:val="left"/>
        </w:tabs>
        <w:rPr>
          <w:sz w:val="20"/>
          <w:szCs w:val="20"/>
          <w:color w:val="auto"/>
        </w:rPr>
      </w:pPr>
      <w:r>
        <w:rPr>
          <w:rFonts w:ascii="Arial" w:cs="Arial" w:eastAsia="Arial" w:hAnsi="Arial"/>
          <w:sz w:val="14"/>
          <w:szCs w:val="14"/>
          <w:b w:val="1"/>
          <w:bCs w:val="1"/>
          <w:color w:val="auto"/>
        </w:rPr>
        <w:t>300 Renaissance Center,</w:t>
      </w:r>
      <w:r>
        <w:rPr>
          <w:sz w:val="20"/>
          <w:szCs w:val="20"/>
          <w:color w:val="auto"/>
        </w:rPr>
        <w:tab/>
      </w:r>
      <w:r>
        <w:rPr>
          <w:rFonts w:ascii="Arial" w:cs="Arial" w:eastAsia="Arial" w:hAnsi="Arial"/>
          <w:sz w:val="14"/>
          <w:szCs w:val="14"/>
          <w:b w:val="1"/>
          <w:bCs w:val="1"/>
          <w:color w:val="auto"/>
        </w:rPr>
        <w:t>Detroit,</w:t>
      </w:r>
      <w:r>
        <w:rPr>
          <w:sz w:val="20"/>
          <w:szCs w:val="20"/>
          <w:color w:val="auto"/>
        </w:rPr>
        <w:tab/>
      </w:r>
      <w:r>
        <w:rPr>
          <w:rFonts w:ascii="Arial" w:cs="Arial" w:eastAsia="Arial" w:hAnsi="Arial"/>
          <w:sz w:val="13"/>
          <w:szCs w:val="13"/>
          <w:b w:val="1"/>
          <w:bCs w:val="1"/>
          <w:color w:val="auto"/>
        </w:rPr>
        <w:t>Michigan</w:t>
      </w:r>
    </w:p>
    <w:p>
      <w:pPr>
        <w:spacing w:after="0" w:line="23" w:lineRule="exact"/>
        <w:rPr>
          <w:sz w:val="24"/>
          <w:szCs w:val="24"/>
          <w:color w:val="auto"/>
        </w:rPr>
      </w:pPr>
    </w:p>
    <w:p>
      <w:pPr>
        <w:jc w:val="right"/>
        <w:ind w:right="3400"/>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right"/>
        <w:ind w:right="1980"/>
        <w:spacing w:after="0"/>
        <w:rPr>
          <w:sz w:val="20"/>
          <w:szCs w:val="20"/>
          <w:color w:val="auto"/>
        </w:rPr>
      </w:pPr>
      <w:r>
        <w:rPr>
          <w:rFonts w:ascii="Arial" w:cs="Arial" w:eastAsia="Arial" w:hAnsi="Arial"/>
          <w:sz w:val="12"/>
          <w:szCs w:val="12"/>
          <w:b w:val="1"/>
          <w:bCs w:val="1"/>
          <w:color w:val="auto"/>
        </w:rPr>
        <w:t>48265 -3000</w:t>
      </w:r>
    </w:p>
    <w:p>
      <w:pPr>
        <w:spacing w:after="0" w:line="46" w:lineRule="exact"/>
        <w:rPr>
          <w:sz w:val="24"/>
          <w:szCs w:val="24"/>
          <w:color w:val="auto"/>
        </w:rPr>
      </w:pPr>
    </w:p>
    <w:p>
      <w:pPr>
        <w:jc w:val="right"/>
        <w:ind w:right="2000"/>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640" w:space="720"/>
            <w:col w:w="2680"/>
          </w:cols>
          <w:pgMar w:left="300" w:top="1246" w:right="559" w:bottom="1440" w:gutter="0" w:footer="0" w:header="0"/>
          <w:type w:val="continuous"/>
        </w:sectPr>
      </w:pPr>
    </w:p>
    <w:p>
      <w:pPr>
        <w:spacing w:after="0" w:line="5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(313) 667-1500</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(Registrant's telephone number, including area code)</w:t>
      </w:r>
    </w:p>
    <w:p>
      <w:pPr>
        <w:spacing w:after="0" w:line="185"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Not Applicable</w:t>
      </w:r>
    </w:p>
    <w:p>
      <w:pPr>
        <w:spacing w:after="0" w:line="23" w:lineRule="exact"/>
        <w:rPr>
          <w:sz w:val="24"/>
          <w:szCs w:val="24"/>
          <w:color w:val="auto"/>
        </w:rPr>
      </w:pPr>
    </w:p>
    <w:p>
      <w:pPr>
        <w:jc w:val="center"/>
        <w:ind w:right="-23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9" w:lineRule="exact"/>
        <w:rPr>
          <w:sz w:val="24"/>
          <w:szCs w:val="24"/>
          <w:color w:val="auto"/>
        </w:rPr>
      </w:pPr>
    </w:p>
    <w:p>
      <w:pPr>
        <w:ind w:left="4880"/>
        <w:spacing w:after="0"/>
        <w:rPr>
          <w:sz w:val="20"/>
          <w:szCs w:val="20"/>
          <w:color w:val="auto"/>
        </w:rPr>
      </w:pPr>
      <w:r>
        <w:rPr>
          <w:rFonts w:ascii="Arial" w:cs="Arial" w:eastAsia="Arial" w:hAnsi="Arial"/>
          <w:sz w:val="17"/>
          <w:szCs w:val="17"/>
          <w:color w:val="auto"/>
        </w:rPr>
        <w:t>__________________</w:t>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Written communications pursuant to Rule 425 under the Securities Act (17 CFR 230.425)</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Soliciting material pursuant to Rule 14a-12 under the Exchange Act (17 CFR 240.14a-12)</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14d-2(b) under the Exchange Act (17 CFR 240.14d-2(b))</w:t>
      </w:r>
    </w:p>
    <w:p>
      <w:pPr>
        <w:spacing w:after="0" w:line="211" w:lineRule="exact"/>
        <w:rPr>
          <w:rFonts w:ascii="MS PGothic" w:cs="MS PGothic" w:eastAsia="MS PGothic" w:hAnsi="MS PGothic"/>
          <w:sz w:val="14"/>
          <w:szCs w:val="14"/>
          <w:color w:val="auto"/>
        </w:rPr>
      </w:pPr>
    </w:p>
    <w:p>
      <w:pPr>
        <w:ind w:left="600" w:hanging="560"/>
        <w:spacing w:after="0"/>
        <w:tabs>
          <w:tab w:leader="none" w:pos="600" w:val="left"/>
        </w:tabs>
        <w:numPr>
          <w:ilvl w:val="0"/>
          <w:numId w:val="1"/>
        </w:numPr>
        <w:rPr>
          <w:rFonts w:ascii="MS PGothic" w:cs="MS PGothic" w:eastAsia="MS PGothic" w:hAnsi="MS PGothic"/>
          <w:sz w:val="14"/>
          <w:szCs w:val="14"/>
          <w:color w:val="auto"/>
        </w:rPr>
      </w:pPr>
      <w:r>
        <w:rPr>
          <w:rFonts w:ascii="Arial" w:cs="Arial" w:eastAsia="Arial" w:hAnsi="Arial"/>
          <w:sz w:val="13"/>
          <w:szCs w:val="13"/>
          <w:color w:val="auto"/>
        </w:rPr>
        <w:t>Pre-commencement communications pursuant to Rule 13e-4(c) under the Exchange Act (17 CFR 240.13e-4(c))</w:t>
      </w:r>
    </w:p>
    <w:p>
      <w:pPr>
        <w:spacing w:after="0" w:line="84" w:lineRule="exact"/>
        <w:rPr>
          <w:sz w:val="24"/>
          <w:szCs w:val="24"/>
          <w:color w:val="auto"/>
        </w:rPr>
      </w:pPr>
    </w:p>
    <w:tbl>
      <w:tblPr>
        <w:tblLayout w:type="fixed"/>
        <w:tblInd w:w="15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gridSpan w:val="3"/>
          </w:tcPr>
          <w:p>
            <w:pPr>
              <w:jc w:val="center"/>
              <w:ind w:left="96"/>
              <w:spacing w:after="0"/>
              <w:rPr>
                <w:sz w:val="20"/>
                <w:szCs w:val="20"/>
                <w:color w:val="auto"/>
              </w:rPr>
            </w:pPr>
            <w:r>
              <w:rPr>
                <w:rFonts w:ascii="Arial" w:cs="Arial" w:eastAsia="Arial" w:hAnsi="Arial"/>
                <w:sz w:val="13"/>
                <w:szCs w:val="13"/>
                <w:color w:val="auto"/>
                <w:w w:val="89"/>
              </w:rPr>
              <w:t>Securities registered pursuant to Section 12(b) of the Act:</w:t>
            </w:r>
          </w:p>
        </w:tc>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259"/>
        </w:trPr>
        <w:tc>
          <w:tcPr>
            <w:tcW w:w="360" w:type="dxa"/>
            <w:vAlign w:val="bottom"/>
          </w:tcPr>
          <w:p>
            <w:pPr>
              <w:spacing w:after="0"/>
              <w:rPr>
                <w:sz w:val="22"/>
                <w:szCs w:val="22"/>
                <w:color w:val="auto"/>
              </w:rPr>
            </w:pPr>
          </w:p>
        </w:tc>
        <w:tc>
          <w:tcPr>
            <w:tcW w:w="1780" w:type="dxa"/>
            <w:vAlign w:val="bottom"/>
            <w:gridSpan w:val="2"/>
          </w:tcPr>
          <w:p>
            <w:pPr>
              <w:jc w:val="center"/>
              <w:ind w:right="860"/>
              <w:spacing w:after="0"/>
              <w:rPr>
                <w:sz w:val="20"/>
                <w:szCs w:val="20"/>
                <w:color w:val="auto"/>
              </w:rPr>
            </w:pPr>
            <w:r>
              <w:rPr>
                <w:rFonts w:ascii="Arial" w:cs="Arial" w:eastAsia="Arial" w:hAnsi="Arial"/>
                <w:sz w:val="13"/>
                <w:szCs w:val="13"/>
                <w:color w:val="auto"/>
                <w:w w:val="88"/>
              </w:rPr>
              <w:t>Title of each class</w:t>
            </w:r>
          </w:p>
        </w:tc>
        <w:tc>
          <w:tcPr>
            <w:tcW w:w="1460" w:type="dxa"/>
            <w:vAlign w:val="bottom"/>
          </w:tcPr>
          <w:p>
            <w:pPr>
              <w:spacing w:after="0"/>
              <w:rPr>
                <w:sz w:val="22"/>
                <w:szCs w:val="22"/>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0"/>
              </w:rPr>
              <w:t>Trading Symbol(s)</w:t>
            </w:r>
          </w:p>
        </w:tc>
        <w:tc>
          <w:tcPr>
            <w:tcW w:w="2600" w:type="dxa"/>
            <w:vAlign w:val="bottom"/>
            <w:gridSpan w:val="2"/>
          </w:tcPr>
          <w:p>
            <w:pPr>
              <w:jc w:val="center"/>
              <w:ind w:left="276"/>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3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77"/>
        </w:trPr>
        <w:tc>
          <w:tcPr>
            <w:tcW w:w="2140" w:type="dxa"/>
            <w:vAlign w:val="bottom"/>
            <w:gridSpan w:val="3"/>
          </w:tcPr>
          <w:p>
            <w:pPr>
              <w:jc w:val="center"/>
              <w:ind w:right="500"/>
              <w:spacing w:after="0"/>
              <w:rPr>
                <w:sz w:val="20"/>
                <w:szCs w:val="20"/>
                <w:color w:val="auto"/>
              </w:rPr>
            </w:pPr>
            <w:r>
              <w:rPr>
                <w:rFonts w:ascii="Arial" w:cs="Arial" w:eastAsia="Arial" w:hAnsi="Arial"/>
                <w:sz w:val="13"/>
                <w:szCs w:val="13"/>
                <w:color w:val="auto"/>
                <w:w w:val="88"/>
              </w:rPr>
              <w:t>Common Stock, $0.01 par value</w:t>
            </w:r>
          </w:p>
        </w:tc>
        <w:tc>
          <w:tcPr>
            <w:tcW w:w="1460" w:type="dxa"/>
            <w:vAlign w:val="bottom"/>
          </w:tcPr>
          <w:p>
            <w:pPr>
              <w:spacing w:after="0"/>
              <w:rPr>
                <w:sz w:val="15"/>
                <w:szCs w:val="15"/>
                <w:color w:val="auto"/>
              </w:rPr>
            </w:pPr>
          </w:p>
        </w:tc>
        <w:tc>
          <w:tcPr>
            <w:tcW w:w="2280" w:type="dxa"/>
            <w:vAlign w:val="bottom"/>
            <w:gridSpan w:val="2"/>
          </w:tcPr>
          <w:p>
            <w:pPr>
              <w:jc w:val="center"/>
              <w:ind w:right="1320"/>
              <w:spacing w:after="0"/>
              <w:rPr>
                <w:sz w:val="20"/>
                <w:szCs w:val="20"/>
                <w:color w:val="auto"/>
              </w:rPr>
            </w:pPr>
            <w:r>
              <w:rPr>
                <w:rFonts w:ascii="Arial" w:cs="Arial" w:eastAsia="Arial" w:hAnsi="Arial"/>
                <w:sz w:val="13"/>
                <w:szCs w:val="13"/>
                <w:color w:val="auto"/>
                <w:w w:val="95"/>
              </w:rPr>
              <w:t>GM</w:t>
            </w:r>
          </w:p>
        </w:tc>
        <w:tc>
          <w:tcPr>
            <w:tcW w:w="34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Arial" w:cs="Arial" w:eastAsia="Arial" w:hAnsi="Arial"/>
                <w:sz w:val="13"/>
                <w:szCs w:val="13"/>
                <w:color w:val="auto"/>
                <w:w w:val="89"/>
              </w:rPr>
              <w:t>New York Stock Exchange</w:t>
            </w:r>
          </w:p>
        </w:tc>
      </w:tr>
    </w:tbl>
    <w:p>
      <w:pPr>
        <w:spacing w:after="0" w:line="167" w:lineRule="exact"/>
        <w:rPr>
          <w:sz w:val="24"/>
          <w:szCs w:val="24"/>
          <w:color w:val="auto"/>
        </w:rPr>
      </w:pPr>
    </w:p>
    <w:p>
      <w:pPr>
        <w:ind w:right="520"/>
        <w:spacing w:after="0" w:line="162" w:lineRule="exact"/>
        <w:rPr>
          <w:sz w:val="20"/>
          <w:szCs w:val="20"/>
          <w:color w:val="auto"/>
        </w:rPr>
      </w:pPr>
      <w:r>
        <w:rPr>
          <w:rFonts w:ascii="Arial" w:cs="Arial" w:eastAsia="Arial" w:hAnsi="Arial"/>
          <w:sz w:val="13"/>
          <w:szCs w:val="13"/>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3"/>
          <w:szCs w:val="13"/>
          <w:color w:val="auto"/>
        </w:rPr>
        <w:t>☐</w:t>
      </w:r>
    </w:p>
    <w:p>
      <w:pPr>
        <w:spacing w:after="0" w:line="143" w:lineRule="exact"/>
        <w:rPr>
          <w:sz w:val="24"/>
          <w:szCs w:val="24"/>
          <w:color w:val="auto"/>
        </w:rPr>
      </w:pPr>
    </w:p>
    <w:p>
      <w:pPr>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586740</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040"/>
          </w:cols>
          <w:pgMar w:left="300" w:top="1246" w:right="5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2.02 Results of Operations and Financial Condition</w:t>
      </w:r>
    </w:p>
    <w:p>
      <w:pPr>
        <w:spacing w:after="0" w:line="204"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On February 10, 2021 General Motors Company (GM) issued a news release and supplemental materials on the subject of its 2020 fourth quarter and full year consolidated earnings. The news release and supplemental materials are attached as Exhibit 99.1 and Exhibit 99.2.</w:t>
      </w:r>
    </w:p>
    <w:p>
      <w:pPr>
        <w:spacing w:after="0" w:line="153" w:lineRule="exact"/>
        <w:rPr>
          <w:sz w:val="20"/>
          <w:szCs w:val="20"/>
          <w:color w:val="auto"/>
        </w:rPr>
      </w:pPr>
    </w:p>
    <w:p>
      <w:pPr>
        <w:ind w:firstLine="127"/>
        <w:spacing w:after="0" w:line="281" w:lineRule="auto"/>
        <w:rPr>
          <w:sz w:val="20"/>
          <w:szCs w:val="20"/>
          <w:color w:val="auto"/>
        </w:rPr>
      </w:pPr>
      <w:r>
        <w:rPr>
          <w:rFonts w:ascii="Arial" w:cs="Arial" w:eastAsia="Arial" w:hAnsi="Arial"/>
          <w:sz w:val="14"/>
          <w:szCs w:val="14"/>
          <w:color w:val="auto"/>
        </w:rPr>
        <w:t>Charts furnished to securities analysts in connection with GM's 2020 fourth quarter and full year consolidated earnings release are available on GM's website at www.gm.com/investors/earnings-releases.html.</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r>
      <w:tr>
        <w:trPr>
          <w:trHeight w:val="256"/>
        </w:trPr>
        <w:tc>
          <w:tcPr>
            <w:tcW w:w="2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480" w:type="dxa"/>
            <w:vAlign w:val="bottom"/>
            <w:gridSpan w:val="6"/>
          </w:tcPr>
          <w:p>
            <w:pPr>
              <w:spacing w:after="0"/>
              <w:rPr>
                <w:sz w:val="20"/>
                <w:szCs w:val="20"/>
                <w:color w:val="auto"/>
              </w:rPr>
            </w:pPr>
            <w:r>
              <w:rPr>
                <w:rFonts w:ascii="Arial" w:cs="Arial" w:eastAsia="Arial" w:hAnsi="Arial"/>
                <w:sz w:val="14"/>
                <w:szCs w:val="14"/>
                <w:color w:val="auto"/>
              </w:rPr>
              <w:t>Description</w:t>
            </w:r>
          </w:p>
        </w:tc>
        <w:tc>
          <w:tcPr>
            <w:tcW w:w="600" w:type="dxa"/>
            <w:vAlign w:val="bottom"/>
            <w:tcBorders>
              <w:top w:val="single" w:sz="8" w:color="auto"/>
            </w:tcBorders>
          </w:tcPr>
          <w:p>
            <w:pPr>
              <w:spacing w:after="0"/>
              <w:rPr>
                <w:sz w:val="22"/>
                <w:szCs w:val="22"/>
                <w:color w:val="auto"/>
              </w:rPr>
            </w:pPr>
          </w:p>
        </w:tc>
        <w:tc>
          <w:tcPr>
            <w:tcW w:w="534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99.1</w:t>
            </w:r>
          </w:p>
        </w:tc>
        <w:tc>
          <w:tcPr>
            <w:tcW w:w="8420" w:type="dxa"/>
            <w:vAlign w:val="bottom"/>
            <w:gridSpan w:val="8"/>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News Release Dated February 10, 2021</w:t>
              </w:r>
            </w:hyperlink>
          </w:p>
        </w:tc>
      </w:tr>
      <w:tr>
        <w:trPr>
          <w:trHeight w:val="149"/>
        </w:trPr>
        <w:tc>
          <w:tcPr>
            <w:tcW w:w="20" w:type="dxa"/>
            <w:vAlign w:val="bottom"/>
          </w:tcPr>
          <w:p>
            <w:pPr>
              <w:spacing w:after="0"/>
              <w:rPr>
                <w:sz w:val="12"/>
                <w:szCs w:val="12"/>
                <w:color w:val="auto"/>
              </w:rPr>
            </w:pPr>
          </w:p>
        </w:tc>
        <w:tc>
          <w:tcPr>
            <w:tcW w:w="2840" w:type="dxa"/>
            <w:vAlign w:val="bottom"/>
            <w:gridSpan w:val="2"/>
          </w:tcPr>
          <w:p>
            <w:pPr>
              <w:spacing w:after="0" w:line="149" w:lineRule="exact"/>
              <w:rPr>
                <w:sz w:val="20"/>
                <w:szCs w:val="20"/>
                <w:color w:val="auto"/>
              </w:rPr>
            </w:pPr>
            <w:r>
              <w:rPr>
                <w:rFonts w:ascii="Arial" w:cs="Arial" w:eastAsia="Arial" w:hAnsi="Arial"/>
                <w:sz w:val="14"/>
                <w:szCs w:val="14"/>
                <w:color w:val="auto"/>
              </w:rPr>
              <w:t>Exhibit 99.2</w:t>
            </w:r>
          </w:p>
        </w:tc>
        <w:tc>
          <w:tcPr>
            <w:tcW w:w="8420" w:type="dxa"/>
            <w:vAlign w:val="bottom"/>
            <w:gridSpan w:val="8"/>
          </w:tcPr>
          <w:p>
            <w:pPr>
              <w:spacing w:after="0" w:line="149" w:lineRule="exact"/>
              <w:rPr>
                <w:rFonts w:ascii="Arial" w:cs="Arial" w:eastAsia="Arial" w:hAnsi="Arial"/>
                <w:sz w:val="14"/>
                <w:szCs w:val="14"/>
                <w:color w:val="0000FF"/>
              </w:rPr>
            </w:pPr>
            <w:hyperlink w:anchor="page10">
              <w:r>
                <w:rPr>
                  <w:rFonts w:ascii="Arial" w:cs="Arial" w:eastAsia="Arial" w:hAnsi="Arial"/>
                  <w:sz w:val="14"/>
                  <w:szCs w:val="14"/>
                  <w:u w:val="single" w:color="auto"/>
                  <w:color w:val="0000FF"/>
                </w:rPr>
                <w:t>Financial Highlights Dated</w:t>
              </w:r>
              <w:r>
                <w:rPr>
                  <w:rFonts w:ascii="Arial" w:cs="Arial" w:eastAsia="Arial" w:hAnsi="Arial"/>
                  <w:sz w:val="14"/>
                  <w:szCs w:val="14"/>
                  <w:color w:val="0000FF"/>
                </w:rPr>
                <w:t xml:space="preserve"> </w:t>
              </w:r>
            </w:hyperlink>
            <w:r>
              <w:rPr>
                <w:rFonts w:ascii="Arial" w:cs="Arial" w:eastAsia="Arial" w:hAnsi="Arial"/>
                <w:sz w:val="14"/>
                <w:szCs w:val="14"/>
                <w:color w:val="0000FF"/>
              </w:rPr>
              <w:t xml:space="preserve">February </w:t>
            </w:r>
            <w:hyperlink w:anchor="page10">
              <w:r>
                <w:rPr>
                  <w:rFonts w:ascii="Arial" w:cs="Arial" w:eastAsia="Arial" w:hAnsi="Arial"/>
                  <w:sz w:val="14"/>
                  <w:szCs w:val="14"/>
                  <w:color w:val="0000FF"/>
                </w:rPr>
                <w:t xml:space="preserve">10, </w:t>
              </w:r>
              <w:r>
                <w:rPr>
                  <w:rFonts w:ascii="Arial" w:cs="Arial" w:eastAsia="Arial" w:hAnsi="Arial"/>
                  <w:sz w:val="14"/>
                  <w:szCs w:val="14"/>
                  <w:u w:val="single" w:color="auto"/>
                  <w:color w:val="0000FF"/>
                </w:rPr>
                <w:t>2021</w:t>
              </w:r>
            </w:hyperlink>
          </w:p>
        </w:tc>
      </w:tr>
      <w:tr>
        <w:trPr>
          <w:trHeight w:val="20"/>
        </w:trPr>
        <w:tc>
          <w:tcPr>
            <w:tcW w:w="2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2840" w:type="dxa"/>
            <w:vAlign w:val="bottom"/>
            <w:gridSpan w:val="2"/>
          </w:tcPr>
          <w:p>
            <w:pPr>
              <w:spacing w:after="0"/>
              <w:rPr>
                <w:sz w:val="20"/>
                <w:szCs w:val="20"/>
                <w:color w:val="auto"/>
              </w:rPr>
            </w:pPr>
            <w:r>
              <w:rPr>
                <w:rFonts w:ascii="Arial" w:cs="Arial" w:eastAsia="Arial" w:hAnsi="Arial"/>
                <w:sz w:val="14"/>
                <w:szCs w:val="14"/>
                <w:color w:val="auto"/>
              </w:rPr>
              <w:t>Exhibit 104</w:t>
            </w:r>
          </w:p>
        </w:tc>
        <w:tc>
          <w:tcPr>
            <w:tcW w:w="8420" w:type="dxa"/>
            <w:vAlign w:val="bottom"/>
            <w:gridSpan w:val="8"/>
          </w:tcPr>
          <w:p>
            <w:pPr>
              <w:spacing w:after="0"/>
              <w:rPr>
                <w:sz w:val="20"/>
                <w:szCs w:val="20"/>
                <w:color w:val="auto"/>
              </w:rPr>
            </w:pPr>
            <w:r>
              <w:rPr>
                <w:rFonts w:ascii="Arial" w:cs="Arial" w:eastAsia="Arial" w:hAnsi="Arial"/>
                <w:sz w:val="14"/>
                <w:szCs w:val="14"/>
                <w:color w:val="auto"/>
              </w:rPr>
              <w:t>Cover Page Interactive Data File (embedded within the Inline XBRL document)</w:t>
            </w:r>
          </w:p>
        </w:tc>
      </w:tr>
      <w:tr>
        <w:trPr>
          <w:trHeight w:val="946"/>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4"/>
          <w:szCs w:val="14"/>
          <w:b w:val="1"/>
          <w:bCs w:val="1"/>
          <w:color w:val="auto"/>
        </w:rPr>
        <w:t>SIGNATURE</w:t>
      </w: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GENERAL MOTORS COMPANY (Registrant)</w:t>
            </w:r>
          </w:p>
        </w:tc>
      </w:tr>
      <w:tr>
        <w:trPr>
          <w:trHeight w:val="584"/>
        </w:trPr>
        <w:tc>
          <w:tcPr>
            <w:tcW w:w="6080" w:type="dxa"/>
            <w:vAlign w:val="bottom"/>
          </w:tcPr>
          <w:p>
            <w:pPr>
              <w:ind w:left="542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T. HATTO</w:t>
            </w:r>
          </w:p>
        </w:tc>
      </w:tr>
      <w:tr>
        <w:trPr>
          <w:trHeight w:val="129"/>
        </w:trPr>
        <w:tc>
          <w:tcPr>
            <w:tcW w:w="6080" w:type="dxa"/>
            <w:vAlign w:val="bottom"/>
          </w:tcPr>
          <w:p>
            <w:pPr>
              <w:spacing w:after="0" w:line="129" w:lineRule="exact"/>
              <w:rPr>
                <w:sz w:val="20"/>
                <w:szCs w:val="20"/>
                <w:color w:val="auto"/>
              </w:rPr>
            </w:pPr>
            <w:r>
              <w:rPr>
                <w:rFonts w:ascii="Arial" w:cs="Arial" w:eastAsia="Arial" w:hAnsi="Arial"/>
                <w:sz w:val="14"/>
                <w:szCs w:val="14"/>
                <w:color w:val="auto"/>
              </w:rPr>
              <w:t>Date: February 10, 2021</w:t>
            </w:r>
          </w:p>
        </w:tc>
        <w:tc>
          <w:tcPr>
            <w:tcW w:w="5140" w:type="dxa"/>
            <w:vAlign w:val="bottom"/>
          </w:tcPr>
          <w:p>
            <w:pPr>
              <w:ind w:left="20"/>
              <w:spacing w:after="0" w:line="129" w:lineRule="exact"/>
              <w:rPr>
                <w:sz w:val="20"/>
                <w:szCs w:val="20"/>
                <w:color w:val="auto"/>
              </w:rPr>
            </w:pPr>
            <w:r>
              <w:rPr>
                <w:rFonts w:ascii="Arial" w:cs="Arial" w:eastAsia="Arial" w:hAnsi="Arial"/>
                <w:sz w:val="14"/>
                <w:szCs w:val="14"/>
                <w:color w:val="auto"/>
                <w:w w:val="95"/>
              </w:rPr>
              <w:t>Christopher T. Hatto, Vice President, Global Business Solutions and Chief Accounting</w:t>
            </w:r>
          </w:p>
        </w:tc>
      </w:tr>
      <w:tr>
        <w:trPr>
          <w:trHeight w:val="180"/>
        </w:trPr>
        <w:tc>
          <w:tcPr>
            <w:tcW w:w="6080" w:type="dxa"/>
            <w:vAlign w:val="bottom"/>
          </w:tcPr>
          <w:p>
            <w:pPr>
              <w:spacing w:after="0"/>
              <w:rPr>
                <w:sz w:val="15"/>
                <w:szCs w:val="15"/>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Officer</w:t>
            </w:r>
          </w:p>
        </w:tc>
      </w:tr>
    </w:tbl>
    <w:p>
      <w:pPr>
        <w:sectPr>
          <w:pgSz w:w="11900" w:h="16838" w:orient="portrait"/>
          <w:cols w:equalWidth="0" w:num="1">
            <w:col w:w="11220"/>
          </w:cols>
          <w:pgMar w:left="340" w:top="921" w:right="3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99.2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328"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General Motors Company's (GM) non-GAAP measures include: earnings before interest and taxes (EBIT)-adjusted, presented net of noncontrolling interests; earnings before income taxes (EBT)-adjusted for our General Motors Financial Company, Inc. (GM Financial) segment;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9" w:lineRule="exact"/>
        <w:rPr>
          <w:sz w:val="20"/>
          <w:szCs w:val="20"/>
          <w:color w:val="auto"/>
        </w:rPr>
      </w:pPr>
    </w:p>
    <w:p>
      <w:pPr>
        <w:jc w:val="both"/>
        <w:ind w:firstLine="127"/>
        <w:spacing w:after="0" w:line="239" w:lineRule="auto"/>
        <w:rPr>
          <w:sz w:val="20"/>
          <w:szCs w:val="20"/>
          <w:color w:val="auto"/>
        </w:rPr>
      </w:pPr>
      <w:r>
        <w:rPr>
          <w:rFonts w:ascii="Arial" w:cs="Arial" w:eastAsia="Arial" w:hAnsi="Arial"/>
          <w:sz w:val="13"/>
          <w:szCs w:val="13"/>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75" w:lineRule="exact"/>
        <w:rPr>
          <w:sz w:val="20"/>
          <w:szCs w:val="20"/>
          <w:color w:val="auto"/>
        </w:rPr>
      </w:pPr>
    </w:p>
    <w:p>
      <w:pPr>
        <w:jc w:val="both"/>
        <w:ind w:firstLine="127"/>
        <w:spacing w:after="0" w:line="243" w:lineRule="auto"/>
        <w:rPr>
          <w:sz w:val="20"/>
          <w:szCs w:val="20"/>
          <w:color w:val="auto"/>
        </w:rPr>
      </w:pPr>
      <w:r>
        <w:rPr>
          <w:rFonts w:ascii="Arial" w:cs="Arial" w:eastAsia="Arial" w:hAnsi="Arial"/>
          <w:sz w:val="13"/>
          <w:szCs w:val="13"/>
          <w:b w:val="1"/>
          <w:bCs w:val="1"/>
          <w:i w:val="1"/>
          <w:iCs w:val="1"/>
          <w:color w:val="auto"/>
        </w:rPr>
        <w:t xml:space="preserve">EBIT-adjusted </w:t>
      </w:r>
      <w:r>
        <w:rPr>
          <w:rFonts w:ascii="Arial" w:cs="Arial" w:eastAsia="Arial" w:hAnsi="Arial"/>
          <w:sz w:val="13"/>
          <w:szCs w:val="13"/>
          <w:color w:val="auto"/>
        </w:rPr>
        <w:t>EBIT-adjusted is presented net of noncontrolling interests and is used by management and can be used by investors to review our consolidated operating results because it excludes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the ignition switch recall and related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71"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EPS-diluted-adjusted </w:t>
      </w:r>
      <w:r>
        <w:rPr>
          <w:rFonts w:ascii="Arial" w:cs="Arial" w:eastAsia="Arial" w:hAnsi="Arial"/>
          <w:sz w:val="13"/>
          <w:szCs w:val="13"/>
          <w:color w:val="auto"/>
        </w:rPr>
        <w:t>EPS-diluted-adjusted is used by management and can be used by investors to review our consolidated diluted EPS results on a consistent basis. EPS-diluted-adjusted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ETR-adjusted </w:t>
      </w:r>
      <w:r>
        <w:rPr>
          <w:rFonts w:ascii="Arial" w:cs="Arial" w:eastAsia="Arial" w:hAnsi="Arial"/>
          <w:sz w:val="13"/>
          <w:szCs w:val="13"/>
          <w:color w:val="auto"/>
        </w:rPr>
        <w:t>ETR-adjusted is used by management and can be used by investors to review the consolidated effective tax rate for our core operations on a consistent basis. ETR-adjusted is</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170" w:lineRule="exact"/>
        <w:rPr>
          <w:sz w:val="20"/>
          <w:szCs w:val="20"/>
          <w:color w:val="auto"/>
        </w:rPr>
      </w:pPr>
    </w:p>
    <w:p>
      <w:pPr>
        <w:jc w:val="both"/>
        <w:ind w:firstLine="127"/>
        <w:spacing w:after="0" w:line="252" w:lineRule="auto"/>
        <w:rPr>
          <w:sz w:val="20"/>
          <w:szCs w:val="20"/>
          <w:color w:val="auto"/>
        </w:rPr>
      </w:pPr>
      <w:r>
        <w:rPr>
          <w:rFonts w:ascii="Arial" w:cs="Arial" w:eastAsia="Arial" w:hAnsi="Arial"/>
          <w:sz w:val="13"/>
          <w:szCs w:val="13"/>
          <w:b w:val="1"/>
          <w:bCs w:val="1"/>
          <w:i w:val="1"/>
          <w:iCs w:val="1"/>
          <w:color w:val="auto"/>
        </w:rPr>
        <w:t xml:space="preserve">ROIC-adjusted </w:t>
      </w:r>
      <w:r>
        <w:rPr>
          <w:rFonts w:ascii="Arial" w:cs="Arial" w:eastAsia="Arial" w:hAnsi="Arial"/>
          <w:sz w:val="13"/>
          <w:szCs w:val="13"/>
          <w:color w:val="auto"/>
        </w:rPr>
        <w:t>ROIC-adjusted is used by management and can be used by investors to review our investment and capital allocation decisions. We define ROIC-adjusted as EBIT-adjusted for the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trailing four quarters divided by ROIC-adjusted average net assets, which is considered to be the average equity balances adjusted for average automotive debt and interest liabilities, exclusive of finance leases; average automotive net pension and other postretirement benefits (OPEB) liabilities; and average automotive net income tax assets during the same period.</w:t>
      </w:r>
    </w:p>
    <w:p>
      <w:pPr>
        <w:spacing w:after="0" w:line="166" w:lineRule="exact"/>
        <w:rPr>
          <w:sz w:val="20"/>
          <w:szCs w:val="20"/>
          <w:color w:val="auto"/>
        </w:rPr>
      </w:pPr>
    </w:p>
    <w:p>
      <w:pPr>
        <w:jc w:val="both"/>
        <w:ind w:firstLine="127"/>
        <w:spacing w:after="0" w:line="247" w:lineRule="auto"/>
        <w:rPr>
          <w:sz w:val="20"/>
          <w:szCs w:val="20"/>
          <w:color w:val="auto"/>
        </w:rPr>
      </w:pPr>
      <w:r>
        <w:rPr>
          <w:rFonts w:ascii="Arial" w:cs="Arial" w:eastAsia="Arial" w:hAnsi="Arial"/>
          <w:sz w:val="13"/>
          <w:szCs w:val="13"/>
          <w:b w:val="1"/>
          <w:bCs w:val="1"/>
          <w:i w:val="1"/>
          <w:iCs w:val="1"/>
          <w:color w:val="auto"/>
        </w:rPr>
        <w:t xml:space="preserve">Adjusted automotive free cash flow </w:t>
      </w:r>
      <w:r>
        <w:rPr>
          <w:rFonts w:ascii="Arial" w:cs="Arial" w:eastAsia="Arial" w:hAnsi="Arial"/>
          <w:sz w:val="13"/>
          <w:szCs w:val="13"/>
          <w:color w:val="auto"/>
        </w:rPr>
        <w:t>Adjusted automotive free cash flow is used by management and can be used by investors to review the liquidity of our automotive operations and to measure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w:t>
      </w:r>
    </w:p>
    <w:p>
      <w:pPr>
        <w:spacing w:after="0" w:line="200" w:lineRule="exact"/>
        <w:rPr>
          <w:sz w:val="20"/>
          <w:szCs w:val="20"/>
          <w:color w:val="auto"/>
        </w:rPr>
      </w:pPr>
    </w:p>
    <w:p>
      <w:pPr>
        <w:spacing w:after="0" w:line="281"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80"/>
          </w:cols>
          <w:pgMar w:left="300" w:top="118" w:right="319" w:bottom="1440" w:gutter="0" w:footer="0" w:header="0"/>
        </w:sectPr>
      </w:pPr>
    </w:p>
    <w:bookmarkStart w:id="10" w:name="page11"/>
    <w:bookmarkEnd w:id="1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segment profit (loss) to Net income (loss) attributable to stockholders under U.S. GAAP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5"/>
          </w:tcPr>
          <w:p>
            <w:pPr>
              <w:ind w:left="780"/>
              <w:spacing w:after="0"/>
              <w:rPr>
                <w:sz w:val="20"/>
                <w:szCs w:val="20"/>
                <w:color w:val="auto"/>
              </w:rPr>
            </w:pPr>
            <w:r>
              <w:rPr>
                <w:rFonts w:ascii="Arial" w:cs="Arial" w:eastAsia="Arial" w:hAnsi="Arial"/>
                <w:sz w:val="10"/>
                <w:szCs w:val="10"/>
                <w:b w:val="1"/>
                <w:bCs w:val="1"/>
                <w:color w:val="auto"/>
              </w:rPr>
              <w:t>Three Months Ended</w:t>
            </w:r>
          </w:p>
        </w:tc>
        <w:tc>
          <w:tcPr>
            <w:tcW w:w="180" w:type="dxa"/>
            <w:vAlign w:val="bottom"/>
          </w:tcPr>
          <w:p>
            <w:pPr>
              <w:spacing w:after="0"/>
              <w:rPr>
                <w:sz w:val="11"/>
                <w:szCs w:val="11"/>
                <w:color w:val="auto"/>
              </w:rPr>
            </w:pPr>
          </w:p>
        </w:tc>
        <w:tc>
          <w:tcPr>
            <w:tcW w:w="2680" w:type="dxa"/>
            <w:vAlign w:val="bottom"/>
            <w:gridSpan w:val="4"/>
          </w:tcPr>
          <w:p>
            <w:pPr>
              <w:jc w:val="right"/>
              <w:ind w:right="1057"/>
              <w:spacing w:after="0"/>
              <w:rPr>
                <w:sz w:val="20"/>
                <w:szCs w:val="20"/>
                <w:color w:val="auto"/>
              </w:rPr>
            </w:pPr>
            <w:r>
              <w:rPr>
                <w:rFonts w:ascii="Arial" w:cs="Arial" w:eastAsia="Arial" w:hAnsi="Arial"/>
                <w:sz w:val="10"/>
                <w:szCs w:val="10"/>
                <w:b w:val="1"/>
                <w:bCs w:val="1"/>
                <w:color w:val="auto"/>
              </w:rPr>
              <w:t>Years Ended</w:t>
            </w:r>
          </w:p>
        </w:tc>
      </w:tr>
      <w:tr>
        <w:trPr>
          <w:trHeight w:val="127"/>
        </w:trPr>
        <w:tc>
          <w:tcPr>
            <w:tcW w:w="54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2020</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December 31, 2019</w:t>
            </w:r>
          </w:p>
        </w:tc>
        <w:tc>
          <w:tcPr>
            <w:tcW w:w="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December 31, 2020</w:t>
            </w: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December 31, 2019</w:t>
            </w:r>
          </w:p>
        </w:tc>
      </w:tr>
      <w:tr>
        <w:trPr>
          <w:trHeight w:val="156"/>
        </w:trPr>
        <w:tc>
          <w:tcPr>
            <w:tcW w:w="5440" w:type="dxa"/>
            <w:vAlign w:val="bottom"/>
          </w:tcPr>
          <w:p>
            <w:pPr>
              <w:ind w:left="20"/>
              <w:spacing w:after="0"/>
              <w:rPr>
                <w:sz w:val="20"/>
                <w:szCs w:val="20"/>
                <w:color w:val="auto"/>
              </w:rPr>
            </w:pPr>
            <w:r>
              <w:rPr>
                <w:rFonts w:ascii="Arial" w:cs="Arial" w:eastAsia="Arial" w:hAnsi="Arial"/>
                <w:sz w:val="13"/>
                <w:szCs w:val="13"/>
                <w:color w:val="auto"/>
              </w:rPr>
              <w:t>Operating segments</w:t>
            </w: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North America (GMNA)</w:t>
            </w: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8,204</w:t>
            </w:r>
          </w:p>
        </w:tc>
      </w:tr>
      <w:tr>
        <w:trPr>
          <w:trHeight w:val="168"/>
        </w:trPr>
        <w:tc>
          <w:tcPr>
            <w:tcW w:w="5440" w:type="dxa"/>
            <w:vAlign w:val="bottom"/>
          </w:tcPr>
          <w:p>
            <w:pPr>
              <w:ind w:left="120"/>
              <w:spacing w:after="0"/>
              <w:rPr>
                <w:sz w:val="20"/>
                <w:szCs w:val="20"/>
                <w:color w:val="auto"/>
              </w:rPr>
            </w:pPr>
            <w:r>
              <w:rPr>
                <w:rFonts w:ascii="Arial" w:cs="Arial" w:eastAsia="Arial" w:hAnsi="Arial"/>
                <w:sz w:val="13"/>
                <w:szCs w:val="13"/>
                <w:color w:val="auto"/>
              </w:rPr>
              <w:t>GM International (GMI)</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(202)</w:t>
            </w: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Cruise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(1,004)</w:t>
            </w:r>
          </w:p>
        </w:tc>
      </w:tr>
      <w:tr>
        <w:trPr>
          <w:trHeight w:val="168"/>
        </w:trPr>
        <w:tc>
          <w:tcPr>
            <w:tcW w:w="54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GM Financial(a)</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2,104</w:t>
            </w:r>
          </w:p>
        </w:tc>
      </w:tr>
      <w:tr>
        <w:trPr>
          <w:trHeight w:val="163"/>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operating segments</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9,102</w:t>
            </w:r>
          </w:p>
        </w:tc>
      </w:tr>
      <w:tr>
        <w:trPr>
          <w:trHeight w:val="168"/>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Corporate and eliminations(b)</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(231)</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(709)</w:t>
            </w:r>
          </w:p>
        </w:tc>
      </w:tr>
      <w:tr>
        <w:trPr>
          <w:trHeight w:val="163"/>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EBIT-adjusted</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8,393</w:t>
            </w:r>
          </w:p>
        </w:tc>
      </w:tr>
      <w:tr>
        <w:trPr>
          <w:trHeight w:val="168"/>
        </w:trPr>
        <w:tc>
          <w:tcPr>
            <w:tcW w:w="5440" w:type="dxa"/>
            <w:vAlign w:val="bottom"/>
          </w:tcPr>
          <w:p>
            <w:pPr>
              <w:ind w:left="20"/>
              <w:spacing w:after="0"/>
              <w:rPr>
                <w:sz w:val="20"/>
                <w:szCs w:val="20"/>
                <w:color w:val="auto"/>
              </w:rPr>
            </w:pPr>
            <w:r>
              <w:rPr>
                <w:rFonts w:ascii="Arial" w:cs="Arial" w:eastAsia="Arial" w:hAnsi="Arial"/>
                <w:sz w:val="13"/>
                <w:szCs w:val="13"/>
                <w:color w:val="auto"/>
              </w:rPr>
              <w:t>Adjustments</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GMI restructuring(c)</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440" w:type="dxa"/>
            <w:vAlign w:val="bottom"/>
          </w:tcPr>
          <w:p>
            <w:pPr>
              <w:ind w:left="120"/>
              <w:spacing w:after="0"/>
              <w:rPr>
                <w:sz w:val="20"/>
                <w:szCs w:val="20"/>
                <w:color w:val="auto"/>
              </w:rPr>
            </w:pPr>
            <w:r>
              <w:rPr>
                <w:rFonts w:ascii="Arial" w:cs="Arial" w:eastAsia="Arial" w:hAnsi="Arial"/>
                <w:sz w:val="13"/>
                <w:szCs w:val="13"/>
                <w:color w:val="auto"/>
              </w:rPr>
              <w:t>Ignition switch recall and related legal matters(d)</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Cadillac dealer strategy(e)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8"/>
        </w:trPr>
        <w:tc>
          <w:tcPr>
            <w:tcW w:w="5440" w:type="dxa"/>
            <w:vAlign w:val="bottom"/>
          </w:tcPr>
          <w:p>
            <w:pPr>
              <w:ind w:left="120"/>
              <w:spacing w:after="0"/>
              <w:rPr>
                <w:sz w:val="20"/>
                <w:szCs w:val="20"/>
                <w:color w:val="auto"/>
              </w:rPr>
            </w:pPr>
            <w:r>
              <w:rPr>
                <w:rFonts w:ascii="Arial" w:cs="Arial" w:eastAsia="Arial" w:hAnsi="Arial"/>
                <w:sz w:val="13"/>
                <w:szCs w:val="13"/>
                <w:color w:val="auto"/>
              </w:rPr>
              <w:t>Transformation activities(f)</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(194)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(1,735)</w:t>
            </w:r>
          </w:p>
        </w:tc>
      </w:tr>
      <w:tr>
        <w:trPr>
          <w:trHeight w:val="172"/>
        </w:trPr>
        <w:tc>
          <w:tcPr>
            <w:tcW w:w="5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GM Brazil indirect tax recoveries(g)</w:t>
            </w: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1,360</w:t>
            </w:r>
          </w:p>
        </w:tc>
      </w:tr>
      <w:tr>
        <w:trPr>
          <w:trHeight w:val="168"/>
        </w:trPr>
        <w:tc>
          <w:tcPr>
            <w:tcW w:w="5440" w:type="dxa"/>
            <w:vAlign w:val="bottom"/>
          </w:tcPr>
          <w:p>
            <w:pPr>
              <w:ind w:left="120"/>
              <w:spacing w:after="0"/>
              <w:rPr>
                <w:sz w:val="20"/>
                <w:szCs w:val="20"/>
                <w:color w:val="auto"/>
              </w:rPr>
            </w:pPr>
            <w:r>
              <w:rPr>
                <w:rFonts w:ascii="Arial" w:cs="Arial" w:eastAsia="Arial" w:hAnsi="Arial"/>
                <w:sz w:val="13"/>
                <w:szCs w:val="13"/>
                <w:color w:val="auto"/>
              </w:rPr>
              <w:t>FAW-GM divestiture(h)</w:t>
            </w:r>
          </w:p>
        </w:tc>
        <w:tc>
          <w:tcPr>
            <w:tcW w:w="1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(164)</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(164)</w:t>
            </w:r>
          </w:p>
        </w:tc>
      </w:tr>
      <w:tr>
        <w:trPr>
          <w:trHeight w:val="16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adjustments</w:t>
            </w: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r>
      <w:tr>
        <w:trPr>
          <w:trHeight w:val="168"/>
        </w:trPr>
        <w:tc>
          <w:tcPr>
            <w:tcW w:w="544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96</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429</w:t>
            </w:r>
          </w:p>
        </w:tc>
      </w:tr>
      <w:tr>
        <w:trPr>
          <w:trHeight w:val="172"/>
        </w:trPr>
        <w:tc>
          <w:tcPr>
            <w:tcW w:w="5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(782)</w:t>
            </w:r>
          </w:p>
        </w:tc>
      </w:tr>
      <w:tr>
        <w:trPr>
          <w:trHeight w:val="168"/>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(expense) benefit</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(1,774)</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(769)</w:t>
            </w:r>
          </w:p>
        </w:tc>
      </w:tr>
      <w:tr>
        <w:trPr>
          <w:trHeight w:val="188"/>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attributable to stockholders(i)</w:t>
            </w: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w w:val="82"/>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 Financial amounts represent EBT-adjusted.</w:t>
      </w:r>
    </w:p>
    <w:p>
      <w:pPr>
        <w:ind w:left="320" w:hanging="251"/>
        <w:spacing w:after="0" w:line="241" w:lineRule="auto"/>
        <w:tabs>
          <w:tab w:leader="none" w:pos="310" w:val="left"/>
        </w:tabs>
        <w:numPr>
          <w:ilvl w:val="0"/>
          <w:numId w:val="2"/>
        </w:numPr>
        <w:rPr>
          <w:rFonts w:ascii="Arial" w:cs="Arial" w:eastAsia="Arial" w:hAnsi="Arial"/>
          <w:sz w:val="11"/>
          <w:szCs w:val="11"/>
          <w:color w:val="auto"/>
        </w:rPr>
      </w:pPr>
      <w:r>
        <w:rPr>
          <w:rFonts w:ascii="Arial" w:cs="Arial" w:eastAsia="Arial" w:hAnsi="Arial"/>
          <w:sz w:val="11"/>
          <w:szCs w:val="11"/>
          <w:color w:val="auto"/>
        </w:rPr>
        <w:t>GM's automotive interest income and interest expense, legacy costs from the Opel and Vauxhall businesses and certain other assets in Europe, which are primarily pension costs, corporate expenditures and certain nonsegment specific revenues and expenses are recorded centrally in Corporate.</w:t>
      </w:r>
    </w:p>
    <w:p>
      <w:pPr>
        <w:jc w:val="both"/>
        <w:ind w:left="320" w:hanging="251"/>
        <w:spacing w:after="0" w:line="241" w:lineRule="auto"/>
        <w:tabs>
          <w:tab w:leader="none" w:pos="314"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primarily consist of employee separation charges in the three months ended December 31, 2020 and dealer restructurings, asset impairments, inventory provisions and employee separation charges in Australia, New Zealand, Thailand and India in the year ended December 31, 2020.</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the ignition switch recall, which included various investigations, inquiries and complaints from constituents.</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it relates to strategic activities to transition certain Cadillac dealers from the network as part of Cadillac's electric vehicle strategy.</w:t>
      </w:r>
    </w:p>
    <w:p>
      <w:pPr>
        <w:jc w:val="both"/>
        <w:ind w:left="320" w:hanging="251"/>
        <w:spacing w:after="0" w:line="243" w:lineRule="auto"/>
        <w:tabs>
          <w:tab w:leader="none" w:pos="31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These adjustments were excluded because of a strategic decision to accelerate our transformation for the future to strengthen our core business, capitalize on the future of personal mobility, and drive significant cost efficiencies. The adjustments primarily consist of accelerated depreciation, supplier-related charges, pension and other curtailment charges and employee-related separation charges in the year ended December 31, 2019.</w:t>
      </w:r>
    </w:p>
    <w:p>
      <w:pPr>
        <w:spacing w:after="0" w:line="125" w:lineRule="exact"/>
        <w:rPr>
          <w:rFonts w:ascii="Arial" w:cs="Arial" w:eastAsia="Arial" w:hAnsi="Arial"/>
          <w:sz w:val="11"/>
          <w:szCs w:val="11"/>
          <w:color w:val="auto"/>
        </w:rPr>
      </w:pP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of the unique events associated with decisions rendered by the Superior Judicial Court of Brazil resulting in retrospective recoveries of indirect taxes.</w:t>
      </w:r>
    </w:p>
    <w:p>
      <w:pPr>
        <w:ind w:left="320" w:hanging="251"/>
        <w:spacing w:after="0" w:line="241" w:lineRule="auto"/>
        <w:tabs>
          <w:tab w:leader="none" w:pos="310" w:val="left"/>
        </w:tabs>
        <w:numPr>
          <w:ilvl w:val="0"/>
          <w:numId w:val="2"/>
        </w:numPr>
        <w:rPr>
          <w:rFonts w:ascii="Arial" w:cs="Arial" w:eastAsia="Arial" w:hAnsi="Arial"/>
          <w:sz w:val="11"/>
          <w:szCs w:val="11"/>
          <w:color w:val="auto"/>
        </w:rPr>
      </w:pPr>
      <w:r>
        <w:rPr>
          <w:rFonts w:ascii="Arial" w:cs="Arial" w:eastAsia="Arial" w:hAnsi="Arial"/>
          <w:sz w:val="11"/>
          <w:szCs w:val="11"/>
          <w:color w:val="auto"/>
        </w:rPr>
        <w:t>This adjustment was excluded because we divested our joint venture FAW-GM Light Duty Commercial Vehicle Co., Ltd. (FAW-GM), as a result of a strategic decision by both shareholders, allowing us to focus our resources on opportunities expected to deliver higher returns.</w:t>
      </w:r>
    </w:p>
    <w:p>
      <w:pPr>
        <w:ind w:left="320" w:hanging="251"/>
        <w:spacing w:after="0"/>
        <w:tabs>
          <w:tab w:leader="none" w:pos="320" w:val="left"/>
        </w:tabs>
        <w:numPr>
          <w:ilvl w:val="0"/>
          <w:numId w:val="2"/>
        </w:numPr>
        <w:rPr>
          <w:rFonts w:ascii="Arial" w:cs="Arial" w:eastAsia="Arial" w:hAnsi="Arial"/>
          <w:sz w:val="11"/>
          <w:szCs w:val="11"/>
          <w:color w:val="auto"/>
        </w:rPr>
      </w:pPr>
      <w:r>
        <w:rPr>
          <w:rFonts w:ascii="Arial" w:cs="Arial" w:eastAsia="Arial" w:hAnsi="Arial"/>
          <w:sz w:val="11"/>
          <w:szCs w:val="11"/>
          <w:color w:val="auto"/>
        </w:rPr>
        <w:t>Net of Net loss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80"/>
          </w:cols>
          <w:pgMar w:left="300" w:top="698" w:right="31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Supplemental Material</w:t>
      </w:r>
    </w:p>
    <w:p>
      <w:pPr>
        <w:jc w:val="center"/>
        <w:ind w:right="-19"/>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diluted earnings (loss) per common share under U.S. GAAP to EPS-diluted-adjusted (dollars in millions, except per share amounts):</w:t>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37"/>
        </w:trPr>
        <w:tc>
          <w:tcPr>
            <w:tcW w:w="39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ind w:left="280"/>
              <w:spacing w:after="0"/>
              <w:rPr>
                <w:sz w:val="20"/>
                <w:szCs w:val="20"/>
                <w:color w:val="auto"/>
              </w:rPr>
            </w:pPr>
            <w:r>
              <w:rPr>
                <w:rFonts w:ascii="Arial" w:cs="Arial" w:eastAsia="Arial" w:hAnsi="Arial"/>
                <w:sz w:val="10"/>
                <w:szCs w:val="10"/>
                <w:b w:val="1"/>
                <w:bCs w:val="1"/>
                <w:color w:val="auto"/>
              </w:rPr>
              <w:t>Three Months Ended</w:t>
            </w: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5"/>
          </w:tcPr>
          <w:p>
            <w:pPr>
              <w:ind w:left="460"/>
              <w:spacing w:after="0"/>
              <w:rPr>
                <w:sz w:val="20"/>
                <w:szCs w:val="20"/>
                <w:color w:val="auto"/>
              </w:rPr>
            </w:pPr>
            <w:r>
              <w:rPr>
                <w:rFonts w:ascii="Arial" w:cs="Arial" w:eastAsia="Arial" w:hAnsi="Arial"/>
                <w:sz w:val="10"/>
                <w:szCs w:val="10"/>
                <w:b w:val="1"/>
                <w:bCs w:val="1"/>
                <w:color w:val="auto"/>
              </w:rPr>
              <w:t>Years Ended</w:t>
            </w: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32"/>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0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Pr>
          <w:p>
            <w:pPr>
              <w:spacing w:after="0"/>
              <w:rPr>
                <w:sz w:val="11"/>
                <w:szCs w:val="11"/>
                <w:color w:val="auto"/>
              </w:rPr>
            </w:pPr>
          </w:p>
        </w:tc>
        <w:tc>
          <w:tcPr>
            <w:tcW w:w="1620" w:type="dxa"/>
            <w:vAlign w:val="bottom"/>
            <w:gridSpan w:val="4"/>
          </w:tcPr>
          <w:p>
            <w:pPr>
              <w:jc w:val="right"/>
              <w:ind w:right="378"/>
              <w:spacing w:after="0"/>
              <w:rPr>
                <w:sz w:val="20"/>
                <w:szCs w:val="20"/>
                <w:color w:val="auto"/>
              </w:rPr>
            </w:pPr>
            <w:r>
              <w:rPr>
                <w:rFonts w:ascii="Arial" w:cs="Arial" w:eastAsia="Arial" w:hAnsi="Arial"/>
                <w:sz w:val="10"/>
                <w:szCs w:val="10"/>
                <w:b w:val="1"/>
                <w:bCs w:val="1"/>
                <w:color w:val="auto"/>
              </w:rPr>
              <w:t>December 31, 2019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5"/>
          </w:tcPr>
          <w:p>
            <w:pPr>
              <w:ind w:left="280"/>
              <w:spacing w:after="0"/>
              <w:rPr>
                <w:sz w:val="20"/>
                <w:szCs w:val="20"/>
                <w:color w:val="auto"/>
              </w:rPr>
            </w:pPr>
            <w:r>
              <w:rPr>
                <w:rFonts w:ascii="Arial" w:cs="Arial" w:eastAsia="Arial" w:hAnsi="Arial"/>
                <w:sz w:val="10"/>
                <w:szCs w:val="10"/>
                <w:b w:val="1"/>
                <w:bCs w:val="1"/>
                <w:color w:val="auto"/>
              </w:rPr>
              <w:t>December 31, 2020</w:t>
            </w:r>
          </w:p>
        </w:tc>
        <w:tc>
          <w:tcPr>
            <w:tcW w:w="140" w:type="dxa"/>
            <w:vAlign w:val="bottom"/>
          </w:tcPr>
          <w:p>
            <w:pPr>
              <w:spacing w:after="0"/>
              <w:rPr>
                <w:sz w:val="11"/>
                <w:szCs w:val="11"/>
                <w:color w:val="auto"/>
              </w:rPr>
            </w:pPr>
          </w:p>
        </w:tc>
        <w:tc>
          <w:tcPr>
            <w:tcW w:w="1620" w:type="dxa"/>
            <w:vAlign w:val="bottom"/>
            <w:gridSpan w:val="4"/>
          </w:tcPr>
          <w:p>
            <w:pPr>
              <w:jc w:val="right"/>
              <w:ind w:right="378"/>
              <w:spacing w:after="0"/>
              <w:rPr>
                <w:sz w:val="20"/>
                <w:szCs w:val="20"/>
                <w:color w:val="auto"/>
              </w:rPr>
            </w:pPr>
            <w:r>
              <w:rPr>
                <w:rFonts w:ascii="Arial" w:cs="Arial" w:eastAsia="Arial" w:hAnsi="Arial"/>
                <w:sz w:val="10"/>
                <w:szCs w:val="10"/>
                <w:b w:val="1"/>
                <w:bCs w:val="1"/>
                <w:color w:val="auto"/>
              </w:rPr>
              <w:t>December 31, 2019</w:t>
            </w:r>
          </w:p>
        </w:tc>
      </w:tr>
      <w:tr>
        <w:trPr>
          <w:trHeight w:val="129"/>
        </w:trPr>
        <w:tc>
          <w:tcPr>
            <w:tcW w:w="39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38"/>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40"/>
              <w:spacing w:after="0"/>
              <w:rPr>
                <w:sz w:val="20"/>
                <w:szCs w:val="20"/>
                <w:color w:val="auto"/>
              </w:rPr>
            </w:pPr>
            <w:r>
              <w:rPr>
                <w:rFonts w:ascii="Arial" w:cs="Arial" w:eastAsia="Arial" w:hAnsi="Arial"/>
                <w:sz w:val="10"/>
                <w:szCs w:val="10"/>
                <w:b w:val="1"/>
                <w:bCs w:val="1"/>
                <w:color w:val="auto"/>
              </w:rPr>
              <w:t>Per Share</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158"/>
              <w:spacing w:after="0"/>
              <w:rPr>
                <w:sz w:val="20"/>
                <w:szCs w:val="20"/>
                <w:color w:val="auto"/>
              </w:rPr>
            </w:pPr>
            <w:r>
              <w:rPr>
                <w:rFonts w:ascii="Arial" w:cs="Arial" w:eastAsia="Arial" w:hAnsi="Arial"/>
                <w:sz w:val="10"/>
                <w:szCs w:val="10"/>
                <w:b w:val="1"/>
                <w:bCs w:val="1"/>
                <w:color w:val="auto"/>
              </w:rPr>
              <w:t>Per Share</w:t>
            </w:r>
          </w:p>
        </w:tc>
      </w:tr>
      <w:tr>
        <w:trPr>
          <w:trHeight w:val="165"/>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6,581</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4.57</w:t>
            </w: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Impact of including dilutive securities(a)</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8"/>
              <w:spacing w:after="0"/>
              <w:rPr>
                <w:sz w:val="20"/>
                <w:szCs w:val="20"/>
                <w:color w:val="auto"/>
              </w:rPr>
            </w:pPr>
            <w:r>
              <w:rPr>
                <w:rFonts w:ascii="Arial" w:cs="Arial" w:eastAsia="Arial" w:hAnsi="Arial"/>
                <w:sz w:val="13"/>
                <w:szCs w:val="13"/>
                <w:color w:val="auto"/>
              </w:rPr>
              <w:t>—</w:t>
            </w:r>
          </w:p>
        </w:tc>
      </w:tr>
      <w:tr>
        <w:trPr>
          <w:trHeight w:val="172"/>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Adjustments(b)</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0.38</w:t>
            </w:r>
          </w:p>
        </w:tc>
      </w:tr>
      <w:tr>
        <w:trPr>
          <w:trHeight w:val="168"/>
        </w:trPr>
        <w:tc>
          <w:tcPr>
            <w:tcW w:w="3900" w:type="dxa"/>
            <w:vAlign w:val="bottom"/>
          </w:tcPr>
          <w:p>
            <w:pPr>
              <w:ind w:left="20"/>
              <w:spacing w:after="0"/>
              <w:rPr>
                <w:sz w:val="20"/>
                <w:szCs w:val="20"/>
                <w:color w:val="auto"/>
              </w:rPr>
            </w:pPr>
            <w:r>
              <w:rPr>
                <w:rFonts w:ascii="Arial" w:cs="Arial" w:eastAsia="Arial" w:hAnsi="Arial"/>
                <w:sz w:val="13"/>
                <w:szCs w:val="13"/>
                <w:color w:val="auto"/>
              </w:rPr>
              <w:t>Tax effect on adjustments(c)</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(0.13)</w:t>
            </w:r>
          </w:p>
        </w:tc>
      </w:tr>
      <w:tr>
        <w:trPr>
          <w:trHeight w:val="170"/>
        </w:trPr>
        <w:tc>
          <w:tcPr>
            <w:tcW w:w="39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adjustments(d)</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w:t>
            </w:r>
          </w:p>
        </w:tc>
      </w:tr>
      <w:tr>
        <w:trPr>
          <w:trHeight w:val="163"/>
        </w:trPr>
        <w:tc>
          <w:tcPr>
            <w:tcW w:w="3900" w:type="dxa"/>
            <w:vAlign w:val="bottom"/>
          </w:tcPr>
          <w:p>
            <w:pPr>
              <w:ind w:left="20"/>
              <w:spacing w:after="0"/>
              <w:rPr>
                <w:sz w:val="20"/>
                <w:szCs w:val="20"/>
                <w:color w:val="auto"/>
              </w:rPr>
            </w:pPr>
            <w:r>
              <w:rPr>
                <w:rFonts w:ascii="Arial" w:cs="Arial" w:eastAsia="Arial" w:hAnsi="Arial"/>
                <w:sz w:val="13"/>
                <w:szCs w:val="13"/>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2,807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7,065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6,932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4.82</w:t>
            </w: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dilutive effect of awards under stock incentive plans. Refer to the table below for the effect on weighted-average common shares outstanding – diluted-adjusted.</w:t>
      </w:r>
    </w:p>
    <w:p>
      <w:pPr>
        <w:ind w:left="260" w:hanging="255"/>
        <w:spacing w:after="0"/>
        <w:tabs>
          <w:tab w:leader="none" w:pos="26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w:t>
      </w:r>
    </w:p>
    <w:p>
      <w:pPr>
        <w:spacing w:after="0" w:line="11" w:lineRule="exact"/>
        <w:rPr>
          <w:rFonts w:ascii="Arial" w:cs="Arial" w:eastAsia="Arial" w:hAnsi="Arial"/>
          <w:sz w:val="11"/>
          <w:szCs w:val="11"/>
          <w:color w:val="auto"/>
        </w:rPr>
      </w:pPr>
    </w:p>
    <w:p>
      <w:pPr>
        <w:ind w:left="280" w:hanging="275"/>
        <w:spacing w:after="0"/>
        <w:tabs>
          <w:tab w:leader="none" w:pos="2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tax effect of each adjustment is determined based on the tax laws and valuation allowance status of the jurisdiction to which the adjustment relates.</w:t>
      </w:r>
    </w:p>
    <w:p>
      <w:pPr>
        <w:spacing w:after="0" w:line="11" w:lineRule="exact"/>
        <w:rPr>
          <w:rFonts w:ascii="Arial" w:cs="Arial" w:eastAsia="Arial" w:hAnsi="Arial"/>
          <w:sz w:val="11"/>
          <w:szCs w:val="11"/>
          <w:color w:val="auto"/>
        </w:rPr>
      </w:pPr>
    </w:p>
    <w:p>
      <w:pPr>
        <w:ind w:left="260" w:hanging="255"/>
        <w:spacing w:after="0" w:line="264" w:lineRule="auto"/>
        <w:tabs>
          <w:tab w:leader="none" w:pos="306" w:val="left"/>
        </w:tabs>
        <w:numPr>
          <w:ilvl w:val="0"/>
          <w:numId w:val="3"/>
        </w:numPr>
        <w:rPr>
          <w:rFonts w:ascii="Arial" w:cs="Arial" w:eastAsia="Arial" w:hAnsi="Arial"/>
          <w:sz w:val="11"/>
          <w:szCs w:val="11"/>
          <w:color w:val="auto"/>
        </w:rPr>
      </w:pPr>
      <w:r>
        <w:rPr>
          <w:rFonts w:ascii="Arial" w:cs="Arial" w:eastAsia="Arial" w:hAnsi="Arial"/>
          <w:sz w:val="11"/>
          <w:szCs w:val="11"/>
          <w:color w:val="auto"/>
        </w:rPr>
        <w:t>This adjustment consists of tax expense related to the establishment of a valuation allowance against deferred tax assets in Australia and New Zealand. This adjustment was excluded because significant impacts of valuation allowances are not considered part of our core operations</w:t>
      </w:r>
      <w:r>
        <w:rPr>
          <w:rFonts w:ascii="Arial" w:cs="Arial" w:eastAsia="Arial" w:hAnsi="Arial"/>
          <w:sz w:val="12"/>
          <w:szCs w:val="12"/>
          <w:color w:val="auto"/>
        </w:rPr>
        <w:t>.</w:t>
      </w:r>
    </w:p>
    <w:p>
      <w:pPr>
        <w:spacing w:after="0" w:line="174" w:lineRule="exact"/>
        <w:rPr>
          <w:sz w:val="20"/>
          <w:szCs w:val="20"/>
          <w:color w:val="auto"/>
        </w:rPr>
      </w:pPr>
    </w:p>
    <w:p>
      <w:pPr>
        <w:ind w:right="80" w:firstLine="127"/>
        <w:spacing w:after="0" w:line="244" w:lineRule="auto"/>
        <w:rPr>
          <w:sz w:val="20"/>
          <w:szCs w:val="20"/>
          <w:color w:val="auto"/>
        </w:rPr>
      </w:pPr>
      <w:r>
        <w:rPr>
          <w:rFonts w:ascii="Arial" w:cs="Arial" w:eastAsia="Arial" w:hAnsi="Arial"/>
          <w:sz w:val="13"/>
          <w:szCs w:val="13"/>
          <w:color w:val="auto"/>
        </w:rPr>
        <w:t>The following table reconciles weighted-average common shares outstanding – diluted under U.S. GAAP to weighted-average common shares outstanding – diluted-adjusted used in the calculation of EPS-diluted-adjusted (shares in millions):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60" w:type="dxa"/>
            <w:vAlign w:val="bottom"/>
          </w:tcPr>
          <w:p>
            <w:pPr>
              <w:spacing w:after="0"/>
              <w:rPr>
                <w:sz w:val="11"/>
                <w:szCs w:val="11"/>
                <w:color w:val="auto"/>
              </w:rPr>
            </w:pPr>
          </w:p>
        </w:tc>
        <w:tc>
          <w:tcPr>
            <w:tcW w:w="2940" w:type="dxa"/>
            <w:vAlign w:val="bottom"/>
            <w:gridSpan w:val="4"/>
          </w:tcPr>
          <w:p>
            <w:pPr>
              <w:ind w:left="940"/>
              <w:spacing w:after="0"/>
              <w:rPr>
                <w:sz w:val="20"/>
                <w:szCs w:val="20"/>
                <w:color w:val="auto"/>
              </w:rPr>
            </w:pPr>
            <w:r>
              <w:rPr>
                <w:rFonts w:ascii="Arial" w:cs="Arial" w:eastAsia="Arial" w:hAnsi="Arial"/>
                <w:sz w:val="10"/>
                <w:szCs w:val="10"/>
                <w:b w:val="1"/>
                <w:bCs w:val="1"/>
                <w:color w:val="auto"/>
              </w:rPr>
              <w:t>Three Months Ended</w:t>
            </w:r>
          </w:p>
        </w:tc>
        <w:tc>
          <w:tcPr>
            <w:tcW w:w="2860" w:type="dxa"/>
            <w:vAlign w:val="bottom"/>
            <w:gridSpan w:val="3"/>
          </w:tcPr>
          <w:p>
            <w:pPr>
              <w:jc w:val="right"/>
              <w:ind w:right="1060"/>
              <w:spacing w:after="0"/>
              <w:rPr>
                <w:sz w:val="20"/>
                <w:szCs w:val="20"/>
                <w:color w:val="auto"/>
              </w:rPr>
            </w:pPr>
            <w:r>
              <w:rPr>
                <w:rFonts w:ascii="Arial" w:cs="Arial" w:eastAsia="Arial" w:hAnsi="Arial"/>
                <w:sz w:val="10"/>
                <w:szCs w:val="10"/>
                <w:b w:val="1"/>
                <w:bCs w:val="1"/>
                <w:color w:val="auto"/>
              </w:rPr>
              <w:t>Years Ended</w:t>
            </w:r>
          </w:p>
        </w:tc>
      </w:tr>
      <w:tr>
        <w:trPr>
          <w:trHeight w:val="132"/>
        </w:trPr>
        <w:tc>
          <w:tcPr>
            <w:tcW w:w="5460" w:type="dxa"/>
            <w:vAlign w:val="bottom"/>
          </w:tcPr>
          <w:p>
            <w:pPr>
              <w:spacing w:after="0"/>
              <w:rPr>
                <w:sz w:val="11"/>
                <w:szCs w:val="11"/>
                <w:color w:val="auto"/>
              </w:rPr>
            </w:pPr>
          </w:p>
        </w:tc>
        <w:tc>
          <w:tcPr>
            <w:tcW w:w="1480" w:type="dxa"/>
            <w:vAlign w:val="bottom"/>
            <w:tcBorders>
              <w:top w:val="single" w:sz="8" w:color="auto"/>
            </w:tcBorders>
            <w:gridSpan w:val="2"/>
          </w:tcPr>
          <w:p>
            <w:pPr>
              <w:ind w:left="240"/>
              <w:spacing w:after="0"/>
              <w:rPr>
                <w:sz w:val="20"/>
                <w:szCs w:val="20"/>
                <w:color w:val="auto"/>
              </w:rPr>
            </w:pPr>
            <w:r>
              <w:rPr>
                <w:rFonts w:ascii="Arial" w:cs="Arial" w:eastAsia="Arial" w:hAnsi="Arial"/>
                <w:sz w:val="10"/>
                <w:szCs w:val="10"/>
                <w:b w:val="1"/>
                <w:bCs w:val="1"/>
                <w:color w:val="auto"/>
              </w:rPr>
              <w:t>December 31, 2020</w:t>
            </w:r>
          </w:p>
        </w:tc>
        <w:tc>
          <w:tcPr>
            <w:tcW w:w="1380" w:type="dxa"/>
            <w:vAlign w:val="bottom"/>
            <w:tcBorders>
              <w:top w:val="single" w:sz="8" w:color="auto"/>
            </w:tcBorders>
          </w:tcPr>
          <w:p>
            <w:pPr>
              <w:jc w:val="right"/>
              <w:ind w:right="200"/>
              <w:spacing w:after="0"/>
              <w:rPr>
                <w:sz w:val="20"/>
                <w:szCs w:val="20"/>
                <w:color w:val="auto"/>
              </w:rPr>
            </w:pPr>
            <w:r>
              <w:rPr>
                <w:rFonts w:ascii="Arial" w:cs="Arial" w:eastAsia="Arial" w:hAnsi="Arial"/>
                <w:sz w:val="10"/>
                <w:szCs w:val="10"/>
                <w:b w:val="1"/>
                <w:bCs w:val="1"/>
                <w:color w:val="auto"/>
              </w:rPr>
              <w:t>December 31, 2019</w:t>
            </w:r>
          </w:p>
        </w:tc>
        <w:tc>
          <w:tcPr>
            <w:tcW w:w="80" w:type="dxa"/>
            <w:vAlign w:val="bottom"/>
          </w:tcPr>
          <w:p>
            <w:pPr>
              <w:spacing w:after="0"/>
              <w:rPr>
                <w:sz w:val="11"/>
                <w:szCs w:val="11"/>
                <w:color w:val="auto"/>
              </w:rPr>
            </w:pPr>
          </w:p>
        </w:tc>
        <w:tc>
          <w:tcPr>
            <w:tcW w:w="1480" w:type="dxa"/>
            <w:vAlign w:val="bottom"/>
            <w:tcBorders>
              <w:top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December 31, 2020</w:t>
            </w:r>
          </w:p>
        </w:tc>
        <w:tc>
          <w:tcPr>
            <w:tcW w:w="1380" w:type="dxa"/>
            <w:vAlign w:val="bottom"/>
            <w:tcBorders>
              <w:top w:val="single" w:sz="8" w:color="auto"/>
            </w:tcBorders>
          </w:tcPr>
          <w:p>
            <w:pPr>
              <w:jc w:val="right"/>
              <w:ind w:right="180"/>
              <w:spacing w:after="0"/>
              <w:rPr>
                <w:sz w:val="20"/>
                <w:szCs w:val="20"/>
                <w:color w:val="auto"/>
              </w:rPr>
            </w:pPr>
            <w:r>
              <w:rPr>
                <w:rFonts w:ascii="Arial" w:cs="Arial" w:eastAsia="Arial" w:hAnsi="Arial"/>
                <w:sz w:val="10"/>
                <w:szCs w:val="10"/>
                <w:b w:val="1"/>
                <w:bCs w:val="1"/>
                <w:color w:val="auto"/>
              </w:rPr>
              <w:t>December 31, 2019</w:t>
            </w:r>
          </w:p>
        </w:tc>
      </w:tr>
      <w:tr>
        <w:trPr>
          <w:trHeight w:val="165"/>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common shares outstanding – diluted</w:t>
            </w:r>
          </w:p>
        </w:tc>
        <w:tc>
          <w:tcPr>
            <w:tcW w:w="13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1,451</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w:t>
            </w:r>
          </w:p>
        </w:tc>
      </w:tr>
      <w:tr>
        <w:trPr>
          <w:trHeight w:val="168"/>
        </w:trPr>
        <w:tc>
          <w:tcPr>
            <w:tcW w:w="5460" w:type="dxa"/>
            <w:vAlign w:val="bottom"/>
          </w:tcPr>
          <w:p>
            <w:pPr>
              <w:ind w:left="20"/>
              <w:spacing w:after="0"/>
              <w:rPr>
                <w:sz w:val="20"/>
                <w:szCs w:val="20"/>
                <w:color w:val="auto"/>
              </w:rPr>
            </w:pPr>
            <w:r>
              <w:rPr>
                <w:rFonts w:ascii="Arial" w:cs="Arial" w:eastAsia="Arial" w:hAnsi="Arial"/>
                <w:sz w:val="13"/>
                <w:szCs w:val="13"/>
                <w:color w:val="auto"/>
              </w:rPr>
              <w:t>Dilutive effect of awards under stock incentive plans</w:t>
            </w:r>
          </w:p>
        </w:tc>
        <w:tc>
          <w:tcPr>
            <w:tcW w:w="1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3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Weighted-average common shares outstanding – diluted-adjusted</w:t>
            </w:r>
          </w:p>
        </w:tc>
        <w:tc>
          <w:tcPr>
            <w:tcW w:w="13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1,451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679"/>
        </w:trPr>
        <w:tc>
          <w:tcPr>
            <w:tcW w:w="5460" w:type="dxa"/>
            <w:vAlign w:val="bottom"/>
          </w:tcPr>
          <w:p>
            <w:pPr>
              <w:spacing w:after="0"/>
              <w:rPr>
                <w:sz w:val="24"/>
                <w:szCs w:val="24"/>
                <w:color w:val="auto"/>
              </w:rPr>
            </w:pPr>
          </w:p>
        </w:tc>
        <w:tc>
          <w:tcPr>
            <w:tcW w:w="1380" w:type="dxa"/>
            <w:vAlign w:val="bottom"/>
          </w:tcPr>
          <w:p>
            <w:pPr>
              <w:jc w:val="right"/>
              <w:ind w:right="841"/>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reconciles our effective tax rate under U.S. GAAP to ETR-adjusted (dollars in millions):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0"/>
                <w:szCs w:val="10"/>
                <w:b w:val="1"/>
                <w:bCs w:val="1"/>
                <w:color w:val="auto"/>
              </w:rPr>
              <w:t>Years Ended December 31,</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02"/>
              <w:spacing w:after="0"/>
              <w:rPr>
                <w:sz w:val="20"/>
                <w:szCs w:val="20"/>
                <w:color w:val="auto"/>
              </w:rPr>
            </w:pPr>
            <w:r>
              <w:rPr>
                <w:rFonts w:ascii="Arial" w:cs="Arial" w:eastAsia="Arial" w:hAnsi="Arial"/>
                <w:sz w:val="10"/>
                <w:szCs w:val="10"/>
                <w:b w:val="1"/>
                <w:bCs w:val="1"/>
                <w:color w:val="auto"/>
              </w:rPr>
              <w:t>2020</w:t>
            </w: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22"/>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720" w:type="dxa"/>
            <w:vAlign w:val="bottom"/>
          </w:tcPr>
          <w:p>
            <w:pPr>
              <w:spacing w:after="0"/>
              <w:rPr>
                <w:sz w:val="7"/>
                <w:szCs w:val="7"/>
                <w:color w:val="auto"/>
              </w:rPr>
            </w:pPr>
          </w:p>
        </w:tc>
        <w:tc>
          <w:tcPr>
            <w:tcW w:w="1260" w:type="dxa"/>
            <w:vAlign w:val="bottom"/>
            <w:gridSpan w:val="3"/>
          </w:tcPr>
          <w:p>
            <w:pPr>
              <w:ind w:left="60"/>
              <w:spacing w:after="0" w:line="91" w:lineRule="exact"/>
              <w:rPr>
                <w:sz w:val="20"/>
                <w:szCs w:val="20"/>
                <w:color w:val="auto"/>
              </w:rPr>
            </w:pPr>
            <w:r>
              <w:rPr>
                <w:rFonts w:ascii="Arial" w:cs="Arial" w:eastAsia="Arial" w:hAnsi="Arial"/>
                <w:sz w:val="10"/>
                <w:szCs w:val="10"/>
                <w:b w:val="1"/>
                <w:bCs w:val="1"/>
                <w:color w:val="auto"/>
              </w:rPr>
              <w:t>Income before income</w:t>
            </w:r>
          </w:p>
        </w:tc>
        <w:tc>
          <w:tcPr>
            <w:tcW w:w="140" w:type="dxa"/>
            <w:vAlign w:val="bottom"/>
          </w:tcPr>
          <w:p>
            <w:pPr>
              <w:spacing w:after="0"/>
              <w:rPr>
                <w:sz w:val="7"/>
                <w:szCs w:val="7"/>
                <w:color w:val="auto"/>
              </w:rPr>
            </w:pPr>
          </w:p>
        </w:tc>
        <w:tc>
          <w:tcPr>
            <w:tcW w:w="780" w:type="dxa"/>
            <w:vAlign w:val="bottom"/>
          </w:tcPr>
          <w:p>
            <w:pPr>
              <w:jc w:val="right"/>
              <w:ind w:right="142"/>
              <w:spacing w:after="0" w:line="91" w:lineRule="exact"/>
              <w:rPr>
                <w:sz w:val="20"/>
                <w:szCs w:val="20"/>
                <w:color w:val="auto"/>
              </w:rPr>
            </w:pPr>
            <w:r>
              <w:rPr>
                <w:rFonts w:ascii="Arial" w:cs="Arial" w:eastAsia="Arial" w:hAnsi="Arial"/>
                <w:sz w:val="10"/>
                <w:szCs w:val="10"/>
                <w:b w:val="1"/>
                <w:bCs w:val="1"/>
                <w:color w:val="auto"/>
              </w:rPr>
              <w:t>Income tax</w:t>
            </w:r>
          </w:p>
        </w:tc>
        <w:tc>
          <w:tcPr>
            <w:tcW w:w="100" w:type="dxa"/>
            <w:vAlign w:val="bottom"/>
          </w:tcPr>
          <w:p>
            <w:pPr>
              <w:spacing w:after="0"/>
              <w:rPr>
                <w:sz w:val="7"/>
                <w:szCs w:val="7"/>
                <w:color w:val="auto"/>
              </w:rPr>
            </w:pPr>
          </w:p>
        </w:tc>
        <w:tc>
          <w:tcPr>
            <w:tcW w:w="940" w:type="dxa"/>
            <w:vAlign w:val="bottom"/>
            <w:vMerge w:val="restart"/>
          </w:tcPr>
          <w:p>
            <w:pPr>
              <w:jc w:val="right"/>
              <w:ind w:right="31"/>
              <w:spacing w:after="0"/>
              <w:rPr>
                <w:sz w:val="20"/>
                <w:szCs w:val="20"/>
                <w:color w:val="auto"/>
              </w:rPr>
            </w:pPr>
            <w:r>
              <w:rPr>
                <w:rFonts w:ascii="Arial" w:cs="Arial" w:eastAsia="Arial" w:hAnsi="Arial"/>
                <w:sz w:val="10"/>
                <w:szCs w:val="10"/>
                <w:b w:val="1"/>
                <w:bCs w:val="1"/>
                <w:color w:val="auto"/>
              </w:rPr>
              <w:t>Effective tax rate</w:t>
            </w:r>
          </w:p>
        </w:tc>
        <w:tc>
          <w:tcPr>
            <w:tcW w:w="80" w:type="dxa"/>
            <w:vAlign w:val="bottom"/>
            <w:vMerge w:val="restart"/>
          </w:tcPr>
          <w:p>
            <w:pPr>
              <w:spacing w:after="0"/>
              <w:rPr>
                <w:sz w:val="7"/>
                <w:szCs w:val="7"/>
                <w:color w:val="auto"/>
              </w:rPr>
            </w:pPr>
          </w:p>
        </w:tc>
        <w:tc>
          <w:tcPr>
            <w:tcW w:w="1260" w:type="dxa"/>
            <w:vAlign w:val="bottom"/>
            <w:gridSpan w:val="3"/>
          </w:tcPr>
          <w:p>
            <w:pPr>
              <w:ind w:left="60"/>
              <w:spacing w:after="0" w:line="91" w:lineRule="exact"/>
              <w:rPr>
                <w:sz w:val="20"/>
                <w:szCs w:val="20"/>
                <w:color w:val="auto"/>
              </w:rPr>
            </w:pPr>
            <w:r>
              <w:rPr>
                <w:rFonts w:ascii="Arial" w:cs="Arial" w:eastAsia="Arial" w:hAnsi="Arial"/>
                <w:sz w:val="10"/>
                <w:szCs w:val="10"/>
                <w:b w:val="1"/>
                <w:bCs w:val="1"/>
                <w:color w:val="auto"/>
              </w:rPr>
              <w:t>Income before income</w:t>
            </w:r>
          </w:p>
        </w:tc>
        <w:tc>
          <w:tcPr>
            <w:tcW w:w="160" w:type="dxa"/>
            <w:vAlign w:val="bottom"/>
          </w:tcPr>
          <w:p>
            <w:pPr>
              <w:spacing w:after="0"/>
              <w:rPr>
                <w:sz w:val="7"/>
                <w:szCs w:val="7"/>
                <w:color w:val="auto"/>
              </w:rPr>
            </w:pPr>
          </w:p>
        </w:tc>
        <w:tc>
          <w:tcPr>
            <w:tcW w:w="780" w:type="dxa"/>
            <w:vAlign w:val="bottom"/>
          </w:tcPr>
          <w:p>
            <w:pPr>
              <w:jc w:val="right"/>
              <w:ind w:right="162"/>
              <w:spacing w:after="0" w:line="91" w:lineRule="exact"/>
              <w:rPr>
                <w:sz w:val="20"/>
                <w:szCs w:val="20"/>
                <w:color w:val="auto"/>
              </w:rPr>
            </w:pPr>
            <w:r>
              <w:rPr>
                <w:rFonts w:ascii="Arial" w:cs="Arial" w:eastAsia="Arial" w:hAnsi="Arial"/>
                <w:sz w:val="10"/>
                <w:szCs w:val="10"/>
                <w:b w:val="1"/>
                <w:bCs w:val="1"/>
                <w:color w:val="auto"/>
              </w:rPr>
              <w:t>Income tax</w:t>
            </w:r>
          </w:p>
        </w:tc>
        <w:tc>
          <w:tcPr>
            <w:tcW w:w="80" w:type="dxa"/>
            <w:vAlign w:val="bottom"/>
          </w:tcPr>
          <w:p>
            <w:pPr>
              <w:spacing w:after="0"/>
              <w:rPr>
                <w:sz w:val="7"/>
                <w:szCs w:val="7"/>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rPr>
              <w:t>Effective tax rate</w:t>
            </w:r>
          </w:p>
        </w:tc>
        <w:tc>
          <w:tcPr>
            <w:tcW w:w="0" w:type="dxa"/>
            <w:vAlign w:val="bottom"/>
          </w:tcPr>
          <w:p>
            <w:pPr>
              <w:spacing w:after="0"/>
              <w:rPr>
                <w:sz w:val="1"/>
                <w:szCs w:val="1"/>
                <w:color w:val="auto"/>
              </w:rPr>
            </w:pPr>
          </w:p>
        </w:tc>
      </w:tr>
      <w:tr>
        <w:trPr>
          <w:trHeight w:val="134"/>
        </w:trPr>
        <w:tc>
          <w:tcPr>
            <w:tcW w:w="47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taxes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0"/>
                <w:szCs w:val="10"/>
                <w:b w:val="1"/>
                <w:bCs w:val="1"/>
                <w:color w:val="auto"/>
              </w:rPr>
              <w:t>expense</w:t>
            </w:r>
          </w:p>
        </w:tc>
        <w:tc>
          <w:tcPr>
            <w:tcW w:w="10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taxes</w:t>
            </w: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0"/>
                <w:szCs w:val="10"/>
                <w:b w:val="1"/>
                <w:bCs w:val="1"/>
                <w:color w:val="auto"/>
              </w:rPr>
              <w:t>expense</w:t>
            </w:r>
          </w:p>
        </w:tc>
        <w:tc>
          <w:tcPr>
            <w:tcW w:w="80" w:type="dxa"/>
            <w:vAlign w:val="bottom"/>
            <w:tcBorders>
              <w:bottom w:val="single" w:sz="8" w:color="CCEEFF"/>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Effective tax rate</w:t>
            </w:r>
          </w:p>
        </w:tc>
        <w:tc>
          <w:tcPr>
            <w:tcW w:w="260" w:type="dxa"/>
            <w:vAlign w:val="bottom"/>
            <w:shd w:val="clear" w:color="auto" w:fill="CCEEFF"/>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1,774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21.9 %</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7,436</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3"/>
                <w:szCs w:val="13"/>
                <w:color w:val="auto"/>
              </w:rPr>
              <w:t>769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10.3 %</w:t>
            </w:r>
          </w:p>
        </w:tc>
        <w:tc>
          <w:tcPr>
            <w:tcW w:w="0" w:type="dxa"/>
            <w:vAlign w:val="bottom"/>
          </w:tcPr>
          <w:p>
            <w:pPr>
              <w:spacing w:after="0"/>
              <w:rPr>
                <w:sz w:val="1"/>
                <w:szCs w:val="1"/>
                <w:color w:val="auto"/>
              </w:rPr>
            </w:pPr>
          </w:p>
        </w:tc>
      </w:tr>
      <w:tr>
        <w:trPr>
          <w:trHeight w:val="168"/>
        </w:trPr>
        <w:tc>
          <w:tcPr>
            <w:tcW w:w="4720" w:type="dxa"/>
            <w:vAlign w:val="bottom"/>
          </w:tcPr>
          <w:p>
            <w:pPr>
              <w:ind w:left="20"/>
              <w:spacing w:after="0"/>
              <w:rPr>
                <w:sz w:val="20"/>
                <w:szCs w:val="20"/>
                <w:color w:val="auto"/>
              </w:rPr>
            </w:pPr>
            <w:r>
              <w:rPr>
                <w:rFonts w:ascii="Arial" w:cs="Arial" w:eastAsia="Arial" w:hAnsi="Arial"/>
                <w:sz w:val="13"/>
                <w:szCs w:val="13"/>
                <w:color w:val="auto"/>
              </w:rPr>
              <w:t>Adjustments(a)</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652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545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
              <w:spacing w:after="0"/>
              <w:rPr>
                <w:sz w:val="20"/>
                <w:szCs w:val="20"/>
                <w:color w:val="auto"/>
              </w:rPr>
            </w:pPr>
            <w:r>
              <w:rPr>
                <w:rFonts w:ascii="Arial" w:cs="Arial" w:eastAsia="Arial" w:hAnsi="Arial"/>
                <w:sz w:val="13"/>
                <w:szCs w:val="13"/>
                <w:color w:val="auto"/>
              </w:rPr>
              <w:t>188</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720" w:type="dxa"/>
            <w:vAlign w:val="bottom"/>
            <w:shd w:val="clear" w:color="auto" w:fill="CCEEFF"/>
          </w:tcPr>
          <w:p>
            <w:pPr>
              <w:ind w:left="20"/>
              <w:spacing w:after="0"/>
              <w:rPr>
                <w:sz w:val="20"/>
                <w:szCs w:val="20"/>
                <w:color w:val="auto"/>
              </w:rPr>
            </w:pPr>
            <w:r>
              <w:rPr>
                <w:rFonts w:ascii="Arial" w:cs="Arial" w:eastAsia="Arial" w:hAnsi="Arial"/>
                <w:sz w:val="13"/>
                <w:szCs w:val="13"/>
                <w:color w:val="auto"/>
              </w:rPr>
              <w:t>Tax adjustments(b)</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720" w:type="dxa"/>
            <w:vAlign w:val="bottom"/>
          </w:tcPr>
          <w:p>
            <w:pPr>
              <w:ind w:left="20"/>
              <w:spacing w:after="0"/>
              <w:rPr>
                <w:sz w:val="20"/>
                <w:szCs w:val="20"/>
                <w:color w:val="auto"/>
              </w:rPr>
            </w:pPr>
            <w:r>
              <w:rPr>
                <w:rFonts w:ascii="Arial" w:cs="Arial" w:eastAsia="Arial" w:hAnsi="Arial"/>
                <w:sz w:val="13"/>
                <w:szCs w:val="13"/>
                <w:color w:val="auto"/>
              </w:rPr>
              <w:t>ETR-adjusted</w:t>
            </w:r>
          </w:p>
        </w:tc>
        <w:tc>
          <w:tcPr>
            <w:tcW w:w="2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1,608</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18.4 %</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ind w:right="603"/>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7,981</w:t>
            </w:r>
          </w:p>
        </w:tc>
        <w:tc>
          <w:tcPr>
            <w:tcW w:w="8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957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line="241" w:lineRule="auto"/>
        <w:tabs>
          <w:tab w:leader="none" w:pos="308"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 Net income attributable to noncontrolling interests for these adjustments is included in the year ended December 31, 2019. The tax effect of each adjustment is determined based on the tax laws and valuation allowance status of the jurisdiction to which the adjustment relates.</w:t>
      </w:r>
    </w:p>
    <w:p>
      <w:pPr>
        <w:ind w:left="260" w:hanging="255"/>
        <w:spacing w:after="0"/>
        <w:tabs>
          <w:tab w:leader="none" w:pos="26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Refer to the reconciliation of diluted earnings (loss) per common share under U.S. GAAP to EPS-diluted-adjusted within the previous section for adjustment details.</w:t>
      </w:r>
    </w:p>
    <w:p>
      <w:pPr>
        <w:spacing w:after="0" w:line="190" w:lineRule="exact"/>
        <w:rPr>
          <w:sz w:val="20"/>
          <w:szCs w:val="20"/>
          <w:color w:val="auto"/>
        </w:rPr>
      </w:pPr>
    </w:p>
    <w:p>
      <w:pPr>
        <w:ind w:firstLine="127"/>
        <w:spacing w:after="0" w:line="244" w:lineRule="auto"/>
        <w:rPr>
          <w:sz w:val="20"/>
          <w:szCs w:val="20"/>
          <w:color w:val="auto"/>
        </w:rPr>
      </w:pPr>
      <w:r>
        <w:rPr>
          <w:rFonts w:ascii="Arial" w:cs="Arial" w:eastAsia="Arial" w:hAnsi="Arial"/>
          <w:sz w:val="13"/>
          <w:szCs w:val="13"/>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Years Ended December 31,</w:t>
            </w:r>
          </w:p>
        </w:tc>
        <w:tc>
          <w:tcPr>
            <w:tcW w:w="500" w:type="dxa"/>
            <w:vAlign w:val="bottom"/>
            <w:tcBorders>
              <w:bottom w:val="single" w:sz="8" w:color="auto"/>
            </w:tcBorders>
          </w:tcPr>
          <w:p>
            <w:pPr>
              <w:spacing w:after="0"/>
              <w:rPr>
                <w:sz w:val="11"/>
                <w:szCs w:val="11"/>
                <w:color w:val="auto"/>
              </w:rPr>
            </w:pPr>
          </w:p>
        </w:tc>
      </w:tr>
      <w:tr>
        <w:trPr>
          <w:trHeight w:val="132"/>
        </w:trPr>
        <w:tc>
          <w:tcPr>
            <w:tcW w:w="20" w:type="dxa"/>
            <w:vAlign w:val="bottom"/>
          </w:tcPr>
          <w:p>
            <w:pPr>
              <w:spacing w:after="0"/>
              <w:rPr>
                <w:sz w:val="11"/>
                <w:szCs w:val="11"/>
                <w:color w:val="auto"/>
              </w:rPr>
            </w:pPr>
          </w:p>
        </w:tc>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stockholders</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6.7</w:t>
            </w:r>
          </w:p>
        </w:tc>
      </w:tr>
      <w:tr>
        <w:trPr>
          <w:trHeight w:val="168"/>
        </w:trPr>
        <w:tc>
          <w:tcPr>
            <w:tcW w:w="2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Average equity(a)</w:t>
            </w:r>
          </w:p>
        </w:tc>
        <w:tc>
          <w:tcPr>
            <w:tcW w:w="800" w:type="dxa"/>
            <w:vAlign w:val="bottom"/>
          </w:tcPr>
          <w:p>
            <w:pPr>
              <w:jc w:val="right"/>
              <w:ind w:right="64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43.7</w:t>
            </w:r>
          </w:p>
        </w:tc>
      </w:tr>
      <w:tr>
        <w:trPr>
          <w:trHeight w:val="172"/>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ROE</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15.4 %</w:t>
            </w:r>
          </w:p>
        </w:tc>
      </w:tr>
      <w:tr>
        <w:trPr>
          <w:trHeight w:val="205"/>
        </w:trPr>
        <w:tc>
          <w:tcPr>
            <w:tcW w:w="8580" w:type="dxa"/>
            <w:vAlign w:val="bottom"/>
            <w:gridSpan w:val="2"/>
          </w:tcPr>
          <w:p>
            <w:pPr>
              <w:spacing w:after="0"/>
              <w:rPr>
                <w:sz w:val="20"/>
                <w:szCs w:val="20"/>
                <w:color w:val="auto"/>
              </w:rPr>
            </w:pPr>
            <w:r>
              <w:rPr>
                <w:rFonts w:ascii="Arial" w:cs="Arial" w:eastAsia="Arial" w:hAnsi="Arial"/>
                <w:sz w:val="11"/>
                <w:szCs w:val="11"/>
                <w:color w:val="auto"/>
              </w:rPr>
              <w:t>________</w:t>
            </w: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36"/>
        </w:trPr>
        <w:tc>
          <w:tcPr>
            <w:tcW w:w="8580" w:type="dxa"/>
            <w:vAlign w:val="bottom"/>
            <w:gridSpan w:val="2"/>
          </w:tcPr>
          <w:p>
            <w:pPr>
              <w:spacing w:after="0"/>
              <w:rPr>
                <w:sz w:val="20"/>
                <w:szCs w:val="20"/>
                <w:color w:val="auto"/>
              </w:rPr>
            </w:pPr>
            <w:r>
              <w:rPr>
                <w:rFonts w:ascii="Arial" w:cs="Arial" w:eastAsia="Arial" w:hAnsi="Arial"/>
                <w:sz w:val="11"/>
                <w:szCs w:val="11"/>
                <w:color w:val="auto"/>
              </w:rPr>
              <w:t>(a)  Includes equity of noncontrolling interests where the corresponding earnings (loss) are included in Net income (loss) attributable to stockholders.</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333"/>
        </w:trPr>
        <w:tc>
          <w:tcPr>
            <w:tcW w:w="20" w:type="dxa"/>
            <w:vAlign w:val="bottom"/>
          </w:tcPr>
          <w:p>
            <w:pPr>
              <w:spacing w:after="0"/>
              <w:rPr>
                <w:sz w:val="24"/>
                <w:szCs w:val="24"/>
                <w:color w:val="auto"/>
              </w:rPr>
            </w:pPr>
          </w:p>
        </w:tc>
        <w:tc>
          <w:tcPr>
            <w:tcW w:w="8560" w:type="dxa"/>
            <w:vAlign w:val="bottom"/>
          </w:tcPr>
          <w:p>
            <w:pPr>
              <w:ind w:left="120"/>
              <w:spacing w:after="0"/>
              <w:rPr>
                <w:sz w:val="20"/>
                <w:szCs w:val="20"/>
                <w:color w:val="auto"/>
              </w:rPr>
            </w:pPr>
            <w:r>
              <w:rPr>
                <w:rFonts w:ascii="Arial" w:cs="Arial" w:eastAsia="Arial" w:hAnsi="Arial"/>
                <w:sz w:val="13"/>
                <w:szCs w:val="13"/>
                <w:color w:val="auto"/>
              </w:rPr>
              <w:t>The following table summarizes the calculation of ROIC-adjusted (dollars in billions):</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8560" w:type="dxa"/>
            <w:vAlign w:val="bottom"/>
          </w:tcPr>
          <w:p>
            <w:pPr>
              <w:spacing w:after="0"/>
              <w:rPr>
                <w:sz w:val="18"/>
                <w:szCs w:val="18"/>
                <w:color w:val="auto"/>
              </w:rPr>
            </w:pPr>
          </w:p>
        </w:tc>
        <w:tc>
          <w:tcPr>
            <w:tcW w:w="22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0"/>
                <w:szCs w:val="10"/>
                <w:b w:val="1"/>
                <w:bCs w:val="1"/>
                <w:color w:val="auto"/>
              </w:rPr>
              <w:t>Years Ended December 31,</w:t>
            </w:r>
          </w:p>
        </w:tc>
        <w:tc>
          <w:tcPr>
            <w:tcW w:w="500" w:type="dxa"/>
            <w:vAlign w:val="bottom"/>
            <w:tcBorders>
              <w:bottom w:val="single" w:sz="8" w:color="auto"/>
            </w:tcBorders>
          </w:tcPr>
          <w:p>
            <w:pPr>
              <w:spacing w:after="0"/>
              <w:rPr>
                <w:sz w:val="18"/>
                <w:szCs w:val="18"/>
                <w:color w:val="auto"/>
              </w:rPr>
            </w:pPr>
          </w:p>
        </w:tc>
      </w:tr>
      <w:tr>
        <w:trPr>
          <w:trHeight w:val="132"/>
        </w:trPr>
        <w:tc>
          <w:tcPr>
            <w:tcW w:w="20" w:type="dxa"/>
            <w:vAlign w:val="bottom"/>
          </w:tcPr>
          <w:p>
            <w:pPr>
              <w:spacing w:after="0"/>
              <w:rPr>
                <w:sz w:val="11"/>
                <w:szCs w:val="11"/>
                <w:color w:val="auto"/>
              </w:rPr>
            </w:pPr>
          </w:p>
        </w:tc>
        <w:tc>
          <w:tcPr>
            <w:tcW w:w="85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2020</w:t>
            </w: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EBIT-adjusted(a)</w:t>
            </w:r>
          </w:p>
        </w:tc>
        <w:tc>
          <w:tcPr>
            <w:tcW w:w="800" w:type="dxa"/>
            <w:vAlign w:val="bottom"/>
            <w:shd w:val="clear" w:color="auto" w:fill="CCEEFF"/>
          </w:tcPr>
          <w:p>
            <w:pPr>
              <w:jc w:val="right"/>
              <w:ind w:right="643"/>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8.4</w:t>
            </w:r>
          </w:p>
        </w:tc>
      </w:tr>
      <w:tr>
        <w:trPr>
          <w:trHeight w:val="168"/>
        </w:trPr>
        <w:tc>
          <w:tcPr>
            <w:tcW w:w="2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Average equity(b)</w:t>
            </w:r>
          </w:p>
        </w:tc>
        <w:tc>
          <w:tcPr>
            <w:tcW w:w="800" w:type="dxa"/>
            <w:vAlign w:val="bottom"/>
          </w:tcPr>
          <w:p>
            <w:pPr>
              <w:jc w:val="right"/>
              <w:ind w:right="643"/>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4"/>
                <w:szCs w:val="14"/>
                <w:color w:val="auto"/>
              </w:rPr>
            </w:pPr>
          </w:p>
        </w:tc>
        <w:tc>
          <w:tcPr>
            <w:tcW w:w="800" w:type="dxa"/>
            <w:vAlign w:val="bottom"/>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43.7</w:t>
            </w:r>
          </w:p>
        </w:tc>
      </w:tr>
      <w:tr>
        <w:trPr>
          <w:trHeight w:val="172"/>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Add: Average automotive debt and interest liabilities (excluding finance leases)</w:t>
            </w: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27.8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116"/>
              <w:spacing w:after="0"/>
              <w:rPr>
                <w:sz w:val="20"/>
                <w:szCs w:val="20"/>
                <w:color w:val="auto"/>
              </w:rPr>
            </w:pPr>
            <w:r>
              <w:rPr>
                <w:rFonts w:ascii="Arial" w:cs="Arial" w:eastAsia="Arial" w:hAnsi="Arial"/>
                <w:sz w:val="13"/>
                <w:szCs w:val="13"/>
                <w:color w:val="auto"/>
              </w:rPr>
              <w:t>14.9</w:t>
            </w:r>
          </w:p>
        </w:tc>
      </w:tr>
      <w:tr>
        <w:trPr>
          <w:trHeight w:val="168"/>
        </w:trPr>
        <w:tc>
          <w:tcPr>
            <w:tcW w:w="2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Add: Average automotive net pension &amp; OPEB liability</w:t>
            </w:r>
          </w:p>
        </w:tc>
        <w:tc>
          <w:tcPr>
            <w:tcW w:w="80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3"/>
                <w:szCs w:val="13"/>
                <w:color w:val="auto"/>
              </w:rPr>
              <w:t>17.6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ind w:right="116"/>
              <w:spacing w:after="0"/>
              <w:rPr>
                <w:sz w:val="20"/>
                <w:szCs w:val="20"/>
                <w:color w:val="auto"/>
              </w:rPr>
            </w:pPr>
            <w:r>
              <w:rPr>
                <w:rFonts w:ascii="Arial" w:cs="Arial" w:eastAsia="Arial" w:hAnsi="Arial"/>
                <w:sz w:val="13"/>
                <w:szCs w:val="13"/>
                <w:color w:val="auto"/>
              </w:rPr>
              <w:t>16.7</w:t>
            </w:r>
          </w:p>
        </w:tc>
      </w:tr>
      <w:tr>
        <w:trPr>
          <w:trHeight w:val="170"/>
        </w:trPr>
        <w:tc>
          <w:tcPr>
            <w:tcW w:w="20" w:type="dxa"/>
            <w:vAlign w:val="bottom"/>
          </w:tcPr>
          <w:p>
            <w:pPr>
              <w:spacing w:after="0"/>
              <w:rPr>
                <w:sz w:val="14"/>
                <w:szCs w:val="14"/>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Less: Average automotive net income tax asset</w:t>
            </w: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99"/>
              </w:rPr>
              <w:t>(23.5)</w:t>
            </w:r>
          </w:p>
        </w:tc>
      </w:tr>
      <w:tr>
        <w:trPr>
          <w:trHeight w:val="163"/>
        </w:trPr>
        <w:tc>
          <w:tcPr>
            <w:tcW w:w="20" w:type="dxa"/>
            <w:vAlign w:val="bottom"/>
          </w:tcPr>
          <w:p>
            <w:pPr>
              <w:spacing w:after="0"/>
              <w:rPr>
                <w:sz w:val="14"/>
                <w:szCs w:val="14"/>
                <w:color w:val="auto"/>
              </w:rPr>
            </w:pPr>
          </w:p>
        </w:tc>
        <w:tc>
          <w:tcPr>
            <w:tcW w:w="8560" w:type="dxa"/>
            <w:vAlign w:val="bottom"/>
          </w:tcPr>
          <w:p>
            <w:pPr>
              <w:spacing w:after="0"/>
              <w:rPr>
                <w:sz w:val="20"/>
                <w:szCs w:val="20"/>
                <w:color w:val="auto"/>
              </w:rPr>
            </w:pPr>
            <w:r>
              <w:rPr>
                <w:rFonts w:ascii="Arial" w:cs="Arial" w:eastAsia="Arial" w:hAnsi="Arial"/>
                <w:sz w:val="13"/>
                <w:szCs w:val="13"/>
                <w:color w:val="auto"/>
              </w:rPr>
              <w:t>ROIC-adjusted average net assets</w:t>
            </w:r>
          </w:p>
        </w:tc>
        <w:tc>
          <w:tcPr>
            <w:tcW w:w="800" w:type="dxa"/>
            <w:vAlign w:val="bottom"/>
            <w:tcBorders>
              <w:bottom w:val="single" w:sz="8" w:color="auto"/>
            </w:tcBorders>
          </w:tcPr>
          <w:p>
            <w:pPr>
              <w:jc w:val="right"/>
              <w:ind w:right="64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64.7</w:t>
            </w:r>
          </w:p>
        </w:tc>
        <w:tc>
          <w:tcPr>
            <w:tcW w:w="100" w:type="dxa"/>
            <w:vAlign w:val="bottom"/>
          </w:tcPr>
          <w:p>
            <w:pPr>
              <w:spacing w:after="0"/>
              <w:rPr>
                <w:sz w:val="14"/>
                <w:szCs w:val="14"/>
                <w:color w:val="auto"/>
              </w:rPr>
            </w:pPr>
          </w:p>
        </w:tc>
        <w:tc>
          <w:tcPr>
            <w:tcW w:w="800" w:type="dxa"/>
            <w:vAlign w:val="bottom"/>
            <w:tcBorders>
              <w:bottom w:val="single" w:sz="8" w:color="auto"/>
            </w:tcBorders>
          </w:tcPr>
          <w:p>
            <w:pPr>
              <w:jc w:val="right"/>
              <w:ind w:right="660"/>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color w:val="auto"/>
              </w:rPr>
              <w:t>51.8</w:t>
            </w:r>
          </w:p>
        </w:tc>
      </w:tr>
      <w:tr>
        <w:trPr>
          <w:trHeight w:val="20"/>
        </w:trPr>
        <w:tc>
          <w:tcPr>
            <w:tcW w:w="20" w:type="dxa"/>
            <w:vAlign w:val="bottom"/>
          </w:tcPr>
          <w:p>
            <w:pPr>
              <w:spacing w:after="0" w:line="20" w:lineRule="exact"/>
              <w:rPr>
                <w:sz w:val="1"/>
                <w:szCs w:val="1"/>
                <w:color w:val="auto"/>
              </w:rPr>
            </w:pPr>
          </w:p>
        </w:tc>
        <w:tc>
          <w:tcPr>
            <w:tcW w:w="85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3"/>
                <w:szCs w:val="13"/>
                <w:color w:val="auto"/>
              </w:rPr>
              <w:t>ROIC-adjusted</w:t>
            </w: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15.0 %</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spacing w:after="0" w:line="1" w:lineRule="exact"/>
        <w:rPr>
          <w:sz w:val="20"/>
          <w:szCs w:val="20"/>
          <w:color w:val="auto"/>
        </w:rPr>
      </w:pP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Refer to the reconciliation of segment profit (loss) to Net income (loss) attributable to stockholders under U.S. GAAP for adjustment details.</w:t>
      </w:r>
    </w:p>
    <w:p>
      <w:pPr>
        <w:ind w:left="260" w:hanging="255"/>
        <w:spacing w:after="0"/>
        <w:tabs>
          <w:tab w:leader="none" w:pos="260" w:val="left"/>
        </w:tabs>
        <w:numPr>
          <w:ilvl w:val="0"/>
          <w:numId w:val="5"/>
        </w:numPr>
        <w:rPr>
          <w:rFonts w:ascii="Arial" w:cs="Arial" w:eastAsia="Arial" w:hAnsi="Arial"/>
          <w:sz w:val="11"/>
          <w:szCs w:val="11"/>
          <w:color w:val="auto"/>
        </w:rPr>
      </w:pPr>
      <w:r>
        <w:rPr>
          <w:rFonts w:ascii="Arial" w:cs="Arial" w:eastAsia="Arial" w:hAnsi="Arial"/>
          <w:sz w:val="11"/>
          <w:szCs w:val="11"/>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80"/>
          </w:cols>
          <w:pgMar w:left="300" w:top="698" w:right="319" w:bottom="1440" w:gutter="0" w:footer="0" w:header="0"/>
        </w:sectPr>
      </w:pPr>
    </w:p>
    <w:bookmarkStart w:id="13" w:name="page14"/>
    <w:bookmarkEnd w:id="13"/>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following table reconciles Net automotive cash provided by operating activities under U.S. GAAP to adjusted automotive free cash flow (dollars in millions):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4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40" w:type="dxa"/>
            <w:vAlign w:val="bottom"/>
            <w:gridSpan w:val="5"/>
          </w:tcPr>
          <w:p>
            <w:pPr>
              <w:ind w:left="620"/>
              <w:spacing w:after="0"/>
              <w:rPr>
                <w:sz w:val="20"/>
                <w:szCs w:val="20"/>
                <w:color w:val="auto"/>
              </w:rPr>
            </w:pPr>
            <w:r>
              <w:rPr>
                <w:rFonts w:ascii="Arial" w:cs="Arial" w:eastAsia="Arial" w:hAnsi="Arial"/>
                <w:sz w:val="10"/>
                <w:szCs w:val="10"/>
                <w:b w:val="1"/>
                <w:bCs w:val="1"/>
                <w:color w:val="auto"/>
              </w:rPr>
              <w:t>Three Months Ended</w:t>
            </w:r>
          </w:p>
        </w:tc>
        <w:tc>
          <w:tcPr>
            <w:tcW w:w="120" w:type="dxa"/>
            <w:vAlign w:val="bottom"/>
          </w:tcPr>
          <w:p>
            <w:pPr>
              <w:spacing w:after="0"/>
              <w:rPr>
                <w:sz w:val="11"/>
                <w:szCs w:val="11"/>
                <w:color w:val="auto"/>
              </w:rPr>
            </w:pPr>
          </w:p>
        </w:tc>
        <w:tc>
          <w:tcPr>
            <w:tcW w:w="2360" w:type="dxa"/>
            <w:vAlign w:val="bottom"/>
            <w:gridSpan w:val="4"/>
          </w:tcPr>
          <w:p>
            <w:pPr>
              <w:jc w:val="right"/>
              <w:ind w:right="878"/>
              <w:spacing w:after="0"/>
              <w:rPr>
                <w:sz w:val="20"/>
                <w:szCs w:val="20"/>
                <w:color w:val="auto"/>
              </w:rPr>
            </w:pPr>
            <w:r>
              <w:rPr>
                <w:rFonts w:ascii="Arial" w:cs="Arial" w:eastAsia="Arial" w:hAnsi="Arial"/>
                <w:sz w:val="10"/>
                <w:szCs w:val="10"/>
                <w:b w:val="1"/>
                <w:bCs w:val="1"/>
                <w:color w:val="auto"/>
              </w:rPr>
              <w:t>Years Ended</w:t>
            </w:r>
          </w:p>
        </w:tc>
        <w:tc>
          <w:tcPr>
            <w:tcW w:w="0" w:type="dxa"/>
            <w:vAlign w:val="bottom"/>
          </w:tcPr>
          <w:p>
            <w:pPr>
              <w:spacing w:after="0"/>
              <w:rPr>
                <w:sz w:val="1"/>
                <w:szCs w:val="1"/>
                <w:color w:val="auto"/>
              </w:rPr>
            </w:pPr>
          </w:p>
        </w:tc>
      </w:tr>
      <w:tr>
        <w:trPr>
          <w:trHeight w:val="132"/>
        </w:trPr>
        <w:tc>
          <w:tcPr>
            <w:tcW w:w="44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9"/>
              </w:rPr>
              <w:t>December 31, 2020</w:t>
            </w:r>
          </w:p>
        </w:tc>
        <w:tc>
          <w:tcPr>
            <w:tcW w:w="8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w w:val="99"/>
              </w:rPr>
              <w:t>December 31, 2019</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0"/>
                <w:szCs w:val="10"/>
                <w:b w:val="1"/>
                <w:bCs w:val="1"/>
                <w:color w:val="auto"/>
                <w:w w:val="99"/>
              </w:rPr>
              <w:t>December 31, 2020</w:t>
            </w: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9"/>
              </w:rPr>
              <w:t>December 31, 2019</w:t>
            </w:r>
          </w:p>
        </w:tc>
        <w:tc>
          <w:tcPr>
            <w:tcW w:w="0" w:type="dxa"/>
            <w:vAlign w:val="bottom"/>
          </w:tcPr>
          <w:p>
            <w:pPr>
              <w:spacing w:after="0"/>
              <w:rPr>
                <w:sz w:val="1"/>
                <w:szCs w:val="1"/>
                <w:color w:val="auto"/>
              </w:rPr>
            </w:pPr>
          </w:p>
        </w:tc>
      </w:tr>
      <w:tr>
        <w:trPr>
          <w:trHeight w:val="165"/>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automotive cash provided by operating activities</w:t>
            </w:r>
          </w:p>
        </w:tc>
        <w:tc>
          <w:tcPr>
            <w:tcW w:w="1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7,519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7,392</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Less: Capital expenditures</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(1,959)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(2,706)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(5,251)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(7,485)</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GMI restructuring</w:t>
            </w: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Add: Cadillac dealer strategy</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 Transformation activities</w:t>
            </w: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1,105</w:t>
            </w:r>
          </w:p>
        </w:tc>
        <w:tc>
          <w:tcPr>
            <w:tcW w:w="0" w:type="dxa"/>
            <w:vAlign w:val="bottom"/>
          </w:tcPr>
          <w:p>
            <w:pPr>
              <w:spacing w:after="0"/>
              <w:rPr>
                <w:sz w:val="1"/>
                <w:szCs w:val="1"/>
                <w:color w:val="auto"/>
              </w:rPr>
            </w:pPr>
          </w:p>
        </w:tc>
      </w:tr>
      <w:tr>
        <w:trPr>
          <w:trHeight w:val="168"/>
        </w:trPr>
        <w:tc>
          <w:tcPr>
            <w:tcW w:w="4400" w:type="dxa"/>
            <w:vAlign w:val="bottom"/>
          </w:tcPr>
          <w:p>
            <w:pPr>
              <w:ind w:left="20"/>
              <w:spacing w:after="0"/>
              <w:rPr>
                <w:sz w:val="20"/>
                <w:szCs w:val="20"/>
                <w:color w:val="auto"/>
              </w:rPr>
            </w:pPr>
            <w:r>
              <w:rPr>
                <w:rFonts w:ascii="Arial" w:cs="Arial" w:eastAsia="Arial" w:hAnsi="Arial"/>
                <w:sz w:val="13"/>
                <w:szCs w:val="13"/>
                <w:color w:val="auto"/>
              </w:rPr>
              <w:t>Add: FAW-GM divestiture</w:t>
            </w: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72"/>
        </w:trPr>
        <w:tc>
          <w:tcPr>
            <w:tcW w:w="4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Less: GM Brazil indirect tax recoveries</w:t>
            </w:r>
          </w:p>
        </w:tc>
        <w:tc>
          <w:tcPr>
            <w:tcW w:w="18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56"/>
        </w:trPr>
        <w:tc>
          <w:tcPr>
            <w:tcW w:w="4400" w:type="dxa"/>
            <w:vAlign w:val="bottom"/>
          </w:tcPr>
          <w:p>
            <w:pPr>
              <w:ind w:left="20"/>
              <w:spacing w:after="0" w:line="146" w:lineRule="exact"/>
              <w:rPr>
                <w:sz w:val="20"/>
                <w:szCs w:val="20"/>
                <w:color w:val="auto"/>
              </w:rPr>
            </w:pPr>
            <w:r>
              <w:rPr>
                <w:rFonts w:ascii="Arial" w:cs="Arial" w:eastAsia="Arial" w:hAnsi="Arial"/>
                <w:sz w:val="13"/>
                <w:szCs w:val="13"/>
                <w:color w:val="auto"/>
              </w:rPr>
              <w:t>Adjusted automotive free cash flow</w:t>
            </w:r>
          </w:p>
        </w:tc>
        <w:tc>
          <w:tcPr>
            <w:tcW w:w="19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3,433</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(1,312)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2,610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1,110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0" w:type="dxa"/>
            <w:vAlign w:val="bottom"/>
            <w:vMerge w:val="restart"/>
          </w:tcPr>
          <w:p>
            <w:pPr>
              <w:jc w:val="right"/>
              <w:ind w:right="216"/>
              <w:spacing w:after="0"/>
              <w:rPr>
                <w:sz w:val="20"/>
                <w:szCs w:val="20"/>
                <w:color w:val="auto"/>
              </w:rPr>
            </w:pPr>
            <w:r>
              <w:rPr>
                <w:rFonts w:ascii="Arial" w:cs="Arial" w:eastAsia="Arial" w:hAnsi="Arial"/>
                <w:sz w:val="13"/>
                <w:szCs w:val="13"/>
                <w:color w:val="auto"/>
              </w:rPr>
              <w:t>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44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Supplemental Material</w:t>
      </w:r>
    </w:p>
    <w:p>
      <w:pPr>
        <w:jc w:val="center"/>
        <w:ind w:right="-19"/>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tables summarize key financial information by segment (dollars in millions):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92"/>
        </w:trPr>
        <w:tc>
          <w:tcPr>
            <w:tcW w:w="2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7"/>
                <w:szCs w:val="7"/>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7"/>
                <w:szCs w:val="7"/>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7"/>
                <w:szCs w:val="7"/>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7"/>
                <w:szCs w:val="7"/>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7"/>
                <w:szCs w:val="7"/>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7"/>
                <w:szCs w:val="7"/>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30,170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3,894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34,093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37,518</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1,798</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155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1,959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1,972</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1,203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1,678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3,062</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285</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Three Months Ended December 31, 2019</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22,706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4,420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27,194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3,636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30,826</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2,214</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409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83</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2,706</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2,740</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1,309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ind w:left="860"/>
              <w:spacing w:after="0"/>
              <w:rPr>
                <w:sz w:val="20"/>
                <w:szCs w:val="20"/>
                <w:color w:val="auto"/>
              </w:rPr>
            </w:pPr>
            <w:r>
              <w:rPr>
                <w:rFonts w:ascii="Arial" w:cs="Arial" w:eastAsia="Arial" w:hAnsi="Arial"/>
                <w:sz w:val="10"/>
                <w:szCs w:val="10"/>
                <w:color w:val="auto"/>
                <w:w w:val="97"/>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1,471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1,771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3,247</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39</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228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40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268</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2020</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11,586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108,669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13,831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122,485</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4,501</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729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21</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5,251</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34</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5,300</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4,739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5,388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7,245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12,676</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99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119</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139</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527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674</w:t>
            </w:r>
          </w:p>
        </w:tc>
        <w:tc>
          <w:tcPr>
            <w:tcW w:w="0" w:type="dxa"/>
            <w:vAlign w:val="bottom"/>
          </w:tcPr>
          <w:p>
            <w:pPr>
              <w:spacing w:after="0"/>
              <w:rPr>
                <w:sz w:val="1"/>
                <w:szCs w:val="1"/>
                <w:color w:val="auto"/>
              </w:rPr>
            </w:pPr>
          </w:p>
        </w:tc>
      </w:tr>
      <w:tr>
        <w:trPr>
          <w:trHeight w:val="297"/>
        </w:trPr>
        <w:tc>
          <w:tcPr>
            <w:tcW w:w="2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vMerge w:val="restart"/>
          </w:tcPr>
          <w:p>
            <w:pPr>
              <w:ind w:left="80"/>
              <w:spacing w:after="0"/>
              <w:rPr>
                <w:sz w:val="20"/>
                <w:szCs w:val="20"/>
                <w:color w:val="auto"/>
              </w:rPr>
            </w:pPr>
            <w:r>
              <w:rPr>
                <w:rFonts w:ascii="Arial" w:cs="Arial" w:eastAsia="Arial" w:hAnsi="Arial"/>
                <w:sz w:val="8"/>
                <w:szCs w:val="8"/>
                <w:b w:val="1"/>
                <w:bCs w:val="1"/>
                <w:color w:val="auto"/>
              </w:rPr>
              <w:t>GMNA</w:t>
            </w:r>
          </w:p>
        </w:tc>
        <w:tc>
          <w:tcPr>
            <w:tcW w:w="180" w:type="dxa"/>
            <w:vAlign w:val="bottom"/>
          </w:tcPr>
          <w:p>
            <w:pPr>
              <w:spacing w:after="0"/>
              <w:rPr>
                <w:sz w:val="24"/>
                <w:szCs w:val="2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8"/>
                <w:szCs w:val="8"/>
                <w:b w:val="1"/>
                <w:bCs w:val="1"/>
                <w:color w:val="auto"/>
              </w:rPr>
              <w:t>GMI</w:t>
            </w:r>
          </w:p>
        </w:tc>
        <w:tc>
          <w:tcPr>
            <w:tcW w:w="120" w:type="dxa"/>
            <w:vAlign w:val="bottom"/>
          </w:tcPr>
          <w:p>
            <w:pPr>
              <w:spacing w:after="0"/>
              <w:rPr>
                <w:sz w:val="24"/>
                <w:szCs w:val="2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Corporate</w:t>
            </w:r>
          </w:p>
        </w:tc>
        <w:tc>
          <w:tcPr>
            <w:tcW w:w="220" w:type="dxa"/>
            <w:vAlign w:val="bottom"/>
          </w:tcPr>
          <w:p>
            <w:pPr>
              <w:spacing w:after="0"/>
              <w:rPr>
                <w:sz w:val="24"/>
                <w:szCs w:val="2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8"/>
                <w:szCs w:val="8"/>
                <w:b w:val="1"/>
                <w:bCs w:val="1"/>
                <w:color w:val="auto"/>
              </w:rPr>
              <w:t>Eliminations</w:t>
            </w: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Total</w:t>
            </w:r>
          </w:p>
        </w:tc>
        <w:tc>
          <w:tcPr>
            <w:tcW w:w="140" w:type="dxa"/>
            <w:vAlign w:val="bottom"/>
          </w:tcPr>
          <w:p>
            <w:pPr>
              <w:spacing w:after="0"/>
              <w:rPr>
                <w:sz w:val="24"/>
                <w:szCs w:val="24"/>
                <w:color w:val="auto"/>
              </w:rPr>
            </w:pPr>
          </w:p>
        </w:tc>
        <w:tc>
          <w:tcPr>
            <w:tcW w:w="620" w:type="dxa"/>
            <w:vAlign w:val="bottom"/>
            <w:gridSpan w:val="2"/>
            <w:vMerge w:val="restart"/>
          </w:tcPr>
          <w:p>
            <w:pPr>
              <w:ind w:left="60"/>
              <w:spacing w:after="0"/>
              <w:rPr>
                <w:sz w:val="20"/>
                <w:szCs w:val="20"/>
                <w:color w:val="auto"/>
              </w:rPr>
            </w:pPr>
            <w:r>
              <w:rPr>
                <w:rFonts w:ascii="Arial" w:cs="Arial" w:eastAsia="Arial" w:hAnsi="Arial"/>
                <w:sz w:val="8"/>
                <w:szCs w:val="8"/>
                <w:b w:val="1"/>
                <w:bCs w:val="1"/>
                <w:color w:val="auto"/>
              </w:rPr>
              <w:t>Cruise</w:t>
            </w:r>
          </w:p>
        </w:tc>
        <w:tc>
          <w:tcPr>
            <w:tcW w:w="120" w:type="dxa"/>
            <w:vAlign w:val="bottom"/>
          </w:tcPr>
          <w:p>
            <w:pPr>
              <w:spacing w:after="0"/>
              <w:rPr>
                <w:sz w:val="24"/>
                <w:szCs w:val="2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GM</w:t>
            </w:r>
          </w:p>
        </w:tc>
        <w:tc>
          <w:tcPr>
            <w:tcW w:w="1340" w:type="dxa"/>
            <w:vAlign w:val="bottom"/>
            <w:gridSpan w:val="3"/>
            <w:vMerge w:val="restart"/>
          </w:tcPr>
          <w:p>
            <w:pPr>
              <w:spacing w:after="0"/>
              <w:rPr>
                <w:sz w:val="20"/>
                <w:szCs w:val="20"/>
                <w:color w:val="auto"/>
              </w:rPr>
            </w:pPr>
            <w:r>
              <w:rPr>
                <w:rFonts w:ascii="Arial" w:cs="Arial" w:eastAsia="Arial" w:hAnsi="Arial"/>
                <w:sz w:val="8"/>
                <w:szCs w:val="8"/>
                <w:b w:val="1"/>
                <w:bCs w:val="1"/>
                <w:color w:val="auto"/>
              </w:rPr>
              <w:t>Reclassifications/Eliminations</w:t>
            </w:r>
          </w:p>
        </w:tc>
        <w:tc>
          <w:tcPr>
            <w:tcW w:w="180" w:type="dxa"/>
            <w:vAlign w:val="bottom"/>
          </w:tcPr>
          <w:p>
            <w:pPr>
              <w:spacing w:after="0"/>
              <w:rPr>
                <w:sz w:val="24"/>
                <w:szCs w:val="24"/>
                <w:color w:val="auto"/>
              </w:rPr>
            </w:pPr>
          </w:p>
        </w:tc>
        <w:tc>
          <w:tcPr>
            <w:tcW w:w="620" w:type="dxa"/>
            <w:vAlign w:val="bottom"/>
            <w:vMerge w:val="restart"/>
          </w:tcPr>
          <w:p>
            <w:pPr>
              <w:jc w:val="right"/>
              <w:ind w:right="252"/>
              <w:spacing w:after="0"/>
              <w:rPr>
                <w:sz w:val="20"/>
                <w:szCs w:val="20"/>
                <w:color w:val="auto"/>
              </w:rPr>
            </w:pPr>
            <w:r>
              <w:rPr>
                <w:rFonts w:ascii="Arial" w:cs="Arial" w:eastAsia="Arial" w:hAnsi="Arial"/>
                <w:sz w:val="8"/>
                <w:szCs w:val="8"/>
                <w:b w:val="1"/>
                <w:bCs w:val="1"/>
                <w:color w:val="auto"/>
              </w:rPr>
              <w:t>Total</w:t>
            </w:r>
          </w:p>
        </w:tc>
        <w:tc>
          <w:tcPr>
            <w:tcW w:w="0" w:type="dxa"/>
            <w:vAlign w:val="bottom"/>
          </w:tcPr>
          <w:p>
            <w:pPr>
              <w:spacing w:after="0"/>
              <w:rPr>
                <w:sz w:val="1"/>
                <w:szCs w:val="1"/>
                <w:color w:val="auto"/>
              </w:rPr>
            </w:pPr>
          </w:p>
        </w:tc>
      </w:tr>
      <w:tr>
        <w:trPr>
          <w:trHeight w:val="118"/>
        </w:trPr>
        <w:tc>
          <w:tcPr>
            <w:tcW w:w="2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8"/>
                <w:szCs w:val="8"/>
                <w:b w:val="1"/>
                <w:bCs w:val="1"/>
                <w:color w:val="auto"/>
              </w:rPr>
              <w:t>Automotive</w:t>
            </w:r>
          </w:p>
        </w:tc>
        <w:tc>
          <w:tcPr>
            <w:tcW w:w="14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rPr>
              <w:t>Financial</w:t>
            </w:r>
          </w:p>
        </w:tc>
        <w:tc>
          <w:tcPr>
            <w:tcW w:w="13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20"/>
                <w:szCs w:val="20"/>
                <w:color w:val="auto"/>
              </w:rPr>
            </w:pPr>
            <w:r>
              <w:rPr>
                <w:rFonts w:ascii="Arial" w:cs="Arial" w:eastAsia="Arial" w:hAnsi="Arial"/>
                <w:sz w:val="8"/>
                <w:szCs w:val="8"/>
                <w:b w:val="1"/>
                <w:bCs w:val="1"/>
                <w:color w:val="auto"/>
              </w:rPr>
              <w:t>Year Ended December 31, 2019</w:t>
            </w: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Net sales and revenue</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106,366</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16,111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122,697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14,554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137,237</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Expenditures for property</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6,305</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1,096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84</w:t>
            </w:r>
          </w:p>
        </w:tc>
        <w:tc>
          <w:tcPr>
            <w:tcW w:w="100" w:type="dxa"/>
            <w:vAlign w:val="bottom"/>
          </w:tcPr>
          <w:p>
            <w:pPr>
              <w:spacing w:after="0"/>
              <w:rPr>
                <w:sz w:val="11"/>
                <w:szCs w:val="11"/>
                <w:color w:val="auto"/>
              </w:rPr>
            </w:pP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7,485</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60</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3"/>
              <w:spacing w:after="0"/>
              <w:rPr>
                <w:sz w:val="20"/>
                <w:szCs w:val="20"/>
                <w:color w:val="auto"/>
              </w:rPr>
            </w:pPr>
            <w:r>
              <w:rPr>
                <w:rFonts w:ascii="Arial" w:cs="Arial" w:eastAsia="Arial" w:hAnsi="Arial"/>
                <w:sz w:val="10"/>
                <w:szCs w:val="10"/>
                <w:color w:val="auto"/>
              </w:rPr>
              <w:t>47</w:t>
            </w:r>
          </w:p>
        </w:tc>
        <w:tc>
          <w:tcPr>
            <w:tcW w:w="10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7,592</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Depreciation and amortization</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6,112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533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ind w:left="860"/>
              <w:spacing w:after="0"/>
              <w:rPr>
                <w:sz w:val="20"/>
                <w:szCs w:val="20"/>
                <w:color w:val="auto"/>
              </w:rPr>
            </w:pPr>
            <w:r>
              <w:rPr>
                <w:rFonts w:ascii="Arial" w:cs="Arial" w:eastAsia="Arial" w:hAnsi="Arial"/>
                <w:sz w:val="10"/>
                <w:szCs w:val="10"/>
                <w:color w:val="auto"/>
                <w:w w:val="97"/>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6,689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7,350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14,060</w:t>
            </w:r>
          </w:p>
        </w:tc>
        <w:tc>
          <w:tcPr>
            <w:tcW w:w="0" w:type="dxa"/>
            <w:vAlign w:val="bottom"/>
          </w:tcPr>
          <w:p>
            <w:pPr>
              <w:spacing w:after="0"/>
              <w:rPr>
                <w:sz w:val="1"/>
                <w:szCs w:val="1"/>
                <w:color w:val="auto"/>
              </w:rPr>
            </w:pPr>
          </w:p>
        </w:tc>
      </w:tr>
      <w:tr>
        <w:trPr>
          <w:trHeight w:val="131"/>
        </w:trPr>
        <w:tc>
          <w:tcPr>
            <w:tcW w:w="2600" w:type="dxa"/>
            <w:vAlign w:val="bottom"/>
          </w:tcPr>
          <w:p>
            <w:pPr>
              <w:spacing w:after="0"/>
              <w:rPr>
                <w:sz w:val="20"/>
                <w:szCs w:val="20"/>
                <w:color w:val="auto"/>
              </w:rPr>
            </w:pPr>
            <w:r>
              <w:rPr>
                <w:rFonts w:ascii="Arial" w:cs="Arial" w:eastAsia="Arial" w:hAnsi="Arial"/>
                <w:sz w:val="8"/>
                <w:szCs w:val="8"/>
                <w:color w:val="auto"/>
              </w:rPr>
              <w:t>Impairment charges</w:t>
            </w: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15</w:t>
            </w:r>
          </w:p>
        </w:tc>
        <w:tc>
          <w:tcPr>
            <w:tcW w:w="100" w:type="dxa"/>
            <w:vAlign w:val="bottom"/>
          </w:tcPr>
          <w:p>
            <w:pPr>
              <w:spacing w:after="0"/>
              <w:rPr>
                <w:sz w:val="11"/>
                <w:szCs w:val="11"/>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ind w:right="12"/>
              <w:spacing w:after="0"/>
              <w:rPr>
                <w:sz w:val="20"/>
                <w:szCs w:val="20"/>
                <w:color w:val="auto"/>
              </w:rPr>
            </w:pPr>
            <w:r>
              <w:rPr>
                <w:rFonts w:ascii="Arial" w:cs="Arial" w:eastAsia="Arial" w:hAnsi="Arial"/>
                <w:sz w:val="10"/>
                <w:szCs w:val="10"/>
                <w:color w:val="auto"/>
              </w:rPr>
              <w:t>7</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ind w:left="840"/>
              <w:spacing w:after="0"/>
              <w:rPr>
                <w:sz w:val="20"/>
                <w:szCs w:val="20"/>
                <w:color w:val="auto"/>
              </w:rPr>
            </w:pPr>
            <w:r>
              <w:rPr>
                <w:rFonts w:ascii="Arial" w:cs="Arial" w:eastAsia="Arial" w:hAnsi="Arial"/>
                <w:sz w:val="10"/>
                <w:szCs w:val="10"/>
                <w:color w:val="auto"/>
              </w:rPr>
              <w:t>—</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13"/>
              <w:spacing w:after="0"/>
              <w:rPr>
                <w:sz w:val="20"/>
                <w:szCs w:val="20"/>
                <w:color w:val="auto"/>
              </w:rPr>
            </w:pPr>
            <w:r>
              <w:rPr>
                <w:rFonts w:ascii="Arial" w:cs="Arial" w:eastAsia="Arial" w:hAnsi="Arial"/>
                <w:sz w:val="10"/>
                <w:szCs w:val="10"/>
                <w:color w:val="auto"/>
              </w:rPr>
              <w:t>22</w:t>
            </w:r>
          </w:p>
        </w:tc>
        <w:tc>
          <w:tcPr>
            <w:tcW w:w="8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36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20"/>
                <w:szCs w:val="20"/>
                <w:color w:val="auto"/>
              </w:rPr>
            </w:pPr>
            <w:r>
              <w:rPr>
                <w:rFonts w:ascii="Arial" w:cs="Arial" w:eastAsia="Arial" w:hAnsi="Arial"/>
                <w:sz w:val="10"/>
                <w:szCs w:val="10"/>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tcPr>
          <w:p>
            <w:pPr>
              <w:jc w:val="right"/>
              <w:ind w:right="12"/>
              <w:spacing w:after="0"/>
              <w:rPr>
                <w:sz w:val="20"/>
                <w:szCs w:val="20"/>
                <w:color w:val="auto"/>
              </w:rPr>
            </w:pPr>
            <w:r>
              <w:rPr>
                <w:rFonts w:ascii="Arial" w:cs="Arial" w:eastAsia="Arial" w:hAnsi="Arial"/>
                <w:sz w:val="10"/>
                <w:szCs w:val="10"/>
                <w:color w:val="auto"/>
              </w:rPr>
              <w:t>58</w:t>
            </w:r>
          </w:p>
        </w:tc>
        <w:tc>
          <w:tcPr>
            <w:tcW w:w="0" w:type="dxa"/>
            <w:vAlign w:val="bottom"/>
          </w:tcPr>
          <w:p>
            <w:pPr>
              <w:spacing w:after="0"/>
              <w:rPr>
                <w:sz w:val="1"/>
                <w:szCs w:val="1"/>
                <w:color w:val="auto"/>
              </w:rPr>
            </w:pPr>
          </w:p>
        </w:tc>
      </w:tr>
      <w:tr>
        <w:trPr>
          <w:trHeight w:val="145"/>
        </w:trPr>
        <w:tc>
          <w:tcPr>
            <w:tcW w:w="2600" w:type="dxa"/>
            <w:vAlign w:val="bottom"/>
            <w:shd w:val="clear" w:color="auto" w:fill="CCEEFF"/>
          </w:tcPr>
          <w:p>
            <w:pPr>
              <w:spacing w:after="0"/>
              <w:rPr>
                <w:sz w:val="20"/>
                <w:szCs w:val="20"/>
                <w:color w:val="auto"/>
              </w:rPr>
            </w:pPr>
            <w:r>
              <w:rPr>
                <w:rFonts w:ascii="Arial" w:cs="Arial" w:eastAsia="Arial" w:hAnsi="Arial"/>
                <w:sz w:val="8"/>
                <w:szCs w:val="8"/>
                <w:color w:val="auto"/>
              </w:rPr>
              <w:t>Equity income(a)</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1,123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ind w:left="8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1,102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0"/>
                <w:szCs w:val="10"/>
                <w:color w:val="auto"/>
              </w:rPr>
              <w:t>166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w:t>
            </w:r>
          </w:p>
        </w:tc>
        <w:tc>
          <w:tcPr>
            <w:tcW w:w="6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rPr>
              <w:t>1,268</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1"/>
          <w:szCs w:val="11"/>
          <w:color w:val="auto"/>
        </w:rPr>
        <w:t>________</w:t>
      </w:r>
    </w:p>
    <w:p>
      <w:pPr>
        <w:ind w:left="260" w:hanging="255"/>
        <w:spacing w:after="0"/>
        <w:tabs>
          <w:tab w:leader="none" w:pos="260" w:val="left"/>
        </w:tabs>
        <w:numPr>
          <w:ilvl w:val="0"/>
          <w:numId w:val="6"/>
        </w:numPr>
        <w:rPr>
          <w:rFonts w:ascii="Arial" w:cs="Arial" w:eastAsia="Arial" w:hAnsi="Arial"/>
          <w:sz w:val="10"/>
          <w:szCs w:val="10"/>
          <w:color w:val="auto"/>
        </w:rPr>
      </w:pPr>
      <w:r>
        <w:rPr>
          <w:rFonts w:ascii="Arial" w:cs="Arial" w:eastAsia="Arial" w:hAnsi="Arial"/>
          <w:sz w:val="10"/>
          <w:szCs w:val="10"/>
          <w:color w:val="auto"/>
        </w:rPr>
        <w:t>Includes Automotive China equity income of $248 million and $239 million in the three months ended December 31, 2020 and 2019 and $512 million and $1.1 billion in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60"/>
          </w:cols>
          <w:pgMar w:left="300" w:top="69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Vehicle Sales</w:t>
      </w:r>
    </w:p>
    <w:p>
      <w:pPr>
        <w:spacing w:after="0" w:line="206" w:lineRule="exact"/>
        <w:rPr>
          <w:sz w:val="20"/>
          <w:szCs w:val="20"/>
          <w:color w:val="auto"/>
        </w:rPr>
      </w:pPr>
    </w:p>
    <w:p>
      <w:pPr>
        <w:jc w:val="both"/>
        <w:ind w:firstLine="127"/>
        <w:spacing w:after="0" w:line="244" w:lineRule="auto"/>
        <w:rPr>
          <w:sz w:val="20"/>
          <w:szCs w:val="20"/>
          <w:color w:val="auto"/>
        </w:rPr>
      </w:pPr>
      <w:r>
        <w:rPr>
          <w:rFonts w:ascii="Arial" w:cs="Arial" w:eastAsia="Arial" w:hAnsi="Arial"/>
          <w:sz w:val="13"/>
          <w:szCs w:val="13"/>
          <w:color w:val="auto"/>
        </w:rPr>
        <w:t>GM presents both wholesale and total vehicle sales data to assist in the analysis of our revenue and our market share. Cuba, Iran, North Korea, Sudan and Syria are subject to broad economic sanctions. Accordingly these countries are excluded from industry sales data and the corresponding calculation of GM's market share.</w:t>
      </w:r>
    </w:p>
    <w:p>
      <w:pPr>
        <w:spacing w:after="0" w:line="184" w:lineRule="exact"/>
        <w:rPr>
          <w:sz w:val="20"/>
          <w:szCs w:val="20"/>
          <w:color w:val="auto"/>
        </w:rPr>
      </w:pPr>
    </w:p>
    <w:p>
      <w:pPr>
        <w:jc w:val="both"/>
        <w:ind w:firstLine="127"/>
        <w:spacing w:after="0" w:line="241" w:lineRule="auto"/>
        <w:rPr>
          <w:sz w:val="20"/>
          <w:szCs w:val="20"/>
          <w:color w:val="auto"/>
        </w:rPr>
      </w:pPr>
      <w:r>
        <w:rPr>
          <w:rFonts w:ascii="Arial" w:cs="Arial" w:eastAsia="Arial" w:hAnsi="Arial"/>
          <w:sz w:val="13"/>
          <w:szCs w:val="13"/>
          <w:color w:val="auto"/>
        </w:rPr>
        <w:t>Wholesale vehicle sales data consists of sales to GM's dealers and distributors as well as sales to the U.S. Government and excludes vehicles sold by our joint ventures. Wholesale vehicle sales data correlates to GM's revenue recognized from the sale of vehicles, which is the largest component of Automotive net sales and revenue. In the year ended December 31, 2020, 30.5% of our wholesale vehicle sales volume was generated outside the U.S. The following table summarizes wholesale vehicle sales by automotive segment (vehicles in thousands):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640" w:type="dxa"/>
            <w:vAlign w:val="bottom"/>
          </w:tcPr>
          <w:p>
            <w:pPr>
              <w:spacing w:after="0"/>
              <w:rPr>
                <w:sz w:val="11"/>
                <w:szCs w:val="11"/>
                <w:color w:val="auto"/>
              </w:rPr>
            </w:pPr>
          </w:p>
        </w:tc>
        <w:tc>
          <w:tcPr>
            <w:tcW w:w="3340" w:type="dxa"/>
            <w:vAlign w:val="bottom"/>
            <w:gridSpan w:val="4"/>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1980" w:type="dxa"/>
            <w:vAlign w:val="bottom"/>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280" w:type="dxa"/>
            <w:vAlign w:val="bottom"/>
          </w:tcPr>
          <w:p>
            <w:pPr>
              <w:spacing w:after="0"/>
              <w:rPr>
                <w:sz w:val="11"/>
                <w:szCs w:val="11"/>
                <w:color w:val="auto"/>
              </w:rPr>
            </w:pPr>
          </w:p>
        </w:tc>
      </w:tr>
      <w:tr>
        <w:trPr>
          <w:trHeight w:val="132"/>
        </w:trPr>
        <w:tc>
          <w:tcPr>
            <w:tcW w:w="4640" w:type="dxa"/>
            <w:vAlign w:val="bottom"/>
          </w:tcPr>
          <w:p>
            <w:pPr>
              <w:spacing w:after="0"/>
              <w:rPr>
                <w:sz w:val="11"/>
                <w:szCs w:val="11"/>
                <w:color w:val="auto"/>
              </w:rPr>
            </w:pPr>
          </w:p>
        </w:tc>
        <w:tc>
          <w:tcPr>
            <w:tcW w:w="1660" w:type="dxa"/>
            <w:vAlign w:val="bottom"/>
            <w:tcBorders>
              <w:top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December 31, 2020</w:t>
            </w:r>
          </w:p>
        </w:tc>
        <w:tc>
          <w:tcPr>
            <w:tcW w:w="1580" w:type="dxa"/>
            <w:vAlign w:val="bottom"/>
            <w:tcBorders>
              <w:top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2019</w:t>
            </w:r>
          </w:p>
        </w:tc>
        <w:tc>
          <w:tcPr>
            <w:tcW w:w="100" w:type="dxa"/>
            <w:vAlign w:val="bottom"/>
          </w:tcPr>
          <w:p>
            <w:pPr>
              <w:spacing w:after="0"/>
              <w:rPr>
                <w:sz w:val="11"/>
                <w:szCs w:val="11"/>
                <w:color w:val="auto"/>
              </w:rPr>
            </w:pPr>
          </w:p>
        </w:tc>
        <w:tc>
          <w:tcPr>
            <w:tcW w:w="1980" w:type="dxa"/>
            <w:vAlign w:val="bottom"/>
            <w:tcBorders>
              <w:top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December 31, 2020</w:t>
            </w:r>
          </w:p>
        </w:tc>
        <w:tc>
          <w:tcPr>
            <w:tcW w:w="1280" w:type="dxa"/>
            <w:vAlign w:val="bottom"/>
            <w:tcBorders>
              <w:top w:val="single" w:sz="8" w:color="auto"/>
            </w:tcBorders>
          </w:tcPr>
          <w:p>
            <w:pPr>
              <w:jc w:val="right"/>
              <w:ind w:right="280"/>
              <w:spacing w:after="0"/>
              <w:rPr>
                <w:sz w:val="20"/>
                <w:szCs w:val="20"/>
                <w:color w:val="auto"/>
              </w:rPr>
            </w:pPr>
            <w:r>
              <w:rPr>
                <w:rFonts w:ascii="Arial" w:cs="Arial" w:eastAsia="Arial" w:hAnsi="Arial"/>
                <w:sz w:val="10"/>
                <w:szCs w:val="10"/>
                <w:b w:val="1"/>
                <w:bCs w:val="1"/>
                <w:color w:val="auto"/>
              </w:rPr>
              <w:t>December 31, 2019</w:t>
            </w:r>
          </w:p>
        </w:tc>
      </w:tr>
      <w:tr>
        <w:trPr>
          <w:trHeight w:val="16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GMNA</w:t>
            </w:r>
          </w:p>
        </w:tc>
        <w:tc>
          <w:tcPr>
            <w:tcW w:w="15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802</w:t>
            </w:r>
          </w:p>
        </w:tc>
        <w:tc>
          <w:tcPr>
            <w:tcW w:w="8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684</w:t>
            </w:r>
          </w:p>
        </w:tc>
        <w:tc>
          <w:tcPr>
            <w:tcW w:w="100" w:type="dxa"/>
            <w:vAlign w:val="bottom"/>
            <w:tcBorders>
              <w:top w:val="single" w:sz="8" w:color="CCEEFF"/>
            </w:tcBorders>
            <w:shd w:val="clear" w:color="auto" w:fill="CCEEFF"/>
          </w:tcPr>
          <w:p>
            <w:pPr>
              <w:spacing w:after="0"/>
              <w:rPr>
                <w:sz w:val="14"/>
                <w:szCs w:val="14"/>
                <w:color w:val="auto"/>
              </w:rPr>
            </w:pPr>
          </w:p>
        </w:tc>
        <w:tc>
          <w:tcPr>
            <w:tcW w:w="15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2,707</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3,214</w:t>
            </w:r>
          </w:p>
        </w:tc>
      </w:tr>
      <w:tr>
        <w:trPr>
          <w:trHeight w:val="168"/>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GMI</w:t>
            </w:r>
          </w:p>
        </w:tc>
        <w:tc>
          <w:tcPr>
            <w:tcW w:w="158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color w:val="auto"/>
              </w:rPr>
              <w:t>216</w:t>
            </w:r>
          </w:p>
        </w:tc>
        <w:tc>
          <w:tcPr>
            <w:tcW w:w="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w:t>
            </w:r>
          </w:p>
        </w:tc>
        <w:tc>
          <w:tcPr>
            <w:tcW w:w="10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3"/>
                <w:szCs w:val="13"/>
                <w:color w:val="auto"/>
              </w:rPr>
              <w:t>663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995</w:t>
            </w:r>
          </w:p>
        </w:tc>
      </w:tr>
      <w:tr>
        <w:trPr>
          <w:trHeight w:val="18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3"/>
                <w:szCs w:val="13"/>
                <w:color w:val="auto"/>
              </w:rPr>
              <w:t>1,018</w:t>
            </w:r>
          </w:p>
        </w:tc>
        <w:tc>
          <w:tcPr>
            <w:tcW w:w="8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952</w:t>
            </w:r>
          </w:p>
        </w:tc>
        <w:tc>
          <w:tcPr>
            <w:tcW w:w="10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3"/>
                <w:szCs w:val="13"/>
                <w:color w:val="auto"/>
              </w:rPr>
              <w:t>3,370</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4,209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669"/>
        </w:trPr>
        <w:tc>
          <w:tcPr>
            <w:tcW w:w="4640" w:type="dxa"/>
            <w:vAlign w:val="bottom"/>
          </w:tcPr>
          <w:p>
            <w:pPr>
              <w:spacing w:after="0"/>
              <w:rPr>
                <w:sz w:val="24"/>
                <w:szCs w:val="24"/>
                <w:color w:val="auto"/>
              </w:rPr>
            </w:pPr>
          </w:p>
        </w:tc>
        <w:tc>
          <w:tcPr>
            <w:tcW w:w="1580" w:type="dxa"/>
            <w:vAlign w:val="bottom"/>
          </w:tcPr>
          <w:p>
            <w:pPr>
              <w:jc w:val="right"/>
              <w:ind w:right="241"/>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6" w:name="page17"/>
    <w:bookmarkEnd w:id="16"/>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26" w:lineRule="exact"/>
        <w:rPr>
          <w:sz w:val="20"/>
          <w:szCs w:val="20"/>
          <w:color w:val="auto"/>
        </w:rPr>
      </w:pPr>
    </w:p>
    <w:p>
      <w:pPr>
        <w:jc w:val="both"/>
        <w:ind w:firstLine="127"/>
        <w:spacing w:after="0" w:line="263" w:lineRule="auto"/>
        <w:rPr>
          <w:sz w:val="20"/>
          <w:szCs w:val="20"/>
          <w:color w:val="auto"/>
        </w:rPr>
      </w:pPr>
      <w:r>
        <w:rPr>
          <w:rFonts w:ascii="Arial" w:cs="Arial" w:eastAsia="Arial" w:hAnsi="Arial"/>
          <w:sz w:val="12"/>
          <w:szCs w:val="12"/>
          <w:color w:val="auto"/>
        </w:rPr>
        <w:t>Total vehicle sales data represents: (1) retail sales (i.e., sales to consumers who purchase new vehicles from dealers or distributors); (2) fleet sales, such as sales to large and small businesses, governments, and daily rental car companies; and (3) vehicles used by dealers in their businesses, including courtesy transportation vehicles.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GM recognizes during a particular period, we believe it is indicative of the underlying demand for GM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17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total vehicle sales by geographic region (vehicles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740" w:type="dxa"/>
            <w:vAlign w:val="bottom"/>
          </w:tcPr>
          <w:p>
            <w:pPr>
              <w:spacing w:after="0"/>
              <w:rPr>
                <w:sz w:val="11"/>
                <w:szCs w:val="11"/>
                <w:color w:val="auto"/>
              </w:rPr>
            </w:pPr>
          </w:p>
        </w:tc>
        <w:tc>
          <w:tcPr>
            <w:tcW w:w="3300" w:type="dxa"/>
            <w:vAlign w:val="bottom"/>
            <w:gridSpan w:val="4"/>
          </w:tcPr>
          <w:p>
            <w:pPr>
              <w:ind w:left="1120"/>
              <w:spacing w:after="0"/>
              <w:rPr>
                <w:sz w:val="20"/>
                <w:szCs w:val="20"/>
                <w:color w:val="auto"/>
              </w:rPr>
            </w:pPr>
            <w:r>
              <w:rPr>
                <w:rFonts w:ascii="Arial" w:cs="Arial" w:eastAsia="Arial" w:hAnsi="Arial"/>
                <w:sz w:val="10"/>
                <w:szCs w:val="10"/>
                <w:b w:val="1"/>
                <w:bCs w:val="1"/>
                <w:color w:val="auto"/>
              </w:rPr>
              <w:t>Three Months Ended</w:t>
            </w:r>
          </w:p>
        </w:tc>
        <w:tc>
          <w:tcPr>
            <w:tcW w:w="1960" w:type="dxa"/>
            <w:vAlign w:val="bottom"/>
            <w:gridSpan w:val="3"/>
          </w:tcPr>
          <w:p>
            <w:pPr>
              <w:ind w:left="1320"/>
              <w:spacing w:after="0"/>
              <w:rPr>
                <w:sz w:val="20"/>
                <w:szCs w:val="20"/>
                <w:color w:val="auto"/>
              </w:rPr>
            </w:pPr>
            <w:r>
              <w:rPr>
                <w:rFonts w:ascii="Arial" w:cs="Arial" w:eastAsia="Arial" w:hAnsi="Arial"/>
                <w:sz w:val="10"/>
                <w:szCs w:val="10"/>
                <w:b w:val="1"/>
                <w:bCs w:val="1"/>
                <w:color w:val="auto"/>
              </w:rPr>
              <w:t>Years Ended</w:t>
            </w:r>
          </w:p>
        </w:tc>
        <w:tc>
          <w:tcPr>
            <w:tcW w:w="1260" w:type="dxa"/>
            <w:vAlign w:val="bottom"/>
          </w:tcPr>
          <w:p>
            <w:pPr>
              <w:spacing w:after="0"/>
              <w:rPr>
                <w:sz w:val="11"/>
                <w:szCs w:val="11"/>
                <w:color w:val="auto"/>
              </w:rPr>
            </w:pPr>
          </w:p>
        </w:tc>
      </w:tr>
      <w:tr>
        <w:trPr>
          <w:trHeight w:val="127"/>
        </w:trPr>
        <w:tc>
          <w:tcPr>
            <w:tcW w:w="4740" w:type="dxa"/>
            <w:vAlign w:val="bottom"/>
          </w:tcPr>
          <w:p>
            <w:pPr>
              <w:spacing w:after="0"/>
              <w:rPr>
                <w:sz w:val="11"/>
                <w:szCs w:val="11"/>
                <w:color w:val="auto"/>
              </w:rPr>
            </w:pPr>
          </w:p>
        </w:tc>
        <w:tc>
          <w:tcPr>
            <w:tcW w:w="1660" w:type="dxa"/>
            <w:vAlign w:val="bottom"/>
            <w:tcBorders>
              <w:top w:val="single" w:sz="8" w:color="auto"/>
            </w:tcBorders>
            <w:gridSpan w:val="2"/>
          </w:tcPr>
          <w:p>
            <w:pPr>
              <w:ind w:left="340"/>
              <w:spacing w:after="0"/>
              <w:rPr>
                <w:sz w:val="20"/>
                <w:szCs w:val="20"/>
                <w:color w:val="auto"/>
              </w:rPr>
            </w:pPr>
            <w:r>
              <w:rPr>
                <w:rFonts w:ascii="Arial" w:cs="Arial" w:eastAsia="Arial" w:hAnsi="Arial"/>
                <w:sz w:val="10"/>
                <w:szCs w:val="10"/>
                <w:b w:val="1"/>
                <w:bCs w:val="1"/>
                <w:color w:val="auto"/>
              </w:rPr>
              <w:t>December 31, 2020</w:t>
            </w:r>
          </w:p>
        </w:tc>
        <w:tc>
          <w:tcPr>
            <w:tcW w:w="15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December 31, 2019</w:t>
            </w:r>
          </w:p>
        </w:tc>
        <w:tc>
          <w:tcPr>
            <w:tcW w:w="80" w:type="dxa"/>
            <w:vAlign w:val="bottom"/>
          </w:tcPr>
          <w:p>
            <w:pPr>
              <w:spacing w:after="0"/>
              <w:rPr>
                <w:sz w:val="11"/>
                <w:szCs w:val="11"/>
                <w:color w:val="auto"/>
              </w:rPr>
            </w:pPr>
          </w:p>
        </w:tc>
        <w:tc>
          <w:tcPr>
            <w:tcW w:w="1960" w:type="dxa"/>
            <w:vAlign w:val="bottom"/>
            <w:tcBorders>
              <w:top w:val="single" w:sz="8" w:color="auto"/>
            </w:tcBorders>
            <w:gridSpan w:val="3"/>
          </w:tcPr>
          <w:p>
            <w:pPr>
              <w:ind w:left="340"/>
              <w:spacing w:after="0"/>
              <w:rPr>
                <w:sz w:val="20"/>
                <w:szCs w:val="20"/>
                <w:color w:val="auto"/>
              </w:rPr>
            </w:pPr>
            <w:r>
              <w:rPr>
                <w:rFonts w:ascii="Arial" w:cs="Arial" w:eastAsia="Arial" w:hAnsi="Arial"/>
                <w:sz w:val="10"/>
                <w:szCs w:val="10"/>
                <w:b w:val="1"/>
                <w:bCs w:val="1"/>
                <w:color w:val="auto"/>
              </w:rPr>
              <w:t>December 31, 2020</w:t>
            </w:r>
          </w:p>
        </w:tc>
        <w:tc>
          <w:tcPr>
            <w:tcW w:w="1260" w:type="dxa"/>
            <w:vAlign w:val="bottom"/>
            <w:tcBorders>
              <w:top w:val="single" w:sz="8" w:color="auto"/>
            </w:tcBorders>
          </w:tcPr>
          <w:p>
            <w:pPr>
              <w:jc w:val="right"/>
              <w:ind w:right="277"/>
              <w:spacing w:after="0"/>
              <w:rPr>
                <w:sz w:val="20"/>
                <w:szCs w:val="20"/>
                <w:color w:val="auto"/>
              </w:rPr>
            </w:pPr>
            <w:r>
              <w:rPr>
                <w:rFonts w:ascii="Arial" w:cs="Arial" w:eastAsia="Arial" w:hAnsi="Arial"/>
                <w:sz w:val="10"/>
                <w:szCs w:val="10"/>
                <w:b w:val="1"/>
                <w:bCs w:val="1"/>
                <w:color w:val="auto"/>
                <w:w w:val="99"/>
              </w:rPr>
              <w:t>December 31, 2019</w:t>
            </w:r>
          </w:p>
        </w:tc>
      </w:tr>
      <w:tr>
        <w:trPr>
          <w:trHeight w:val="156"/>
        </w:trPr>
        <w:tc>
          <w:tcPr>
            <w:tcW w:w="4740" w:type="dxa"/>
            <w:vAlign w:val="bottom"/>
          </w:tcPr>
          <w:p>
            <w:pPr>
              <w:ind w:left="20"/>
              <w:spacing w:after="0"/>
              <w:rPr>
                <w:sz w:val="20"/>
                <w:szCs w:val="20"/>
                <w:color w:val="auto"/>
              </w:rPr>
            </w:pPr>
            <w:r>
              <w:rPr>
                <w:rFonts w:ascii="Arial" w:cs="Arial" w:eastAsia="Arial" w:hAnsi="Arial"/>
                <w:sz w:val="13"/>
                <w:szCs w:val="13"/>
                <w:color w:val="auto"/>
              </w:rPr>
              <w:t>United States</w:t>
            </w: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Cars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Chevrolet – Trucks</w:t>
            </w:r>
          </w:p>
        </w:tc>
        <w:tc>
          <w:tcPr>
            <w:tcW w:w="1560" w:type="dxa"/>
            <w:vAlign w:val="bottom"/>
          </w:tcPr>
          <w:p>
            <w:pPr>
              <w:jc w:val="right"/>
              <w:spacing w:after="0"/>
              <w:rPr>
                <w:sz w:val="20"/>
                <w:szCs w:val="20"/>
                <w:color w:val="auto"/>
              </w:rPr>
            </w:pPr>
            <w:r>
              <w:rPr>
                <w:rFonts w:ascii="Arial" w:cs="Arial" w:eastAsia="Arial" w:hAnsi="Arial"/>
                <w:sz w:val="13"/>
                <w:szCs w:val="13"/>
                <w:color w:val="auto"/>
              </w:rPr>
              <w:t>269</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933</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 – Crossovers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685</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156</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w:t>
            </w:r>
          </w:p>
        </w:tc>
      </w:tr>
      <w:tr>
        <w:trPr>
          <w:trHeight w:val="168"/>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GMC</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565</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United States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736</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2,547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2,887</w:t>
            </w:r>
          </w:p>
        </w:tc>
      </w:tr>
      <w:tr>
        <w:trPr>
          <w:trHeight w:val="16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Canada, Mexico and 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480</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North America</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875</w:t>
            </w:r>
          </w:p>
        </w:tc>
        <w:tc>
          <w:tcPr>
            <w:tcW w:w="10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80" w:type="dxa"/>
            <w:vAlign w:val="bottom"/>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3,367</w:t>
            </w:r>
          </w:p>
        </w:tc>
      </w:tr>
      <w:tr>
        <w:trPr>
          <w:trHeight w:val="148"/>
        </w:trPr>
        <w:tc>
          <w:tcPr>
            <w:tcW w:w="4740" w:type="dxa"/>
            <w:vAlign w:val="bottom"/>
          </w:tcPr>
          <w:p>
            <w:pPr>
              <w:ind w:left="20"/>
              <w:spacing w:after="0" w:line="146" w:lineRule="exact"/>
              <w:rPr>
                <w:sz w:val="20"/>
                <w:szCs w:val="20"/>
                <w:color w:val="auto"/>
              </w:rPr>
            </w:pPr>
            <w:r>
              <w:rPr>
                <w:rFonts w:ascii="Arial" w:cs="Arial" w:eastAsia="Arial" w:hAnsi="Arial"/>
                <w:sz w:val="13"/>
                <w:szCs w:val="13"/>
                <w:color w:val="auto"/>
              </w:rPr>
              <w:t>Asia/Pacific, Middle East and Africa</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Chevrolet</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Wuling</w:t>
            </w:r>
          </w:p>
        </w:tc>
        <w:tc>
          <w:tcPr>
            <w:tcW w:w="1560" w:type="dxa"/>
            <w:vAlign w:val="bottom"/>
          </w:tcPr>
          <w:p>
            <w:pPr>
              <w:jc w:val="right"/>
              <w:spacing w:after="0"/>
              <w:rPr>
                <w:sz w:val="20"/>
                <w:szCs w:val="20"/>
                <w:color w:val="auto"/>
              </w:rPr>
            </w:pPr>
            <w:r>
              <w:rPr>
                <w:rFonts w:ascii="Arial" w:cs="Arial" w:eastAsia="Arial" w:hAnsi="Arial"/>
                <w:sz w:val="13"/>
                <w:szCs w:val="13"/>
                <w:color w:val="auto"/>
              </w:rPr>
              <w:t>377</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283</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1,102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1,025</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Buick</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850</w:t>
            </w:r>
          </w:p>
        </w:tc>
      </w:tr>
      <w:tr>
        <w:trPr>
          <w:trHeight w:val="168"/>
        </w:trPr>
        <w:tc>
          <w:tcPr>
            <w:tcW w:w="4740" w:type="dxa"/>
            <w:vAlign w:val="bottom"/>
          </w:tcPr>
          <w:p>
            <w:pPr>
              <w:ind w:left="180"/>
              <w:spacing w:after="0"/>
              <w:rPr>
                <w:sz w:val="20"/>
                <w:szCs w:val="20"/>
                <w:color w:val="auto"/>
              </w:rPr>
            </w:pPr>
            <w:r>
              <w:rPr>
                <w:rFonts w:ascii="Arial" w:cs="Arial" w:eastAsia="Arial" w:hAnsi="Arial"/>
                <w:sz w:val="13"/>
                <w:szCs w:val="13"/>
                <w:color w:val="auto"/>
              </w:rPr>
              <w:t>Baojun</w:t>
            </w:r>
          </w:p>
        </w:tc>
        <w:tc>
          <w:tcPr>
            <w:tcW w:w="1560" w:type="dxa"/>
            <w:vAlign w:val="bottom"/>
          </w:tcPr>
          <w:p>
            <w:pPr>
              <w:jc w:val="right"/>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180</w:t>
            </w:r>
          </w:p>
        </w:tc>
        <w:tc>
          <w:tcPr>
            <w:tcW w:w="8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3"/>
                <w:szCs w:val="13"/>
                <w:color w:val="auto"/>
              </w:rPr>
              <w:t>402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608</w:t>
            </w:r>
          </w:p>
        </w:tc>
      </w:tr>
      <w:tr>
        <w:trPr>
          <w:trHeight w:val="172"/>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Cadillac</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r>
      <w:tr>
        <w:trPr>
          <w:trHeight w:val="168"/>
        </w:trPr>
        <w:tc>
          <w:tcPr>
            <w:tcW w:w="474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w:t>
            </w:r>
          </w:p>
        </w:tc>
      </w:tr>
      <w:tr>
        <w:trPr>
          <w:trHeight w:val="163"/>
        </w:trPr>
        <w:tc>
          <w:tcPr>
            <w:tcW w:w="474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Asia/Pacific, Middle East and Africa</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1,082</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1,005</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3,434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3,678</w:t>
            </w:r>
          </w:p>
        </w:tc>
      </w:tr>
      <w:tr>
        <w:trPr>
          <w:trHeight w:val="16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South America(a)</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80" w:type="dxa"/>
            <w:vAlign w:val="bottom"/>
            <w:tcBorders>
              <w:bottom w:val="single" w:sz="8" w:color="CCEEFF"/>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669</w:t>
            </w:r>
          </w:p>
        </w:tc>
      </w:tr>
      <w:tr>
        <w:trPr>
          <w:trHeight w:val="163"/>
        </w:trPr>
        <w:tc>
          <w:tcPr>
            <w:tcW w:w="4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in GM markets</w:t>
            </w: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2,116</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7,714</w:t>
            </w:r>
          </w:p>
        </w:tc>
      </w:tr>
      <w:tr>
        <w:trPr>
          <w:trHeight w:val="168"/>
        </w:trPr>
        <w:tc>
          <w:tcPr>
            <w:tcW w:w="4740" w:type="dxa"/>
            <w:vAlign w:val="bottom"/>
          </w:tcPr>
          <w:p>
            <w:pPr>
              <w:ind w:left="20"/>
              <w:spacing w:after="0"/>
              <w:rPr>
                <w:sz w:val="20"/>
                <w:szCs w:val="20"/>
                <w:color w:val="auto"/>
              </w:rPr>
            </w:pPr>
            <w:r>
              <w:rPr>
                <w:rFonts w:ascii="Arial" w:cs="Arial" w:eastAsia="Arial" w:hAnsi="Arial"/>
                <w:sz w:val="13"/>
                <w:szCs w:val="13"/>
                <w:color w:val="auto"/>
              </w:rPr>
              <w:t>Total Europe</w:t>
            </w:r>
          </w:p>
        </w:tc>
        <w:tc>
          <w:tcPr>
            <w:tcW w:w="1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56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18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2,116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6,829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7,718</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w:t>
      </w:r>
    </w:p>
    <w:p>
      <w:pPr>
        <w:spacing w:after="0" w:line="1" w:lineRule="exact"/>
        <w:rPr>
          <w:sz w:val="20"/>
          <w:szCs w:val="20"/>
          <w:color w:val="auto"/>
        </w:rPr>
      </w:pPr>
    </w:p>
    <w:p>
      <w:pPr>
        <w:ind w:left="260" w:hanging="255"/>
        <w:spacing w:after="0"/>
        <w:tabs>
          <w:tab w:leader="none" w:pos="260" w:val="left"/>
        </w:tabs>
        <w:numPr>
          <w:ilvl w:val="0"/>
          <w:numId w:val="7"/>
        </w:numPr>
        <w:rPr>
          <w:rFonts w:ascii="Arial" w:cs="Arial" w:eastAsia="Arial" w:hAnsi="Arial"/>
          <w:sz w:val="11"/>
          <w:szCs w:val="11"/>
          <w:color w:val="auto"/>
        </w:rPr>
      </w:pPr>
      <w:r>
        <w:rPr>
          <w:rFonts w:ascii="Arial" w:cs="Arial" w:eastAsia="Arial" w:hAnsi="Arial"/>
          <w:sz w:val="11"/>
          <w:szCs w:val="11"/>
          <w:color w:val="auto"/>
        </w:rPr>
        <w:t>Primarily Chevrolet.</w:t>
      </w:r>
    </w:p>
    <w:p>
      <w:pPr>
        <w:spacing w:after="0" w:line="38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vehicle sales at GM's China joint ventures presented in the following table are included in the preceding vehicle sales table (vehicles in thousands):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4580" w:type="dxa"/>
            <w:vAlign w:val="bottom"/>
          </w:tcPr>
          <w:p>
            <w:pPr>
              <w:spacing w:after="0"/>
              <w:rPr>
                <w:sz w:val="11"/>
                <w:szCs w:val="11"/>
                <w:color w:val="auto"/>
              </w:rPr>
            </w:pPr>
          </w:p>
        </w:tc>
        <w:tc>
          <w:tcPr>
            <w:tcW w:w="2960" w:type="dxa"/>
            <w:vAlign w:val="bottom"/>
            <w:tcBorders>
              <w:bottom w:val="single" w:sz="8" w:color="auto"/>
            </w:tcBorders>
            <w:gridSpan w:val="4"/>
          </w:tcPr>
          <w:p>
            <w:pPr>
              <w:ind w:left="1140"/>
              <w:spacing w:after="0"/>
              <w:rPr>
                <w:sz w:val="20"/>
                <w:szCs w:val="20"/>
                <w:color w:val="auto"/>
              </w:rPr>
            </w:pPr>
            <w:r>
              <w:rPr>
                <w:rFonts w:ascii="Arial" w:cs="Arial" w:eastAsia="Arial" w:hAnsi="Arial"/>
                <w:sz w:val="10"/>
                <w:szCs w:val="10"/>
                <w:b w:val="1"/>
                <w:bCs w:val="1"/>
                <w:color w:val="auto"/>
              </w:rPr>
              <w:t>Three Months Ended</w:t>
            </w: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tcBorders>
              <w:bottom w:val="single" w:sz="8" w:color="auto"/>
            </w:tcBorders>
            <w:gridSpan w:val="3"/>
          </w:tcPr>
          <w:p>
            <w:pPr>
              <w:ind w:left="1340"/>
              <w:spacing w:after="0"/>
              <w:rPr>
                <w:sz w:val="20"/>
                <w:szCs w:val="20"/>
                <w:color w:val="auto"/>
              </w:rPr>
            </w:pPr>
            <w:r>
              <w:rPr>
                <w:rFonts w:ascii="Arial" w:cs="Arial" w:eastAsia="Arial" w:hAnsi="Arial"/>
                <w:sz w:val="10"/>
                <w:szCs w:val="10"/>
                <w:b w:val="1"/>
                <w:bCs w:val="1"/>
                <w:color w:val="auto"/>
              </w:rPr>
              <w:t>Years Ended</w:t>
            </w:r>
          </w:p>
        </w:tc>
        <w:tc>
          <w:tcPr>
            <w:tcW w:w="1300" w:type="dxa"/>
            <w:vAlign w:val="bottom"/>
            <w:tcBorders>
              <w:bottom w:val="single" w:sz="8" w:color="auto"/>
            </w:tcBorders>
          </w:tcPr>
          <w:p>
            <w:pPr>
              <w:spacing w:after="0"/>
              <w:rPr>
                <w:sz w:val="11"/>
                <w:szCs w:val="11"/>
                <w:color w:val="auto"/>
              </w:rPr>
            </w:pPr>
          </w:p>
        </w:tc>
      </w:tr>
      <w:tr>
        <w:trPr>
          <w:trHeight w:val="132"/>
        </w:trPr>
        <w:tc>
          <w:tcPr>
            <w:tcW w:w="458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0"/>
                <w:szCs w:val="10"/>
                <w:b w:val="1"/>
                <w:bCs w:val="1"/>
                <w:color w:val="auto"/>
                <w:w w:val="99"/>
              </w:rPr>
              <w:t>December 31, 2020</w:t>
            </w:r>
          </w:p>
        </w:tc>
        <w:tc>
          <w:tcPr>
            <w:tcW w:w="3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99"/>
              </w:rPr>
              <w:t>December 31, 2019</w:t>
            </w: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58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December 31, 2020</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December 31, 2019</w:t>
            </w:r>
          </w:p>
        </w:tc>
      </w:tr>
      <w:tr>
        <w:trPr>
          <w:trHeight w:val="165"/>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SAIC General Motors Sales Co., Ltd.</w:t>
            </w: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455</w:t>
            </w: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4"/>
                <w:szCs w:val="14"/>
                <w:color w:val="auto"/>
              </w:rPr>
            </w:pPr>
          </w:p>
        </w:tc>
        <w:tc>
          <w:tcPr>
            <w:tcW w:w="1580" w:type="dxa"/>
            <w:vAlign w:val="bottom"/>
            <w:shd w:val="clear" w:color="auto" w:fill="CCEEFF"/>
          </w:tcPr>
          <w:p>
            <w:pPr>
              <w:jc w:val="right"/>
              <w:ind w:right="3"/>
              <w:spacing w:after="0"/>
              <w:rPr>
                <w:sz w:val="20"/>
                <w:szCs w:val="20"/>
                <w:color w:val="auto"/>
              </w:rPr>
            </w:pPr>
            <w:r>
              <w:rPr>
                <w:rFonts w:ascii="Arial" w:cs="Arial" w:eastAsia="Arial" w:hAnsi="Arial"/>
                <w:sz w:val="13"/>
                <w:szCs w:val="13"/>
                <w:color w:val="auto"/>
              </w:rPr>
              <w:t>1,407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1,482</w:t>
            </w:r>
          </w:p>
        </w:tc>
      </w:tr>
      <w:tr>
        <w:trPr>
          <w:trHeight w:val="165"/>
        </w:trPr>
        <w:tc>
          <w:tcPr>
            <w:tcW w:w="5840" w:type="dxa"/>
            <w:vAlign w:val="bottom"/>
            <w:gridSpan w:val="2"/>
          </w:tcPr>
          <w:p>
            <w:pPr>
              <w:ind w:left="20"/>
              <w:spacing w:after="0"/>
              <w:rPr>
                <w:sz w:val="20"/>
                <w:szCs w:val="20"/>
                <w:color w:val="auto"/>
              </w:rPr>
            </w:pPr>
            <w:r>
              <w:rPr>
                <w:rFonts w:ascii="Arial" w:cs="Arial" w:eastAsia="Arial" w:hAnsi="Arial"/>
                <w:sz w:val="13"/>
                <w:szCs w:val="13"/>
                <w:color w:val="auto"/>
              </w:rPr>
              <w:t>SAIC GM Wuling Automobile Co., Ltd.</w:t>
            </w:r>
          </w:p>
        </w:tc>
        <w:tc>
          <w:tcPr>
            <w:tcW w:w="340" w:type="dxa"/>
            <w:vAlign w:val="bottom"/>
          </w:tcPr>
          <w:p>
            <w:pPr>
              <w:jc w:val="right"/>
              <w:spacing w:after="0"/>
              <w:rPr>
                <w:sz w:val="20"/>
                <w:szCs w:val="20"/>
                <w:color w:val="auto"/>
              </w:rPr>
            </w:pPr>
            <w:r>
              <w:rPr>
                <w:rFonts w:ascii="Arial" w:cs="Arial" w:eastAsia="Arial" w:hAnsi="Arial"/>
                <w:sz w:val="13"/>
                <w:szCs w:val="13"/>
                <w:color w:val="auto"/>
              </w:rPr>
              <w:t>499</w:t>
            </w: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4"/>
                <w:szCs w:val="14"/>
                <w:color w:val="auto"/>
              </w:rPr>
            </w:pPr>
          </w:p>
        </w:tc>
        <w:tc>
          <w:tcPr>
            <w:tcW w:w="1580" w:type="dxa"/>
            <w:vAlign w:val="bottom"/>
          </w:tcPr>
          <w:p>
            <w:pPr>
              <w:jc w:val="right"/>
              <w:ind w:right="3"/>
              <w:spacing w:after="0"/>
              <w:rPr>
                <w:sz w:val="20"/>
                <w:szCs w:val="20"/>
                <w:color w:val="auto"/>
              </w:rPr>
            </w:pPr>
            <w:r>
              <w:rPr>
                <w:rFonts w:ascii="Arial" w:cs="Arial" w:eastAsia="Arial" w:hAnsi="Arial"/>
                <w:sz w:val="13"/>
                <w:szCs w:val="13"/>
                <w:color w:val="auto"/>
              </w:rPr>
              <w:t>1,494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1"/>
              <w:spacing w:after="0"/>
              <w:rPr>
                <w:sz w:val="20"/>
                <w:szCs w:val="20"/>
                <w:color w:val="auto"/>
              </w:rPr>
            </w:pPr>
            <w:r>
              <w:rPr>
                <w:rFonts w:ascii="Arial" w:cs="Arial" w:eastAsia="Arial" w:hAnsi="Arial"/>
                <w:sz w:val="13"/>
                <w:szCs w:val="13"/>
                <w:color w:val="auto"/>
              </w:rPr>
              <w:t>1,612</w:t>
            </w:r>
          </w:p>
        </w:tc>
      </w:tr>
      <w:tr>
        <w:trPr>
          <w:trHeight w:val="721"/>
        </w:trPr>
        <w:tc>
          <w:tcPr>
            <w:tcW w:w="4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jc w:val="right"/>
              <w:ind w:right="196"/>
              <w:spacing w:after="0"/>
              <w:rPr>
                <w:sz w:val="20"/>
                <w:szCs w:val="20"/>
                <w:color w:val="auto"/>
              </w:rPr>
            </w:pPr>
            <w:r>
              <w:rPr>
                <w:rFonts w:ascii="Arial" w:cs="Arial" w:eastAsia="Arial" w:hAnsi="Arial"/>
                <w:sz w:val="13"/>
                <w:szCs w:val="13"/>
                <w:color w:val="auto"/>
                <w:w w:val="82"/>
              </w:rPr>
              <w:t>8</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280"/>
          </w:cols>
          <w:pgMar w:left="300" w:top="698" w:right="319" w:bottom="1440" w:gutter="0" w:footer="0" w:header="0"/>
        </w:sectPr>
      </w:pPr>
    </w:p>
    <w:bookmarkStart w:id="17" w:name="page18"/>
    <w:bookmarkEnd w:id="17"/>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Material</w:t>
      </w:r>
    </w:p>
    <w:p>
      <w:pPr>
        <w:jc w:val="center"/>
        <w:spacing w:after="0"/>
        <w:rPr>
          <w:sz w:val="20"/>
          <w:szCs w:val="20"/>
          <w:color w:val="auto"/>
        </w:rPr>
      </w:pPr>
      <w:r>
        <w:rPr>
          <w:rFonts w:ascii="Arial" w:cs="Arial" w:eastAsia="Arial" w:hAnsi="Arial"/>
          <w:sz w:val="13"/>
          <w:szCs w:val="13"/>
          <w:i w:val="1"/>
          <w:i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60" w:type="dxa"/>
            <w:vAlign w:val="bottom"/>
          </w:tcPr>
          <w:p>
            <w:pPr>
              <w:spacing w:after="0"/>
              <w:rPr>
                <w:sz w:val="11"/>
                <w:szCs w:val="11"/>
                <w:color w:val="auto"/>
              </w:rPr>
            </w:pPr>
          </w:p>
        </w:tc>
        <w:tc>
          <w:tcPr>
            <w:tcW w:w="3480" w:type="dxa"/>
            <w:vAlign w:val="bottom"/>
            <w:gridSpan w:val="4"/>
          </w:tcPr>
          <w:p>
            <w:pPr>
              <w:ind w:left="1200"/>
              <w:spacing w:after="0"/>
              <w:rPr>
                <w:sz w:val="20"/>
                <w:szCs w:val="20"/>
                <w:color w:val="auto"/>
              </w:rPr>
            </w:pPr>
            <w:r>
              <w:rPr>
                <w:rFonts w:ascii="Arial" w:cs="Arial" w:eastAsia="Arial" w:hAnsi="Arial"/>
                <w:sz w:val="10"/>
                <w:szCs w:val="10"/>
                <w:b w:val="1"/>
                <w:bCs w:val="1"/>
                <w:color w:val="auto"/>
              </w:rPr>
              <w:t>Three Months Ended</w:t>
            </w:r>
          </w:p>
        </w:tc>
        <w:tc>
          <w:tcPr>
            <w:tcW w:w="2060" w:type="dxa"/>
            <w:vAlign w:val="bottom"/>
            <w:gridSpan w:val="3"/>
          </w:tcPr>
          <w:p>
            <w:pPr>
              <w:ind w:left="1400"/>
              <w:spacing w:after="0"/>
              <w:rPr>
                <w:sz w:val="20"/>
                <w:szCs w:val="20"/>
                <w:color w:val="auto"/>
              </w:rPr>
            </w:pPr>
            <w:r>
              <w:rPr>
                <w:rFonts w:ascii="Arial" w:cs="Arial" w:eastAsia="Arial" w:hAnsi="Arial"/>
                <w:sz w:val="10"/>
                <w:szCs w:val="10"/>
                <w:b w:val="1"/>
                <w:bCs w:val="1"/>
                <w:color w:val="auto"/>
              </w:rPr>
              <w:t>Years Ended</w:t>
            </w:r>
          </w:p>
        </w:tc>
        <w:tc>
          <w:tcPr>
            <w:tcW w:w="1340" w:type="dxa"/>
            <w:vAlign w:val="bottom"/>
          </w:tcPr>
          <w:p>
            <w:pPr>
              <w:spacing w:after="0"/>
              <w:rPr>
                <w:sz w:val="11"/>
                <w:szCs w:val="11"/>
                <w:color w:val="auto"/>
              </w:rPr>
            </w:pPr>
          </w:p>
        </w:tc>
      </w:tr>
      <w:tr>
        <w:trPr>
          <w:trHeight w:val="127"/>
        </w:trPr>
        <w:tc>
          <w:tcPr>
            <w:tcW w:w="4360" w:type="dxa"/>
            <w:vAlign w:val="bottom"/>
          </w:tcPr>
          <w:p>
            <w:pPr>
              <w:spacing w:after="0"/>
              <w:rPr>
                <w:sz w:val="11"/>
                <w:szCs w:val="11"/>
                <w:color w:val="auto"/>
              </w:rPr>
            </w:pPr>
          </w:p>
        </w:tc>
        <w:tc>
          <w:tcPr>
            <w:tcW w:w="1740" w:type="dxa"/>
            <w:vAlign w:val="bottom"/>
            <w:tcBorders>
              <w:top w:val="single" w:sz="8" w:color="auto"/>
            </w:tcBorders>
            <w:gridSpan w:val="2"/>
          </w:tcPr>
          <w:p>
            <w:pPr>
              <w:ind w:left="380"/>
              <w:spacing w:after="0"/>
              <w:rPr>
                <w:sz w:val="20"/>
                <w:szCs w:val="20"/>
                <w:color w:val="auto"/>
              </w:rPr>
            </w:pPr>
            <w:r>
              <w:rPr>
                <w:rFonts w:ascii="Arial" w:cs="Arial" w:eastAsia="Arial" w:hAnsi="Arial"/>
                <w:sz w:val="10"/>
                <w:szCs w:val="10"/>
                <w:b w:val="1"/>
                <w:bCs w:val="1"/>
                <w:color w:val="auto"/>
              </w:rPr>
              <w:t>December 31, 2020</w:t>
            </w:r>
          </w:p>
        </w:tc>
        <w:tc>
          <w:tcPr>
            <w:tcW w:w="166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2019</w:t>
            </w:r>
          </w:p>
        </w:tc>
        <w:tc>
          <w:tcPr>
            <w:tcW w:w="80" w:type="dxa"/>
            <w:vAlign w:val="bottom"/>
          </w:tcPr>
          <w:p>
            <w:pPr>
              <w:spacing w:after="0"/>
              <w:rPr>
                <w:sz w:val="11"/>
                <w:szCs w:val="11"/>
                <w:color w:val="auto"/>
              </w:rPr>
            </w:pPr>
          </w:p>
        </w:tc>
        <w:tc>
          <w:tcPr>
            <w:tcW w:w="2060" w:type="dxa"/>
            <w:vAlign w:val="bottom"/>
            <w:tcBorders>
              <w:top w:val="single" w:sz="8" w:color="auto"/>
            </w:tcBorders>
            <w:gridSpan w:val="3"/>
          </w:tcPr>
          <w:p>
            <w:pPr>
              <w:ind w:left="380"/>
              <w:spacing w:after="0"/>
              <w:rPr>
                <w:sz w:val="20"/>
                <w:szCs w:val="20"/>
                <w:color w:val="auto"/>
              </w:rPr>
            </w:pPr>
            <w:r>
              <w:rPr>
                <w:rFonts w:ascii="Arial" w:cs="Arial" w:eastAsia="Arial" w:hAnsi="Arial"/>
                <w:sz w:val="10"/>
                <w:szCs w:val="10"/>
                <w:b w:val="1"/>
                <w:bCs w:val="1"/>
                <w:color w:val="auto"/>
              </w:rPr>
              <w:t>December 31, 2020</w:t>
            </w:r>
          </w:p>
        </w:tc>
        <w:tc>
          <w:tcPr>
            <w:tcW w:w="1340" w:type="dxa"/>
            <w:vAlign w:val="bottom"/>
            <w:tcBorders>
              <w:top w:val="single" w:sz="8" w:color="auto"/>
            </w:tcBorders>
          </w:tcPr>
          <w:p>
            <w:pPr>
              <w:jc w:val="right"/>
              <w:ind w:right="318"/>
              <w:spacing w:after="0"/>
              <w:rPr>
                <w:sz w:val="20"/>
                <w:szCs w:val="20"/>
                <w:color w:val="auto"/>
              </w:rPr>
            </w:pPr>
            <w:r>
              <w:rPr>
                <w:rFonts w:ascii="Arial" w:cs="Arial" w:eastAsia="Arial" w:hAnsi="Arial"/>
                <w:sz w:val="10"/>
                <w:szCs w:val="10"/>
                <w:b w:val="1"/>
                <w:bCs w:val="1"/>
                <w:color w:val="auto"/>
              </w:rPr>
              <w:t>December 31, 2019</w:t>
            </w:r>
          </w:p>
        </w:tc>
      </w:tr>
      <w:tr>
        <w:trPr>
          <w:trHeight w:val="156"/>
        </w:trPr>
        <w:tc>
          <w:tcPr>
            <w:tcW w:w="4360" w:type="dxa"/>
            <w:vAlign w:val="bottom"/>
          </w:tcPr>
          <w:p>
            <w:pPr>
              <w:ind w:left="20"/>
              <w:spacing w:after="0"/>
              <w:rPr>
                <w:sz w:val="20"/>
                <w:szCs w:val="20"/>
                <w:color w:val="auto"/>
              </w:rPr>
            </w:pPr>
            <w:r>
              <w:rPr>
                <w:rFonts w:ascii="Arial" w:cs="Arial" w:eastAsia="Arial" w:hAnsi="Arial"/>
                <w:sz w:val="13"/>
                <w:szCs w:val="13"/>
                <w:color w:val="auto"/>
              </w:rPr>
              <w:t>Market Share</w:t>
            </w: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Cars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United States – Trucks</w:t>
            </w:r>
          </w:p>
        </w:tc>
        <w:tc>
          <w:tcPr>
            <w:tcW w:w="1660" w:type="dxa"/>
            <w:vAlign w:val="bottom"/>
          </w:tcPr>
          <w:p>
            <w:pPr>
              <w:jc w:val="right"/>
              <w:spacing w:after="0"/>
              <w:rPr>
                <w:sz w:val="20"/>
                <w:szCs w:val="20"/>
                <w:color w:val="auto"/>
              </w:rPr>
            </w:pPr>
            <w:r>
              <w:rPr>
                <w:rFonts w:ascii="Arial" w:cs="Arial" w:eastAsia="Arial" w:hAnsi="Arial"/>
                <w:sz w:val="13"/>
                <w:szCs w:val="13"/>
                <w:color w:val="auto"/>
              </w:rPr>
              <w:t>33.3 %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29.3 %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31.0 %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29.7 %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United States – Crossovers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Total United States</w:t>
            </w:r>
          </w:p>
        </w:tc>
        <w:tc>
          <w:tcPr>
            <w:tcW w:w="1660" w:type="dxa"/>
            <w:vAlign w:val="bottom"/>
          </w:tcPr>
          <w:p>
            <w:pPr>
              <w:jc w:val="right"/>
              <w:spacing w:after="0"/>
              <w:rPr>
                <w:sz w:val="20"/>
                <w:szCs w:val="20"/>
                <w:color w:val="auto"/>
              </w:rPr>
            </w:pPr>
            <w:r>
              <w:rPr>
                <w:rFonts w:ascii="Arial" w:cs="Arial" w:eastAsia="Arial" w:hAnsi="Arial"/>
                <w:sz w:val="13"/>
                <w:szCs w:val="13"/>
                <w:color w:val="auto"/>
              </w:rPr>
              <w:t>18.0 %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16.8 %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17.1 %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16.5 %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North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15.9 %</w:t>
            </w:r>
          </w:p>
        </w:tc>
      </w:tr>
      <w:tr>
        <w:trPr>
          <w:trHeight w:val="168"/>
        </w:trPr>
        <w:tc>
          <w:tcPr>
            <w:tcW w:w="4360" w:type="dxa"/>
            <w:vAlign w:val="bottom"/>
          </w:tcPr>
          <w:p>
            <w:pPr>
              <w:ind w:left="140"/>
              <w:spacing w:after="0"/>
              <w:rPr>
                <w:sz w:val="20"/>
                <w:szCs w:val="20"/>
                <w:color w:val="auto"/>
              </w:rPr>
            </w:pPr>
            <w:r>
              <w:rPr>
                <w:rFonts w:ascii="Arial" w:cs="Arial" w:eastAsia="Arial" w:hAnsi="Arial"/>
                <w:sz w:val="13"/>
                <w:szCs w:val="13"/>
                <w:color w:val="auto"/>
              </w:rPr>
              <w:t>Total Asia/Pacific, Middle East and Africa</w:t>
            </w:r>
          </w:p>
        </w:tc>
        <w:tc>
          <w:tcPr>
            <w:tcW w:w="1660" w:type="dxa"/>
            <w:vAlign w:val="bottom"/>
          </w:tcPr>
          <w:p>
            <w:pPr>
              <w:jc w:val="right"/>
              <w:spacing w:after="0"/>
              <w:rPr>
                <w:sz w:val="20"/>
                <w:szCs w:val="20"/>
                <w:color w:val="auto"/>
              </w:rPr>
            </w:pPr>
            <w:r>
              <w:rPr>
                <w:rFonts w:ascii="Arial" w:cs="Arial" w:eastAsia="Arial" w:hAnsi="Arial"/>
                <w:sz w:val="13"/>
                <w:szCs w:val="13"/>
                <w:color w:val="auto"/>
              </w:rPr>
              <w:t>8.3 %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8.1 %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8.0 %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7.9 %</w:t>
            </w:r>
          </w:p>
        </w:tc>
      </w:tr>
      <w:tr>
        <w:trPr>
          <w:trHeight w:val="172"/>
        </w:trPr>
        <w:tc>
          <w:tcPr>
            <w:tcW w:w="43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South America</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15.5 %</w:t>
            </w:r>
          </w:p>
        </w:tc>
      </w:tr>
      <w:tr>
        <w:trPr>
          <w:trHeight w:val="168"/>
        </w:trPr>
        <w:tc>
          <w:tcPr>
            <w:tcW w:w="4360" w:type="dxa"/>
            <w:vAlign w:val="bottom"/>
          </w:tcPr>
          <w:p>
            <w:pPr>
              <w:ind w:left="20"/>
              <w:spacing w:after="0"/>
              <w:rPr>
                <w:sz w:val="20"/>
                <w:szCs w:val="20"/>
                <w:color w:val="auto"/>
              </w:rPr>
            </w:pPr>
            <w:r>
              <w:rPr>
                <w:rFonts w:ascii="Arial" w:cs="Arial" w:eastAsia="Arial" w:hAnsi="Arial"/>
                <w:sz w:val="13"/>
                <w:szCs w:val="13"/>
                <w:color w:val="auto"/>
              </w:rPr>
              <w:t>Total GM Market</w:t>
            </w:r>
          </w:p>
        </w:tc>
        <w:tc>
          <w:tcPr>
            <w:tcW w:w="1660" w:type="dxa"/>
            <w:vAlign w:val="bottom"/>
          </w:tcPr>
          <w:p>
            <w:pPr>
              <w:jc w:val="right"/>
              <w:spacing w:after="0"/>
              <w:rPr>
                <w:sz w:val="20"/>
                <w:szCs w:val="20"/>
                <w:color w:val="auto"/>
              </w:rPr>
            </w:pPr>
            <w:r>
              <w:rPr>
                <w:rFonts w:ascii="Arial" w:cs="Arial" w:eastAsia="Arial" w:hAnsi="Arial"/>
                <w:sz w:val="13"/>
                <w:szCs w:val="13"/>
                <w:color w:val="auto"/>
              </w:rPr>
              <w:t>11.0 %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10.9 %</w:t>
            </w:r>
          </w:p>
        </w:tc>
        <w:tc>
          <w:tcPr>
            <w:tcW w:w="8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Arial" w:cs="Arial" w:eastAsia="Arial" w:hAnsi="Arial"/>
                <w:sz w:val="13"/>
                <w:szCs w:val="13"/>
                <w:color w:val="auto"/>
              </w:rPr>
              <w:t>10.7 %</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10.7 %</w:t>
            </w:r>
          </w:p>
        </w:tc>
      </w:tr>
      <w:tr>
        <w:trPr>
          <w:trHeight w:val="172"/>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Worldwide</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United States fleet sales as a percentage of retail vehicle sales</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16.6 %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21.8 %</w:t>
            </w:r>
          </w:p>
        </w:tc>
      </w:tr>
      <w:tr>
        <w:trPr>
          <w:trHeight w:val="85"/>
        </w:trPr>
        <w:tc>
          <w:tcPr>
            <w:tcW w:w="4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170"/>
        </w:trPr>
        <w:tc>
          <w:tcPr>
            <w:tcW w:w="4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North America capacity two shift utilization</w:t>
            </w: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76.1 %</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90.6 %</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698" w:right="339" w:bottom="1440" w:gutter="0" w:footer="0" w:header="0"/>
        </w:sectPr>
      </w:pPr>
    </w:p>
    <w:bookmarkStart w:id="18" w:name="page19"/>
    <w:bookmarkEnd w:id="18"/>
    <w:p>
      <w:pPr>
        <w:jc w:val="center"/>
        <w:ind w:right="140"/>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ind w:right="140"/>
        <w:spacing w:after="0"/>
        <w:rPr>
          <w:sz w:val="20"/>
          <w:szCs w:val="20"/>
          <w:color w:val="auto"/>
        </w:rPr>
      </w:pPr>
      <w:r>
        <w:rPr>
          <w:rFonts w:ascii="Arial" w:cs="Arial" w:eastAsia="Arial" w:hAnsi="Arial"/>
          <w:sz w:val="13"/>
          <w:szCs w:val="13"/>
          <w:b w:val="1"/>
          <w:bCs w:val="1"/>
          <w:color w:val="auto"/>
        </w:rPr>
        <w:t>Combining Income Statement Information</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3"/>
          <w:szCs w:val="13"/>
          <w:i w:val="1"/>
          <w:iCs w:val="1"/>
          <w:color w:val="auto"/>
        </w:rPr>
        <w:t>(In millions) (Unaudited)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8"/>
                <w:szCs w:val="8"/>
                <w:b w:val="1"/>
                <w:bCs w:val="1"/>
                <w:color w:val="auto"/>
              </w:rPr>
              <w:t>Year Ended December 31, 2020</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8"/>
                <w:szCs w:val="8"/>
                <w:b w:val="1"/>
                <w:bCs w:val="1"/>
                <w:color w:val="auto"/>
              </w:rPr>
              <w:t>Year Ended December 31, 2019</w:t>
            </w: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r>
        <w:trPr>
          <w:trHeight w:val="118"/>
        </w:trPr>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4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20" w:type="dxa"/>
            <w:vAlign w:val="bottom"/>
            <w:gridSpan w:val="2"/>
          </w:tcPr>
          <w:p>
            <w:pPr>
              <w:ind w:left="4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8"/>
                <w:szCs w:val="8"/>
                <w:b w:val="1"/>
                <w:bCs w:val="1"/>
                <w:color w:val="auto"/>
              </w:rPr>
              <w:t>Automotive</w:t>
            </w:r>
          </w:p>
        </w:tc>
        <w:tc>
          <w:tcPr>
            <w:tcW w:w="100" w:type="dxa"/>
            <w:vAlign w:val="bottom"/>
          </w:tcPr>
          <w:p>
            <w:pPr>
              <w:spacing w:after="0"/>
              <w:rPr>
                <w:sz w:val="10"/>
                <w:szCs w:val="10"/>
                <w:color w:val="auto"/>
              </w:rPr>
            </w:pPr>
          </w:p>
        </w:tc>
        <w:tc>
          <w:tcPr>
            <w:tcW w:w="520" w:type="dxa"/>
            <w:vAlign w:val="bottom"/>
            <w:gridSpan w:val="2"/>
          </w:tcPr>
          <w:p>
            <w:pPr>
              <w:ind w:left="20"/>
              <w:spacing w:after="0"/>
              <w:rPr>
                <w:sz w:val="20"/>
                <w:szCs w:val="20"/>
                <w:color w:val="auto"/>
              </w:rPr>
            </w:pPr>
            <w:r>
              <w:rPr>
                <w:rFonts w:ascii="Arial" w:cs="Arial" w:eastAsia="Arial" w:hAnsi="Arial"/>
                <w:sz w:val="8"/>
                <w:szCs w:val="8"/>
                <w:b w:val="1"/>
                <w:bCs w:val="1"/>
                <w:color w:val="auto"/>
              </w:rPr>
              <w:t>Cruise</w:t>
            </w:r>
          </w:p>
        </w:tc>
        <w:tc>
          <w:tcPr>
            <w:tcW w:w="80" w:type="dxa"/>
            <w:vAlign w:val="bottom"/>
          </w:tcPr>
          <w:p>
            <w:pPr>
              <w:spacing w:after="0"/>
              <w:rPr>
                <w:sz w:val="10"/>
                <w:szCs w:val="10"/>
                <w:color w:val="auto"/>
              </w:rPr>
            </w:pPr>
          </w:p>
        </w:tc>
        <w:tc>
          <w:tcPr>
            <w:tcW w:w="700" w:type="dxa"/>
            <w:vAlign w:val="bottom"/>
            <w:gridSpan w:val="2"/>
          </w:tcPr>
          <w:p>
            <w:pPr>
              <w:spacing w:after="0"/>
              <w:rPr>
                <w:sz w:val="20"/>
                <w:szCs w:val="20"/>
                <w:color w:val="auto"/>
              </w:rPr>
            </w:pPr>
            <w:r>
              <w:rPr>
                <w:rFonts w:ascii="Arial" w:cs="Arial" w:eastAsia="Arial" w:hAnsi="Arial"/>
                <w:sz w:val="8"/>
                <w:szCs w:val="8"/>
                <w:b w:val="1"/>
                <w:bCs w:val="1"/>
                <w:color w:val="auto"/>
              </w:rPr>
              <w:t>GM Financial</w:t>
            </w:r>
          </w:p>
        </w:tc>
        <w:tc>
          <w:tcPr>
            <w:tcW w:w="1340" w:type="dxa"/>
            <w:vAlign w:val="bottom"/>
            <w:gridSpan w:val="3"/>
          </w:tcPr>
          <w:p>
            <w:pPr>
              <w:ind w:left="20"/>
              <w:spacing w:after="0"/>
              <w:rPr>
                <w:sz w:val="20"/>
                <w:szCs w:val="20"/>
                <w:color w:val="auto"/>
              </w:rPr>
            </w:pPr>
            <w:r>
              <w:rPr>
                <w:rFonts w:ascii="Arial" w:cs="Arial" w:eastAsia="Arial" w:hAnsi="Arial"/>
                <w:sz w:val="8"/>
                <w:szCs w:val="8"/>
                <w:b w:val="1"/>
                <w:bCs w:val="1"/>
                <w:color w:val="auto"/>
              </w:rPr>
              <w:t>Reclassifications/Eliminations</w:t>
            </w:r>
          </w:p>
        </w:tc>
        <w:tc>
          <w:tcPr>
            <w:tcW w:w="140" w:type="dxa"/>
            <w:vAlign w:val="bottom"/>
          </w:tcPr>
          <w:p>
            <w:pPr>
              <w:spacing w:after="0"/>
              <w:rPr>
                <w:sz w:val="10"/>
                <w:szCs w:val="10"/>
                <w:color w:val="auto"/>
              </w:rPr>
            </w:pPr>
          </w:p>
        </w:tc>
        <w:tc>
          <w:tcPr>
            <w:tcW w:w="640" w:type="dxa"/>
            <w:vAlign w:val="bottom"/>
          </w:tcPr>
          <w:p>
            <w:pPr>
              <w:jc w:val="right"/>
              <w:ind w:right="131"/>
              <w:spacing w:after="0"/>
              <w:rPr>
                <w:sz w:val="20"/>
                <w:szCs w:val="20"/>
                <w:color w:val="auto"/>
              </w:rPr>
            </w:pPr>
            <w:r>
              <w:rPr>
                <w:rFonts w:ascii="Arial" w:cs="Arial" w:eastAsia="Arial" w:hAnsi="Arial"/>
                <w:sz w:val="8"/>
                <w:szCs w:val="8"/>
                <w:b w:val="1"/>
                <w:bCs w:val="1"/>
                <w:color w:val="auto"/>
              </w:rPr>
              <w:t>Combined</w:t>
            </w:r>
          </w:p>
        </w:tc>
      </w:tr>
      <w:tr>
        <w:trPr>
          <w:trHeight w:val="120"/>
        </w:trPr>
        <w:tc>
          <w:tcPr>
            <w:tcW w:w="2200" w:type="dxa"/>
            <w:vAlign w:val="bottom"/>
          </w:tcPr>
          <w:p>
            <w:pPr>
              <w:spacing w:after="0" w:line="113" w:lineRule="exact"/>
              <w:rPr>
                <w:sz w:val="20"/>
                <w:szCs w:val="20"/>
                <w:color w:val="auto"/>
              </w:rPr>
            </w:pPr>
            <w:r>
              <w:rPr>
                <w:rFonts w:ascii="Arial" w:cs="Arial" w:eastAsia="Arial" w:hAnsi="Arial"/>
                <w:sz w:val="10"/>
                <w:szCs w:val="10"/>
                <w:b w:val="1"/>
                <w:bCs w:val="1"/>
                <w:color w:val="auto"/>
              </w:rPr>
              <w:t>Net sales and revenue</w:t>
            </w: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r>
      <w:tr>
        <w:trPr>
          <w:trHeight w:val="145"/>
        </w:trPr>
        <w:tc>
          <w:tcPr>
            <w:tcW w:w="22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108,673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122,697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122,697</w:t>
            </w:r>
          </w:p>
        </w:tc>
      </w:tr>
      <w:tr>
        <w:trPr>
          <w:trHeight w:val="131"/>
        </w:trPr>
        <w:tc>
          <w:tcPr>
            <w:tcW w:w="2200" w:type="dxa"/>
            <w:vAlign w:val="bottom"/>
          </w:tcPr>
          <w:p>
            <w:pPr>
              <w:ind w:left="100"/>
              <w:spacing w:after="0"/>
              <w:rPr>
                <w:sz w:val="20"/>
                <w:szCs w:val="20"/>
                <w:color w:val="auto"/>
              </w:rPr>
            </w:pPr>
            <w:r>
              <w:rPr>
                <w:rFonts w:ascii="Arial" w:cs="Arial" w:eastAsia="Arial" w:hAnsi="Arial"/>
                <w:sz w:val="10"/>
                <w:szCs w:val="10"/>
                <w:color w:val="auto"/>
              </w:rPr>
              <w:t>GM Financial</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13,831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13,812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14,554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14,540</w:t>
            </w:r>
          </w:p>
        </w:tc>
      </w:tr>
      <w:tr>
        <w:trPr>
          <w:trHeight w:val="136"/>
        </w:trPr>
        <w:tc>
          <w:tcPr>
            <w:tcW w:w="2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Total net sales and revenue</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108,669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13,831</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(118)</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122,485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122,697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14,554</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137,237</w:t>
            </w:r>
          </w:p>
        </w:tc>
      </w:tr>
      <w:tr>
        <w:trPr>
          <w:trHeight w:val="114"/>
        </w:trPr>
        <w:tc>
          <w:tcPr>
            <w:tcW w:w="2200" w:type="dxa"/>
            <w:vAlign w:val="bottom"/>
          </w:tcPr>
          <w:p>
            <w:pPr>
              <w:spacing w:after="0" w:line="110" w:lineRule="exact"/>
              <w:rPr>
                <w:sz w:val="20"/>
                <w:szCs w:val="20"/>
                <w:color w:val="auto"/>
              </w:rPr>
            </w:pPr>
            <w:r>
              <w:rPr>
                <w:rFonts w:ascii="Arial" w:cs="Arial" w:eastAsia="Arial" w:hAnsi="Arial"/>
                <w:sz w:val="10"/>
                <w:szCs w:val="10"/>
                <w:b w:val="1"/>
                <w:bCs w:val="1"/>
                <w:color w:val="auto"/>
              </w:rPr>
              <w:t>Costs and expenses</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142"/>
        </w:trPr>
        <w:tc>
          <w:tcPr>
            <w:tcW w:w="22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Automotive and other cost of sales</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96,711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829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97,539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109,630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110,651</w:t>
            </w:r>
          </w:p>
        </w:tc>
      </w:tr>
      <w:tr>
        <w:trPr>
          <w:trHeight w:val="101"/>
        </w:trPr>
        <w:tc>
          <w:tcPr>
            <w:tcW w:w="2200" w:type="dxa"/>
            <w:vAlign w:val="bottom"/>
          </w:tcPr>
          <w:p>
            <w:pPr>
              <w:ind w:left="100"/>
              <w:spacing w:after="0" w:line="102" w:lineRule="exact"/>
              <w:rPr>
                <w:sz w:val="20"/>
                <w:szCs w:val="20"/>
                <w:color w:val="auto"/>
              </w:rPr>
            </w:pPr>
            <w:r>
              <w:rPr>
                <w:rFonts w:ascii="Arial" w:cs="Arial" w:eastAsia="Arial" w:hAnsi="Arial"/>
                <w:sz w:val="10"/>
                <w:szCs w:val="10"/>
                <w:color w:val="auto"/>
              </w:rPr>
              <w:t>GM Financial interest, operating and other</w:t>
            </w: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25"/>
        </w:trPr>
        <w:tc>
          <w:tcPr>
            <w:tcW w:w="2200" w:type="dxa"/>
            <w:vAlign w:val="bottom"/>
          </w:tcPr>
          <w:p>
            <w:pPr>
              <w:ind w:left="220"/>
              <w:spacing w:after="0"/>
              <w:rPr>
                <w:sz w:val="20"/>
                <w:szCs w:val="20"/>
                <w:color w:val="auto"/>
              </w:rPr>
            </w:pPr>
            <w:r>
              <w:rPr>
                <w:rFonts w:ascii="Arial" w:cs="Arial" w:eastAsia="Arial" w:hAnsi="Arial"/>
                <w:sz w:val="10"/>
                <w:szCs w:val="10"/>
                <w:color w:val="auto"/>
              </w:rPr>
              <w:t>expenses</w:t>
            </w:r>
          </w:p>
        </w:tc>
        <w:tc>
          <w:tcPr>
            <w:tcW w:w="120" w:type="dxa"/>
            <w:vAlign w:val="bottom"/>
          </w:tcPr>
          <w:p>
            <w:pPr>
              <w:spacing w:after="0"/>
              <w:rPr>
                <w:sz w:val="10"/>
                <w:szCs w:val="1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11,276</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11,274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12,616</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12,614</w:t>
            </w:r>
          </w:p>
        </w:tc>
      </w:tr>
      <w:tr>
        <w:trPr>
          <w:trHeight w:val="109"/>
        </w:trPr>
        <w:tc>
          <w:tcPr>
            <w:tcW w:w="2200" w:type="dxa"/>
            <w:vAlign w:val="bottom"/>
            <w:shd w:val="clear" w:color="auto" w:fill="CCEEFF"/>
          </w:tcPr>
          <w:p>
            <w:pPr>
              <w:ind w:left="100"/>
              <w:spacing w:after="0" w:line="109" w:lineRule="exact"/>
              <w:rPr>
                <w:sz w:val="20"/>
                <w:szCs w:val="20"/>
                <w:color w:val="auto"/>
              </w:rPr>
            </w:pPr>
            <w:r>
              <w:rPr>
                <w:rFonts w:ascii="Arial" w:cs="Arial" w:eastAsia="Arial" w:hAnsi="Arial"/>
                <w:sz w:val="10"/>
                <w:szCs w:val="10"/>
                <w:color w:val="auto"/>
              </w:rPr>
              <w:t>Automotive and other selling, general and</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25"/>
        </w:trPr>
        <w:tc>
          <w:tcPr>
            <w:tcW w:w="22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administrative expense</w:t>
            </w: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6,799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7,038</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8,318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8,491</w:t>
            </w:r>
          </w:p>
        </w:tc>
      </w:tr>
      <w:tr>
        <w:trPr>
          <w:trHeight w:val="129"/>
        </w:trPr>
        <w:tc>
          <w:tcPr>
            <w:tcW w:w="22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Total costs and expenses</w:t>
            </w:r>
          </w:p>
        </w:tc>
        <w:tc>
          <w:tcPr>
            <w:tcW w:w="12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103,510</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1,068</w:t>
            </w:r>
          </w:p>
        </w:tc>
        <w:tc>
          <w:tcPr>
            <w:tcW w:w="8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11,276</w:t>
            </w:r>
          </w:p>
        </w:tc>
        <w:tc>
          <w:tcPr>
            <w:tcW w:w="1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115,851</w:t>
            </w:r>
          </w:p>
        </w:tc>
        <w:tc>
          <w:tcPr>
            <w:tcW w:w="8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117,948</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1,199</w:t>
            </w:r>
          </w:p>
        </w:tc>
        <w:tc>
          <w:tcPr>
            <w:tcW w:w="1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12,616</w:t>
            </w:r>
          </w:p>
        </w:tc>
        <w:tc>
          <w:tcPr>
            <w:tcW w:w="1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(7)</w:t>
            </w:r>
          </w:p>
        </w:tc>
        <w:tc>
          <w:tcPr>
            <w:tcW w:w="8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131,756</w:t>
            </w:r>
          </w:p>
        </w:tc>
      </w:tr>
      <w:tr>
        <w:trPr>
          <w:trHeight w:val="136"/>
        </w:trPr>
        <w:tc>
          <w:tcPr>
            <w:tcW w:w="2200" w:type="dxa"/>
            <w:vAlign w:val="bottom"/>
            <w:shd w:val="clear" w:color="auto" w:fill="CCEEFF"/>
          </w:tcPr>
          <w:p>
            <w:pPr>
              <w:ind w:left="180"/>
              <w:spacing w:after="0"/>
              <w:rPr>
                <w:sz w:val="20"/>
                <w:szCs w:val="20"/>
                <w:color w:val="auto"/>
              </w:rPr>
            </w:pPr>
            <w:r>
              <w:rPr>
                <w:rFonts w:ascii="Arial" w:cs="Arial" w:eastAsia="Arial" w:hAnsi="Arial"/>
                <w:sz w:val="10"/>
                <w:szCs w:val="10"/>
                <w:color w:val="auto"/>
              </w:rPr>
              <w:t>Operating income (loss)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5,159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2,555</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6,634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4,749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1,938</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5,481</w:t>
            </w:r>
          </w:p>
        </w:tc>
      </w:tr>
      <w:tr>
        <w:trPr>
          <w:trHeight w:val="131"/>
        </w:trPr>
        <w:tc>
          <w:tcPr>
            <w:tcW w:w="2200" w:type="dxa"/>
            <w:vAlign w:val="bottom"/>
          </w:tcPr>
          <w:p>
            <w:pPr>
              <w:spacing w:after="0"/>
              <w:rPr>
                <w:sz w:val="20"/>
                <w:szCs w:val="20"/>
                <w:color w:val="auto"/>
              </w:rPr>
            </w:pPr>
            <w:r>
              <w:rPr>
                <w:rFonts w:ascii="Arial" w:cs="Arial" w:eastAsia="Arial" w:hAnsi="Arial"/>
                <w:sz w:val="10"/>
                <w:szCs w:val="10"/>
                <w:color w:val="auto"/>
              </w:rPr>
              <w:t>Automotive interest expense</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1,113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(15)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1,098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790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782</w:t>
            </w:r>
          </w:p>
        </w:tc>
      </w:tr>
      <w:tr>
        <w:trPr>
          <w:trHeight w:val="109"/>
        </w:trPr>
        <w:tc>
          <w:tcPr>
            <w:tcW w:w="2200" w:type="dxa"/>
            <w:vAlign w:val="bottom"/>
            <w:shd w:val="clear" w:color="auto" w:fill="CCEEFF"/>
          </w:tcPr>
          <w:p>
            <w:pPr>
              <w:spacing w:after="0" w:line="109" w:lineRule="exact"/>
              <w:rPr>
                <w:sz w:val="20"/>
                <w:szCs w:val="20"/>
                <w:color w:val="auto"/>
              </w:rPr>
            </w:pPr>
            <w:r>
              <w:rPr>
                <w:rFonts w:ascii="Arial" w:cs="Arial" w:eastAsia="Arial" w:hAnsi="Arial"/>
                <w:sz w:val="10"/>
                <w:szCs w:val="10"/>
                <w:color w:val="auto"/>
              </w:rPr>
              <w:t>Interest income and other non-operating income,</w:t>
            </w: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r>
      <w:tr>
        <w:trPr>
          <w:trHeight w:val="132"/>
        </w:trPr>
        <w:tc>
          <w:tcPr>
            <w:tcW w:w="22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net</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1,766</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1,885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1,469</w:t>
            </w:r>
          </w:p>
        </w:tc>
      </w:tr>
      <w:tr>
        <w:trPr>
          <w:trHeight w:val="131"/>
        </w:trPr>
        <w:tc>
          <w:tcPr>
            <w:tcW w:w="2200" w:type="dxa"/>
            <w:vAlign w:val="bottom"/>
          </w:tcPr>
          <w:p>
            <w:pPr>
              <w:spacing w:after="0"/>
              <w:rPr>
                <w:sz w:val="20"/>
                <w:szCs w:val="20"/>
                <w:color w:val="auto"/>
              </w:rPr>
            </w:pPr>
            <w:r>
              <w:rPr>
                <w:rFonts w:ascii="Arial" w:cs="Arial" w:eastAsia="Arial" w:hAnsi="Arial"/>
                <w:sz w:val="10"/>
                <w:szCs w:val="10"/>
                <w:color w:val="auto"/>
              </w:rPr>
              <w:t>Equity income</w:t>
            </w:r>
          </w:p>
        </w:tc>
        <w:tc>
          <w:tcPr>
            <w:tcW w:w="12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527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tcPr>
          <w:p>
            <w:pPr>
              <w:jc w:val="right"/>
              <w:ind w:right="11"/>
              <w:spacing w:after="0"/>
              <w:rPr>
                <w:sz w:val="20"/>
                <w:szCs w:val="20"/>
                <w:color w:val="auto"/>
              </w:rPr>
            </w:pPr>
            <w:r>
              <w:rPr>
                <w:rFonts w:ascii="Arial" w:cs="Arial" w:eastAsia="Arial" w:hAnsi="Arial"/>
                <w:sz w:val="10"/>
                <w:szCs w:val="10"/>
                <w:color w:val="auto"/>
              </w:rPr>
              <w:t>674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ind w:right="11"/>
              <w:spacing w:after="0"/>
              <w:rPr>
                <w:sz w:val="20"/>
                <w:szCs w:val="20"/>
                <w:color w:val="auto"/>
              </w:rPr>
            </w:pPr>
            <w:r>
              <w:rPr>
                <w:rFonts w:ascii="Arial" w:cs="Arial" w:eastAsia="Arial" w:hAnsi="Arial"/>
                <w:sz w:val="10"/>
                <w:szCs w:val="10"/>
                <w:color w:val="auto"/>
              </w:rPr>
              <w:t>1,102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1,268</w:t>
            </w:r>
          </w:p>
        </w:tc>
      </w:tr>
      <w:tr>
        <w:trPr>
          <w:trHeight w:val="136"/>
        </w:trPr>
        <w:tc>
          <w:tcPr>
            <w:tcW w:w="2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0"/>
                <w:szCs w:val="10"/>
                <w:color w:val="auto"/>
              </w:rPr>
              <w:t>Income (loss) before income taxes</w:t>
            </w: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6,339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(947)</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2,702</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8,095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6,371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(1,025)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2,104</w:t>
            </w:r>
          </w:p>
        </w:tc>
        <w:tc>
          <w:tcPr>
            <w:tcW w:w="1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7,436</w:t>
            </w:r>
          </w:p>
        </w:tc>
      </w:tr>
      <w:tr>
        <w:trPr>
          <w:trHeight w:val="131"/>
        </w:trPr>
        <w:tc>
          <w:tcPr>
            <w:tcW w:w="22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Income tax expense</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1,774</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769</w:t>
            </w:r>
          </w:p>
        </w:tc>
      </w:tr>
      <w:tr>
        <w:trPr>
          <w:trHeight w:val="136"/>
        </w:trPr>
        <w:tc>
          <w:tcPr>
            <w:tcW w:w="22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Net income</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6,321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6,667</w:t>
            </w:r>
          </w:p>
        </w:tc>
      </w:tr>
      <w:tr>
        <w:trPr>
          <w:trHeight w:val="131"/>
        </w:trPr>
        <w:tc>
          <w:tcPr>
            <w:tcW w:w="220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Net loss attributable to noncontrolling interests</w:t>
            </w:r>
          </w:p>
        </w:tc>
        <w:tc>
          <w:tcPr>
            <w:tcW w:w="120" w:type="dxa"/>
            <w:vAlign w:val="bottom"/>
            <w:tcBorders>
              <w:bottom w:val="single" w:sz="8" w:color="CCEEFF"/>
            </w:tcBorders>
          </w:tcPr>
          <w:p>
            <w:pPr>
              <w:spacing w:after="0"/>
              <w:rPr>
                <w:sz w:val="11"/>
                <w:szCs w:val="11"/>
                <w:color w:val="auto"/>
              </w:rPr>
            </w:pPr>
          </w:p>
        </w:tc>
        <w:tc>
          <w:tcPr>
            <w:tcW w:w="6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106</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7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w:t>
            </w:r>
          </w:p>
        </w:tc>
      </w:tr>
      <w:tr>
        <w:trPr>
          <w:trHeight w:val="161"/>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Net income attributable to stockholders</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6,427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6,732</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79"/>
        </w:trPr>
        <w:tc>
          <w:tcPr>
            <w:tcW w:w="2200" w:type="dxa"/>
            <w:vAlign w:val="bottom"/>
            <w:shd w:val="clear" w:color="auto" w:fill="CCEEFF"/>
          </w:tcPr>
          <w:p>
            <w:pPr>
              <w:spacing w:after="0" w:line="79" w:lineRule="exact"/>
              <w:rPr>
                <w:sz w:val="20"/>
                <w:szCs w:val="20"/>
                <w:color w:val="auto"/>
              </w:rPr>
            </w:pPr>
            <w:r>
              <w:rPr>
                <w:rFonts w:ascii="Arial" w:cs="Arial" w:eastAsia="Arial" w:hAnsi="Arial"/>
                <w:sz w:val="9"/>
                <w:szCs w:val="9"/>
                <w:b w:val="1"/>
                <w:bCs w:val="1"/>
                <w:color w:val="auto"/>
              </w:rPr>
              <w:t>Net income attributable to common</w:t>
            </w:r>
          </w:p>
        </w:tc>
        <w:tc>
          <w:tcPr>
            <w:tcW w:w="12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r>
      <w:tr>
        <w:trPr>
          <w:trHeight w:val="138"/>
        </w:trPr>
        <w:tc>
          <w:tcPr>
            <w:tcW w:w="2200" w:type="dxa"/>
            <w:vAlign w:val="bottom"/>
            <w:shd w:val="clear" w:color="auto" w:fill="CCEEFF"/>
          </w:tcPr>
          <w:p>
            <w:pPr>
              <w:ind w:left="140"/>
              <w:spacing w:after="0"/>
              <w:rPr>
                <w:sz w:val="20"/>
                <w:szCs w:val="20"/>
                <w:color w:val="auto"/>
              </w:rPr>
            </w:pPr>
            <w:r>
              <w:rPr>
                <w:rFonts w:ascii="Arial" w:cs="Arial" w:eastAsia="Arial" w:hAnsi="Arial"/>
                <w:sz w:val="10"/>
                <w:szCs w:val="10"/>
                <w:b w:val="1"/>
                <w:bCs w:val="1"/>
                <w:color w:val="auto"/>
              </w:rPr>
              <w:t>stockholders</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6,247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6,581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140"/>
          </w:cols>
          <w:pgMar w:left="440" w:top="316" w:right="319" w:bottom="1440" w:gutter="0" w:footer="0" w:header="0"/>
        </w:sectPr>
      </w:pPr>
    </w:p>
    <w:bookmarkStart w:id="19" w:name="page20"/>
    <w:bookmarkEnd w:id="19"/>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Basic and Diluted Earnings per Share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(Unaudited)</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The following table summarizes basic and diluted earnings (loss) per share (in millions, except per share amounts):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37"/>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60" w:type="dxa"/>
            <w:vAlign w:val="bottom"/>
            <w:gridSpan w:val="5"/>
          </w:tcPr>
          <w:p>
            <w:pPr>
              <w:ind w:left="740"/>
              <w:spacing w:after="0"/>
              <w:rPr>
                <w:sz w:val="20"/>
                <w:szCs w:val="20"/>
                <w:color w:val="auto"/>
              </w:rPr>
            </w:pPr>
            <w:r>
              <w:rPr>
                <w:rFonts w:ascii="Arial" w:cs="Arial" w:eastAsia="Arial" w:hAnsi="Arial"/>
                <w:sz w:val="10"/>
                <w:szCs w:val="10"/>
                <w:b w:val="1"/>
                <w:bCs w:val="1"/>
                <w:color w:val="auto"/>
              </w:rPr>
              <w:t>Three Months Ended</w:t>
            </w:r>
          </w:p>
        </w:tc>
        <w:tc>
          <w:tcPr>
            <w:tcW w:w="200" w:type="dxa"/>
            <w:vAlign w:val="bottom"/>
          </w:tcPr>
          <w:p>
            <w:pPr>
              <w:spacing w:after="0"/>
              <w:rPr>
                <w:sz w:val="11"/>
                <w:szCs w:val="11"/>
                <w:color w:val="auto"/>
              </w:rPr>
            </w:pPr>
          </w:p>
        </w:tc>
        <w:tc>
          <w:tcPr>
            <w:tcW w:w="1560" w:type="dxa"/>
            <w:vAlign w:val="bottom"/>
            <w:gridSpan w:val="3"/>
          </w:tcPr>
          <w:p>
            <w:pPr>
              <w:jc w:val="right"/>
              <w:spacing w:after="0"/>
              <w:rPr>
                <w:sz w:val="20"/>
                <w:szCs w:val="20"/>
                <w:color w:val="auto"/>
              </w:rPr>
            </w:pPr>
            <w:r>
              <w:rPr>
                <w:rFonts w:ascii="Arial" w:cs="Arial" w:eastAsia="Arial" w:hAnsi="Arial"/>
                <w:sz w:val="10"/>
                <w:szCs w:val="10"/>
                <w:b w:val="1"/>
                <w:bCs w:val="1"/>
                <w:color w:val="auto"/>
              </w:rPr>
              <w:t>Years Ended</w:t>
            </w:r>
          </w:p>
        </w:tc>
        <w:tc>
          <w:tcPr>
            <w:tcW w:w="1100" w:type="dxa"/>
            <w:vAlign w:val="bottom"/>
          </w:tcPr>
          <w:p>
            <w:pPr>
              <w:spacing w:after="0"/>
              <w:rPr>
                <w:sz w:val="11"/>
                <w:szCs w:val="11"/>
                <w:color w:val="auto"/>
              </w:rPr>
            </w:pPr>
          </w:p>
        </w:tc>
      </w:tr>
      <w:tr>
        <w:trPr>
          <w:trHeight w:val="116"/>
        </w:trPr>
        <w:tc>
          <w:tcPr>
            <w:tcW w:w="54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8"/>
                <w:szCs w:val="8"/>
                <w:b w:val="1"/>
                <w:bCs w:val="1"/>
                <w:color w:val="auto"/>
              </w:rPr>
              <w:t>December 31, 2020</w:t>
            </w:r>
          </w:p>
        </w:tc>
        <w:tc>
          <w:tcPr>
            <w:tcW w:w="2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238"/>
              <w:spacing w:after="0"/>
              <w:rPr>
                <w:sz w:val="20"/>
                <w:szCs w:val="20"/>
                <w:color w:val="auto"/>
              </w:rPr>
            </w:pPr>
            <w:r>
              <w:rPr>
                <w:rFonts w:ascii="Arial" w:cs="Arial" w:eastAsia="Arial" w:hAnsi="Arial"/>
                <w:sz w:val="8"/>
                <w:szCs w:val="8"/>
                <w:b w:val="1"/>
                <w:bCs w:val="1"/>
                <w:color w:val="auto"/>
              </w:rPr>
              <w:t>December 31, 2019</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ind w:left="100"/>
              <w:spacing w:after="0"/>
              <w:rPr>
                <w:sz w:val="20"/>
                <w:szCs w:val="20"/>
                <w:color w:val="auto"/>
              </w:rPr>
            </w:pPr>
            <w:r>
              <w:rPr>
                <w:rFonts w:ascii="Arial" w:cs="Arial" w:eastAsia="Arial" w:hAnsi="Arial"/>
                <w:sz w:val="8"/>
                <w:szCs w:val="8"/>
                <w:b w:val="1"/>
                <w:bCs w:val="1"/>
                <w:color w:val="auto"/>
              </w:rPr>
              <w:t>December 31, 2020</w:t>
            </w:r>
          </w:p>
        </w:tc>
        <w:tc>
          <w:tcPr>
            <w:tcW w:w="2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258"/>
              <w:spacing w:after="0"/>
              <w:rPr>
                <w:sz w:val="20"/>
                <w:szCs w:val="20"/>
                <w:color w:val="auto"/>
              </w:rPr>
            </w:pPr>
            <w:r>
              <w:rPr>
                <w:rFonts w:ascii="Arial" w:cs="Arial" w:eastAsia="Arial" w:hAnsi="Arial"/>
                <w:sz w:val="8"/>
                <w:szCs w:val="8"/>
                <w:b w:val="1"/>
                <w:bCs w:val="1"/>
                <w:color w:val="auto"/>
              </w:rPr>
              <w:t>December 31, 2019</w:t>
            </w:r>
          </w:p>
        </w:tc>
      </w:tr>
      <w:tr>
        <w:trPr>
          <w:trHeight w:val="138"/>
        </w:trPr>
        <w:tc>
          <w:tcPr>
            <w:tcW w:w="5440" w:type="dxa"/>
            <w:vAlign w:val="bottom"/>
          </w:tcPr>
          <w:p>
            <w:pPr>
              <w:spacing w:after="0"/>
              <w:rPr>
                <w:sz w:val="20"/>
                <w:szCs w:val="20"/>
                <w:color w:val="auto"/>
              </w:rPr>
            </w:pPr>
            <w:r>
              <w:rPr>
                <w:rFonts w:ascii="Arial" w:cs="Arial" w:eastAsia="Arial" w:hAnsi="Arial"/>
                <w:sz w:val="11"/>
                <w:szCs w:val="11"/>
                <w:b w:val="1"/>
                <w:bCs w:val="1"/>
                <w:color w:val="auto"/>
              </w:rPr>
              <w:t>Basic earnings per share</w:t>
            </w: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(loss) attributable to stockholders</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6,732</w:t>
            </w:r>
          </w:p>
        </w:tc>
      </w:tr>
      <w:tr>
        <w:trPr>
          <w:trHeight w:val="170"/>
        </w:trPr>
        <w:tc>
          <w:tcPr>
            <w:tcW w:w="544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Less: cumulative dividends on subsidiary preferred stock</w:t>
            </w: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w:t>
            </w:r>
          </w:p>
        </w:tc>
      </w:tr>
      <w:tr>
        <w:trPr>
          <w:trHeight w:val="185"/>
        </w:trPr>
        <w:tc>
          <w:tcPr>
            <w:tcW w:w="5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Net income (loss) attributable to common stockholders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6,581</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5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Basic earnings (loss)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4.62</w:t>
            </w:r>
          </w:p>
        </w:tc>
      </w:tr>
      <w:tr>
        <w:trPr>
          <w:trHeight w:val="149"/>
        </w:trPr>
        <w:tc>
          <w:tcPr>
            <w:tcW w:w="5440" w:type="dxa"/>
            <w:vAlign w:val="bottom"/>
          </w:tcPr>
          <w:p>
            <w:pPr>
              <w:spacing w:after="0"/>
              <w:rPr>
                <w:sz w:val="20"/>
                <w:szCs w:val="20"/>
                <w:color w:val="auto"/>
              </w:rPr>
            </w:pPr>
            <w:r>
              <w:rPr>
                <w:rFonts w:ascii="Arial" w:cs="Arial" w:eastAsia="Arial" w:hAnsi="Arial"/>
                <w:sz w:val="11"/>
                <w:szCs w:val="11"/>
                <w:b w:val="1"/>
                <w:bCs w:val="1"/>
                <w:color w:val="auto"/>
              </w:rPr>
              <w:t>Diluted earnings per share</w:t>
            </w: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Net income (loss) attributable to common stockholders – diluted</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6,581</w:t>
            </w:r>
          </w:p>
        </w:tc>
      </w:tr>
      <w:tr>
        <w:trPr>
          <w:trHeight w:val="85"/>
        </w:trPr>
        <w:tc>
          <w:tcPr>
            <w:tcW w:w="5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Weighted-average common shares outstanding – diluted</w:t>
            </w: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r>
      <w:tr>
        <w:trPr>
          <w:trHeight w:val="74"/>
        </w:trPr>
        <w:tc>
          <w:tcPr>
            <w:tcW w:w="5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70"/>
        </w:trPr>
        <w:tc>
          <w:tcPr>
            <w:tcW w:w="54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Diluted earnings (loss) per common share</w:t>
            </w:r>
          </w:p>
        </w:tc>
        <w:tc>
          <w:tcPr>
            <w:tcW w:w="2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4.57</w:t>
            </w:r>
          </w:p>
        </w:tc>
      </w:tr>
      <w:tr>
        <w:trPr>
          <w:trHeight w:val="172"/>
        </w:trPr>
        <w:tc>
          <w:tcPr>
            <w:tcW w:w="5440" w:type="dxa"/>
            <w:vAlign w:val="bottom"/>
          </w:tcPr>
          <w:p>
            <w:pPr>
              <w:ind w:left="140"/>
              <w:spacing w:after="0"/>
              <w:rPr>
                <w:sz w:val="20"/>
                <w:szCs w:val="20"/>
                <w:color w:val="auto"/>
              </w:rPr>
            </w:pPr>
            <w:r>
              <w:rPr>
                <w:rFonts w:ascii="Arial" w:cs="Arial" w:eastAsia="Arial" w:hAnsi="Arial"/>
                <w:sz w:val="11"/>
                <w:szCs w:val="11"/>
                <w:color w:val="auto"/>
              </w:rPr>
              <w:t>Potentially dilutive securities(a)</w:t>
            </w: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7</w:t>
            </w:r>
          </w:p>
        </w:tc>
      </w:tr>
    </w:tbl>
    <w:p>
      <w:pPr>
        <w:spacing w:after="0" w:line="65"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1" w:lineRule="exact"/>
        <w:rPr>
          <w:sz w:val="20"/>
          <w:szCs w:val="20"/>
          <w:color w:val="auto"/>
        </w:rPr>
      </w:pPr>
    </w:p>
    <w:p>
      <w:pPr>
        <w:ind w:left="260" w:hanging="255"/>
        <w:spacing w:after="0"/>
        <w:tabs>
          <w:tab w:leader="none" w:pos="260" w:val="left"/>
        </w:tabs>
        <w:numPr>
          <w:ilvl w:val="0"/>
          <w:numId w:val="8"/>
        </w:numPr>
        <w:rPr>
          <w:rFonts w:ascii="Arial" w:cs="Arial" w:eastAsia="Arial" w:hAnsi="Arial"/>
          <w:sz w:val="11"/>
          <w:szCs w:val="11"/>
          <w:color w:val="auto"/>
        </w:rPr>
      </w:pPr>
      <w:r>
        <w:rPr>
          <w:rFonts w:ascii="Arial" w:cs="Arial" w:eastAsia="Arial" w:hAnsi="Arial"/>
          <w:sz w:val="11"/>
          <w:szCs w:val="11"/>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rFonts w:ascii="Arial" w:cs="Arial" w:eastAsia="Arial" w:hAnsi="Arial"/>
          <w:sz w:val="11"/>
          <w:szCs w:val="11"/>
          <w:color w:val="auto"/>
        </w:rPr>
      </w:pPr>
    </w:p>
    <w:p>
      <w:pPr>
        <w:spacing w:after="0" w:line="286" w:lineRule="exact"/>
        <w:rPr>
          <w:rFonts w:ascii="Arial" w:cs="Arial" w:eastAsia="Arial" w:hAnsi="Arial"/>
          <w:sz w:val="11"/>
          <w:szCs w:val="11"/>
          <w:color w:val="auto"/>
        </w:rPr>
      </w:pPr>
    </w:p>
    <w:p>
      <w:pPr>
        <w:ind w:left="5820"/>
        <w:spacing w:after="0"/>
        <w:rPr>
          <w:rFonts w:ascii="Arial" w:cs="Arial" w:eastAsia="Arial" w:hAnsi="Arial"/>
          <w:sz w:val="11"/>
          <w:szCs w:val="11"/>
          <w:color w:val="auto"/>
        </w:rPr>
      </w:pPr>
      <w:r>
        <w:rPr>
          <w:rFonts w:ascii="Arial" w:cs="Arial" w:eastAsia="Arial" w:hAnsi="Arial"/>
          <w:sz w:val="13"/>
          <w:szCs w:val="13"/>
          <w:color w:val="auto"/>
        </w:rPr>
        <w:t>11</w:t>
      </w:r>
    </w:p>
    <w:p>
      <w:pPr>
        <w:sectPr>
          <w:pgSz w:w="11900" w:h="16838" w:orient="portrait"/>
          <w:cols w:equalWidth="0" w:num="1">
            <w:col w:w="11280"/>
          </w:cols>
          <w:pgMar w:left="300" w:top="316" w:right="319" w:bottom="1440" w:gutter="0" w:footer="0" w:header="0"/>
        </w:sectPr>
      </w:pPr>
    </w:p>
    <w:bookmarkStart w:id="20" w:name="page21"/>
    <w:bookmarkEnd w:id="20"/>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Balance Sheet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except per share amounts) (Unaudited)(a)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20"/>
        </w:trPr>
        <w:tc>
          <w:tcPr>
            <w:tcW w:w="28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ind w:left="160"/>
              <w:spacing w:after="0"/>
              <w:rPr>
                <w:sz w:val="20"/>
                <w:szCs w:val="20"/>
                <w:color w:val="auto"/>
              </w:rPr>
            </w:pPr>
            <w:r>
              <w:rPr>
                <w:rFonts w:ascii="Arial" w:cs="Arial" w:eastAsia="Arial" w:hAnsi="Arial"/>
                <w:sz w:val="8"/>
                <w:szCs w:val="8"/>
                <w:b w:val="1"/>
                <w:bCs w:val="1"/>
                <w:color w:val="auto"/>
              </w:rPr>
              <w:t>December 31, 2020</w:t>
            </w:r>
          </w:p>
        </w:tc>
        <w:tc>
          <w:tcPr>
            <w:tcW w:w="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3"/>
          </w:tcPr>
          <w:p>
            <w:pPr>
              <w:ind w:left="140"/>
              <w:spacing w:after="0"/>
              <w:rPr>
                <w:sz w:val="20"/>
                <w:szCs w:val="20"/>
                <w:color w:val="auto"/>
              </w:rPr>
            </w:pPr>
            <w:r>
              <w:rPr>
                <w:rFonts w:ascii="Arial" w:cs="Arial" w:eastAsia="Arial" w:hAnsi="Arial"/>
                <w:sz w:val="8"/>
                <w:szCs w:val="8"/>
                <w:b w:val="1"/>
                <w:bCs w:val="1"/>
                <w:color w:val="auto"/>
              </w:rPr>
              <w:t>December 31, 2019</w:t>
            </w: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2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8"/>
                <w:szCs w:val="8"/>
                <w:color w:val="auto"/>
              </w:rPr>
            </w:pPr>
          </w:p>
        </w:tc>
        <w:tc>
          <w:tcPr>
            <w:tcW w:w="760" w:type="dxa"/>
            <w:vAlign w:val="bottom"/>
            <w:gridSpan w:val="2"/>
          </w:tcPr>
          <w:p>
            <w:pPr>
              <w:ind w:left="6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8"/>
                <w:szCs w:val="8"/>
                <w:color w:val="auto"/>
              </w:rPr>
            </w:pPr>
          </w:p>
        </w:tc>
        <w:tc>
          <w:tcPr>
            <w:tcW w:w="700" w:type="dxa"/>
            <w:vAlign w:val="bottom"/>
            <w:gridSpan w:val="2"/>
          </w:tcPr>
          <w:p>
            <w:pPr>
              <w:ind w:left="6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8"/>
                <w:szCs w:val="8"/>
                <w:color w:val="auto"/>
              </w:rPr>
            </w:pPr>
          </w:p>
        </w:tc>
        <w:tc>
          <w:tcPr>
            <w:tcW w:w="680" w:type="dxa"/>
            <w:vAlign w:val="bottom"/>
            <w:gridSpan w:val="2"/>
          </w:tcPr>
          <w:p>
            <w:pPr>
              <w:ind w:left="4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40" w:type="dxa"/>
            <w:vAlign w:val="bottom"/>
            <w:gridSpan w:val="2"/>
          </w:tcPr>
          <w:p>
            <w:pPr>
              <w:ind w:left="40"/>
              <w:spacing w:after="0"/>
              <w:rPr>
                <w:sz w:val="20"/>
                <w:szCs w:val="20"/>
                <w:color w:val="auto"/>
              </w:rPr>
            </w:pPr>
            <w:r>
              <w:rPr>
                <w:rFonts w:ascii="Arial" w:cs="Arial" w:eastAsia="Arial" w:hAnsi="Arial"/>
                <w:sz w:val="7"/>
                <w:szCs w:val="7"/>
                <w:b w:val="1"/>
                <w:bCs w:val="1"/>
                <w:color w:val="auto"/>
              </w:rPr>
              <w:t>Cruise</w:t>
            </w:r>
          </w:p>
        </w:tc>
        <w:tc>
          <w:tcPr>
            <w:tcW w:w="120" w:type="dxa"/>
            <w:vAlign w:val="bottom"/>
          </w:tcPr>
          <w:p>
            <w:pPr>
              <w:spacing w:after="0"/>
              <w:rPr>
                <w:sz w:val="8"/>
                <w:szCs w:val="8"/>
                <w:color w:val="auto"/>
              </w:rPr>
            </w:pPr>
          </w:p>
        </w:tc>
        <w:tc>
          <w:tcPr>
            <w:tcW w:w="740" w:type="dxa"/>
            <w:vAlign w:val="bottom"/>
            <w:gridSpan w:val="2"/>
          </w:tcPr>
          <w:p>
            <w:pPr>
              <w:ind w:left="40"/>
              <w:spacing w:after="0"/>
              <w:rPr>
                <w:sz w:val="20"/>
                <w:szCs w:val="20"/>
                <w:color w:val="auto"/>
              </w:rPr>
            </w:pPr>
            <w:r>
              <w:rPr>
                <w:rFonts w:ascii="Arial" w:cs="Arial" w:eastAsia="Arial" w:hAnsi="Arial"/>
                <w:sz w:val="7"/>
                <w:szCs w:val="7"/>
                <w:b w:val="1"/>
                <w:bCs w:val="1"/>
                <w:color w:val="auto"/>
              </w:rPr>
              <w:t>GM Financial</w:t>
            </w:r>
          </w:p>
        </w:tc>
        <w:tc>
          <w:tcPr>
            <w:tcW w:w="116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20" w:type="dxa"/>
            <w:vAlign w:val="bottom"/>
          </w:tcPr>
          <w:p>
            <w:pPr>
              <w:spacing w:after="0"/>
              <w:rPr>
                <w:sz w:val="8"/>
                <w:szCs w:val="8"/>
                <w:color w:val="auto"/>
              </w:rPr>
            </w:pPr>
          </w:p>
        </w:tc>
        <w:tc>
          <w:tcPr>
            <w:tcW w:w="600" w:type="dxa"/>
            <w:vAlign w:val="bottom"/>
          </w:tcPr>
          <w:p>
            <w:pPr>
              <w:jc w:val="right"/>
              <w:ind w:right="151"/>
              <w:spacing w:after="0"/>
              <w:rPr>
                <w:sz w:val="20"/>
                <w:szCs w:val="20"/>
                <w:color w:val="auto"/>
              </w:rPr>
            </w:pPr>
            <w:r>
              <w:rPr>
                <w:rFonts w:ascii="Arial" w:cs="Arial" w:eastAsia="Arial" w:hAnsi="Arial"/>
                <w:sz w:val="7"/>
                <w:szCs w:val="7"/>
                <w:b w:val="1"/>
                <w:bCs w:val="1"/>
                <w:color w:val="auto"/>
              </w:rPr>
              <w:t>Combined</w:t>
            </w:r>
          </w:p>
        </w:tc>
        <w:tc>
          <w:tcPr>
            <w:tcW w:w="0" w:type="dxa"/>
            <w:vAlign w:val="bottom"/>
          </w:tcPr>
          <w:p>
            <w:pPr>
              <w:spacing w:after="0"/>
              <w:rPr>
                <w:sz w:val="1"/>
                <w:szCs w:val="1"/>
                <w:color w:val="auto"/>
              </w:rPr>
            </w:pPr>
          </w:p>
        </w:tc>
      </w:tr>
      <w:tr>
        <w:trPr>
          <w:trHeight w:val="113"/>
        </w:trPr>
        <w:tc>
          <w:tcPr>
            <w:tcW w:w="2800" w:type="dxa"/>
            <w:vAlign w:val="bottom"/>
          </w:tcPr>
          <w:p>
            <w:pPr>
              <w:ind w:left="1200"/>
              <w:spacing w:after="0" w:line="113" w:lineRule="exact"/>
              <w:rPr>
                <w:sz w:val="20"/>
                <w:szCs w:val="20"/>
                <w:color w:val="auto"/>
              </w:rPr>
            </w:pPr>
            <w:r>
              <w:rPr>
                <w:rFonts w:ascii="Arial" w:cs="Arial" w:eastAsia="Arial" w:hAnsi="Arial"/>
                <w:sz w:val="10"/>
                <w:szCs w:val="10"/>
                <w:b w:val="1"/>
                <w:bCs w:val="1"/>
                <w:color w:val="auto"/>
              </w:rPr>
              <w:t>ASSETS</w:t>
            </w: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5"/>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Current Assets</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14,168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5,063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19,992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3,311</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19,069</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Marketable debt securities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8,103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972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9,046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3,908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4,174</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Accounts and notes receivable, net(b)</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6,797</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GM Financial receivables, net(c)</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26,607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26,209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27,101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26,601</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Inventories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10,236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10,235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10,398</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current assets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1,884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32</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5,524</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(32)</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7,407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2,517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5,424</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7,953</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line="111" w:lineRule="exact"/>
              <w:rPr>
                <w:sz w:val="20"/>
                <w:szCs w:val="20"/>
                <w:color w:val="auto"/>
              </w:rPr>
            </w:pPr>
            <w:r>
              <w:rPr>
                <w:rFonts w:ascii="Arial" w:cs="Arial" w:eastAsia="Arial" w:hAnsi="Arial"/>
                <w:sz w:val="10"/>
                <w:szCs w:val="10"/>
                <w:color w:val="auto"/>
              </w:rPr>
              <w:t>Total current assets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42,342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1,769</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38,228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(1,414)</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80,924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36,846</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2,687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36,841</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(1,383)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74,992</w:t>
            </w: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Non-current Assets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GM Financial receivables, net(c)</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31,783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26,372</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26,355</w:t>
            </w:r>
          </w:p>
        </w:tc>
        <w:tc>
          <w:tcPr>
            <w:tcW w:w="0" w:type="dxa"/>
            <w:vAlign w:val="bottom"/>
          </w:tcPr>
          <w:p>
            <w:pPr>
              <w:spacing w:after="0"/>
              <w:rPr>
                <w:sz w:val="1"/>
                <w:szCs w:val="1"/>
                <w:color w:val="auto"/>
              </w:rPr>
            </w:pPr>
          </w:p>
        </w:tc>
      </w:tr>
      <w:tr>
        <w:trPr>
          <w:trHeight w:val="131"/>
        </w:trPr>
        <w:tc>
          <w:tcPr>
            <w:tcW w:w="2800" w:type="dxa"/>
            <w:vAlign w:val="bottom"/>
          </w:tcPr>
          <w:p>
            <w:pPr>
              <w:ind w:left="100"/>
              <w:spacing w:after="0"/>
              <w:rPr>
                <w:sz w:val="20"/>
                <w:szCs w:val="20"/>
                <w:color w:val="auto"/>
              </w:rPr>
            </w:pPr>
            <w:r>
              <w:rPr>
                <w:rFonts w:ascii="Arial" w:cs="Arial" w:eastAsia="Arial" w:hAnsi="Arial"/>
                <w:sz w:val="10"/>
                <w:szCs w:val="10"/>
                <w:color w:val="auto"/>
              </w:rPr>
              <w:t>Equity in net assets of nonconsolidated affiliates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6,825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1,581</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8,406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7,107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1,455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8,562</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Property, net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37,325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37,632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38,374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226</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38,750</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Goodwill and intangible assets, net</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3,152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735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1,343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5,230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3,348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1,355</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5,337</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Equipment on operating leases, net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39,819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42,055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42,055</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Deferred income taxes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23,853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617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24,136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24,582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345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(287)</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24,640</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Other assets</w:t>
            </w: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6,129</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382</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805</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7,264</w:t>
            </w: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6,123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863</w:t>
            </w:r>
          </w:p>
        </w:tc>
        <w:tc>
          <w:tcPr>
            <w:tcW w:w="10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7,346</w:t>
            </w:r>
          </w:p>
        </w:tc>
        <w:tc>
          <w:tcPr>
            <w:tcW w:w="0" w:type="dxa"/>
            <w:vAlign w:val="bottom"/>
          </w:tcPr>
          <w:p>
            <w:pPr>
              <w:spacing w:after="0"/>
              <w:rPr>
                <w:sz w:val="1"/>
                <w:szCs w:val="1"/>
                <w:color w:val="auto"/>
              </w:rPr>
            </w:pPr>
          </w:p>
        </w:tc>
      </w:tr>
      <w:tr>
        <w:trPr>
          <w:trHeight w:val="121"/>
        </w:trPr>
        <w:tc>
          <w:tcPr>
            <w:tcW w:w="2800" w:type="dxa"/>
            <w:vAlign w:val="bottom"/>
            <w:tcBorders>
              <w:bottom w:val="single" w:sz="8" w:color="CCEEFF"/>
            </w:tcBorders>
          </w:tcPr>
          <w:p>
            <w:pPr>
              <w:ind w:left="120"/>
              <w:spacing w:after="0" w:line="104" w:lineRule="exact"/>
              <w:rPr>
                <w:sz w:val="20"/>
                <w:szCs w:val="20"/>
                <w:color w:val="auto"/>
              </w:rPr>
            </w:pPr>
            <w:r>
              <w:rPr>
                <w:rFonts w:ascii="Arial" w:cs="Arial" w:eastAsia="Arial" w:hAnsi="Arial"/>
                <w:sz w:val="10"/>
                <w:szCs w:val="10"/>
                <w:color w:val="auto"/>
              </w:rPr>
              <w:t>Total non-current assets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77,284</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1,856</w:t>
            </w: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75,182</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154,270</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79,533</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1,542</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72,040</w:t>
            </w:r>
          </w:p>
        </w:tc>
        <w:tc>
          <w:tcPr>
            <w:tcW w:w="10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(70)</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153,045</w:t>
            </w:r>
          </w:p>
        </w:tc>
        <w:tc>
          <w:tcPr>
            <w:tcW w:w="0" w:type="dxa"/>
            <w:vAlign w:val="bottom"/>
          </w:tcPr>
          <w:p>
            <w:pPr>
              <w:spacing w:after="0"/>
              <w:rPr>
                <w:sz w:val="1"/>
                <w:szCs w:val="1"/>
                <w:color w:val="auto"/>
              </w:rPr>
            </w:pPr>
          </w:p>
        </w:tc>
      </w:tr>
      <w:tr>
        <w:trPr>
          <w:trHeight w:val="15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3,625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235,194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800"/>
              <w:spacing w:after="0"/>
              <w:rPr>
                <w:sz w:val="20"/>
                <w:szCs w:val="20"/>
                <w:color w:val="auto"/>
              </w:rPr>
            </w:pPr>
            <w:r>
              <w:rPr>
                <w:rFonts w:ascii="Arial" w:cs="Arial" w:eastAsia="Arial" w:hAnsi="Arial"/>
                <w:sz w:val="10"/>
                <w:szCs w:val="10"/>
                <w:b w:val="1"/>
                <w:bCs w:val="1"/>
                <w:color w:val="auto"/>
              </w:rPr>
              <w:t>LIABILITIES AND EQUITY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Current Liabilities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Accounts payable (principally trade)(b)</w:t>
            </w: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19,928</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93</w:t>
            </w:r>
          </w:p>
        </w:tc>
        <w:tc>
          <w:tcPr>
            <w:tcW w:w="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867</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(959)</w:t>
            </w:r>
          </w:p>
        </w:tc>
        <w:tc>
          <w:tcPr>
            <w:tcW w:w="100" w:type="dxa"/>
            <w:vAlign w:val="bottom"/>
          </w:tcPr>
          <w:p>
            <w:pPr>
              <w:spacing w:after="0"/>
              <w:rPr>
                <w:sz w:val="11"/>
                <w:szCs w:val="11"/>
                <w:color w:val="auto"/>
              </w:rPr>
            </w:pPr>
          </w:p>
        </w:tc>
        <w:tc>
          <w:tcPr>
            <w:tcW w:w="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19,928</w:t>
            </w:r>
          </w:p>
        </w:tc>
        <w:tc>
          <w:tcPr>
            <w:tcW w:w="10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0"/>
                <w:szCs w:val="10"/>
                <w:color w:val="auto"/>
              </w:rPr>
              <w:t>21,101</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0"/>
                <w:szCs w:val="10"/>
                <w:color w:val="auto"/>
              </w:rPr>
              <w:t>109</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0"/>
                <w:szCs w:val="10"/>
                <w:color w:val="auto"/>
              </w:rPr>
              <w:t>644</w:t>
            </w:r>
          </w:p>
        </w:tc>
        <w:tc>
          <w:tcPr>
            <w:tcW w:w="100" w:type="dxa"/>
            <w:vAlign w:val="bottom"/>
          </w:tcPr>
          <w:p>
            <w:pPr>
              <w:spacing w:after="0"/>
              <w:rPr>
                <w:sz w:val="11"/>
                <w:szCs w:val="11"/>
                <w:color w:val="auto"/>
              </w:rPr>
            </w:pPr>
          </w:p>
        </w:tc>
        <w:tc>
          <w:tcPr>
            <w:tcW w:w="440" w:type="dxa"/>
            <w:vAlign w:val="bottom"/>
          </w:tcPr>
          <w:p>
            <w:pPr>
              <w:ind w:left="20"/>
              <w:spacing w:after="0"/>
              <w:rPr>
                <w:sz w:val="20"/>
                <w:szCs w:val="20"/>
                <w:color w:val="auto"/>
              </w:rPr>
            </w:pPr>
            <w:r>
              <w:rPr>
                <w:rFonts w:ascii="Arial" w:cs="Arial" w:eastAsia="Arial" w:hAnsi="Arial"/>
                <w:sz w:val="10"/>
                <w:szCs w:val="10"/>
                <w:color w:val="auto"/>
              </w:rPr>
              <w:t>$</w:t>
            </w:r>
          </w:p>
        </w:tc>
        <w:tc>
          <w:tcPr>
            <w:tcW w:w="620" w:type="dxa"/>
            <w:vAlign w:val="bottom"/>
          </w:tcPr>
          <w:p>
            <w:pPr>
              <w:jc w:val="right"/>
              <w:spacing w:after="0"/>
              <w:rPr>
                <w:sz w:val="20"/>
                <w:szCs w:val="20"/>
                <w:color w:val="auto"/>
              </w:rPr>
            </w:pPr>
            <w:r>
              <w:rPr>
                <w:rFonts w:ascii="Arial" w:cs="Arial" w:eastAsia="Arial" w:hAnsi="Arial"/>
                <w:sz w:val="10"/>
                <w:szCs w:val="10"/>
                <w:color w:val="auto"/>
              </w:rPr>
              <w:t>(836)</w:t>
            </w:r>
          </w:p>
        </w:tc>
        <w:tc>
          <w:tcPr>
            <w:tcW w:w="100" w:type="dxa"/>
            <w:vAlign w:val="bottom"/>
          </w:tcPr>
          <w:p>
            <w:pPr>
              <w:spacing w:after="0"/>
              <w:rPr>
                <w:sz w:val="11"/>
                <w:szCs w:val="11"/>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0"/>
                <w:szCs w:val="10"/>
                <w:color w:val="auto"/>
              </w:rPr>
              <w:t>21,018</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Short-term debt and current portion of 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200"/>
              <w:spacing w:after="0"/>
              <w:rPr>
                <w:sz w:val="20"/>
                <w:szCs w:val="20"/>
                <w:color w:val="auto"/>
              </w:rPr>
            </w:pPr>
            <w:r>
              <w:rPr>
                <w:rFonts w:ascii="Arial" w:cs="Arial" w:eastAsia="Arial" w:hAnsi="Arial"/>
                <w:sz w:val="10"/>
                <w:szCs w:val="10"/>
                <w:color w:val="auto"/>
              </w:rPr>
              <w:t>Automotive(c)</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1,674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(398)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1,276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2,397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(500)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1,897</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0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35,637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35,503</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Accrued liabilities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18,751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133</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4,218</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23,069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22,493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3,916</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26,487</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line="111" w:lineRule="exact"/>
              <w:rPr>
                <w:sz w:val="20"/>
                <w:szCs w:val="20"/>
                <w:color w:val="auto"/>
              </w:rPr>
            </w:pPr>
            <w:r>
              <w:rPr>
                <w:rFonts w:ascii="Arial" w:cs="Arial" w:eastAsia="Arial" w:hAnsi="Arial"/>
                <w:sz w:val="10"/>
                <w:szCs w:val="10"/>
                <w:color w:val="auto"/>
              </w:rPr>
              <w:t>Total current liabilities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40,722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79,910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45,990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40,064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84,905</w:t>
            </w: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Non-current Liabilities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Long-term debt</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800" w:type="dxa"/>
            <w:vAlign w:val="bottom"/>
          </w:tcPr>
          <w:p>
            <w:pPr>
              <w:ind w:left="220"/>
              <w:spacing w:after="0"/>
              <w:rPr>
                <w:sz w:val="20"/>
                <w:szCs w:val="20"/>
                <w:color w:val="auto"/>
              </w:rPr>
            </w:pPr>
            <w:r>
              <w:rPr>
                <w:rFonts w:ascii="Arial" w:cs="Arial" w:eastAsia="Arial" w:hAnsi="Arial"/>
                <w:sz w:val="10"/>
                <w:szCs w:val="10"/>
                <w:color w:val="auto"/>
              </w:rPr>
              <w:t>Automotive(c)</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16,193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16,193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12,507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12,489</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20"/>
              <w:spacing w:after="0"/>
              <w:rPr>
                <w:sz w:val="20"/>
                <w:szCs w:val="20"/>
                <w:color w:val="auto"/>
              </w:rPr>
            </w:pPr>
            <w:r>
              <w:rPr>
                <w:rFonts w:ascii="Arial" w:cs="Arial" w:eastAsia="Arial" w:hAnsi="Arial"/>
                <w:sz w:val="10"/>
                <w:szCs w:val="10"/>
                <w:color w:val="auto"/>
              </w:rPr>
              <w:t>GM Financial</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56,788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53,435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53,435</w:t>
            </w:r>
          </w:p>
        </w:tc>
        <w:tc>
          <w:tcPr>
            <w:tcW w:w="0" w:type="dxa"/>
            <w:vAlign w:val="bottom"/>
          </w:tcPr>
          <w:p>
            <w:pPr>
              <w:spacing w:after="0"/>
              <w:rPr>
                <w:sz w:val="1"/>
                <w:szCs w:val="1"/>
                <w:color w:val="auto"/>
              </w:rPr>
            </w:pPr>
          </w:p>
        </w:tc>
      </w:tr>
      <w:tr>
        <w:trPr>
          <w:trHeight w:val="131"/>
        </w:trPr>
        <w:tc>
          <w:tcPr>
            <w:tcW w:w="2800" w:type="dxa"/>
            <w:vAlign w:val="bottom"/>
          </w:tcPr>
          <w:p>
            <w:pPr>
              <w:ind w:left="120"/>
              <w:spacing w:after="0"/>
              <w:rPr>
                <w:sz w:val="20"/>
                <w:szCs w:val="20"/>
                <w:color w:val="auto"/>
              </w:rPr>
            </w:pPr>
            <w:r>
              <w:rPr>
                <w:rFonts w:ascii="Arial" w:cs="Arial" w:eastAsia="Arial" w:hAnsi="Arial"/>
                <w:sz w:val="10"/>
                <w:szCs w:val="10"/>
                <w:color w:val="auto"/>
              </w:rPr>
              <w:t>Postretirement benefits other than pensions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6,277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6,277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5,935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5,935</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Pensions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12,897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12,170</w:t>
            </w:r>
          </w:p>
        </w:tc>
        <w:tc>
          <w:tcPr>
            <w:tcW w:w="0" w:type="dxa"/>
            <w:vAlign w:val="bottom"/>
          </w:tcPr>
          <w:p>
            <w:pPr>
              <w:spacing w:after="0"/>
              <w:rPr>
                <w:sz w:val="1"/>
                <w:szCs w:val="1"/>
                <w:color w:val="auto"/>
              </w:rPr>
            </w:pPr>
          </w:p>
        </w:tc>
      </w:tr>
      <w:tr>
        <w:trPr>
          <w:trHeight w:val="131"/>
        </w:trPr>
        <w:tc>
          <w:tcPr>
            <w:tcW w:w="2800" w:type="dxa"/>
            <w:vAlign w:val="bottom"/>
            <w:tcBorders>
              <w:bottom w:val="single" w:sz="8" w:color="CCEEFF"/>
            </w:tcBorders>
          </w:tcPr>
          <w:p>
            <w:pPr>
              <w:ind w:left="120"/>
              <w:spacing w:after="0"/>
              <w:rPr>
                <w:sz w:val="20"/>
                <w:szCs w:val="20"/>
                <w:color w:val="auto"/>
              </w:rPr>
            </w:pPr>
            <w:r>
              <w:rPr>
                <w:rFonts w:ascii="Arial" w:cs="Arial" w:eastAsia="Arial" w:hAnsi="Arial"/>
                <w:sz w:val="10"/>
                <w:szCs w:val="10"/>
                <w:color w:val="auto"/>
              </w:rPr>
              <w:t>Other liabilities</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11,151</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539</w:t>
            </w: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1,810</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13,447</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10,518</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505</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2,176</w:t>
            </w:r>
          </w:p>
        </w:tc>
        <w:tc>
          <w:tcPr>
            <w:tcW w:w="10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13,146</w:t>
            </w:r>
          </w:p>
        </w:tc>
        <w:tc>
          <w:tcPr>
            <w:tcW w:w="0" w:type="dxa"/>
            <w:vAlign w:val="bottom"/>
          </w:tcPr>
          <w:p>
            <w:pPr>
              <w:spacing w:after="0"/>
              <w:rPr>
                <w:sz w:val="1"/>
                <w:szCs w:val="1"/>
                <w:color w:val="auto"/>
              </w:rPr>
            </w:pPr>
          </w:p>
        </w:tc>
      </w:tr>
      <w:tr>
        <w:trPr>
          <w:trHeight w:val="136"/>
        </w:trPr>
        <w:tc>
          <w:tcPr>
            <w:tcW w:w="280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non-current liabilities</w:t>
            </w:r>
          </w:p>
        </w:tc>
        <w:tc>
          <w:tcPr>
            <w:tcW w:w="1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46,519</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539</w:t>
            </w: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58,602</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w:t>
            </w:r>
          </w:p>
        </w:tc>
        <w:tc>
          <w:tcPr>
            <w:tcW w:w="1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105,607</w:t>
            </w:r>
          </w:p>
        </w:tc>
        <w:tc>
          <w:tcPr>
            <w:tcW w:w="1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41,126</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505</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55,615</w:t>
            </w:r>
          </w:p>
        </w:tc>
        <w:tc>
          <w:tcPr>
            <w:tcW w:w="10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(71)</w:t>
            </w: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97,175</w:t>
            </w:r>
          </w:p>
        </w:tc>
        <w:tc>
          <w:tcPr>
            <w:tcW w:w="0" w:type="dxa"/>
            <w:vAlign w:val="bottom"/>
          </w:tcPr>
          <w:p>
            <w:pPr>
              <w:spacing w:after="0"/>
              <w:rPr>
                <w:sz w:val="1"/>
                <w:szCs w:val="1"/>
                <w:color w:val="auto"/>
              </w:rPr>
            </w:pPr>
          </w:p>
        </w:tc>
      </w:tr>
      <w:tr>
        <w:trPr>
          <w:trHeight w:val="121"/>
        </w:trPr>
        <w:tc>
          <w:tcPr>
            <w:tcW w:w="2800" w:type="dxa"/>
            <w:vAlign w:val="bottom"/>
          </w:tcPr>
          <w:p>
            <w:pPr>
              <w:ind w:left="20"/>
              <w:spacing w:after="0" w:line="110" w:lineRule="exact"/>
              <w:rPr>
                <w:sz w:val="20"/>
                <w:szCs w:val="20"/>
                <w:color w:val="auto"/>
              </w:rPr>
            </w:pPr>
            <w:r>
              <w:rPr>
                <w:rFonts w:ascii="Arial" w:cs="Arial" w:eastAsia="Arial" w:hAnsi="Arial"/>
                <w:sz w:val="10"/>
                <w:szCs w:val="10"/>
                <w:b w:val="1"/>
                <w:bCs w:val="1"/>
                <w:color w:val="auto"/>
              </w:rPr>
              <w:t>Total Liabilities</w:t>
            </w:r>
          </w:p>
        </w:tc>
        <w:tc>
          <w:tcPr>
            <w:tcW w:w="12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86,872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764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99,325</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(1,444)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185,517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87,114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697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95,679</w:t>
            </w: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(1,410)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182,080</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Commitments and contingencies</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00" w:type="dxa"/>
            <w:vAlign w:val="bottom"/>
          </w:tcPr>
          <w:p>
            <w:pPr>
              <w:ind w:left="20"/>
              <w:spacing w:after="0"/>
              <w:rPr>
                <w:sz w:val="20"/>
                <w:szCs w:val="20"/>
                <w:color w:val="auto"/>
              </w:rPr>
            </w:pPr>
            <w:r>
              <w:rPr>
                <w:rFonts w:ascii="Arial" w:cs="Arial" w:eastAsia="Arial" w:hAnsi="Arial"/>
                <w:sz w:val="10"/>
                <w:szCs w:val="10"/>
                <w:b w:val="1"/>
                <w:bCs w:val="1"/>
                <w:color w:val="auto"/>
              </w:rPr>
              <w:t>Equity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Common stock, $0.01 par value</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800" w:type="dxa"/>
            <w:vAlign w:val="bottom"/>
          </w:tcPr>
          <w:p>
            <w:pPr>
              <w:ind w:left="80"/>
              <w:spacing w:after="0"/>
              <w:rPr>
                <w:sz w:val="20"/>
                <w:szCs w:val="20"/>
                <w:color w:val="auto"/>
              </w:rPr>
            </w:pPr>
            <w:r>
              <w:rPr>
                <w:rFonts w:ascii="Arial" w:cs="Arial" w:eastAsia="Arial" w:hAnsi="Arial"/>
                <w:sz w:val="10"/>
                <w:szCs w:val="10"/>
                <w:color w:val="auto"/>
              </w:rPr>
              <w:t>Preferred stock, $0.01 par value</w:t>
            </w:r>
          </w:p>
        </w:tc>
        <w:tc>
          <w:tcPr>
            <w:tcW w:w="120" w:type="dxa"/>
            <w:vAlign w:val="bottom"/>
          </w:tcPr>
          <w:p>
            <w:pPr>
              <w:spacing w:after="0"/>
              <w:rPr>
                <w:sz w:val="11"/>
                <w:szCs w:val="11"/>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tcPr>
          <w:p>
            <w:pPr>
              <w:spacing w:after="0"/>
              <w:rPr>
                <w:sz w:val="11"/>
                <w:szCs w:val="11"/>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Additional paid-in capital(d)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26,551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1,730</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26,542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1,283</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(1,354)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26,074</w:t>
            </w:r>
          </w:p>
        </w:tc>
        <w:tc>
          <w:tcPr>
            <w:tcW w:w="0" w:type="dxa"/>
            <w:vAlign w:val="bottom"/>
          </w:tcPr>
          <w:p>
            <w:pPr>
              <w:spacing w:after="0"/>
              <w:rPr>
                <w:sz w:val="1"/>
                <w:szCs w:val="1"/>
                <w:color w:val="auto"/>
              </w:rPr>
            </w:pPr>
          </w:p>
        </w:tc>
      </w:tr>
      <w:tr>
        <w:trPr>
          <w:trHeight w:val="131"/>
        </w:trPr>
        <w:tc>
          <w:tcPr>
            <w:tcW w:w="280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20" w:type="dxa"/>
            <w:vAlign w:val="bottom"/>
          </w:tcPr>
          <w:p>
            <w:pPr>
              <w:spacing w:after="0"/>
              <w:rPr>
                <w:sz w:val="11"/>
                <w:szCs w:val="11"/>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17,444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891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13,640</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31,962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12,303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1,566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0"/>
                <w:szCs w:val="10"/>
                <w:color w:val="auto"/>
              </w:rPr>
              <w:t>13,013</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26,860</w:t>
            </w:r>
          </w:p>
        </w:tc>
        <w:tc>
          <w:tcPr>
            <w:tcW w:w="0" w:type="dxa"/>
            <w:vAlign w:val="bottom"/>
          </w:tcPr>
          <w:p>
            <w:pPr>
              <w:spacing w:after="0"/>
              <w:rPr>
                <w:sz w:val="1"/>
                <w:szCs w:val="1"/>
                <w:color w:val="auto"/>
              </w:rPr>
            </w:pPr>
          </w:p>
        </w:tc>
      </w:tr>
      <w:tr>
        <w:trPr>
          <w:trHeight w:val="138"/>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Accumulated other comprehensive loss</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(12,213)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(13,488)</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(10,062)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(11,156)</w:t>
            </w:r>
          </w:p>
        </w:tc>
        <w:tc>
          <w:tcPr>
            <w:tcW w:w="0" w:type="dxa"/>
            <w:vAlign w:val="bottom"/>
          </w:tcPr>
          <w:p>
            <w:pPr>
              <w:spacing w:after="0"/>
              <w:rPr>
                <w:sz w:val="1"/>
                <w:szCs w:val="1"/>
                <w:color w:val="auto"/>
              </w:rPr>
            </w:pPr>
          </w:p>
        </w:tc>
      </w:tr>
      <w:tr>
        <w:trPr>
          <w:trHeight w:val="129"/>
        </w:trPr>
        <w:tc>
          <w:tcPr>
            <w:tcW w:w="280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31,796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976</w:t>
            </w: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(1,829)</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45,030</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28,348</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1,617</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13,202</w:t>
            </w: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(1,376)</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41,792</w:t>
            </w:r>
          </w:p>
        </w:tc>
        <w:tc>
          <w:tcPr>
            <w:tcW w:w="0" w:type="dxa"/>
            <w:vAlign w:val="bottom"/>
          </w:tcPr>
          <w:p>
            <w:pPr>
              <w:spacing w:after="0"/>
              <w:rPr>
                <w:sz w:val="1"/>
                <w:szCs w:val="1"/>
                <w:color w:val="auto"/>
              </w:rPr>
            </w:pPr>
          </w:p>
        </w:tc>
      </w:tr>
      <w:tr>
        <w:trPr>
          <w:trHeight w:val="145"/>
        </w:trPr>
        <w:tc>
          <w:tcPr>
            <w:tcW w:w="2800" w:type="dxa"/>
            <w:vAlign w:val="bottom"/>
            <w:shd w:val="clear" w:color="auto" w:fill="CCEEFF"/>
          </w:tcPr>
          <w:p>
            <w:pPr>
              <w:ind w:left="80"/>
              <w:spacing w:after="0"/>
              <w:rPr>
                <w:sz w:val="20"/>
                <w:szCs w:val="20"/>
                <w:color w:val="auto"/>
              </w:rPr>
            </w:pPr>
            <w:r>
              <w:rPr>
                <w:rFonts w:ascii="Arial" w:cs="Arial" w:eastAsia="Arial" w:hAnsi="Arial"/>
                <w:sz w:val="10"/>
                <w:szCs w:val="10"/>
                <w:color w:val="auto"/>
              </w:rPr>
              <w:t>Noncontrolling interests(d)</w:t>
            </w: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959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1,884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1,804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4,647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4,165</w:t>
            </w:r>
          </w:p>
        </w:tc>
        <w:tc>
          <w:tcPr>
            <w:tcW w:w="0" w:type="dxa"/>
            <w:vAlign w:val="bottom"/>
          </w:tcPr>
          <w:p>
            <w:pPr>
              <w:spacing w:after="0"/>
              <w:rPr>
                <w:sz w:val="1"/>
                <w:szCs w:val="1"/>
                <w:color w:val="auto"/>
              </w:rPr>
            </w:pPr>
          </w:p>
        </w:tc>
      </w:tr>
      <w:tr>
        <w:trPr>
          <w:trHeight w:val="121"/>
        </w:trPr>
        <w:tc>
          <w:tcPr>
            <w:tcW w:w="280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b w:val="1"/>
                <w:bCs w:val="1"/>
                <w:color w:val="auto"/>
              </w:rPr>
              <w:t>Total Equity</w:t>
            </w:r>
          </w:p>
        </w:tc>
        <w:tc>
          <w:tcPr>
            <w:tcW w:w="1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32,754</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2,861</w:t>
            </w:r>
          </w:p>
        </w:tc>
        <w:tc>
          <w:tcPr>
            <w:tcW w:w="8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14,085</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(23)</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49,677</w:t>
            </w:r>
          </w:p>
        </w:tc>
        <w:tc>
          <w:tcPr>
            <w:tcW w:w="10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29,266</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3,533</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13,202</w:t>
            </w:r>
          </w:p>
        </w:tc>
        <w:tc>
          <w:tcPr>
            <w:tcW w:w="100" w:type="dxa"/>
            <w:vAlign w:val="bottom"/>
            <w:tcBorders>
              <w:bottom w:val="single" w:sz="8" w:color="CCEEFF"/>
            </w:tcBorders>
          </w:tcPr>
          <w:p>
            <w:pPr>
              <w:spacing w:after="0"/>
              <w:rPr>
                <w:sz w:val="10"/>
                <w:szCs w:val="10"/>
                <w:color w:val="auto"/>
              </w:rPr>
            </w:pPr>
          </w:p>
        </w:tc>
        <w:tc>
          <w:tcPr>
            <w:tcW w:w="44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(43)</w:t>
            </w:r>
          </w:p>
        </w:tc>
        <w:tc>
          <w:tcPr>
            <w:tcW w:w="10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45,957</w:t>
            </w:r>
          </w:p>
        </w:tc>
        <w:tc>
          <w:tcPr>
            <w:tcW w:w="0" w:type="dxa"/>
            <w:vAlign w:val="bottom"/>
          </w:tcPr>
          <w:p>
            <w:pPr>
              <w:spacing w:after="0"/>
              <w:rPr>
                <w:sz w:val="1"/>
                <w:szCs w:val="1"/>
                <w:color w:val="auto"/>
              </w:rPr>
            </w:pPr>
          </w:p>
        </w:tc>
      </w:tr>
      <w:tr>
        <w:trPr>
          <w:trHeight w:val="154"/>
        </w:trPr>
        <w:tc>
          <w:tcPr>
            <w:tcW w:w="2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119,625</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3,625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113,410</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(1,466)</w:t>
            </w:r>
          </w:p>
        </w:tc>
        <w:tc>
          <w:tcPr>
            <w:tcW w:w="1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235,194</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116,380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4,230</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108,881</w:t>
            </w:r>
          </w:p>
        </w:tc>
        <w:tc>
          <w:tcPr>
            <w:tcW w:w="1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(1,454)</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228,037</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3" w:lineRule="exact"/>
        <w:rPr>
          <w:sz w:val="20"/>
          <w:szCs w:val="20"/>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primarily include GM Financial accounts and notes receivable of $643 million offset by Automotive accounts payable and Automotive accounts receivable of $268 million offset by GM Financial accounts payable at December 31, 2020; and GM Financial accounts receivable of $678 million offset by Automotive accounts payable and Automotive accounts receivable of $78 million offset by GM Financial accounts payable at December 31, 2019.</w:t>
      </w: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Eliminations include GM Financial loan receivable of $398 million and $517 million offset by an Automotive loan payable at December 31, 2020 and 2019.</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9"/>
        </w:numPr>
        <w:rPr>
          <w:rFonts w:ascii="Arial" w:cs="Arial" w:eastAsia="Arial" w:hAnsi="Arial"/>
          <w:sz w:val="8"/>
          <w:szCs w:val="8"/>
          <w:color w:val="auto"/>
        </w:rPr>
      </w:pPr>
      <w:r>
        <w:rPr>
          <w:rFonts w:ascii="Arial" w:cs="Arial" w:eastAsia="Arial" w:hAnsi="Arial"/>
          <w:sz w:val="8"/>
          <w:szCs w:val="8"/>
          <w:color w:val="auto"/>
        </w:rPr>
        <w:t>Primarily reclassification of GM Financial Cumulative Perpetual Preferred Stock, Series A, B and C. The preferred stock is classified as noncontrolling interests in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80"/>
          </w:cols>
          <w:pgMar w:left="300" w:top="316"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3"/>
          <w:szCs w:val="13"/>
          <w:b w:val="1"/>
          <w:bCs w:val="1"/>
          <w:color w:val="auto"/>
        </w:rPr>
        <w:t>General Motors Company and Subsidiaries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Combining Cash Flow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millions) (Unaudited)(a)</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98"/>
        </w:trPr>
        <w:tc>
          <w:tcPr>
            <w:tcW w:w="3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gridSpan w:val="5"/>
          </w:tcPr>
          <w:p>
            <w:pPr>
              <w:ind w:left="100"/>
              <w:spacing w:after="0"/>
              <w:rPr>
                <w:sz w:val="20"/>
                <w:szCs w:val="20"/>
                <w:color w:val="auto"/>
              </w:rPr>
            </w:pPr>
            <w:r>
              <w:rPr>
                <w:rFonts w:ascii="Arial" w:cs="Arial" w:eastAsia="Arial" w:hAnsi="Arial"/>
                <w:sz w:val="7"/>
                <w:szCs w:val="7"/>
                <w:b w:val="1"/>
                <w:bCs w:val="1"/>
                <w:color w:val="auto"/>
              </w:rPr>
              <w:t>Year Ended December 31, 2020</w:t>
            </w: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gridSpan w:val="4"/>
          </w:tcPr>
          <w:p>
            <w:pPr>
              <w:ind w:left="60"/>
              <w:spacing w:after="0"/>
              <w:rPr>
                <w:sz w:val="20"/>
                <w:szCs w:val="20"/>
                <w:color w:val="auto"/>
              </w:rPr>
            </w:pPr>
            <w:r>
              <w:rPr>
                <w:rFonts w:ascii="Arial" w:cs="Arial" w:eastAsia="Arial" w:hAnsi="Arial"/>
                <w:sz w:val="7"/>
                <w:szCs w:val="7"/>
                <w:b w:val="1"/>
                <w:bCs w:val="1"/>
                <w:color w:val="auto"/>
              </w:rPr>
              <w:t>Year Ended December 31, 2019</w:t>
            </w:r>
          </w:p>
        </w:tc>
        <w:tc>
          <w:tcPr>
            <w:tcW w:w="5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r>
      <w:tr>
        <w:trPr>
          <w:trHeight w:val="93"/>
        </w:trPr>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ind w:left="6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440" w:type="dxa"/>
            <w:vAlign w:val="bottom"/>
          </w:tcPr>
          <w:p>
            <w:pPr>
              <w:jc w:val="right"/>
              <w:ind w:right="111"/>
              <w:spacing w:after="0"/>
              <w:rPr>
                <w:sz w:val="20"/>
                <w:szCs w:val="20"/>
                <w:color w:val="auto"/>
              </w:rPr>
            </w:pPr>
            <w:r>
              <w:rPr>
                <w:rFonts w:ascii="Arial" w:cs="Arial" w:eastAsia="Arial" w:hAnsi="Arial"/>
                <w:sz w:val="7"/>
                <w:szCs w:val="7"/>
                <w:b w:val="1"/>
                <w:bCs w:val="1"/>
                <w:color w:val="auto"/>
              </w:rPr>
              <w:t>Cruise</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spacing w:after="0"/>
              <w:rPr>
                <w:sz w:val="20"/>
                <w:szCs w:val="20"/>
                <w:color w:val="auto"/>
              </w:rPr>
            </w:pPr>
            <w:r>
              <w:rPr>
                <w:rFonts w:ascii="Arial" w:cs="Arial" w:eastAsia="Arial" w:hAnsi="Arial"/>
                <w:sz w:val="7"/>
                <w:szCs w:val="7"/>
                <w:b w:val="1"/>
                <w:bCs w:val="1"/>
                <w:color w:val="auto"/>
              </w:rPr>
              <w:t>Reclassifications/Eliminations</w:t>
            </w:r>
          </w:p>
        </w:tc>
        <w:tc>
          <w:tcPr>
            <w:tcW w:w="100" w:type="dxa"/>
            <w:vAlign w:val="bottom"/>
          </w:tcPr>
          <w:p>
            <w:pPr>
              <w:spacing w:after="0"/>
              <w:rPr>
                <w:sz w:val="8"/>
                <w:szCs w:val="8"/>
                <w:color w:val="auto"/>
              </w:rPr>
            </w:pPr>
          </w:p>
        </w:tc>
        <w:tc>
          <w:tcPr>
            <w:tcW w:w="620" w:type="dxa"/>
            <w:vAlign w:val="bottom"/>
            <w:gridSpan w:val="2"/>
          </w:tcPr>
          <w:p>
            <w:pPr>
              <w:ind w:left="40"/>
              <w:spacing w:after="0"/>
              <w:rPr>
                <w:sz w:val="20"/>
                <w:szCs w:val="20"/>
                <w:color w:val="auto"/>
              </w:rPr>
            </w:pPr>
            <w:r>
              <w:rPr>
                <w:rFonts w:ascii="Arial" w:cs="Arial" w:eastAsia="Arial" w:hAnsi="Arial"/>
                <w:sz w:val="7"/>
                <w:szCs w:val="7"/>
                <w:b w:val="1"/>
                <w:bCs w:val="1"/>
                <w:color w:val="auto"/>
              </w:rPr>
              <w:t>Combined</w:t>
            </w:r>
          </w:p>
        </w:tc>
        <w:tc>
          <w:tcPr>
            <w:tcW w:w="100" w:type="dxa"/>
            <w:vAlign w:val="bottom"/>
          </w:tcPr>
          <w:p>
            <w:pPr>
              <w:spacing w:after="0"/>
              <w:rPr>
                <w:sz w:val="8"/>
                <w:szCs w:val="8"/>
                <w:color w:val="auto"/>
              </w:rPr>
            </w:pPr>
          </w:p>
        </w:tc>
        <w:tc>
          <w:tcPr>
            <w:tcW w:w="680" w:type="dxa"/>
            <w:vAlign w:val="bottom"/>
            <w:gridSpan w:val="2"/>
          </w:tcPr>
          <w:p>
            <w:pPr>
              <w:ind w:left="60"/>
              <w:spacing w:after="0"/>
              <w:rPr>
                <w:sz w:val="20"/>
                <w:szCs w:val="20"/>
                <w:color w:val="auto"/>
              </w:rPr>
            </w:pPr>
            <w:r>
              <w:rPr>
                <w:rFonts w:ascii="Arial" w:cs="Arial" w:eastAsia="Arial" w:hAnsi="Arial"/>
                <w:sz w:val="7"/>
                <w:szCs w:val="7"/>
                <w:b w:val="1"/>
                <w:bCs w:val="1"/>
                <w:color w:val="auto"/>
              </w:rPr>
              <w:t>Automotive</w:t>
            </w:r>
          </w:p>
        </w:tc>
        <w:tc>
          <w:tcPr>
            <w:tcW w:w="120" w:type="dxa"/>
            <w:vAlign w:val="bottom"/>
          </w:tcPr>
          <w:p>
            <w:pPr>
              <w:spacing w:after="0"/>
              <w:rPr>
                <w:sz w:val="8"/>
                <w:szCs w:val="8"/>
                <w:color w:val="auto"/>
              </w:rPr>
            </w:pPr>
          </w:p>
        </w:tc>
        <w:tc>
          <w:tcPr>
            <w:tcW w:w="540" w:type="dxa"/>
            <w:vAlign w:val="bottom"/>
            <w:gridSpan w:val="2"/>
          </w:tcPr>
          <w:p>
            <w:pPr>
              <w:ind w:left="60"/>
              <w:spacing w:after="0"/>
              <w:rPr>
                <w:sz w:val="20"/>
                <w:szCs w:val="20"/>
                <w:color w:val="auto"/>
              </w:rPr>
            </w:pPr>
            <w:r>
              <w:rPr>
                <w:rFonts w:ascii="Arial" w:cs="Arial" w:eastAsia="Arial" w:hAnsi="Arial"/>
                <w:sz w:val="7"/>
                <w:szCs w:val="7"/>
                <w:b w:val="1"/>
                <w:bCs w:val="1"/>
                <w:color w:val="auto"/>
              </w:rPr>
              <w:t>Cruise</w:t>
            </w:r>
          </w:p>
        </w:tc>
        <w:tc>
          <w:tcPr>
            <w:tcW w:w="80" w:type="dxa"/>
            <w:vAlign w:val="bottom"/>
          </w:tcPr>
          <w:p>
            <w:pPr>
              <w:spacing w:after="0"/>
              <w:rPr>
                <w:sz w:val="8"/>
                <w:szCs w:val="8"/>
                <w:color w:val="auto"/>
              </w:rPr>
            </w:pPr>
          </w:p>
        </w:tc>
        <w:tc>
          <w:tcPr>
            <w:tcW w:w="640" w:type="dxa"/>
            <w:vAlign w:val="bottom"/>
            <w:gridSpan w:val="2"/>
          </w:tcPr>
          <w:p>
            <w:pPr>
              <w:ind w:left="20"/>
              <w:spacing w:after="0"/>
              <w:rPr>
                <w:sz w:val="20"/>
                <w:szCs w:val="20"/>
                <w:color w:val="auto"/>
              </w:rPr>
            </w:pPr>
            <w:r>
              <w:rPr>
                <w:rFonts w:ascii="Arial" w:cs="Arial" w:eastAsia="Arial" w:hAnsi="Arial"/>
                <w:sz w:val="7"/>
                <w:szCs w:val="7"/>
                <w:b w:val="1"/>
                <w:bCs w:val="1"/>
                <w:color w:val="auto"/>
              </w:rPr>
              <w:t>GM Financial</w:t>
            </w:r>
          </w:p>
        </w:tc>
        <w:tc>
          <w:tcPr>
            <w:tcW w:w="1140" w:type="dxa"/>
            <w:vAlign w:val="bottom"/>
            <w:gridSpan w:val="3"/>
          </w:tcPr>
          <w:p>
            <w:pPr>
              <w:ind w:left="20"/>
              <w:spacing w:after="0"/>
              <w:rPr>
                <w:sz w:val="20"/>
                <w:szCs w:val="20"/>
                <w:color w:val="auto"/>
              </w:rPr>
            </w:pPr>
            <w:r>
              <w:rPr>
                <w:rFonts w:ascii="Arial" w:cs="Arial" w:eastAsia="Arial" w:hAnsi="Arial"/>
                <w:sz w:val="7"/>
                <w:szCs w:val="7"/>
                <w:b w:val="1"/>
                <w:bCs w:val="1"/>
                <w:color w:val="auto"/>
              </w:rPr>
              <w:t>Reclassifications/Eliminations</w:t>
            </w:r>
          </w:p>
        </w:tc>
        <w:tc>
          <w:tcPr>
            <w:tcW w:w="140" w:type="dxa"/>
            <w:vAlign w:val="bottom"/>
          </w:tcPr>
          <w:p>
            <w:pPr>
              <w:spacing w:after="0"/>
              <w:rPr>
                <w:sz w:val="8"/>
                <w:szCs w:val="8"/>
                <w:color w:val="auto"/>
              </w:rPr>
            </w:pPr>
          </w:p>
        </w:tc>
        <w:tc>
          <w:tcPr>
            <w:tcW w:w="600" w:type="dxa"/>
            <w:vAlign w:val="bottom"/>
          </w:tcPr>
          <w:p>
            <w:pPr>
              <w:jc w:val="right"/>
              <w:ind w:right="151"/>
              <w:spacing w:after="0"/>
              <w:rPr>
                <w:sz w:val="20"/>
                <w:szCs w:val="20"/>
                <w:color w:val="auto"/>
              </w:rPr>
            </w:pPr>
            <w:r>
              <w:rPr>
                <w:rFonts w:ascii="Arial" w:cs="Arial" w:eastAsia="Arial" w:hAnsi="Arial"/>
                <w:sz w:val="7"/>
                <w:szCs w:val="7"/>
                <w:b w:val="1"/>
                <w:bCs w:val="1"/>
                <w:color w:val="auto"/>
              </w:rPr>
              <w:t>Combined</w:t>
            </w:r>
          </w:p>
        </w:tc>
      </w:tr>
      <w:tr>
        <w:trPr>
          <w:trHeight w:val="120"/>
        </w:trPr>
        <w:tc>
          <w:tcPr>
            <w:tcW w:w="3180" w:type="dxa"/>
            <w:vAlign w:val="bottom"/>
          </w:tcPr>
          <w:p>
            <w:pPr>
              <w:ind w:left="20"/>
              <w:spacing w:after="0" w:line="113" w:lineRule="exact"/>
              <w:rPr>
                <w:sz w:val="20"/>
                <w:szCs w:val="20"/>
                <w:color w:val="auto"/>
              </w:rPr>
            </w:pPr>
            <w:r>
              <w:rPr>
                <w:rFonts w:ascii="Arial" w:cs="Arial" w:eastAsia="Arial" w:hAnsi="Arial"/>
                <w:sz w:val="10"/>
                <w:szCs w:val="10"/>
                <w:b w:val="1"/>
                <w:bCs w:val="1"/>
                <w:color w:val="auto"/>
              </w:rPr>
              <w:t>Cash flows from operating activities</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2,020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6,321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5,844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6,667</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Depreciation and impairment of Equipment on operating leases, net</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7,175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7,178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7,277</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7,332</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Depreciation, amortization and impairment charges on Property,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5,504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5,637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6,656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6,786</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Foreign currency remeasurement and transaction (gains) losses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(78)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(85)</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Undistributed earnings of nonconsolidated affiliates,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578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585</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Pension contributions and OPEB payments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(851)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(851)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(985)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(985)</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Pension and OPEB income, net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(484)</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Provision (benefit) for deferred taxes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863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334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925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(283)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(274)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424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(133)</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Change in other operating assets and liabilities(b)(c)</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(3,908)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668</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2,816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(3,789)</w:t>
            </w:r>
          </w:p>
        </w:tc>
      </w:tr>
      <w:tr>
        <w:trPr>
          <w:trHeight w:val="131"/>
        </w:trPr>
        <w:tc>
          <w:tcPr>
            <w:tcW w:w="3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operating activities(d)</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912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11</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(2,229)</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(796)</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1,050</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(1,602)</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(437)</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(873)</w:t>
            </w:r>
          </w:p>
        </w:tc>
      </w:tr>
      <w:tr>
        <w:trPr>
          <w:trHeight w:val="13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operating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7,979</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2,021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16,670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7,392</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8,069</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313</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15,021</w:t>
            </w:r>
          </w:p>
        </w:tc>
      </w:tr>
      <w:tr>
        <w:trPr>
          <w:trHeight w:val="134"/>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Cash flows from investing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Expenditures for property</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(7,485)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(47)</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(7,592)</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Available-for-sale marketable securities, acquisitions</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(13,190)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(3,014)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(16,204)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(2,756)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(1,319)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(4,075)</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Available-for-sale marketable securities, liquidations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9,598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2,368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11,941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5,203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6,265</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Purchases of finance receivables, net(b)(c)</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(30,215)</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125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(30,090)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(25,328)</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790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(24,538)</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Principal collections and recoveries on finance receivables(b)(c)</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22,785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19,726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23,526</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(1,521)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22,005</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Purchases of leased vehicles, net</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(15,233)</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(15,233)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(16,404)</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(16,404)</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termination of leased vehicles</w:t>
            </w: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13,399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13,399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13,302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13,302</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rPr>
              <w:t>Other investing activities(e)</w:t>
            </w: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(71)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18</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jc w:val="right"/>
              <w:ind w:right="11"/>
              <w:spacing w:after="0"/>
              <w:rPr>
                <w:sz w:val="20"/>
                <w:szCs w:val="20"/>
                <w:color w:val="auto"/>
              </w:rPr>
            </w:pPr>
            <w:r>
              <w:rPr>
                <w:rFonts w:ascii="Arial" w:cs="Arial" w:eastAsia="Arial" w:hAnsi="Arial"/>
                <w:sz w:val="10"/>
                <w:szCs w:val="10"/>
                <w:color w:val="auto"/>
              </w:rPr>
              <w:t>680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138</w:t>
            </w:r>
          </w:p>
        </w:tc>
      </w:tr>
      <w:tr>
        <w:trPr>
          <w:trHeight w:val="136"/>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rPr>
              <w:t>Net cash used in investing activities</w:t>
            </w: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(8,778)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(733)</w:t>
            </w: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(9,280)</w:t>
            </w:r>
          </w:p>
        </w:tc>
        <w:tc>
          <w:tcPr>
            <w:tcW w:w="1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(3,036)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(21,826)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(5,578)</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(268)</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(4,954)</w:t>
            </w:r>
          </w:p>
        </w:tc>
        <w:tc>
          <w:tcPr>
            <w:tcW w:w="1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(10,899)</w:t>
            </w:r>
          </w:p>
        </w:tc>
      </w:tr>
      <w:tr>
        <w:trPr>
          <w:trHeight w:val="134"/>
        </w:trPr>
        <w:tc>
          <w:tcPr>
            <w:tcW w:w="3180" w:type="dxa"/>
            <w:vAlign w:val="bottom"/>
          </w:tcPr>
          <w:p>
            <w:pPr>
              <w:ind w:left="20"/>
              <w:spacing w:after="0"/>
              <w:rPr>
                <w:sz w:val="20"/>
                <w:szCs w:val="20"/>
                <w:color w:val="auto"/>
              </w:rPr>
            </w:pPr>
            <w:r>
              <w:rPr>
                <w:rFonts w:ascii="Arial" w:cs="Arial" w:eastAsia="Arial" w:hAnsi="Arial"/>
                <w:sz w:val="10"/>
                <w:szCs w:val="10"/>
                <w:b w:val="1"/>
                <w:bCs w:val="1"/>
                <w:color w:val="auto"/>
              </w:rPr>
              <w:t>Cash flows from financing activities</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Net increase (decrease) in short-term debt</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273</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(304)</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(312)</w:t>
            </w:r>
          </w:p>
        </w:tc>
      </w:tr>
      <w:tr>
        <w:trPr>
          <w:trHeight w:val="101"/>
        </w:trPr>
        <w:tc>
          <w:tcPr>
            <w:tcW w:w="3180" w:type="dxa"/>
            <w:vAlign w:val="bottom"/>
          </w:tcPr>
          <w:p>
            <w:pPr>
              <w:ind w:left="100"/>
              <w:spacing w:after="0" w:line="102" w:lineRule="exact"/>
              <w:rPr>
                <w:sz w:val="20"/>
                <w:szCs w:val="20"/>
                <w:color w:val="auto"/>
              </w:rPr>
            </w:pPr>
            <w:r>
              <w:rPr>
                <w:rFonts w:ascii="Arial" w:cs="Arial" w:eastAsia="Arial" w:hAnsi="Arial"/>
                <w:sz w:val="10"/>
                <w:szCs w:val="10"/>
                <w:color w:val="auto"/>
                <w:w w:val="99"/>
              </w:rPr>
              <w:t>Proceeds from issuance of debt (original maturities greater than three</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5"/>
        </w:trPr>
        <w:tc>
          <w:tcPr>
            <w:tcW w:w="3180" w:type="dxa"/>
            <w:vAlign w:val="bottom"/>
          </w:tcPr>
          <w:p>
            <w:pPr>
              <w:ind w:left="240"/>
              <w:spacing w:after="0"/>
              <w:rPr>
                <w:sz w:val="20"/>
                <w:szCs w:val="20"/>
                <w:color w:val="auto"/>
              </w:rPr>
            </w:pPr>
            <w:r>
              <w:rPr>
                <w:rFonts w:ascii="Arial" w:cs="Arial" w:eastAsia="Arial" w:hAnsi="Arial"/>
                <w:sz w:val="10"/>
                <w:szCs w:val="10"/>
                <w:color w:val="auto"/>
              </w:rPr>
              <w:t>months)</w:t>
            </w: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21,362</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57,165</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78,527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1,403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35,535</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36,937</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Payments on debt (original maturities greater than three months)</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(18,364)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(54,470)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(72,663)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(1,075)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(38,082)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(39,156)</w:t>
            </w:r>
          </w:p>
        </w:tc>
      </w:tr>
      <w:tr>
        <w:trPr>
          <w:trHeight w:val="131"/>
        </w:trPr>
        <w:tc>
          <w:tcPr>
            <w:tcW w:w="3180" w:type="dxa"/>
            <w:vAlign w:val="bottom"/>
          </w:tcPr>
          <w:p>
            <w:pPr>
              <w:ind w:left="100"/>
              <w:spacing w:after="0"/>
              <w:rPr>
                <w:sz w:val="20"/>
                <w:szCs w:val="20"/>
                <w:color w:val="auto"/>
              </w:rPr>
            </w:pPr>
            <w:r>
              <w:rPr>
                <w:rFonts w:ascii="Arial" w:cs="Arial" w:eastAsia="Arial" w:hAnsi="Arial"/>
                <w:sz w:val="10"/>
                <w:szCs w:val="10"/>
                <w:color w:val="auto"/>
                <w:w w:val="99"/>
              </w:rPr>
              <w:t>Proceeds from issuance of subsidiary preferred and common stock(e)</w:t>
            </w: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11"/>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492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0"/>
                <w:szCs w:val="10"/>
                <w:color w:val="auto"/>
              </w:rPr>
              <w:t>1,150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(693)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jc w:val="right"/>
              <w:ind w:right="11"/>
              <w:spacing w:after="0"/>
              <w:rPr>
                <w:sz w:val="20"/>
                <w:szCs w:val="20"/>
                <w:color w:val="auto"/>
              </w:rPr>
            </w:pPr>
            <w:r>
              <w:rPr>
                <w:rFonts w:ascii="Arial" w:cs="Arial" w:eastAsia="Arial" w:hAnsi="Arial"/>
                <w:sz w:val="10"/>
                <w:szCs w:val="10"/>
                <w:color w:val="auto"/>
              </w:rPr>
              <w:t>457</w:t>
            </w:r>
          </w:p>
        </w:tc>
      </w:tr>
      <w:tr>
        <w:trPr>
          <w:trHeight w:val="145"/>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rPr>
              <w:t>Dividends paid(d)</w:t>
            </w: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(890)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(669)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(491)</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(2,350)</w:t>
            </w:r>
          </w:p>
        </w:tc>
      </w:tr>
      <w:tr>
        <w:trPr>
          <w:trHeight w:val="131"/>
        </w:trPr>
        <w:tc>
          <w:tcPr>
            <w:tcW w:w="318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Other financing activities</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(316)</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26</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(162)</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(412)</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(209)</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(116)</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(253)</w:t>
            </w:r>
          </w:p>
        </w:tc>
      </w:tr>
      <w:tr>
        <w:trPr>
          <w:trHeight w:val="136"/>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Net cash provided by (used in) financing activities</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2,408</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5,552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1,084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(3,458)</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(4,677)</w:t>
            </w:r>
          </w:p>
        </w:tc>
      </w:tr>
      <w:tr>
        <w:trPr>
          <w:trHeight w:val="101"/>
        </w:trPr>
        <w:tc>
          <w:tcPr>
            <w:tcW w:w="3180" w:type="dxa"/>
            <w:vAlign w:val="bottom"/>
          </w:tcPr>
          <w:p>
            <w:pPr>
              <w:ind w:left="100"/>
              <w:spacing w:after="0" w:line="102" w:lineRule="exact"/>
              <w:rPr>
                <w:sz w:val="20"/>
                <w:szCs w:val="20"/>
                <w:color w:val="auto"/>
              </w:rPr>
            </w:pPr>
            <w:r>
              <w:rPr>
                <w:rFonts w:ascii="Arial" w:cs="Arial" w:eastAsia="Arial" w:hAnsi="Arial"/>
                <w:sz w:val="10"/>
                <w:szCs w:val="10"/>
                <w:color w:val="auto"/>
              </w:rPr>
              <w:t>Effect of exchange rate changes on cash, cash equivalents and</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25"/>
        </w:trPr>
        <w:tc>
          <w:tcPr>
            <w:tcW w:w="3180" w:type="dxa"/>
            <w:vAlign w:val="bottom"/>
            <w:tcBorders>
              <w:bottom w:val="single" w:sz="8" w:color="CCEEFF"/>
            </w:tcBorders>
          </w:tcPr>
          <w:p>
            <w:pPr>
              <w:ind w:left="240"/>
              <w:spacing w:after="0"/>
              <w:rPr>
                <w:sz w:val="20"/>
                <w:szCs w:val="20"/>
                <w:color w:val="auto"/>
              </w:rPr>
            </w:pPr>
            <w:r>
              <w:rPr>
                <w:rFonts w:ascii="Arial" w:cs="Arial" w:eastAsia="Arial" w:hAnsi="Arial"/>
                <w:sz w:val="10"/>
                <w:szCs w:val="10"/>
                <w:color w:val="auto"/>
              </w:rPr>
              <w:t>restricted cash</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(139)</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(222)</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w:t>
            </w:r>
          </w:p>
        </w:tc>
        <w:tc>
          <w:tcPr>
            <w:tcW w:w="1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w:t>
            </w:r>
          </w:p>
        </w:tc>
      </w:tr>
      <w:tr>
        <w:trPr>
          <w:trHeight w:val="136"/>
        </w:trPr>
        <w:tc>
          <w:tcPr>
            <w:tcW w:w="3180" w:type="dxa"/>
            <w:vAlign w:val="bottom"/>
            <w:shd w:val="clear" w:color="auto" w:fill="CCEEFF"/>
          </w:tcPr>
          <w:p>
            <w:pPr>
              <w:ind w:left="100"/>
              <w:spacing w:after="0"/>
              <w:rPr>
                <w:sz w:val="20"/>
                <w:szCs w:val="20"/>
                <w:color w:val="auto"/>
              </w:rPr>
            </w:pPr>
            <w:r>
              <w:rPr>
                <w:rFonts w:ascii="Arial" w:cs="Arial" w:eastAsia="Arial" w:hAnsi="Arial"/>
                <w:sz w:val="10"/>
                <w:szCs w:val="10"/>
                <w:color w:val="auto"/>
                <w:w w:val="99"/>
              </w:rPr>
              <w:t>Net increase (decrease) in cash, cash equivalents and restricted cash</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(1,588)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1,024</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(553)</w:t>
            </w:r>
          </w:p>
        </w:tc>
      </w:tr>
      <w:tr>
        <w:trPr>
          <w:trHeight w:val="131"/>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cash equivalents and restricted cash at beginning of period</w:t>
            </w: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13,487</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2,355</w:t>
            </w: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7,102</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22,943</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13,762</w:t>
            </w: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2,291</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7,443</w:t>
            </w:r>
          </w:p>
        </w:tc>
        <w:tc>
          <w:tcPr>
            <w:tcW w:w="100" w:type="dxa"/>
            <w:vAlign w:val="bottom"/>
            <w:tcBorders>
              <w:bottom w:val="single" w:sz="8" w:color="CCEEFF"/>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23,496</w:t>
            </w:r>
          </w:p>
        </w:tc>
      </w:tr>
      <w:tr>
        <w:trPr>
          <w:trHeight w:val="149"/>
        </w:trPr>
        <w:tc>
          <w:tcPr>
            <w:tcW w:w="318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Cash, cash equivalents and restricted cash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14,225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8,126</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13,487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2,355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7,102</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22,943</w:t>
            </w: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8"/>
          <w:szCs w:val="8"/>
          <w:color w:val="auto"/>
        </w:rPr>
        <w:t>_________</w:t>
      </w:r>
    </w:p>
    <w:p>
      <w:pPr>
        <w:spacing w:after="0" w:line="8" w:lineRule="exact"/>
        <w:rPr>
          <w:sz w:val="20"/>
          <w:szCs w:val="20"/>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Amounts may not sum due to rounding.</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Includes reclassifications of $2.7 billion and $663 million in the years ended December 31, 2020 and 2019 for purchases/collections of wholesale finance receivables resulting from vehicles sold by GM to dealers that have arranged their inventory floor plan financing through GM Financial.</w:t>
      </w:r>
    </w:p>
    <w:p>
      <w:pPr>
        <w:spacing w:after="0" w:line="3" w:lineRule="exact"/>
        <w:rPr>
          <w:rFonts w:ascii="Arial" w:cs="Arial" w:eastAsia="Arial" w:hAnsi="Arial"/>
          <w:sz w:val="8"/>
          <w:szCs w:val="8"/>
          <w:color w:val="auto"/>
        </w:rPr>
      </w:pPr>
    </w:p>
    <w:p>
      <w:pPr>
        <w:ind w:left="260" w:hanging="255"/>
        <w:spacing w:after="0" w:line="249" w:lineRule="auto"/>
        <w:tabs>
          <w:tab w:leader="none" w:pos="257"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$125 million and $790 million in Purchases of finance receivables, net in the years ended December 31, 2020 and 2019 and $315 million and $858 million in Principal collections and recoveries on finance receivables in the years ended December 31, 2020 and 2019 primarily related to the re-timing of cash receipts and payments between Automotive and GM Financial.</w:t>
      </w: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dividends issued by GM Financial to Automotive.</w:t>
      </w:r>
    </w:p>
    <w:p>
      <w:pPr>
        <w:spacing w:after="0" w:line="3" w:lineRule="exact"/>
        <w:rPr>
          <w:rFonts w:ascii="Arial" w:cs="Arial" w:eastAsia="Arial" w:hAnsi="Arial"/>
          <w:sz w:val="8"/>
          <w:szCs w:val="8"/>
          <w:color w:val="auto"/>
        </w:rPr>
      </w:pPr>
    </w:p>
    <w:p>
      <w:pPr>
        <w:ind w:left="260" w:hanging="255"/>
        <w:spacing w:after="0"/>
        <w:tabs>
          <w:tab w:leader="none" w:pos="260" w:val="left"/>
        </w:tabs>
        <w:numPr>
          <w:ilvl w:val="0"/>
          <w:numId w:val="10"/>
        </w:numPr>
        <w:rPr>
          <w:rFonts w:ascii="Arial" w:cs="Arial" w:eastAsia="Arial" w:hAnsi="Arial"/>
          <w:sz w:val="8"/>
          <w:szCs w:val="8"/>
          <w:color w:val="auto"/>
        </w:rPr>
      </w:pPr>
      <w:r>
        <w:rPr>
          <w:rFonts w:ascii="Arial" w:cs="Arial" w:eastAsia="Arial" w:hAnsi="Arial"/>
          <w:sz w:val="8"/>
          <w:szCs w:val="8"/>
          <w:color w:val="auto"/>
        </w:rPr>
        <w:t>Eliminations include $680 million in the year ended December 31, 2019 primarily for Automotive cash injections in Cruise, inclusive of our investment of $687 million in Cruise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500"/>
        <w:spacing w:after="0"/>
        <w:rPr>
          <w:sz w:val="20"/>
          <w:szCs w:val="20"/>
          <w:color w:val="auto"/>
        </w:rPr>
      </w:pPr>
      <w:r>
        <w:rPr>
          <w:rFonts w:ascii="Arial" w:cs="Arial" w:eastAsia="Arial" w:hAnsi="Arial"/>
          <w:sz w:val="13"/>
          <w:szCs w:val="13"/>
          <w:color w:val="auto"/>
        </w:rPr>
        <w:t>13</w:t>
      </w:r>
    </w:p>
    <w:sectPr>
      <w:pgSz w:w="11900" w:h="16838" w:orient="portrait"/>
      <w:cols w:equalWidth="0" w:num="1">
        <w:col w:w="11280"/>
      </w:cols>
      <w:pgMar w:left="300" w:top="3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2021-02-10T08:27:06Z</dcterms:created>
  <dcterms:modified xsi:type="dcterms:W3CDTF">2021-02-10T08:27:06Z</dcterms:modified>
</cp:coreProperties>
</file>