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5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6"/>
                </w:rPr>
                <w:t>Carlisle Stephen K.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spacing w:after="0" w:line="83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GM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Executive Vice 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300 RENAISSANCE CENTER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M/C: 482-C24-A68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49.46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02/08/2022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86,062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w w:val="99"/>
              </w:rPr>
              <w:t>02/08/2032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86,062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86,062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(Right to Buy)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1. These Stock Options were granted on February 8, 2022. One-third will vest on February 8, 2023; one-third will vest on February 8, 2024; and one-third will vest on February 8, 2025.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ind w:left="662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 xml:space="preserve">/s/ Tia Y. Turk, Attorney-in-Fact for Mr. </w:t>
      </w:r>
      <w:r>
        <w:rPr>
          <w:rFonts w:ascii="Arial" w:cs="Arial" w:eastAsia="Arial" w:hAnsi="Arial"/>
          <w:sz w:val="26"/>
          <w:szCs w:val="26"/>
          <w:color w:val="0000FF"/>
          <w:vertAlign w:val="subscript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7223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2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Carlisle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26606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779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2022-02-11T23:44:17Z</dcterms:created>
  <dcterms:modified xsi:type="dcterms:W3CDTF">2022-02-11T23:44:17Z</dcterms:modified>
</cp:coreProperties>
</file>