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6997065" cy="5060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Anderson Sterling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700" w:firstLine="10"/>
        <w:spacing w:after="0" w:line="247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Exective Vice President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ind w:right="238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21,989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22,237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9,515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40,107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40,107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21,989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21,989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43,978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-2075815</wp:posOffset>
            </wp:positionV>
            <wp:extent cx="28575" cy="2080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3, 2027, one-third will vest on February 3, 2028, and one-third will vest on February 3, 2029.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hanging="2"/>
        <w:spacing w:after="0" w:line="244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July 29, 2025. One-third of the RSUs vested on February 4, 2026, and the remaining two-thirds will vest on February 4, 2027 and February 4, 2028.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21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18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894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2026-02-05T15:50:37Z</dcterms:created>
  <dcterms:modified xsi:type="dcterms:W3CDTF">2026-02-05T15:50:37Z</dcterms:modified>
</cp:coreProperties>
</file>