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November 4, 2014 to the Prospectus dated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30, 2014. Registration Statement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 333-195601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as of November 4, 2014</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GENERAL MOTORS COMPANY</w:t>
      </w:r>
    </w:p>
    <w:p>
      <w:pPr>
        <w:spacing w:after="0" w:line="11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4.000% Senior Notes due 2025</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5.000% Senior Notes due 2035</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5.200% Senior Notes due 2045</w:t>
      </w:r>
    </w:p>
    <w:p>
      <w:pPr>
        <w:spacing w:after="0" w:line="211" w:lineRule="exact"/>
        <w:rPr>
          <w:sz w:val="24"/>
          <w:szCs w:val="24"/>
          <w:color w:val="auto"/>
        </w:rPr>
      </w:pPr>
    </w:p>
    <w:p>
      <w:pPr>
        <w:ind w:right="100"/>
        <w:spacing w:after="0" w:line="297" w:lineRule="auto"/>
        <w:rPr>
          <w:sz w:val="20"/>
          <w:szCs w:val="20"/>
          <w:color w:val="auto"/>
        </w:rPr>
      </w:pPr>
      <w:r>
        <w:rPr>
          <w:rFonts w:ascii="Arial" w:cs="Arial" w:eastAsia="Arial" w:hAnsi="Arial"/>
          <w:sz w:val="16"/>
          <w:szCs w:val="16"/>
          <w:i w:val="1"/>
          <w:iCs w:val="1"/>
          <w:color w:val="auto"/>
        </w:rPr>
        <w:t>The information in this pricing term sheet relates only to the offering of the Notes and should be read together with the preliminary prospectus supplement of General Motors Company dated November 4, 2014 (the “Preliminary Prospectus Supplement”) to its prospectus dated April 30, 2014,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General Motors Company</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4.000% Senior Notes due 2025 (the “2025 Notes”)</w:t>
            </w:r>
          </w:p>
        </w:tc>
      </w:tr>
      <w:tr>
        <w:trPr>
          <w:trHeight w:val="216"/>
        </w:trPr>
        <w:tc>
          <w:tcPr>
            <w:tcW w:w="29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5.000% Senior Notes due 2035 (the “2035 Notes”)</w:t>
            </w:r>
          </w:p>
        </w:tc>
      </w:tr>
      <w:tr>
        <w:trPr>
          <w:trHeight w:val="230"/>
        </w:trPr>
        <w:tc>
          <w:tcPr>
            <w:tcW w:w="2920" w:type="dxa"/>
            <w:vAlign w:val="bottom"/>
          </w:tcPr>
          <w:p>
            <w:pPr>
              <w:spacing w:after="0"/>
              <w:rPr>
                <w:sz w:val="20"/>
                <w:szCs w:val="20"/>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5.200% Senior Notes due 2045 (the “2045 Notes”)</w:t>
            </w:r>
          </w:p>
        </w:tc>
      </w:tr>
      <w:tr>
        <w:trPr>
          <w:trHeight w:val="338"/>
        </w:trPr>
        <w:tc>
          <w:tcPr>
            <w:tcW w:w="2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Senior Unsecured Notes</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2025 Notes: $500,000,000</w:t>
            </w:r>
          </w:p>
        </w:tc>
      </w:tr>
      <w:tr>
        <w:trPr>
          <w:trHeight w:val="216"/>
        </w:trPr>
        <w:tc>
          <w:tcPr>
            <w:tcW w:w="29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$750,000,000</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$1,250,000,000</w:t>
            </w:r>
          </w:p>
        </w:tc>
      </w:tr>
      <w:tr>
        <w:trPr>
          <w:trHeight w:val="323"/>
        </w:trPr>
        <w:tc>
          <w:tcPr>
            <w:tcW w:w="29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2025 Notes: 99.273%</w:t>
            </w:r>
          </w:p>
        </w:tc>
      </w:tr>
      <w:tr>
        <w:trPr>
          <w:trHeight w:val="216"/>
        </w:trPr>
        <w:tc>
          <w:tcPr>
            <w:tcW w:w="29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98.759%</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99.266%</w:t>
            </w:r>
          </w:p>
        </w:tc>
      </w:tr>
      <w:tr>
        <w:trPr>
          <w:trHeight w:val="323"/>
        </w:trPr>
        <w:tc>
          <w:tcPr>
            <w:tcW w:w="2920" w:type="dxa"/>
            <w:vAlign w:val="bottom"/>
          </w:tcPr>
          <w:p>
            <w:pPr>
              <w:spacing w:after="0"/>
              <w:rPr>
                <w:sz w:val="20"/>
                <w:szCs w:val="20"/>
                <w:color w:val="auto"/>
              </w:rPr>
            </w:pPr>
            <w:r>
              <w:rPr>
                <w:rFonts w:ascii="Arial" w:cs="Arial" w:eastAsia="Arial" w:hAnsi="Arial"/>
                <w:sz w:val="18"/>
                <w:szCs w:val="18"/>
                <w:b w:val="1"/>
                <w:bCs w:val="1"/>
                <w:color w:val="auto"/>
              </w:rPr>
              <w:t>Maturity Dates:</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2025 Notes: April 1, 2025</w:t>
            </w:r>
          </w:p>
        </w:tc>
      </w:tr>
      <w:tr>
        <w:trPr>
          <w:trHeight w:val="216"/>
        </w:trPr>
        <w:tc>
          <w:tcPr>
            <w:tcW w:w="29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April 1, 2035</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April 1, 2045</w:t>
            </w:r>
          </w:p>
        </w:tc>
      </w:tr>
      <w:tr>
        <w:trPr>
          <w:trHeight w:val="323"/>
        </w:trPr>
        <w:tc>
          <w:tcPr>
            <w:tcW w:w="2920" w:type="dxa"/>
            <w:vAlign w:val="bottom"/>
          </w:tcPr>
          <w:p>
            <w:pPr>
              <w:spacing w:after="0"/>
              <w:rPr>
                <w:sz w:val="20"/>
                <w:szCs w:val="20"/>
                <w:color w:val="auto"/>
              </w:rPr>
            </w:pPr>
            <w:r>
              <w:rPr>
                <w:rFonts w:ascii="Arial" w:cs="Arial" w:eastAsia="Arial" w:hAnsi="Arial"/>
                <w:sz w:val="18"/>
                <w:szCs w:val="18"/>
                <w:b w:val="1"/>
                <w:bCs w:val="1"/>
                <w:color w:val="auto"/>
              </w:rPr>
              <w:t>Coupon (Interest Rates):</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w w:val="90"/>
              </w:rPr>
              <w:t>2025 Notes: 4.000% per year, accruing from November 12, 2014</w:t>
            </w:r>
          </w:p>
        </w:tc>
      </w:tr>
      <w:tr>
        <w:trPr>
          <w:trHeight w:val="216"/>
        </w:trPr>
        <w:tc>
          <w:tcPr>
            <w:tcW w:w="29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2035</w:t>
            </w:r>
          </w:p>
        </w:tc>
        <w:tc>
          <w:tcPr>
            <w:tcW w:w="4300" w:type="dxa"/>
            <w:vAlign w:val="bottom"/>
          </w:tcPr>
          <w:p>
            <w:pPr>
              <w:ind w:left="20"/>
              <w:spacing w:after="0"/>
              <w:rPr>
                <w:sz w:val="20"/>
                <w:szCs w:val="20"/>
                <w:color w:val="auto"/>
              </w:rPr>
            </w:pPr>
            <w:r>
              <w:rPr>
                <w:rFonts w:ascii="Arial" w:cs="Arial" w:eastAsia="Arial" w:hAnsi="Arial"/>
                <w:sz w:val="18"/>
                <w:szCs w:val="18"/>
                <w:color w:val="auto"/>
                <w:w w:val="90"/>
              </w:rPr>
              <w:t>Notes: 5.000% per year, accruing from November 12, 2014</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4300" w:type="dxa"/>
            <w:vAlign w:val="bottom"/>
          </w:tcPr>
          <w:p>
            <w:pPr>
              <w:ind w:left="20"/>
              <w:spacing w:after="0"/>
              <w:rPr>
                <w:sz w:val="20"/>
                <w:szCs w:val="20"/>
                <w:color w:val="auto"/>
              </w:rPr>
            </w:pPr>
            <w:r>
              <w:rPr>
                <w:rFonts w:ascii="Arial" w:cs="Arial" w:eastAsia="Arial" w:hAnsi="Arial"/>
                <w:sz w:val="18"/>
                <w:szCs w:val="18"/>
                <w:color w:val="auto"/>
                <w:w w:val="90"/>
              </w:rPr>
              <w:t>Notes: 5.200% per year, accruing from November 12, 2014</w:t>
            </w:r>
          </w:p>
        </w:tc>
      </w:tr>
      <w:tr>
        <w:trPr>
          <w:trHeight w:val="323"/>
        </w:trPr>
        <w:tc>
          <w:tcPr>
            <w:tcW w:w="292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2025 Notes: 4.087%</w:t>
            </w:r>
          </w:p>
        </w:tc>
      </w:tr>
      <w:tr>
        <w:trPr>
          <w:trHeight w:val="216"/>
        </w:trPr>
        <w:tc>
          <w:tcPr>
            <w:tcW w:w="29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5.099%</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5.249%</w:t>
            </w:r>
          </w:p>
        </w:tc>
      </w:tr>
      <w:tr>
        <w:trPr>
          <w:trHeight w:val="323"/>
        </w:trPr>
        <w:tc>
          <w:tcPr>
            <w:tcW w:w="292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2025 Notes: + 175 bps</w:t>
            </w:r>
          </w:p>
        </w:tc>
      </w:tr>
      <w:tr>
        <w:trPr>
          <w:trHeight w:val="216"/>
        </w:trPr>
        <w:tc>
          <w:tcPr>
            <w:tcW w:w="29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+ 205 bps</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4300" w:type="dxa"/>
            <w:vAlign w:val="bottom"/>
          </w:tcPr>
          <w:p>
            <w:pPr>
              <w:ind w:left="20"/>
              <w:spacing w:after="0"/>
              <w:rPr>
                <w:sz w:val="20"/>
                <w:szCs w:val="20"/>
                <w:color w:val="auto"/>
              </w:rPr>
            </w:pPr>
            <w:r>
              <w:rPr>
                <w:rFonts w:ascii="Arial" w:cs="Arial" w:eastAsia="Arial" w:hAnsi="Arial"/>
                <w:sz w:val="18"/>
                <w:szCs w:val="18"/>
                <w:color w:val="auto"/>
              </w:rPr>
              <w:t>Notes: + 220 bps</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14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2.375% due August 15, 2024</w:t>
            </w:r>
          </w:p>
        </w:tc>
      </w:tr>
      <w:tr>
        <w:trPr>
          <w:trHeight w:val="216"/>
        </w:trPr>
        <w:tc>
          <w:tcPr>
            <w:tcW w:w="3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3.375% due May 15, 2044</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3.375% due May 15, 2044</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w w:val="97"/>
              </w:rPr>
              <w:t>Benchmark Treasury Price and Yield:</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100-10+; 2.337%</w:t>
            </w:r>
          </w:p>
        </w:tc>
      </w:tr>
      <w:tr>
        <w:trPr>
          <w:trHeight w:val="216"/>
        </w:trPr>
        <w:tc>
          <w:tcPr>
            <w:tcW w:w="3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106-10; 3.049%</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106-10; 3.049%</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2025</w:t>
            </w:r>
          </w:p>
        </w:tc>
        <w:tc>
          <w:tcPr>
            <w:tcW w:w="3920" w:type="dxa"/>
            <w:vAlign w:val="bottom"/>
          </w:tcPr>
          <w:p>
            <w:pPr>
              <w:ind w:left="20"/>
              <w:spacing w:after="0"/>
              <w:rPr>
                <w:sz w:val="20"/>
                <w:szCs w:val="20"/>
                <w:color w:val="auto"/>
              </w:rPr>
            </w:pPr>
            <w:r>
              <w:rPr>
                <w:rFonts w:ascii="Arial" w:cs="Arial" w:eastAsia="Arial" w:hAnsi="Arial"/>
                <w:sz w:val="18"/>
                <w:szCs w:val="18"/>
                <w:color w:val="auto"/>
                <w:w w:val="92"/>
              </w:rPr>
              <w:t>Notes: April 1 and October 1, beginning April 1, 2015</w:t>
            </w:r>
          </w:p>
        </w:tc>
      </w:tr>
      <w:tr>
        <w:trPr>
          <w:trHeight w:val="216"/>
        </w:trPr>
        <w:tc>
          <w:tcPr>
            <w:tcW w:w="3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2035</w:t>
            </w:r>
          </w:p>
        </w:tc>
        <w:tc>
          <w:tcPr>
            <w:tcW w:w="3920" w:type="dxa"/>
            <w:vAlign w:val="bottom"/>
          </w:tcPr>
          <w:p>
            <w:pPr>
              <w:ind w:left="20"/>
              <w:spacing w:after="0"/>
              <w:rPr>
                <w:sz w:val="20"/>
                <w:szCs w:val="20"/>
                <w:color w:val="auto"/>
              </w:rPr>
            </w:pPr>
            <w:r>
              <w:rPr>
                <w:rFonts w:ascii="Arial" w:cs="Arial" w:eastAsia="Arial" w:hAnsi="Arial"/>
                <w:sz w:val="18"/>
                <w:szCs w:val="18"/>
                <w:color w:val="auto"/>
                <w:w w:val="92"/>
              </w:rPr>
              <w:t>Notes: April 1 and October 1, beginning April 1, 2015</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2045</w:t>
            </w:r>
          </w:p>
        </w:tc>
        <w:tc>
          <w:tcPr>
            <w:tcW w:w="3920" w:type="dxa"/>
            <w:vAlign w:val="bottom"/>
          </w:tcPr>
          <w:p>
            <w:pPr>
              <w:ind w:left="20"/>
              <w:spacing w:after="0"/>
              <w:rPr>
                <w:sz w:val="20"/>
                <w:szCs w:val="20"/>
                <w:color w:val="auto"/>
              </w:rPr>
            </w:pPr>
            <w:r>
              <w:rPr>
                <w:rFonts w:ascii="Arial" w:cs="Arial" w:eastAsia="Arial" w:hAnsi="Arial"/>
                <w:sz w:val="18"/>
                <w:szCs w:val="18"/>
                <w:color w:val="auto"/>
                <w:w w:val="92"/>
              </w:rPr>
              <w:t>Notes: April 1 and October 1, beginning April 1, 2015</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March 17 and September 16</w:t>
            </w:r>
          </w:p>
        </w:tc>
      </w:tr>
      <w:tr>
        <w:trPr>
          <w:trHeight w:val="216"/>
        </w:trPr>
        <w:tc>
          <w:tcPr>
            <w:tcW w:w="3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March 17 and September 16</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March 17 and September 16</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T+25 bps</w:t>
            </w:r>
          </w:p>
        </w:tc>
      </w:tr>
      <w:tr>
        <w:trPr>
          <w:trHeight w:val="216"/>
        </w:trPr>
        <w:tc>
          <w:tcPr>
            <w:tcW w:w="3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T+30 bps</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2045</w:t>
            </w:r>
          </w:p>
        </w:tc>
        <w:tc>
          <w:tcPr>
            <w:tcW w:w="3920" w:type="dxa"/>
            <w:vAlign w:val="bottom"/>
          </w:tcPr>
          <w:p>
            <w:pPr>
              <w:ind w:left="20"/>
              <w:spacing w:after="0"/>
              <w:rPr>
                <w:sz w:val="20"/>
                <w:szCs w:val="20"/>
                <w:color w:val="auto"/>
              </w:rPr>
            </w:pPr>
            <w:r>
              <w:rPr>
                <w:rFonts w:ascii="Arial" w:cs="Arial" w:eastAsia="Arial" w:hAnsi="Arial"/>
                <w:sz w:val="18"/>
                <w:szCs w:val="18"/>
                <w:color w:val="auto"/>
              </w:rPr>
              <w:t>Notes: T+35 bps</w:t>
            </w:r>
          </w:p>
        </w:tc>
      </w:tr>
      <w:tr>
        <w:trPr>
          <w:trHeight w:val="338"/>
        </w:trPr>
        <w:tc>
          <w:tcPr>
            <w:tcW w:w="314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November 4, 2014</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November 12, 2014 (T+5)</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w w:val="94"/>
              </w:rPr>
              <w:t>$2,000 and integral multiples of $1,000 in excess thereof</w:t>
            </w:r>
          </w:p>
        </w:tc>
      </w:tr>
      <w:tr>
        <w:trPr>
          <w:trHeight w:val="310"/>
        </w:trPr>
        <w:tc>
          <w:tcPr>
            <w:tcW w:w="314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Ba1 by Moody’s Investors Service, Inc.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3140" w:type="dxa"/>
            <w:vAlign w:val="bottom"/>
          </w:tcPr>
          <w:p>
            <w:pPr>
              <w:spacing w:after="0"/>
              <w:rPr>
                <w:sz w:val="20"/>
                <w:szCs w:val="20"/>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BB+ by Fitch Ratings</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2025 Notes: 37045VAG5 / US37045VAG59</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2035 Notes: 37045VAH3 / US37045VAH33</w:t>
            </w:r>
          </w:p>
        </w:tc>
      </w:tr>
      <w:tr>
        <w:trPr>
          <w:trHeight w:val="230"/>
        </w:trPr>
        <w:tc>
          <w:tcPr>
            <w:tcW w:w="3140" w:type="dxa"/>
            <w:vAlign w:val="bottom"/>
          </w:tcPr>
          <w:p>
            <w:pPr>
              <w:spacing w:after="0"/>
              <w:rPr>
                <w:sz w:val="20"/>
                <w:szCs w:val="20"/>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2045 Notes: 37045VAJ9 / US37045VAJ98</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J.P. Morgan Securities LLC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Goldman, Sachs &amp; Co.</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Morgan Stanley &amp; Co. LLC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Barclays Capital Inc.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3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Incorporated</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Joint Lead Managers:</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Lloyds Securities Inc.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RBC Capital Markets, LLC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RBS Securities Inc.</w:t>
            </w:r>
          </w:p>
        </w:tc>
      </w:tr>
      <w:tr>
        <w:trPr>
          <w:trHeight w:val="216"/>
        </w:trPr>
        <w:tc>
          <w:tcPr>
            <w:tcW w:w="314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Sandler O’Neill &amp; Partners, L.P.</w:t>
            </w:r>
          </w:p>
        </w:tc>
      </w:tr>
      <w:tr>
        <w:trPr>
          <w:trHeight w:val="230"/>
        </w:trPr>
        <w:tc>
          <w:tcPr>
            <w:tcW w:w="3140" w:type="dxa"/>
            <w:vAlign w:val="bottom"/>
          </w:tcPr>
          <w:p>
            <w:pPr>
              <w:spacing w:after="0"/>
              <w:rPr>
                <w:sz w:val="20"/>
                <w:szCs w:val="20"/>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TD Securities (USA) LLC</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Commerz Markets LLC</w:t>
            </w:r>
          </w:p>
        </w:tc>
      </w:tr>
      <w:tr>
        <w:trPr>
          <w:trHeight w:val="230"/>
        </w:trPr>
        <w:tc>
          <w:tcPr>
            <w:tcW w:w="3140" w:type="dxa"/>
            <w:vAlign w:val="bottom"/>
          </w:tcPr>
          <w:p>
            <w:pPr>
              <w:spacing w:after="0"/>
              <w:rPr>
                <w:sz w:val="20"/>
                <w:szCs w:val="20"/>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Credit Agricole Securities (USA) Inc.</w:t>
            </w:r>
          </w:p>
        </w:tc>
      </w:tr>
    </w:tbl>
    <w:p>
      <w:pPr>
        <w:ind w:left="3340"/>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Great Pacific Securities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C.L. King &amp; Associates,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Blaylock Beal Van,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Mischler Financial Group, Inc.</w:t>
      </w:r>
    </w:p>
    <w:p>
      <w:pPr>
        <w:spacing w:after="0" w:line="247" w:lineRule="exact"/>
        <w:rPr>
          <w:sz w:val="20"/>
          <w:szCs w:val="20"/>
          <w:color w:val="auto"/>
        </w:rPr>
      </w:pPr>
    </w:p>
    <w:p>
      <w:pPr>
        <w:ind w:left="5660" w:right="259" w:hanging="5652"/>
        <w:spacing w:after="0" w:line="454" w:lineRule="auto"/>
        <w:tabs>
          <w:tab w:leader="none" w:pos="21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security rating is not a recommendation to buy, sell or hold securities and may be subject to revision or withdrawn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0219"/>
          </w:cols>
          <w:pgMar w:left="240" w:top="378" w:right="1440" w:bottom="1440" w:gutter="0" w:footer="0" w:header="0"/>
        </w:sectPr>
      </w:pPr>
    </w:p>
    <w:bookmarkStart w:id="2" w:name="page3"/>
    <w:bookmarkEnd w:id="2"/>
    <w:p>
      <w:pPr>
        <w:spacing w:after="0" w:line="31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Securities LLC collect at 1-212-834-4533, Goldman, Sachs &amp; Co. collect at 1-866-471-2526 or Morgan Stanley &amp; Co. LLC collect at 1-866-718-1649.</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176"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We expect to deliver the Notes offered hereby against payment for the Notes on or about the Settlement Date, which will be the fifth business day following the date of the pricing of the Notes (this settlement cycle being referred to as “T+5”). Under Rule 15c6-1 under the Exchange Act,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alternate settlement cycle at the time of any such trade to prevent a failed settlement. Purchasers who wish to trade the Notes on the date of pricing or the next succeeding business day should consult their own advisor.</w:t>
      </w:r>
    </w:p>
    <w:p>
      <w:pPr>
        <w:spacing w:after="0" w:line="15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2019-12-07T21:02:32Z</dcterms:created>
  <dcterms:modified xsi:type="dcterms:W3CDTF">2019-12-07T21:02:32Z</dcterms:modified>
</cp:coreProperties>
</file>