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39"/>
              <w:spacing w:after="0" w:line="180" w:lineRule="exact"/>
              <w:rPr>
                <w:sz w:val="20"/>
                <w:szCs w:val="20"/>
                <w:color w:val="auto"/>
              </w:rPr>
            </w:pPr>
            <w:r>
              <w:rPr>
                <w:rFonts w:ascii="Arial" w:cs="Arial" w:eastAsia="Arial" w:hAnsi="Arial"/>
                <w:sz w:val="17"/>
                <w:szCs w:val="17"/>
                <w:color w:val="0000FF"/>
              </w:rPr>
              <w:t>04/02/2013</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7,894</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03/31/2013</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5" w:lineRule="exact"/>
              <w:rPr>
                <w:sz w:val="20"/>
                <w:szCs w:val="20"/>
                <w:color w:val="auto"/>
              </w:rPr>
            </w:pPr>
            <w:r>
              <w:rPr>
                <w:rFonts w:ascii="Arial" w:cs="Arial" w:eastAsia="Arial" w:hAnsi="Arial"/>
                <w:sz w:val="13"/>
                <w:szCs w:val="13"/>
                <w:color w:val="0000FF"/>
              </w:rPr>
              <w:t>7,894</w:t>
            </w:r>
          </w:p>
        </w:tc>
        <w:tc>
          <w:tcPr>
            <w:tcW w:w="340" w:type="dxa"/>
            <w:vAlign w:val="bottom"/>
          </w:tcPr>
          <w:p>
            <w:pPr>
              <w:spacing w:after="0"/>
              <w:rPr>
                <w:sz w:val="7"/>
                <w:szCs w:val="7"/>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7,894</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53,822</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04/01/2013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0000FF"/>
              </w:rPr>
              <w:t>53,822</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(4)</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0000FF"/>
              </w:rPr>
              <w:t>53,822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granted on March 31, 2013 pursuant to the Company's Salary Stock Plan (the "GMSSP") and will be settled in three equal, annual installments beginning March 31, 2014.</w:t>
      </w:r>
    </w:p>
    <w:p>
      <w:pPr>
        <w:spacing w:after="0" w:line="10" w:lineRule="exact"/>
        <w:rPr>
          <w:rFonts w:ascii="Arial" w:cs="Arial" w:eastAsia="Arial" w:hAnsi="Arial"/>
          <w:sz w:val="13"/>
          <w:szCs w:val="13"/>
          <w:color w:val="008000"/>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1" w:lineRule="exact"/>
        <w:rPr>
          <w:rFonts w:ascii="Arial" w:cs="Arial" w:eastAsia="Arial" w:hAnsi="Arial"/>
          <w:sz w:val="13"/>
          <w:szCs w:val="13"/>
          <w:color w:val="008000"/>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April 1, 2013, pursuant to the Company's 2009 Long-Term Incentive Plan (the "GMLTP"). One half of the RSUs will vest on February 28, 2014, and the remaining half will vest on February 28, 2015, provided that the reporting person remains continuously employed through the vesting date. Each RSU represents a right to receive one shares of the Company's common stock upon settlement. RSUs will be settled when they vest provided that the conditions in the GMLTP have been satisfied. The RSUs do not have an expiration or exercise date or carry a conversion or exercise price.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Form 4 is amended to correct the dates of vesting of the RSU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04/10/2013</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Dr. Neumann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2019-12-18T14:58:53Z</dcterms:created>
  <dcterms:modified xsi:type="dcterms:W3CDTF">2019-12-18T14:58:53Z</dcterms:modified>
</cp:coreProperties>
</file>