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3,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 Dated December 3,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December 3, 2012, General Motors Company issued a news release announcing November sales. The release and chart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December 3,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940"/>
          </w:cols>
          <w:pgMar w:left="240" w:top="1013" w:right="7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Date: December 5, 2012</w:t>
            </w:r>
          </w:p>
        </w:tc>
        <w:tc>
          <w:tcPr>
            <w:tcW w:w="212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827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827405"/>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Dec. 3, 2012,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U.S. Sales Increase 3 percent in November</w:t>
      </w:r>
    </w:p>
    <w:p>
      <w:pPr>
        <w:spacing w:after="0" w:line="23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its highest November sales in the United States since 2007, with</w:t>
      </w:r>
      <w:r>
        <w:rPr>
          <w:rFonts w:ascii="Arial" w:cs="Arial" w:eastAsia="Arial" w:hAnsi="Arial"/>
          <w:sz w:val="20"/>
          <w:szCs w:val="20"/>
          <w:b w:val="1"/>
          <w:bCs w:val="1"/>
          <w:color w:val="auto"/>
        </w:rPr>
        <w:t xml:space="preserve"> </w:t>
      </w:r>
      <w:r>
        <w:rPr>
          <w:rFonts w:ascii="Arial" w:cs="Arial" w:eastAsia="Arial" w:hAnsi="Arial"/>
          <w:sz w:val="20"/>
          <w:szCs w:val="20"/>
          <w:color w:val="auto"/>
        </w:rPr>
        <w:t>deliveries up 3 percent versus a year ago to 186,505 vehicles. Year-over-year sales to retail customers were essentially equal to a year ago and sales to fleet customers were up 16 percent.</w:t>
      </w:r>
    </w:p>
    <w:p>
      <w:pPr>
        <w:spacing w:after="0" w:line="196"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“In November, we saw strong car and crossover sales and we continue to make inroads with younger customers, import drivers and buyers focused on fuel economy,” said Kurt McNeil, vice president of U.S. sales operations. “Sales at Cadillac and Buick are benefiting from the buzz generated by new products, including the Buick Verano, Cadillac XTS and Cadillac ATS.”</w:t>
      </w:r>
    </w:p>
    <w:p>
      <w:pPr>
        <w:spacing w:after="0" w:line="206" w:lineRule="exact"/>
        <w:rPr>
          <w:sz w:val="20"/>
          <w:szCs w:val="20"/>
          <w:color w:val="auto"/>
        </w:rPr>
      </w:pPr>
    </w:p>
    <w:p>
      <w:pPr>
        <w:ind w:right="360"/>
        <w:spacing w:after="0" w:line="272" w:lineRule="auto"/>
        <w:rPr>
          <w:sz w:val="20"/>
          <w:szCs w:val="20"/>
          <w:color w:val="auto"/>
        </w:rPr>
      </w:pPr>
      <w:r>
        <w:rPr>
          <w:rFonts w:ascii="Arial" w:cs="Arial" w:eastAsia="Arial" w:hAnsi="Arial"/>
          <w:sz w:val="19"/>
          <w:szCs w:val="19"/>
          <w:color w:val="auto"/>
        </w:rPr>
        <w:t>Sales of GM passenger cars increased 19 percent in November compared with a year ago. Crossovers were up 9 percent and sales of trucks were down 11 percent. Buick and Cadillac had their best November sales since 2006 and 2007, respectively.</w:t>
      </w:r>
    </w:p>
    <w:p>
      <w:pPr>
        <w:spacing w:after="0" w:line="19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Passenger car sales were up 77 percent at Cadillac, 22 percent at Buick and 13 percent at Chevrolet.</w:t>
      </w:r>
    </w:p>
    <w:p>
      <w:pPr>
        <w:ind w:left="340" w:right="2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sales of mini, small and compact cars were up 51 percent compared with a year ago, driven by the new Buick Verano and Chevrolet Spark, a 27 percent increase for the Chevrolet Cruze, a 33 percent increase for the Chevrolet Volt and a 12 percent increase for the Chevrolet Sonic.</w:t>
      </w:r>
    </w:p>
    <w:p>
      <w:pPr>
        <w:spacing w:after="0" w:line="1" w:lineRule="exact"/>
        <w:rPr>
          <w:rFonts w:ascii="Arial" w:cs="Arial" w:eastAsia="Arial" w:hAnsi="Arial"/>
          <w:sz w:val="18"/>
          <w:szCs w:val="18"/>
          <w:color w:val="auto"/>
        </w:rPr>
      </w:pPr>
    </w:p>
    <w:p>
      <w:pPr>
        <w:ind w:left="340" w:right="10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Crossover sales were driven by a 44 percent increase for the GMC Terrain, a 23 percent increase for the Buick Enclave and a 13 percent increase for both the Chevrolet Equinox and the Cadillac SRX.</w:t>
      </w:r>
    </w:p>
    <w:p>
      <w:pPr>
        <w:spacing w:after="0" w:line="1" w:lineRule="exact"/>
        <w:rPr>
          <w:rFonts w:ascii="Arial" w:cs="Arial" w:eastAsia="Arial" w:hAnsi="Arial"/>
          <w:sz w:val="18"/>
          <w:szCs w:val="18"/>
          <w:color w:val="auto"/>
        </w:rPr>
      </w:pPr>
    </w:p>
    <w:p>
      <w:pPr>
        <w:ind w:left="340" w:right="220" w:hanging="332"/>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large pickups were 8 percent lower in part due to unexpectedly high competitive incentive activity, which GM did not match.</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average transaction prices for GM vehicles increased $750 per unit versus a year ago, even though the company's car and crossover mix increased from 56 percent of total sales to 62 percent. ATPs also increased about $190 per unit from October, when the car and crossover mix was 60 percent.</w:t>
      </w:r>
    </w:p>
    <w:p>
      <w:pPr>
        <w:spacing w:after="0" w:line="325" w:lineRule="exact"/>
        <w:rPr>
          <w:sz w:val="20"/>
          <w:szCs w:val="20"/>
          <w:color w:val="auto"/>
        </w:rPr>
      </w:pPr>
    </w:p>
    <w:tbl>
      <w:tblPr>
        <w:tblLayout w:type="fixed"/>
        <w:tblInd w:w="390" w:type="dxa"/>
        <w:tblCellMar>
          <w:top w:w="0" w:type="dxa"/>
          <w:left w:w="0" w:type="dxa"/>
          <w:bottom w:w="0" w:type="dxa"/>
          <w:right w:w="0" w:type="dxa"/>
        </w:tblCellMar>
      </w:tblPr>
      <w:tr>
        <w:trPr>
          <w:trHeight w:val="180"/>
        </w:trPr>
        <w:tc>
          <w:tcPr>
            <w:tcW w:w="1520" w:type="dxa"/>
            <w:vAlign w:val="bottom"/>
            <w:tcBorders>
              <w:top w:val="single" w:sz="8" w:color="auto"/>
              <w:left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Nov. Retail</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Retail Change vs.</w:t>
            </w:r>
          </w:p>
        </w:tc>
        <w:tc>
          <w:tcPr>
            <w:tcW w:w="106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CYTD Retail</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18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4"/>
                <w:szCs w:val="14"/>
                <w:b w:val="1"/>
                <w:bCs w:val="1"/>
                <w:color w:val="auto"/>
                <w:w w:val="97"/>
              </w:rPr>
              <w:t>Nov. Total Sales</w:t>
            </w:r>
          </w:p>
        </w:tc>
        <w:tc>
          <w:tcPr>
            <w:tcW w:w="11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320"/>
              <w:spacing w:after="0" w:line="158" w:lineRule="exact"/>
              <w:rPr>
                <w:sz w:val="20"/>
                <w:szCs w:val="20"/>
                <w:color w:val="auto"/>
              </w:rPr>
            </w:pPr>
            <w:r>
              <w:rPr>
                <w:rFonts w:ascii="Arial" w:cs="Arial" w:eastAsia="Arial" w:hAnsi="Arial"/>
                <w:sz w:val="14"/>
                <w:szCs w:val="14"/>
                <w:b w:val="1"/>
                <w:bCs w:val="1"/>
                <w:color w:val="auto"/>
              </w:rPr>
              <w:t>CYTD</w:t>
            </w:r>
          </w:p>
        </w:tc>
        <w:tc>
          <w:tcPr>
            <w:tcW w:w="96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Change vs.</w:t>
            </w:r>
          </w:p>
        </w:tc>
        <w:tc>
          <w:tcPr>
            <w:tcW w:w="106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Nov. 2011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Nov. 2011</w:t>
            </w:r>
          </w:p>
        </w:tc>
        <w:tc>
          <w:tcPr>
            <w:tcW w:w="106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Sales</w:t>
            </w:r>
          </w:p>
        </w:tc>
        <w:tc>
          <w:tcPr>
            <w:tcW w:w="15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520" w:type="dxa"/>
            <w:vAlign w:val="bottom"/>
            <w:tcBorders>
              <w:left w:val="single" w:sz="8" w:color="auto"/>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06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01"/>
        </w:trPr>
        <w:tc>
          <w:tcPr>
            <w:tcW w:w="1520" w:type="dxa"/>
            <w:vAlign w:val="bottom"/>
            <w:tcBorders>
              <w:left w:val="single" w:sz="8" w:color="auto"/>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vMerge w:val="continue"/>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128,867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88,640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(4.3)%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1,684,555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1,146,658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29,832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25,101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(3.4)%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369,960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311,542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2.7%</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13,289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22.1%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12,232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163,935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0.8%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147,327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5.3%</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14,517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30.3%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13,547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25.9%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131,534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(3.4)%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123,850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186,505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139,520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(0.1)%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2,349,984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1,729,377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East Coast's ongoing recovery from Hurricane Sandy helped drive the November SAAR materially higher, but it benefited our competitors more than GM, since they rely on the region for more of their sales,” McNeil said.</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0"/>
          <w:szCs w:val="20"/>
          <w:color w:val="auto"/>
        </w:rPr>
        <w:t>“It's clear that the industry will come in at the high end of our full-year sales forecast,” he added. “Exactly how much growth we can expect next year will depend in part on how Congress and the president resolve the fiscal cliff issue. Consumers hate uncertainty, so an agreement on ways to reduce long-term federal budget deficits could remove an impediment to growth.”</w:t>
      </w:r>
    </w:p>
    <w:p>
      <w:pPr>
        <w:spacing w:after="0" w:line="284" w:lineRule="exact"/>
        <w:rPr>
          <w:sz w:val="20"/>
          <w:szCs w:val="20"/>
          <w:color w:val="auto"/>
        </w:rPr>
      </w:pPr>
    </w:p>
    <w:tbl>
      <w:tblPr>
        <w:tblLayout w:type="fixed"/>
        <w:tblInd w:w="1930" w:type="dxa"/>
        <w:tblCellMar>
          <w:top w:w="0" w:type="dxa"/>
          <w:left w:w="0" w:type="dxa"/>
          <w:bottom w:w="0" w:type="dxa"/>
          <w:right w:w="0" w:type="dxa"/>
        </w:tblCellMar>
      </w:tblPr>
      <w:tr>
        <w:trPr>
          <w:trHeight w:val="180"/>
        </w:trPr>
        <w:tc>
          <w:tcPr>
            <w:tcW w:w="1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Inventory</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Units @</w:t>
            </w:r>
          </w:p>
        </w:tc>
        <w:tc>
          <w:tcPr>
            <w:tcW w:w="15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Days Supply (selling day</w:t>
            </w:r>
          </w:p>
        </w:tc>
        <w:tc>
          <w:tcPr>
            <w:tcW w:w="130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Units @</w:t>
            </w:r>
          </w:p>
        </w:tc>
        <w:tc>
          <w:tcPr>
            <w:tcW w:w="360" w:type="dxa"/>
            <w:vAlign w:val="bottom"/>
            <w:tcBorders>
              <w:top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Days Supply (selling day</w:t>
            </w:r>
          </w:p>
        </w:tc>
        <w:tc>
          <w:tcPr>
            <w:tcW w:w="0" w:type="dxa"/>
            <w:vAlign w:val="bottom"/>
          </w:tcPr>
          <w:p>
            <w:pPr>
              <w:spacing w:after="0"/>
              <w:rPr>
                <w:sz w:val="1"/>
                <w:szCs w:val="1"/>
                <w:color w:val="auto"/>
              </w:rPr>
            </w:pPr>
          </w:p>
        </w:tc>
      </w:tr>
      <w:tr>
        <w:trPr>
          <w:trHeight w:val="105"/>
        </w:trPr>
        <w:tc>
          <w:tcPr>
            <w:tcW w:w="1180" w:type="dxa"/>
            <w:vAlign w:val="bottom"/>
            <w:tcBorders>
              <w:left w:val="single" w:sz="8" w:color="auto"/>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Borders>
              <w:right w:val="single" w:sz="8" w:color="auto"/>
            </w:tcBorders>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Nov. 31, 2012</w:t>
            </w:r>
          </w:p>
        </w:tc>
        <w:tc>
          <w:tcPr>
            <w:tcW w:w="1120" w:type="dxa"/>
            <w:vAlign w:val="bottom"/>
            <w:gridSpan w:val="2"/>
            <w:vMerge w:val="restart"/>
          </w:tcPr>
          <w:p>
            <w:pPr>
              <w:jc w:val="center"/>
              <w:ind w:left="348"/>
              <w:spacing w:after="0"/>
              <w:rPr>
                <w:sz w:val="20"/>
                <w:szCs w:val="20"/>
                <w:color w:val="auto"/>
              </w:rPr>
            </w:pPr>
            <w:r>
              <w:rPr>
                <w:rFonts w:ascii="Arial" w:cs="Arial" w:eastAsia="Arial" w:hAnsi="Arial"/>
                <w:sz w:val="14"/>
                <w:szCs w:val="14"/>
                <w:b w:val="1"/>
                <w:bCs w:val="1"/>
                <w:color w:val="auto"/>
                <w:w w:val="93"/>
              </w:rPr>
              <w:t>adjusted)</w:t>
            </w:r>
          </w:p>
        </w:tc>
        <w:tc>
          <w:tcPr>
            <w:tcW w:w="460" w:type="dxa"/>
            <w:vAlign w:val="bottom"/>
            <w:tcBorders>
              <w:right w:val="single" w:sz="8" w:color="auto"/>
            </w:tcBorders>
          </w:tcPr>
          <w:p>
            <w:pPr>
              <w:spacing w:after="0"/>
              <w:rPr>
                <w:sz w:val="9"/>
                <w:szCs w:val="9"/>
                <w:color w:val="auto"/>
              </w:rPr>
            </w:pPr>
          </w:p>
        </w:tc>
        <w:tc>
          <w:tcPr>
            <w:tcW w:w="130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Oct. 31, 2012</w:t>
            </w:r>
          </w:p>
        </w:tc>
        <w:tc>
          <w:tcPr>
            <w:tcW w:w="36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adjusted)</w:t>
            </w:r>
          </w:p>
        </w:tc>
        <w:tc>
          <w:tcPr>
            <w:tcW w:w="0" w:type="dxa"/>
            <w:vAlign w:val="bottom"/>
          </w:tcPr>
          <w:p>
            <w:pPr>
              <w:spacing w:after="0"/>
              <w:rPr>
                <w:sz w:val="1"/>
                <w:szCs w:val="1"/>
                <w:color w:val="auto"/>
              </w:rPr>
            </w:pPr>
          </w:p>
        </w:tc>
      </w:tr>
      <w:tr>
        <w:trPr>
          <w:trHeight w:val="101"/>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gridSpan w:val="2"/>
            <w:vMerge w:val="continue"/>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All Vehicles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jc w:val="center"/>
              <w:ind w:right="128"/>
              <w:spacing w:after="0"/>
              <w:rPr>
                <w:sz w:val="20"/>
                <w:szCs w:val="20"/>
                <w:color w:val="auto"/>
              </w:rPr>
            </w:pPr>
            <w:r>
              <w:rPr>
                <w:rFonts w:ascii="Arial" w:cs="Arial" w:eastAsia="Arial" w:hAnsi="Arial"/>
                <w:sz w:val="14"/>
                <w:szCs w:val="14"/>
                <w:color w:val="auto"/>
                <w:w w:val="94"/>
              </w:rPr>
              <w:t>788,194</w:t>
            </w:r>
          </w:p>
        </w:tc>
        <w:tc>
          <w:tcPr>
            <w:tcW w:w="112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color w:val="auto"/>
                <w:w w:val="94"/>
              </w:rPr>
              <w:t>106</w:t>
            </w:r>
          </w:p>
        </w:tc>
        <w:tc>
          <w:tcPr>
            <w:tcW w:w="4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w w:val="94"/>
              </w:rPr>
              <w:t>739,034</w:t>
            </w:r>
          </w:p>
        </w:tc>
        <w:tc>
          <w:tcPr>
            <w:tcW w:w="36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70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Full-size Pickups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jc w:val="center"/>
              <w:ind w:right="128"/>
              <w:spacing w:after="0"/>
              <w:rPr>
                <w:sz w:val="20"/>
                <w:szCs w:val="20"/>
                <w:color w:val="auto"/>
              </w:rPr>
            </w:pPr>
            <w:r>
              <w:rPr>
                <w:rFonts w:ascii="Arial" w:cs="Arial" w:eastAsia="Arial" w:hAnsi="Arial"/>
                <w:sz w:val="14"/>
                <w:szCs w:val="14"/>
                <w:color w:val="auto"/>
                <w:w w:val="94"/>
              </w:rPr>
              <w:t>245,853</w:t>
            </w:r>
          </w:p>
        </w:tc>
        <w:tc>
          <w:tcPr>
            <w:tcW w:w="112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color w:val="auto"/>
                <w:w w:val="94"/>
              </w:rPr>
              <w:t>139</w:t>
            </w:r>
          </w:p>
        </w:tc>
        <w:tc>
          <w:tcPr>
            <w:tcW w:w="4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w w:val="94"/>
              </w:rPr>
              <w:t>235,585</w:t>
            </w:r>
          </w:p>
        </w:tc>
        <w:tc>
          <w:tcPr>
            <w:tcW w:w="36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68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51"/>
        </w:trPr>
        <w:tc>
          <w:tcPr>
            <w:tcW w:w="134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40" w:type="dxa"/>
            <w:vAlign w:val="bottom"/>
            <w:tcBorders>
              <w:left w:val="single" w:sz="8" w:color="auto"/>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w w:val="91"/>
              </w:rPr>
              <w:t>Industry Sales</w:t>
            </w:r>
          </w:p>
        </w:tc>
        <w:tc>
          <w:tcPr>
            <w:tcW w:w="2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Nov. SAAR (est.)</w:t>
            </w: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gridSpan w:val="2"/>
          </w:tcPr>
          <w:p>
            <w:pPr>
              <w:jc w:val="center"/>
              <w:ind w:right="408"/>
              <w:spacing w:after="0"/>
              <w:rPr>
                <w:sz w:val="20"/>
                <w:szCs w:val="20"/>
                <w:color w:val="auto"/>
              </w:rPr>
            </w:pPr>
            <w:r>
              <w:rPr>
                <w:rFonts w:ascii="Arial" w:cs="Arial" w:eastAsia="Arial" w:hAnsi="Arial"/>
                <w:sz w:val="14"/>
                <w:szCs w:val="14"/>
                <w:b w:val="1"/>
                <w:bCs w:val="1"/>
                <w:color w:val="auto"/>
                <w:w w:val="97"/>
              </w:rPr>
              <w:t>CYTD SAAR (est.)</w:t>
            </w: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4"/>
              </w:rPr>
              <w:t>Full Year 2012 (est.)</w:t>
            </w: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6"/>
              </w:rPr>
              <w:t>Light Vehicles</w:t>
            </w:r>
          </w:p>
        </w:tc>
        <w:tc>
          <w:tcPr>
            <w:tcW w:w="2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4"/>
                <w:szCs w:val="14"/>
                <w:color w:val="auto"/>
              </w:rPr>
              <w:t>15.3 million range</w:t>
            </w: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gridSpan w:val="2"/>
          </w:tcPr>
          <w:p>
            <w:pPr>
              <w:jc w:val="center"/>
              <w:ind w:right="428"/>
              <w:spacing w:after="0"/>
              <w:rPr>
                <w:sz w:val="20"/>
                <w:szCs w:val="20"/>
                <w:color w:val="auto"/>
              </w:rPr>
            </w:pPr>
            <w:r>
              <w:rPr>
                <w:rFonts w:ascii="Arial" w:cs="Arial" w:eastAsia="Arial" w:hAnsi="Arial"/>
                <w:sz w:val="14"/>
                <w:szCs w:val="14"/>
                <w:color w:val="auto"/>
                <w:w w:val="95"/>
              </w:rPr>
              <w:t>14.4 million range</w:t>
            </w:r>
          </w:p>
        </w:tc>
        <w:tc>
          <w:tcPr>
            <w:tcW w:w="2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8"/>
              </w:rPr>
              <w:t>14.0 million - 14.5 million</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595"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5"/>
        </w:trPr>
        <w:tc>
          <w:tcPr>
            <w:tcW w:w="240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November</w:t>
            </w:r>
          </w:p>
        </w:tc>
        <w:tc>
          <w:tcPr>
            <w:tcW w:w="1100" w:type="dxa"/>
            <w:vAlign w:val="bottom"/>
            <w:tcBorders>
              <w:top w:val="single" w:sz="8" w:color="auto"/>
              <w:right w:val="single" w:sz="8" w:color="auto"/>
            </w:tcBorders>
          </w:tcPr>
          <w:p>
            <w:pPr>
              <w:spacing w:after="0"/>
              <w:rPr>
                <w:sz w:val="24"/>
                <w:szCs w:val="24"/>
                <w:color w:val="auto"/>
              </w:rPr>
            </w:pPr>
          </w:p>
        </w:tc>
        <w:tc>
          <w:tcPr>
            <w:tcW w:w="254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0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January - November</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0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r>
      <w:tr>
        <w:trPr>
          <w:trHeight w:val="25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4,817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3,924</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22.8</w:t>
            </w:r>
          </w:p>
        </w:tc>
        <w:tc>
          <w:tcPr>
            <w:tcW w:w="1020" w:type="dxa"/>
            <w:vAlign w:val="bottom"/>
          </w:tcPr>
          <w:p>
            <w:pPr>
              <w:jc w:val="right"/>
              <w:spacing w:after="0"/>
              <w:rPr>
                <w:sz w:val="20"/>
                <w:szCs w:val="20"/>
                <w:color w:val="auto"/>
              </w:rPr>
            </w:pPr>
            <w:r>
              <w:rPr>
                <w:rFonts w:ascii="Arial" w:cs="Arial" w:eastAsia="Arial" w:hAnsi="Arial"/>
                <w:sz w:val="14"/>
                <w:szCs w:val="14"/>
                <w:color w:val="auto"/>
              </w:rPr>
              <w:t>50,651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52,837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3,797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4,008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(5.3)</w:t>
            </w:r>
          </w:p>
        </w:tc>
        <w:tc>
          <w:tcPr>
            <w:tcW w:w="1020" w:type="dxa"/>
            <w:vAlign w:val="bottom"/>
          </w:tcPr>
          <w:p>
            <w:pPr>
              <w:jc w:val="right"/>
              <w:spacing w:after="0"/>
              <w:rPr>
                <w:sz w:val="20"/>
                <w:szCs w:val="20"/>
                <w:color w:val="auto"/>
              </w:rPr>
            </w:pPr>
            <w:r>
              <w:rPr>
                <w:rFonts w:ascii="Arial" w:cs="Arial" w:eastAsia="Arial" w:hAnsi="Arial"/>
                <w:sz w:val="14"/>
                <w:szCs w:val="14"/>
                <w:color w:val="auto"/>
              </w:rPr>
              <w:t>53,002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53,114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824</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19,646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1,101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2,120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(48.1)</w:t>
            </w:r>
          </w:p>
        </w:tc>
        <w:tc>
          <w:tcPr>
            <w:tcW w:w="1020" w:type="dxa"/>
            <w:vAlign w:val="bottom"/>
          </w:tcPr>
          <w:p>
            <w:pPr>
              <w:jc w:val="right"/>
              <w:spacing w:after="0"/>
              <w:rPr>
                <w:sz w:val="20"/>
                <w:szCs w:val="20"/>
                <w:color w:val="auto"/>
              </w:rPr>
            </w:pPr>
            <w:r>
              <w:rPr>
                <w:rFonts w:ascii="Arial" w:cs="Arial" w:eastAsia="Arial" w:hAnsi="Arial"/>
                <w:sz w:val="14"/>
                <w:szCs w:val="14"/>
                <w:color w:val="auto"/>
              </w:rPr>
              <w:t>23,090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37,058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(37.7)</w:t>
            </w:r>
          </w:p>
        </w:tc>
      </w:tr>
      <w:tr>
        <w:trPr>
          <w:trHeight w:val="276"/>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3,574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36,222</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13,289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10,880</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163,935</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162,659</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0.8</w:t>
            </w:r>
          </w:p>
        </w:tc>
      </w:tr>
      <w:tr>
        <w:trPr>
          <w:trHeight w:val="25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2,152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4,029</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2,798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3,804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(26.4)</w:t>
            </w:r>
          </w:p>
        </w:tc>
        <w:tc>
          <w:tcPr>
            <w:tcW w:w="1020" w:type="dxa"/>
            <w:vAlign w:val="bottom"/>
          </w:tcPr>
          <w:p>
            <w:pPr>
              <w:jc w:val="right"/>
              <w:spacing w:after="0"/>
              <w:rPr>
                <w:sz w:val="20"/>
                <w:szCs w:val="20"/>
                <w:color w:val="auto"/>
              </w:rPr>
            </w:pPr>
            <w:r>
              <w:rPr>
                <w:rFonts w:ascii="Arial" w:cs="Arial" w:eastAsia="Arial" w:hAnsi="Arial"/>
                <w:sz w:val="14"/>
                <w:szCs w:val="14"/>
                <w:color w:val="auto"/>
              </w:rPr>
              <w:t>43,607</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49,622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264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(99.2)</w:t>
            </w:r>
          </w:p>
        </w:tc>
        <w:tc>
          <w:tcPr>
            <w:tcW w:w="1020" w:type="dxa"/>
            <w:vAlign w:val="bottom"/>
          </w:tcPr>
          <w:p>
            <w:pPr>
              <w:jc w:val="right"/>
              <w:spacing w:after="0"/>
              <w:rPr>
                <w:sz w:val="20"/>
                <w:szCs w:val="20"/>
                <w:color w:val="auto"/>
              </w:rPr>
            </w:pPr>
            <w:r>
              <w:rPr>
                <w:rFonts w:ascii="Arial" w:cs="Arial" w:eastAsia="Arial" w:hAnsi="Arial"/>
                <w:sz w:val="14"/>
                <w:szCs w:val="14"/>
                <w:color w:val="auto"/>
              </w:rPr>
              <w:t>465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11,423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(95.9)</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960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1,274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(24.6)</w:t>
            </w:r>
          </w:p>
        </w:tc>
        <w:tc>
          <w:tcPr>
            <w:tcW w:w="1020" w:type="dxa"/>
            <w:vAlign w:val="bottom"/>
          </w:tcPr>
          <w:p>
            <w:pPr>
              <w:jc w:val="right"/>
              <w:spacing w:after="0"/>
              <w:rPr>
                <w:sz w:val="20"/>
                <w:szCs w:val="20"/>
                <w:color w:val="auto"/>
              </w:rPr>
            </w:pPr>
            <w:r>
              <w:rPr>
                <w:rFonts w:ascii="Arial" w:cs="Arial" w:eastAsia="Arial" w:hAnsi="Arial"/>
                <w:sz w:val="14"/>
                <w:szCs w:val="14"/>
                <w:color w:val="auto"/>
              </w:rPr>
              <w:t>11,244</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13,189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693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777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(10.8)</w:t>
            </w:r>
          </w:p>
        </w:tc>
        <w:tc>
          <w:tcPr>
            <w:tcW w:w="1020" w:type="dxa"/>
            <w:vAlign w:val="bottom"/>
          </w:tcPr>
          <w:p>
            <w:pPr>
              <w:jc w:val="right"/>
              <w:spacing w:after="0"/>
              <w:rPr>
                <w:sz w:val="20"/>
                <w:szCs w:val="20"/>
                <w:color w:val="auto"/>
              </w:rPr>
            </w:pPr>
            <w:r>
              <w:rPr>
                <w:rFonts w:ascii="Arial" w:cs="Arial" w:eastAsia="Arial" w:hAnsi="Arial"/>
                <w:sz w:val="14"/>
                <w:szCs w:val="14"/>
                <w:color w:val="auto"/>
              </w:rPr>
              <w:t>7,156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7,269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196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(20.4)</w:t>
            </w:r>
          </w:p>
        </w:tc>
        <w:tc>
          <w:tcPr>
            <w:tcW w:w="1020" w:type="dxa"/>
            <w:vAlign w:val="bottom"/>
          </w:tcPr>
          <w:p>
            <w:pPr>
              <w:jc w:val="right"/>
              <w:spacing w:after="0"/>
              <w:rPr>
                <w:sz w:val="20"/>
                <w:szCs w:val="20"/>
                <w:color w:val="auto"/>
              </w:rPr>
            </w:pPr>
            <w:r>
              <w:rPr>
                <w:rFonts w:ascii="Arial" w:cs="Arial" w:eastAsia="Arial" w:hAnsi="Arial"/>
                <w:sz w:val="14"/>
                <w:szCs w:val="14"/>
                <w:color w:val="auto"/>
              </w:rPr>
              <w:t>1,678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1,774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(5.4)</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5,340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4,736</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12.8</w:t>
            </w:r>
          </w:p>
        </w:tc>
        <w:tc>
          <w:tcPr>
            <w:tcW w:w="1020" w:type="dxa"/>
            <w:vAlign w:val="bottom"/>
          </w:tcPr>
          <w:p>
            <w:pPr>
              <w:jc w:val="right"/>
              <w:spacing w:after="0"/>
              <w:rPr>
                <w:sz w:val="20"/>
                <w:szCs w:val="20"/>
                <w:color w:val="auto"/>
              </w:rPr>
            </w:pPr>
            <w:r>
              <w:rPr>
                <w:rFonts w:ascii="Arial" w:cs="Arial" w:eastAsia="Arial" w:hAnsi="Arial"/>
                <w:sz w:val="14"/>
                <w:szCs w:val="14"/>
                <w:color w:val="auto"/>
              </w:rPr>
              <w:t>51,085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49,581</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(97.9)</w:t>
            </w:r>
          </w:p>
        </w:tc>
        <w:tc>
          <w:tcPr>
            <w:tcW w:w="1020" w:type="dxa"/>
            <w:vAlign w:val="bottom"/>
          </w:tcPr>
          <w:p>
            <w:pPr>
              <w:jc w:val="right"/>
              <w:spacing w:after="0"/>
              <w:rPr>
                <w:sz w:val="20"/>
                <w:szCs w:val="20"/>
                <w:color w:val="auto"/>
              </w:rPr>
            </w:pPr>
            <w:r>
              <w:rPr>
                <w:rFonts w:ascii="Arial" w:cs="Arial" w:eastAsia="Arial" w:hAnsi="Arial"/>
                <w:sz w:val="14"/>
                <w:szCs w:val="14"/>
                <w:color w:val="auto"/>
              </w:rPr>
              <w:t>160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3,260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XLR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12</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9"/>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2,414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12,110</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14,517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11,145</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30.3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131,534</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136,130</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(3.4)</w:t>
            </w:r>
          </w:p>
        </w:tc>
      </w:tr>
      <w:tr>
        <w:trPr>
          <w:trHeight w:val="25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1,778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1,857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1020" w:type="dxa"/>
            <w:vAlign w:val="bottom"/>
          </w:tcPr>
          <w:p>
            <w:pPr>
              <w:jc w:val="right"/>
              <w:spacing w:after="0"/>
              <w:rPr>
                <w:sz w:val="20"/>
                <w:szCs w:val="20"/>
                <w:color w:val="auto"/>
              </w:rPr>
            </w:pPr>
            <w:r>
              <w:rPr>
                <w:rFonts w:ascii="Arial" w:cs="Arial" w:eastAsia="Arial" w:hAnsi="Arial"/>
                <w:sz w:val="14"/>
                <w:szCs w:val="14"/>
                <w:color w:val="auto"/>
              </w:rPr>
              <w:t>21,258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17,542</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21.2</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(96.7)</w:t>
            </w: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28,577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4,464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5,127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(12.9)</w:t>
            </w:r>
          </w:p>
        </w:tc>
        <w:tc>
          <w:tcPr>
            <w:tcW w:w="1020" w:type="dxa"/>
            <w:vAlign w:val="bottom"/>
          </w:tcPr>
          <w:p>
            <w:pPr>
              <w:jc w:val="right"/>
              <w:spacing w:after="0"/>
              <w:rPr>
                <w:sz w:val="20"/>
                <w:szCs w:val="20"/>
                <w:color w:val="auto"/>
              </w:rPr>
            </w:pPr>
            <w:r>
              <w:rPr>
                <w:rFonts w:ascii="Arial" w:cs="Arial" w:eastAsia="Arial" w:hAnsi="Arial"/>
                <w:sz w:val="14"/>
                <w:szCs w:val="14"/>
                <w:color w:val="auto"/>
              </w:rPr>
              <w:t>78,554</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81,495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(3.6)</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167</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68.3</w:t>
            </w:r>
          </w:p>
        </w:tc>
        <w:tc>
          <w:tcPr>
            <w:tcW w:w="1020" w:type="dxa"/>
            <w:vAlign w:val="bottom"/>
          </w:tcPr>
          <w:p>
            <w:pPr>
              <w:jc w:val="right"/>
              <w:spacing w:after="0"/>
              <w:rPr>
                <w:sz w:val="20"/>
                <w:szCs w:val="20"/>
                <w:color w:val="auto"/>
              </w:rPr>
            </w:pPr>
            <w:r>
              <w:rPr>
                <w:rFonts w:ascii="Arial" w:cs="Arial" w:eastAsia="Arial" w:hAnsi="Arial"/>
                <w:sz w:val="14"/>
                <w:szCs w:val="14"/>
                <w:color w:val="auto"/>
              </w:rPr>
              <w:t>3,489</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781</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346.7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3,672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2,915</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26.0</w:t>
            </w:r>
          </w:p>
        </w:tc>
        <w:tc>
          <w:tcPr>
            <w:tcW w:w="1020" w:type="dxa"/>
            <w:vAlign w:val="bottom"/>
          </w:tcPr>
          <w:p>
            <w:pPr>
              <w:jc w:val="right"/>
              <w:spacing w:after="0"/>
              <w:rPr>
                <w:sz w:val="20"/>
                <w:szCs w:val="20"/>
                <w:color w:val="auto"/>
              </w:rPr>
            </w:pPr>
            <w:r>
              <w:rPr>
                <w:rFonts w:ascii="Arial" w:cs="Arial" w:eastAsia="Arial" w:hAnsi="Arial"/>
                <w:sz w:val="14"/>
                <w:szCs w:val="14"/>
                <w:color w:val="auto"/>
              </w:rPr>
              <w:t>34,228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5,055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577.1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851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1,327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1,978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(32.9)</w:t>
            </w:r>
          </w:p>
        </w:tc>
        <w:tc>
          <w:tcPr>
            <w:tcW w:w="1020" w:type="dxa"/>
            <w:vAlign w:val="bottom"/>
          </w:tcPr>
          <w:p>
            <w:pPr>
              <w:jc w:val="right"/>
              <w:spacing w:after="0"/>
              <w:rPr>
                <w:sz w:val="20"/>
                <w:szCs w:val="20"/>
                <w:color w:val="auto"/>
              </w:rPr>
            </w:pPr>
            <w:r>
              <w:rPr>
                <w:rFonts w:ascii="Arial" w:cs="Arial" w:eastAsia="Arial" w:hAnsi="Arial"/>
                <w:sz w:val="14"/>
                <w:szCs w:val="14"/>
                <w:color w:val="auto"/>
              </w:rPr>
              <w:t>35,547</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28,056</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1,104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910</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21.3</w:t>
            </w:r>
          </w:p>
        </w:tc>
        <w:tc>
          <w:tcPr>
            <w:tcW w:w="1020" w:type="dxa"/>
            <w:vAlign w:val="bottom"/>
          </w:tcPr>
          <w:p>
            <w:pPr>
              <w:jc w:val="right"/>
              <w:spacing w:after="0"/>
              <w:rPr>
                <w:sz w:val="20"/>
                <w:szCs w:val="20"/>
                <w:color w:val="auto"/>
              </w:rPr>
            </w:pPr>
            <w:r>
              <w:rPr>
                <w:rFonts w:ascii="Arial" w:cs="Arial" w:eastAsia="Arial" w:hAnsi="Arial"/>
                <w:sz w:val="14"/>
                <w:szCs w:val="14"/>
                <w:color w:val="auto"/>
              </w:rPr>
              <w:t>12,841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12,126</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16,807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13,238</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27.0</w:t>
            </w:r>
          </w:p>
        </w:tc>
        <w:tc>
          <w:tcPr>
            <w:tcW w:w="1020" w:type="dxa"/>
            <w:vAlign w:val="bottom"/>
          </w:tcPr>
          <w:p>
            <w:pPr>
              <w:jc w:val="right"/>
              <w:spacing w:after="0"/>
              <w:rPr>
                <w:sz w:val="20"/>
                <w:szCs w:val="20"/>
                <w:color w:val="auto"/>
              </w:rPr>
            </w:pPr>
            <w:r>
              <w:rPr>
                <w:rFonts w:ascii="Arial" w:cs="Arial" w:eastAsia="Arial" w:hAnsi="Arial"/>
                <w:sz w:val="14"/>
                <w:szCs w:val="14"/>
                <w:color w:val="auto"/>
              </w:rPr>
              <w:t>216,528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215,057</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16,821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14,936</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12.6</w:t>
            </w:r>
          </w:p>
        </w:tc>
        <w:tc>
          <w:tcPr>
            <w:tcW w:w="1020" w:type="dxa"/>
            <w:vAlign w:val="bottom"/>
          </w:tcPr>
          <w:p>
            <w:pPr>
              <w:jc w:val="right"/>
              <w:spacing w:after="0"/>
              <w:rPr>
                <w:sz w:val="20"/>
                <w:szCs w:val="20"/>
                <w:color w:val="auto"/>
              </w:rPr>
            </w:pPr>
            <w:r>
              <w:rPr>
                <w:rFonts w:ascii="Arial" w:cs="Arial" w:eastAsia="Arial" w:hAnsi="Arial"/>
                <w:sz w:val="14"/>
                <w:szCs w:val="14"/>
                <w:color w:val="auto"/>
              </w:rPr>
              <w:t>199,070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175,079</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13.7</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6,007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5,387</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11.5</w:t>
            </w:r>
          </w:p>
        </w:tc>
        <w:tc>
          <w:tcPr>
            <w:tcW w:w="1020" w:type="dxa"/>
            <w:vAlign w:val="bottom"/>
          </w:tcPr>
          <w:p>
            <w:pPr>
              <w:jc w:val="right"/>
              <w:spacing w:after="0"/>
              <w:rPr>
                <w:sz w:val="20"/>
                <w:szCs w:val="20"/>
                <w:color w:val="auto"/>
              </w:rPr>
            </w:pPr>
            <w:r>
              <w:rPr>
                <w:rFonts w:ascii="Arial" w:cs="Arial" w:eastAsia="Arial" w:hAnsi="Arial"/>
                <w:sz w:val="14"/>
                <w:szCs w:val="14"/>
                <w:color w:val="auto"/>
              </w:rPr>
              <w:t>69,421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63,482</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9.4</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23</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36,862</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11,163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10,851</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2.9</w:t>
            </w:r>
          </w:p>
        </w:tc>
        <w:tc>
          <w:tcPr>
            <w:tcW w:w="1020" w:type="dxa"/>
            <w:vAlign w:val="bottom"/>
          </w:tcPr>
          <w:p>
            <w:pPr>
              <w:jc w:val="right"/>
              <w:spacing w:after="0"/>
              <w:rPr>
                <w:sz w:val="20"/>
                <w:szCs w:val="20"/>
                <w:color w:val="auto"/>
              </w:rPr>
            </w:pPr>
            <w:r>
              <w:rPr>
                <w:rFonts w:ascii="Arial" w:cs="Arial" w:eastAsia="Arial" w:hAnsi="Arial"/>
                <w:sz w:val="14"/>
                <w:szCs w:val="14"/>
                <w:color w:val="auto"/>
              </w:rPr>
              <w:t>159,710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160,955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(0.8)</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10</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10,227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10,269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(0.4)</w:t>
            </w:r>
          </w:p>
        </w:tc>
        <w:tc>
          <w:tcPr>
            <w:tcW w:w="1020" w:type="dxa"/>
            <w:vAlign w:val="bottom"/>
          </w:tcPr>
          <w:p>
            <w:pPr>
              <w:jc w:val="right"/>
              <w:spacing w:after="0"/>
              <w:rPr>
                <w:sz w:val="20"/>
                <w:szCs w:val="20"/>
                <w:color w:val="auto"/>
              </w:rPr>
            </w:pPr>
            <w:r>
              <w:rPr>
                <w:rFonts w:ascii="Arial" w:cs="Arial" w:eastAsia="Arial" w:hAnsi="Arial"/>
                <w:sz w:val="14"/>
                <w:szCs w:val="14"/>
                <w:color w:val="auto"/>
              </w:rPr>
              <w:t>199,321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191,774</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3.9</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30,674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34,251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(10.4)</w:t>
            </w:r>
          </w:p>
        </w:tc>
        <w:tc>
          <w:tcPr>
            <w:tcW w:w="1020" w:type="dxa"/>
            <w:vAlign w:val="bottom"/>
          </w:tcPr>
          <w:p>
            <w:pPr>
              <w:jc w:val="right"/>
              <w:spacing w:after="0"/>
              <w:rPr>
                <w:sz w:val="20"/>
                <w:szCs w:val="20"/>
                <w:color w:val="auto"/>
              </w:rPr>
            </w:pPr>
            <w:r>
              <w:rPr>
                <w:rFonts w:ascii="Arial" w:cs="Arial" w:eastAsia="Arial" w:hAnsi="Arial"/>
                <w:sz w:val="14"/>
                <w:szCs w:val="14"/>
                <w:color w:val="auto"/>
              </w:rPr>
              <w:t>367,613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367,343</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5,016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4,496</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11.6</w:t>
            </w:r>
          </w:p>
        </w:tc>
        <w:tc>
          <w:tcPr>
            <w:tcW w:w="1020" w:type="dxa"/>
            <w:vAlign w:val="bottom"/>
          </w:tcPr>
          <w:p>
            <w:pPr>
              <w:jc w:val="right"/>
              <w:spacing w:after="0"/>
              <w:rPr>
                <w:sz w:val="20"/>
                <w:szCs w:val="20"/>
                <w:color w:val="auto"/>
              </w:rPr>
            </w:pPr>
            <w:r>
              <w:rPr>
                <w:rFonts w:ascii="Arial" w:cs="Arial" w:eastAsia="Arial" w:hAnsi="Arial"/>
                <w:sz w:val="14"/>
                <w:szCs w:val="14"/>
                <w:color w:val="auto"/>
              </w:rPr>
              <w:t>75,257</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10,035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649.9</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1,709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10,156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4,705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5,787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(18.7)</w:t>
            </w:r>
          </w:p>
        </w:tc>
        <w:tc>
          <w:tcPr>
            <w:tcW w:w="1020" w:type="dxa"/>
            <w:vAlign w:val="bottom"/>
          </w:tcPr>
          <w:p>
            <w:pPr>
              <w:jc w:val="right"/>
              <w:spacing w:after="0"/>
              <w:rPr>
                <w:sz w:val="20"/>
                <w:szCs w:val="20"/>
                <w:color w:val="auto"/>
              </w:rPr>
            </w:pPr>
            <w:r>
              <w:rPr>
                <w:rFonts w:ascii="Arial" w:cs="Arial" w:eastAsia="Arial" w:hAnsi="Arial"/>
                <w:sz w:val="14"/>
                <w:szCs w:val="14"/>
                <w:color w:val="auto"/>
              </w:rPr>
              <w:t>42,160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43,497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5,895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8,401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(29.8)</w:t>
            </w:r>
          </w:p>
        </w:tc>
        <w:tc>
          <w:tcPr>
            <w:tcW w:w="1020" w:type="dxa"/>
            <w:vAlign w:val="bottom"/>
          </w:tcPr>
          <w:p>
            <w:pPr>
              <w:jc w:val="right"/>
              <w:spacing w:after="0"/>
              <w:rPr>
                <w:sz w:val="20"/>
                <w:szCs w:val="20"/>
                <w:color w:val="auto"/>
              </w:rPr>
            </w:pPr>
            <w:r>
              <w:rPr>
                <w:rFonts w:ascii="Arial" w:cs="Arial" w:eastAsia="Arial" w:hAnsi="Arial"/>
                <w:sz w:val="14"/>
                <w:szCs w:val="14"/>
                <w:color w:val="auto"/>
              </w:rPr>
              <w:t>60,302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72,097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(16.4)</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33</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5,697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7,144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(20.3)</w:t>
            </w:r>
          </w:p>
        </w:tc>
        <w:tc>
          <w:tcPr>
            <w:tcW w:w="1020" w:type="dxa"/>
            <w:vAlign w:val="bottom"/>
          </w:tcPr>
          <w:p>
            <w:pPr>
              <w:jc w:val="right"/>
              <w:spacing w:after="0"/>
              <w:rPr>
                <w:sz w:val="20"/>
                <w:szCs w:val="20"/>
                <w:color w:val="auto"/>
              </w:rPr>
            </w:pPr>
            <w:r>
              <w:rPr>
                <w:rFonts w:ascii="Arial" w:cs="Arial" w:eastAsia="Arial" w:hAnsi="Arial"/>
                <w:sz w:val="14"/>
                <w:szCs w:val="14"/>
                <w:color w:val="auto"/>
              </w:rPr>
              <w:t>78,176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97,805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w:t>
            </w:r>
          </w:p>
        </w:tc>
      </w:tr>
      <w:tr>
        <w:trPr>
          <w:trHeight w:val="289"/>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1,139</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20,828</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6,142</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239.1</w:t>
            </w:r>
          </w:p>
        </w:tc>
      </w:tr>
      <w:tr>
        <w:trPr>
          <w:trHeight w:val="277"/>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128,867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128,907</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1,684,555</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1,614,654</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4.3</w:t>
            </w:r>
          </w:p>
        </w:tc>
      </w:tr>
      <w:tr>
        <w:trPr>
          <w:trHeight w:val="25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3,631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4,886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(25.7)</w:t>
            </w:r>
          </w:p>
        </w:tc>
        <w:tc>
          <w:tcPr>
            <w:tcW w:w="1020" w:type="dxa"/>
            <w:vAlign w:val="bottom"/>
          </w:tcPr>
          <w:p>
            <w:pPr>
              <w:jc w:val="right"/>
              <w:spacing w:after="0"/>
              <w:rPr>
                <w:sz w:val="20"/>
                <w:szCs w:val="20"/>
                <w:color w:val="auto"/>
              </w:rPr>
            </w:pPr>
            <w:r>
              <w:rPr>
                <w:rFonts w:ascii="Arial" w:cs="Arial" w:eastAsia="Arial" w:hAnsi="Arial"/>
                <w:sz w:val="14"/>
                <w:szCs w:val="14"/>
                <w:color w:val="auto"/>
              </w:rPr>
              <w:t>73,101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71,933</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462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(28.6)</w:t>
            </w:r>
          </w:p>
        </w:tc>
        <w:tc>
          <w:tcPr>
            <w:tcW w:w="1020" w:type="dxa"/>
            <w:vAlign w:val="bottom"/>
          </w:tcPr>
          <w:p>
            <w:pPr>
              <w:jc w:val="right"/>
              <w:spacing w:after="0"/>
              <w:rPr>
                <w:sz w:val="20"/>
                <w:szCs w:val="20"/>
                <w:color w:val="auto"/>
              </w:rPr>
            </w:pPr>
            <w:r>
              <w:rPr>
                <w:rFonts w:ascii="Arial" w:cs="Arial" w:eastAsia="Arial" w:hAnsi="Arial"/>
                <w:sz w:val="14"/>
                <w:szCs w:val="14"/>
                <w:color w:val="auto"/>
              </w:rPr>
              <w:t>8,420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8,874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1,014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732</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38.5</w:t>
            </w:r>
          </w:p>
        </w:tc>
        <w:tc>
          <w:tcPr>
            <w:tcW w:w="1020" w:type="dxa"/>
            <w:vAlign w:val="bottom"/>
          </w:tcPr>
          <w:p>
            <w:pPr>
              <w:jc w:val="right"/>
              <w:spacing w:after="0"/>
              <w:rPr>
                <w:sz w:val="20"/>
                <w:szCs w:val="20"/>
                <w:color w:val="auto"/>
              </w:rPr>
            </w:pPr>
            <w:r>
              <w:rPr>
                <w:rFonts w:ascii="Arial" w:cs="Arial" w:eastAsia="Arial" w:hAnsi="Arial"/>
                <w:sz w:val="14"/>
                <w:szCs w:val="14"/>
                <w:color w:val="auto"/>
              </w:rPr>
              <w:t>19,320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14,738</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31.1</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11,726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11,971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w:t>
            </w:r>
          </w:p>
        </w:tc>
        <w:tc>
          <w:tcPr>
            <w:tcW w:w="1020" w:type="dxa"/>
            <w:vAlign w:val="bottom"/>
          </w:tcPr>
          <w:p>
            <w:pPr>
              <w:jc w:val="right"/>
              <w:spacing w:after="0"/>
              <w:rPr>
                <w:sz w:val="20"/>
                <w:szCs w:val="20"/>
                <w:color w:val="auto"/>
              </w:rPr>
            </w:pPr>
            <w:r>
              <w:rPr>
                <w:rFonts w:ascii="Arial" w:cs="Arial" w:eastAsia="Arial" w:hAnsi="Arial"/>
                <w:sz w:val="14"/>
                <w:szCs w:val="14"/>
                <w:color w:val="auto"/>
              </w:rPr>
              <w:t>138,475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132,675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8,158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5,654</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44.3</w:t>
            </w:r>
          </w:p>
        </w:tc>
        <w:tc>
          <w:tcPr>
            <w:tcW w:w="1020" w:type="dxa"/>
            <w:vAlign w:val="bottom"/>
          </w:tcPr>
          <w:p>
            <w:pPr>
              <w:jc w:val="right"/>
              <w:spacing w:after="0"/>
              <w:rPr>
                <w:sz w:val="20"/>
                <w:szCs w:val="20"/>
                <w:color w:val="auto"/>
              </w:rPr>
            </w:pPr>
            <w:r>
              <w:rPr>
                <w:rFonts w:ascii="Arial" w:cs="Arial" w:eastAsia="Arial" w:hAnsi="Arial"/>
                <w:sz w:val="14"/>
                <w:szCs w:val="14"/>
                <w:color w:val="auto"/>
              </w:rPr>
              <w:t>86,270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75,455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14.3</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8</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2,438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2,987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(18.4)</w:t>
            </w:r>
          </w:p>
        </w:tc>
        <w:tc>
          <w:tcPr>
            <w:tcW w:w="1020" w:type="dxa"/>
            <w:vAlign w:val="bottom"/>
          </w:tcPr>
          <w:p>
            <w:pPr>
              <w:jc w:val="right"/>
              <w:spacing w:after="0"/>
              <w:rPr>
                <w:sz w:val="20"/>
                <w:szCs w:val="20"/>
                <w:color w:val="auto"/>
              </w:rPr>
            </w:pPr>
            <w:r>
              <w:rPr>
                <w:rFonts w:ascii="Arial" w:cs="Arial" w:eastAsia="Arial" w:hAnsi="Arial"/>
                <w:sz w:val="14"/>
                <w:szCs w:val="14"/>
                <w:color w:val="auto"/>
              </w:rPr>
              <w:t>23,876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30,282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(21.2)</w:t>
            </w:r>
          </w:p>
        </w:tc>
      </w:tr>
      <w:tr>
        <w:trPr>
          <w:trHeight w:val="289"/>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2,535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2,778</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20,498</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22,051</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r>
      <w:tr>
        <w:trPr>
          <w:trHeight w:val="277"/>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29,832</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29,470</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369,960</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356,026</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3.9</w:t>
            </w:r>
          </w:p>
        </w:tc>
      </w:tr>
      <w:tr>
        <w:trPr>
          <w:trHeight w:val="277"/>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186,505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180,402</w:t>
            </w: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2,349,984</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2,269,469</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3.5</w:t>
            </w:r>
          </w:p>
        </w:tc>
      </w:tr>
    </w:tbl>
    <w:p>
      <w:pPr>
        <w:spacing w:after="0" w:line="76" w:lineRule="exact"/>
        <w:rPr>
          <w:sz w:val="20"/>
          <w:szCs w:val="20"/>
          <w:color w:val="auto"/>
        </w:rPr>
      </w:pPr>
    </w:p>
    <w:p>
      <w:pPr>
        <w:sectPr>
          <w:pgSz w:w="11900" w:h="16838" w:orient="portrait"/>
          <w:cols w:equalWidth="0" w:num="1">
            <w:col w:w="9679"/>
          </w:cols>
          <w:pgMar w:left="780" w:top="714" w:right="1440" w:bottom="0" w:gutter="0" w:footer="0" w:header="0"/>
        </w:sectPr>
      </w:pPr>
    </w:p>
    <w:p>
      <w:pPr>
        <w:ind w:left="80"/>
        <w:spacing w:after="0"/>
        <w:rPr>
          <w:sz w:val="20"/>
          <w:szCs w:val="20"/>
          <w:color w:val="auto"/>
        </w:rPr>
      </w:pPr>
      <w:r>
        <w:rPr>
          <w:rFonts w:ascii="Arial" w:cs="Arial" w:eastAsia="Arial" w:hAnsi="Arial"/>
          <w:sz w:val="13"/>
          <w:szCs w:val="13"/>
          <w:color w:val="auto"/>
        </w:rPr>
        <w:t>* 25 selling days for the November period this year and 25 for last year.</w:t>
      </w:r>
    </w:p>
    <w:p>
      <w:pPr>
        <w:sectPr>
          <w:pgSz w:w="11900" w:h="16838" w:orient="portrait"/>
          <w:cols w:equalWidth="0" w:num="1">
            <w:col w:w="9679"/>
          </w:cols>
          <w:pgMar w:left="780" w:top="714" w:right="1440" w:bottom="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2019-12-09T19:41:58Z</dcterms:created>
  <dcterms:modified xsi:type="dcterms:W3CDTF">2019-12-09T19:41:58Z</dcterms:modified>
</cp:coreProperties>
</file>