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5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21590</wp:posOffset>
            </wp:positionV>
            <wp:extent cx="7322820" cy="5636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3626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Bingol Selim</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96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06/30/2011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8" w:right="640" w:firstLine="8"/>
        <w:spacing w:after="0" w:line="25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2"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32"/>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40" w:space="720"/>
            <w:col w:w="3268" w:space="720"/>
            <w:col w:w="3472"/>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40" w:type="dxa"/>
            <w:vAlign w:val="bottom"/>
            <w:gridSpan w:val="7"/>
          </w:tcPr>
          <w:p>
            <w:pPr>
              <w:jc w:val="center"/>
              <w:ind w:right="33"/>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9"/>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9"/>
            <w:vMerge w:val="restart"/>
          </w:tcPr>
          <w:p>
            <w:pPr>
              <w:ind w:left="5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18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4"/>
              </w:rPr>
              <w:t>Reported</w:t>
            </w: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06/30/2011</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6"/>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center"/>
              <w:ind w:left="111"/>
              <w:spacing w:after="0"/>
              <w:rPr>
                <w:sz w:val="20"/>
                <w:szCs w:val="20"/>
                <w:color w:val="auto"/>
              </w:rPr>
            </w:pPr>
            <w:r>
              <w:rPr>
                <w:rFonts w:ascii="Arial" w:cs="Arial" w:eastAsia="Arial" w:hAnsi="Arial"/>
                <w:sz w:val="18"/>
                <w:szCs w:val="18"/>
                <w:color w:val="0000FF"/>
                <w:w w:val="83"/>
              </w:rPr>
              <w:t>927</w:t>
            </w:r>
            <w:r>
              <w:rPr>
                <w:rFonts w:ascii="Arial" w:cs="Arial" w:eastAsia="Arial" w:hAnsi="Arial"/>
                <w:sz w:val="22"/>
                <w:szCs w:val="22"/>
                <w:color w:val="008000"/>
                <w:w w:val="83"/>
                <w:vertAlign w:val="superscript"/>
              </w:rPr>
              <w:t>(2)</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74"/>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(3)</w:t>
            </w: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1,427</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06/30/2011</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center"/>
              <w:ind w:left="131"/>
              <w:spacing w:after="0"/>
              <w:rPr>
                <w:sz w:val="20"/>
                <w:szCs w:val="20"/>
                <w:color w:val="auto"/>
              </w:rPr>
            </w:pPr>
            <w:r>
              <w:rPr>
                <w:rFonts w:ascii="Arial" w:cs="Arial" w:eastAsia="Arial" w:hAnsi="Arial"/>
                <w:sz w:val="18"/>
                <w:szCs w:val="18"/>
                <w:color w:val="0000FF"/>
                <w:w w:val="86"/>
              </w:rPr>
              <w:t>286</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30.39</w:t>
            </w:r>
            <w:r>
              <w:rPr>
                <w:rFonts w:ascii="Arial" w:cs="Arial" w:eastAsia="Arial" w:hAnsi="Arial"/>
                <w:sz w:val="22"/>
                <w:szCs w:val="22"/>
                <w:color w:val="008000"/>
                <w:w w:val="87"/>
                <w:vertAlign w:val="superscript"/>
              </w:rPr>
              <w:t>(3)</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1,141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06/30/2011</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jc w:val="center"/>
              <w:ind w:left="111"/>
              <w:spacing w:after="0"/>
              <w:rPr>
                <w:sz w:val="20"/>
                <w:szCs w:val="20"/>
                <w:color w:val="auto"/>
              </w:rPr>
            </w:pPr>
            <w:r>
              <w:rPr>
                <w:rFonts w:ascii="Arial" w:cs="Arial" w:eastAsia="Arial" w:hAnsi="Arial"/>
                <w:sz w:val="18"/>
                <w:szCs w:val="18"/>
                <w:color w:val="0000FF"/>
                <w:w w:val="88"/>
              </w:rPr>
              <w:t>2,263</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74"/>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(3)</w:t>
            </w: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3,404</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8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6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ind w:left="400"/>
              <w:spacing w:after="0"/>
              <w:rPr>
                <w:sz w:val="20"/>
                <w:szCs w:val="20"/>
                <w:color w:val="auto"/>
              </w:rPr>
            </w:pPr>
            <w:r>
              <w:rPr>
                <w:rFonts w:ascii="Arial" w:cs="Arial" w:eastAsia="Arial" w:hAnsi="Arial"/>
                <w:sz w:val="26"/>
                <w:szCs w:val="26"/>
                <w:color w:val="0000FF"/>
                <w:w w:val="99"/>
                <w:vertAlign w:val="subscript"/>
              </w:rPr>
              <w:t>927</w:t>
            </w:r>
            <w:r>
              <w:rPr>
                <w:rFonts w:ascii="Arial" w:cs="Arial" w:eastAsia="Arial" w:hAnsi="Arial"/>
                <w:sz w:val="11"/>
                <w:szCs w:val="11"/>
                <w:color w:val="008000"/>
                <w:w w:val="99"/>
              </w:rPr>
              <w:t>(2)</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927</w:t>
            </w:r>
            <w:r>
              <w:rPr>
                <w:rFonts w:ascii="Arial" w:cs="Arial" w:eastAsia="Arial" w:hAnsi="Arial"/>
                <w:sz w:val="22"/>
                <w:szCs w:val="22"/>
                <w:color w:val="008000"/>
                <w:vertAlign w:val="superscript"/>
              </w:rPr>
              <w:t>(2)</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0000FF"/>
                <w:w w:val="83"/>
              </w:rPr>
              <w:t>1,854</w:t>
            </w:r>
            <w:r>
              <w:rPr>
                <w:rFonts w:ascii="Arial" w:cs="Arial" w:eastAsia="Arial" w:hAnsi="Arial"/>
                <w:sz w:val="22"/>
                <w:szCs w:val="22"/>
                <w:color w:val="008000"/>
                <w:w w:val="83"/>
                <w:vertAlign w:val="superscript"/>
              </w:rPr>
              <w:t>(2)</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ind w:left="200"/>
              <w:spacing w:after="0"/>
              <w:rPr>
                <w:sz w:val="20"/>
                <w:szCs w:val="20"/>
                <w:color w:val="auto"/>
              </w:rPr>
            </w:pPr>
            <w:r>
              <w:rPr>
                <w:rFonts w:ascii="Arial" w:cs="Arial" w:eastAsia="Arial" w:hAnsi="Arial"/>
                <w:sz w:val="13"/>
                <w:szCs w:val="13"/>
                <w:color w:val="0000FF"/>
              </w:rPr>
              <w:t>06/30/2011</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00" w:type="dxa"/>
            <w:vAlign w:val="bottom"/>
          </w:tcPr>
          <w:p>
            <w:pPr>
              <w:ind w:left="260"/>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right"/>
              <w:ind w:right="173"/>
              <w:spacing w:after="0" w:line="149"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500" w:firstLine="8"/>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issued on June 30, 2010 pursuant to the Company's Salary Stock Plan (the "GMSSP") and vested upon grant. The portion of this award currently payable was settled on June 30, 2011 in shares of the Company's Common Stock, less a portion withheld for taxes.</w:t>
      </w:r>
    </w:p>
    <w:p>
      <w:pPr>
        <w:ind w:left="40" w:right="140" w:firstLine="8"/>
        <w:spacing w:after="0" w:line="287"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30, 2010 the employee received a grant of 927 SSUs, of which 309 SSUs were scheduled to be payable on June 30, 2011.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2,781 SSUs granted on June 30, 2010, of which 927 SSUs became payable on June 30, 2011.</w:t>
      </w:r>
    </w:p>
    <w:p>
      <w:pPr>
        <w:spacing w:after="0" w:line="4"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SSUs do not have an expiration or exercise date or carry a conversion or exercise price. Each SSU is the economic equivalent of one share of Common Stock. Under the GMSSP, the Fair Market Value</w:t>
      </w:r>
    </w:p>
    <w:p>
      <w:pPr>
        <w:spacing w:after="0" w:line="22" w:lineRule="exact"/>
        <w:rPr>
          <w:rFonts w:ascii="Arial" w:cs="Arial" w:eastAsia="Arial" w:hAnsi="Arial"/>
          <w:sz w:val="12"/>
          <w:szCs w:val="12"/>
          <w:color w:val="008000"/>
        </w:rPr>
      </w:pPr>
    </w:p>
    <w:p>
      <w:pPr>
        <w:ind w:left="40" w:right="140"/>
        <w:spacing w:after="0" w:line="255" w:lineRule="auto"/>
        <w:rPr>
          <w:rFonts w:ascii="Arial" w:cs="Arial" w:eastAsia="Arial" w:hAnsi="Arial"/>
          <w:sz w:val="12"/>
          <w:szCs w:val="12"/>
          <w:color w:val="008000"/>
        </w:rPr>
      </w:pPr>
      <w:r>
        <w:rPr>
          <w:rFonts w:ascii="Arial" w:cs="Arial" w:eastAsia="Arial" w:hAnsi="Arial"/>
          <w:sz w:val="13"/>
          <w:szCs w:val="13"/>
          <w:color w:val="008000"/>
        </w:rPr>
        <w:t>of the Common Stock is the average of the high and low trading prices for the Common Stock as reported on the New York Stock Exchange, on which the Common Stock is listed, on the date of the transaction, which was $30.39.</w:t>
      </w:r>
    </w:p>
    <w:p>
      <w:pPr>
        <w:spacing w:after="0" w:line="21" w:lineRule="exact"/>
        <w:rPr>
          <w:rFonts w:ascii="Arial" w:cs="Arial" w:eastAsia="Arial" w:hAnsi="Arial"/>
          <w:sz w:val="12"/>
          <w:szCs w:val="12"/>
          <w:color w:val="008000"/>
        </w:rPr>
      </w:pPr>
    </w:p>
    <w:p>
      <w:pPr>
        <w:ind w:left="40" w:right="34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2011 pursuant to the GMSSP and were fully vested upon grant. The SSUs will be delivered in the form of shares of Common Stock in three equal, annual installments beginning on June 30, 2012.</w:t>
      </w:r>
    </w:p>
    <w:p>
      <w:pPr>
        <w:spacing w:after="0" w:line="1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07/05/2011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Bingol</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2019-12-17T00:46:57Z</dcterms:created>
  <dcterms:modified xsi:type="dcterms:W3CDTF">2019-12-17T00:46:57Z</dcterms:modified>
</cp:coreProperties>
</file>