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Reuss Mark L</w:t>
              </w:r>
            </w:hyperlink>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restart"/>
          </w:tcPr>
          <w:p>
            <w:pPr>
              <w:ind w:left="120"/>
              <w:spacing w:after="0" w:line="133" w:lineRule="exact"/>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line="13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80" w:type="dxa"/>
            <w:vAlign w:val="bottom"/>
            <w:gridSpan w:val="2"/>
            <w:vMerge w:val="restart"/>
          </w:tcPr>
          <w:p>
            <w:pPr>
              <w:ind w:left="420"/>
              <w:spacing w:after="0"/>
              <w:rPr>
                <w:sz w:val="20"/>
                <w:szCs w:val="20"/>
                <w:color w:val="auto"/>
              </w:rPr>
            </w:pPr>
            <w:r>
              <w:rPr>
                <w:rFonts w:ascii="Arial" w:cs="Arial" w:eastAsia="Arial" w:hAnsi="Arial"/>
                <w:sz w:val="17"/>
                <w:szCs w:val="17"/>
                <w:color w:val="0000FF"/>
              </w:rPr>
              <w:t>President</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9"/>
              </w:rPr>
              <w:t>300 RENAISSANCE CENTER</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7"/>
                <w:szCs w:val="17"/>
                <w:color w:val="0000FF"/>
              </w:rPr>
              <w:t>02/12/2023</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7"/>
                <w:szCs w:val="17"/>
                <w:color w:val="0000FF"/>
              </w:rPr>
              <w:t>M/C: 482-C24-A68</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4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6"/>
                <w:szCs w:val="6"/>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1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7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2"/>
              </w:rPr>
              <w:t>Common Stock</w:t>
            </w:r>
            <w:r>
              <w:rPr>
                <w:rFonts w:ascii="Arial" w:cs="Arial" w:eastAsia="Arial" w:hAnsi="Arial"/>
                <w:sz w:val="22"/>
                <w:szCs w:val="22"/>
                <w:color w:val="008000"/>
                <w:w w:val="92"/>
                <w:vertAlign w:val="superscript"/>
              </w:rPr>
              <w:t>(1)</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02/12/2023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174,779</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364,853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5"/>
          </w:tcPr>
          <w:p>
            <w:pPr>
              <w:ind w:left="860"/>
              <w:spacing w:after="0"/>
              <w:rPr>
                <w:sz w:val="20"/>
                <w:szCs w:val="20"/>
                <w:color w:val="auto"/>
              </w:rPr>
            </w:pPr>
            <w:r>
              <w:rPr>
                <w:rFonts w:ascii="Arial" w:cs="Arial" w:eastAsia="Arial" w:hAnsi="Arial"/>
                <w:sz w:val="17"/>
                <w:szCs w:val="17"/>
                <w:color w:val="0000FF"/>
              </w:rPr>
              <w:t>02/12/2023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gridSpan w:val="2"/>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3"/>
              <w:spacing w:after="0"/>
              <w:rPr>
                <w:sz w:val="20"/>
                <w:szCs w:val="20"/>
                <w:color w:val="auto"/>
              </w:rPr>
            </w:pPr>
            <w:r>
              <w:rPr>
                <w:rFonts w:ascii="Arial" w:cs="Arial" w:eastAsia="Arial" w:hAnsi="Arial"/>
                <w:sz w:val="17"/>
                <w:szCs w:val="17"/>
                <w:color w:val="0000FF"/>
              </w:rPr>
              <w:t>72,580</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4"/>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41.35</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292,273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3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12, 2020, the Reporting Person received a grant of Performance Stock Units ("PSUs"). Under the grant, the PSUs could be earned based on the achievement of certain financial targets. The PSUs vested on February 12, 2023, and were awarded in shares of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02/14/2023</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Fact for Mr. Reuss</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2023-02-14T18:02:53Z</dcterms:created>
  <dcterms:modified xsi:type="dcterms:W3CDTF">2023-02-14T18:02:53Z</dcterms:modified>
</cp:coreProperties>
</file>