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Quattrone John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3"/>
        <w:spacing w:after="0"/>
        <w:rPr>
          <w:sz w:val="20"/>
          <w:szCs w:val="20"/>
          <w:color w:val="auto"/>
        </w:rPr>
      </w:pPr>
      <w:r>
        <w:rPr>
          <w:rFonts w:ascii="Arial" w:cs="Arial" w:eastAsia="Arial" w:hAnsi="Arial"/>
          <w:sz w:val="17"/>
          <w:szCs w:val="17"/>
          <w:color w:val="0000FF"/>
        </w:rPr>
        <w:t>Senior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12,857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02/10/2016</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12,857</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12,857</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10, 2016, pursuant to the Company's 2014 Long-Term Incentive Plan (the "GMLTIP"). The RSUs will vest annually in three equal installments beginning on February 10, 2017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conversion or exercise price or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W. Boyle,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1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108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Mr.</w:t>
      </w:r>
      <w:r>
        <w:rPr>
          <w:sz w:val="20"/>
          <w:szCs w:val="20"/>
          <w:color w:val="auto"/>
        </w:rPr>
        <w:tab/>
      </w:r>
      <w:r>
        <w:rPr>
          <w:rFonts w:ascii="Arial" w:cs="Arial" w:eastAsia="Arial" w:hAnsi="Arial"/>
          <w:sz w:val="15"/>
          <w:szCs w:val="15"/>
          <w:color w:val="0000FF"/>
        </w:rPr>
        <w:t>02/12/2016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Quattrone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443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323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12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2019-12-24T07:28:49Z</dcterms:created>
  <dcterms:modified xsi:type="dcterms:W3CDTF">2019-12-24T07:28:49Z</dcterms:modified>
</cp:coreProperties>
</file>