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19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197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Timko Thomas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Vice President &amp; Controller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06/11/2016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4,614</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35,365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06/11/2016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1,638</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29.06</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33,727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4,614</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06/11/2016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4,614</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4,614</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on June 11, 2014, pursuant to the Company's 2014 Long-Term Incentive Plan ("GMLTIP").</w:t>
      </w:r>
    </w:p>
    <w:p>
      <w:pPr>
        <w:spacing w:after="0" w:line="30" w:lineRule="exact"/>
        <w:rPr>
          <w:rFonts w:ascii="Arial" w:cs="Arial" w:eastAsia="Arial" w:hAnsi="Arial"/>
          <w:sz w:val="14"/>
          <w:szCs w:val="14"/>
          <w:color w:val="008000"/>
        </w:rPr>
      </w:pPr>
    </w:p>
    <w:p>
      <w:pPr>
        <w:jc w:val="both"/>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June 11, 2014 pursuant to the GMLTIP. One-third of the RSUs vested on June 11, 2016, and the remaining one-third will vest on June 11, 2017. Each RSU respresents a right to receive one share of the Company's Common Stock upon settlement. RSUs will be settled when they vest provided that the conditions in the GMLTIP have been satisfied. The RSUs do not have an expiration or exercise date or carry a conversion or exercise price.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06/14/2016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4"/>
              </w:rPr>
              <w:t>Attorney-In-Fact for Mr.Timko</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2019-12-24T07:18:29Z</dcterms:created>
  <dcterms:modified xsi:type="dcterms:W3CDTF">2019-12-24T07:18:29Z</dcterms:modified>
</cp:coreProperties>
</file>