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February 13, 2014, pursuant to the Company's 2009 Long-Term Incentive Plan (the "GMLTIP"). Two-thirds of the RSUs will vest on February 13, 2016 and the remaining one-third will vest on February 13, 2017. Each RSU represents a right to receive one share of the Company's common stock upon settlement. RSUs will be settled when they vest. The Company has determined that 25% of this award will not vest because the terms set forth in the GMLTIP cannot be satisfied.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 for Mr. Amman</w:t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2019-12-18T15:48:56Z</dcterms:created>
  <dcterms:modified xsi:type="dcterms:W3CDTF">2019-12-18T15:48:56Z</dcterms:modified>
</cp:coreProperties>
</file>