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5"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3" w:lineRule="exact"/>
        <w:rPr>
          <w:sz w:val="24"/>
          <w:szCs w:val="24"/>
          <w:color w:val="auto"/>
        </w:rPr>
      </w:pPr>
    </w:p>
    <w:p>
      <w:pPr>
        <w:ind w:left="3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-236855</wp:posOffset>
            </wp:positionV>
            <wp:extent cx="133350" cy="133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350" cy="1333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8"/>
        </w:trPr>
        <w:tc>
          <w:tcPr>
            <w:tcW w:w="6500" w:type="dxa"/>
            <w:vAlign w:val="bottom"/>
          </w:tcPr>
          <w:p>
            <w:pPr>
              <w:jc w:val="center"/>
              <w:ind w:right="255"/>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35"/>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35"/>
              <w:spacing w:after="0" w:line="193"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4"/>
        </w:trPr>
        <w:tc>
          <w:tcPr>
            <w:tcW w:w="6500" w:type="dxa"/>
            <w:vAlign w:val="bottom"/>
            <w:vMerge w:val="restart"/>
          </w:tcPr>
          <w:p>
            <w:pPr>
              <w:jc w:val="center"/>
              <w:ind w:right="2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5447030</wp:posOffset>
            </wp:positionH>
            <wp:positionV relativeFrom="paragraph">
              <wp:posOffset>-638810</wp:posOffset>
            </wp:positionV>
            <wp:extent cx="59055" cy="652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2145"/>
                    </a:xfrm>
                    <a:prstGeom prst="rect">
                      <a:avLst/>
                    </a:prstGeom>
                    <a:noFill/>
                  </pic:spPr>
                </pic:pic>
              </a:graphicData>
            </a:graphic>
          </wp:anchor>
        </w:drawing>
        <w:drawing>
          <wp:anchor simplePos="0" relativeHeight="251657728" behindDoc="1" locked="0" layoutInCell="0" allowOverlap="1">
            <wp:simplePos x="0" y="0"/>
            <wp:positionH relativeFrom="column">
              <wp:posOffset>4110355</wp:posOffset>
            </wp:positionH>
            <wp:positionV relativeFrom="paragraph">
              <wp:posOffset>-638810</wp:posOffset>
            </wp:positionV>
            <wp:extent cx="59055" cy="652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214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-1736090</wp:posOffset>
            </wp:positionH>
            <wp:positionV relativeFrom="paragraph">
              <wp:posOffset>17780</wp:posOffset>
            </wp:positionV>
            <wp:extent cx="7324725" cy="6649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6649085"/>
                    </a:xfrm>
                    <a:prstGeom prst="rect">
                      <a:avLst/>
                    </a:prstGeom>
                    <a:noFill/>
                  </pic:spPr>
                </pic:pic>
              </a:graphicData>
            </a:graphic>
          </wp:anchor>
        </w:drawing>
      </w:r>
    </w:p>
    <w:p>
      <w:pPr>
        <w:spacing w:after="0" w:line="106" w:lineRule="exact"/>
        <w:rPr>
          <w:sz w:val="24"/>
          <w:szCs w:val="24"/>
          <w:color w:val="auto"/>
        </w:rPr>
      </w:pPr>
    </w:p>
    <w:p>
      <w:pPr>
        <w:sectPr>
          <w:pgSz w:w="11900" w:h="16838" w:orient="portrait"/>
          <w:cols w:equalWidth="0" w:num="2">
            <w:col w:w="2300" w:space="420"/>
            <w:col w:w="8800"/>
          </w:cols>
          <w:pgMar w:left="240" w:top="223"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Kline Terry S</w:t>
        </w:r>
      </w:hyperlink>
    </w:p>
    <w:p>
      <w:pPr>
        <w:spacing w:after="0" w:line="314"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6" w:lineRule="exact"/>
        <w:rPr>
          <w:sz w:val="24"/>
          <w:szCs w:val="24"/>
          <w:color w:val="auto"/>
        </w:rPr>
      </w:pPr>
    </w:p>
    <w:p>
      <w:pPr>
        <w:ind w:left="120" w:right="1040"/>
        <w:spacing w:after="0" w:line="311"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6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 w:lineRule="exact"/>
        <w:rPr>
          <w:sz w:val="24"/>
          <w:szCs w:val="24"/>
          <w:color w:val="auto"/>
        </w:rPr>
      </w:pPr>
    </w:p>
    <w:p>
      <w:pPr>
        <w:spacing w:after="0"/>
        <w:rPr>
          <w:sz w:val="20"/>
          <w:szCs w:val="20"/>
          <w:color w:val="auto"/>
        </w:rPr>
      </w:pPr>
      <w:r>
        <w:rPr>
          <w:rFonts w:ascii="Arial" w:cs="Arial" w:eastAsia="Arial" w:hAnsi="Arial"/>
          <w:sz w:val="17"/>
          <w:szCs w:val="17"/>
          <w:color w:val="0000FF"/>
        </w:rPr>
        <w:t>03/31/2011</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ind w:left="5" w:right="700" w:hanging="5"/>
        <w:spacing w:after="0" w:line="244" w:lineRule="auto"/>
        <w:tabs>
          <w:tab w:leader="none" w:pos="15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5" w:lineRule="exact"/>
        <w:rPr>
          <w:sz w:val="24"/>
          <w:szCs w:val="24"/>
          <w:color w:val="auto"/>
        </w:rPr>
      </w:pPr>
    </w:p>
    <w:tbl>
      <w:tblPr>
        <w:tblLayout w:type="fixed"/>
        <w:tblInd w:w="205" w:type="dxa"/>
        <w:tblCellMar>
          <w:top w:w="0" w:type="dxa"/>
          <w:left w:w="0" w:type="dxa"/>
          <w:bottom w:w="0" w:type="dxa"/>
          <w:right w:w="0" w:type="dxa"/>
        </w:tblCellMar>
      </w:tblPr>
      <w:tr>
        <w:trPr>
          <w:trHeight w:val="157"/>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85"/>
        <w:spacing w:after="0"/>
        <w:rPr>
          <w:sz w:val="20"/>
          <w:szCs w:val="20"/>
          <w:color w:val="auto"/>
        </w:rPr>
      </w:pPr>
      <w:r>
        <w:rPr>
          <w:rFonts w:ascii="Arial" w:cs="Arial" w:eastAsia="Arial" w:hAnsi="Arial"/>
          <w:sz w:val="17"/>
          <w:szCs w:val="17"/>
          <w:color w:val="0000FF"/>
        </w:rPr>
        <w:t>Vice President &amp; CIO</w:t>
      </w:r>
    </w:p>
    <w:p>
      <w:pPr>
        <w:spacing w:after="0" w:line="443" w:lineRule="exact"/>
        <w:rPr>
          <w:sz w:val="24"/>
          <w:szCs w:val="24"/>
          <w:color w:val="auto"/>
        </w:rPr>
      </w:pPr>
    </w:p>
    <w:p>
      <w:pPr>
        <w:sectPr>
          <w:pgSz w:w="11900" w:h="16838" w:orient="portrait"/>
          <w:cols w:equalWidth="0" w:num="3">
            <w:col w:w="3340" w:space="720"/>
            <w:col w:w="3275" w:space="720"/>
            <w:col w:w="3465"/>
          </w:cols>
          <w:pgMar w:left="240" w:top="223" w:right="139" w:bottom="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860" w:type="dxa"/>
            <w:vAlign w:val="bottom"/>
            <w:gridSpan w:val="6"/>
          </w:tcPr>
          <w:p>
            <w:pPr>
              <w:ind w:left="140"/>
              <w:spacing w:after="0" w:line="101" w:lineRule="exact"/>
              <w:rPr>
                <w:sz w:val="20"/>
                <w:szCs w:val="20"/>
                <w:color w:val="auto"/>
              </w:rPr>
            </w:pPr>
            <w:r>
              <w:rPr>
                <w:rFonts w:ascii="Arial" w:cs="Arial" w:eastAsia="Arial" w:hAnsi="Arial"/>
                <w:sz w:val="11"/>
                <w:szCs w:val="11"/>
                <w:color w:val="auto"/>
              </w:rPr>
              <w:t>4. If Amendment, Date of Original Filed (Month/Day/Year)</w:t>
            </w:r>
          </w:p>
        </w:tc>
        <w:tc>
          <w:tcPr>
            <w:tcW w:w="3740" w:type="dxa"/>
            <w:vAlign w:val="bottom"/>
            <w:gridSpan w:val="10"/>
          </w:tcPr>
          <w:p>
            <w:pPr>
              <w:ind w:left="280"/>
              <w:spacing w:after="0" w:line="101"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gridSpan w:val="2"/>
          </w:tcPr>
          <w:p>
            <w:pPr>
              <w:ind w:left="28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740" w:type="dxa"/>
            <w:vAlign w:val="bottom"/>
            <w:gridSpan w:val="10"/>
            <w:vMerge w:val="restart"/>
          </w:tcPr>
          <w:p>
            <w:pPr>
              <w:ind w:left="4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MI</w:t>
            </w:r>
          </w:p>
        </w:tc>
        <w:tc>
          <w:tcPr>
            <w:tcW w:w="1100" w:type="dxa"/>
            <w:vAlign w:val="bottom"/>
            <w:vMerge w:val="restart"/>
          </w:tcPr>
          <w:p>
            <w:pPr>
              <w:ind w:left="60"/>
              <w:spacing w:after="0"/>
              <w:rPr>
                <w:sz w:val="20"/>
                <w:szCs w:val="20"/>
                <w:color w:val="auto"/>
              </w:rPr>
            </w:pPr>
            <w:r>
              <w:rPr>
                <w:rFonts w:ascii="Arial" w:cs="Arial" w:eastAsia="Arial" w:hAnsi="Arial"/>
                <w:sz w:val="17"/>
                <w:szCs w:val="17"/>
                <w:color w:val="0000FF"/>
              </w:rPr>
              <w:t>48265-3000</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7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5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400" w:type="dxa"/>
            <w:vAlign w:val="bottom"/>
            <w:tcBorders>
              <w:bottom w:val="single" w:sz="8" w:color="2C2C2C"/>
            </w:tcBorders>
            <w:gridSpan w:val="3"/>
          </w:tcPr>
          <w:p>
            <w:pPr>
              <w:spacing w:after="0"/>
              <w:rPr>
                <w:sz w:val="11"/>
                <w:szCs w:val="11"/>
                <w:color w:val="auto"/>
              </w:rPr>
            </w:pPr>
          </w:p>
        </w:tc>
        <w:tc>
          <w:tcPr>
            <w:tcW w:w="4440" w:type="dxa"/>
            <w:vAlign w:val="bottom"/>
            <w:tcBorders>
              <w:bottom w:val="single" w:sz="8" w:color="2C2C2C"/>
            </w:tcBorders>
            <w:gridSpan w:val="7"/>
          </w:tcPr>
          <w:p>
            <w:pPr>
              <w:spacing w:after="0"/>
              <w:rPr>
                <w:sz w:val="11"/>
                <w:szCs w:val="11"/>
                <w:color w:val="auto"/>
              </w:rPr>
            </w:pPr>
          </w:p>
        </w:tc>
        <w:tc>
          <w:tcPr>
            <w:tcW w:w="10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7"/>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600" w:type="dxa"/>
            <w:vAlign w:val="bottom"/>
            <w:tcBorders>
              <w:top w:val="single" w:sz="8" w:color="2C2C2C"/>
            </w:tcBorders>
            <w:gridSpan w:val="13"/>
          </w:tcPr>
          <w:p>
            <w:pPr>
              <w:ind w:left="9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Date</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60" w:type="dxa"/>
            <w:vAlign w:val="bottom"/>
            <w:gridSpan w:val="3"/>
          </w:tcPr>
          <w:p>
            <w:pPr>
              <w:ind w:left="800"/>
              <w:spacing w:after="0" w:line="132"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if any</w:t>
            </w:r>
          </w:p>
        </w:tc>
        <w:tc>
          <w:tcPr>
            <w:tcW w:w="54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8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gridSpan w:val="3"/>
            <w:vMerge w:val="restart"/>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180"/>
              <w:spacing w:after="0" w:line="132"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540" w:type="dxa"/>
            <w:vAlign w:val="bottom"/>
          </w:tcPr>
          <w:p>
            <w:pPr>
              <w:spacing w:after="0"/>
              <w:rPr>
                <w:sz w:val="7"/>
                <w:szCs w:val="7"/>
                <w:color w:val="auto"/>
              </w:rPr>
            </w:pPr>
          </w:p>
        </w:tc>
        <w:tc>
          <w:tcPr>
            <w:tcW w:w="5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5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1"/>
                <w:szCs w:val="21"/>
                <w:color w:val="008000"/>
                <w:w w:val="95"/>
                <w:vertAlign w:val="superscript"/>
              </w:rPr>
              <w:t>(1)</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900"/>
              <w:spacing w:after="0"/>
              <w:rPr>
                <w:sz w:val="20"/>
                <w:szCs w:val="20"/>
                <w:color w:val="auto"/>
              </w:rPr>
            </w:pPr>
            <w:r>
              <w:rPr>
                <w:rFonts w:ascii="Arial" w:cs="Arial" w:eastAsia="Arial" w:hAnsi="Arial"/>
                <w:sz w:val="17"/>
                <w:szCs w:val="17"/>
                <w:color w:val="0000FF"/>
              </w:rPr>
              <w:t>03/31/2011</w:t>
            </w:r>
          </w:p>
        </w:tc>
        <w:tc>
          <w:tcPr>
            <w:tcW w:w="5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50"/>
              <w:spacing w:after="0"/>
              <w:rPr>
                <w:sz w:val="20"/>
                <w:szCs w:val="20"/>
                <w:color w:val="auto"/>
              </w:rPr>
            </w:pPr>
            <w:r>
              <w:rPr>
                <w:rFonts w:ascii="Arial" w:cs="Arial" w:eastAsia="Arial" w:hAnsi="Arial"/>
                <w:sz w:val="17"/>
                <w:szCs w:val="17"/>
                <w:color w:val="0000FF"/>
                <w:w w:val="83"/>
              </w:rPr>
              <w:t>1,389</w:t>
            </w:r>
            <w:r>
              <w:rPr>
                <w:rFonts w:ascii="Arial" w:cs="Arial" w:eastAsia="Arial" w:hAnsi="Arial"/>
                <w:sz w:val="21"/>
                <w:szCs w:val="21"/>
                <w:color w:val="008000"/>
                <w:w w:val="83"/>
                <w:vertAlign w:val="superscript"/>
              </w:rPr>
              <w:t>(2)</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80" w:type="dxa"/>
            <w:vAlign w:val="bottom"/>
            <w:tcBorders>
              <w:bottom w:val="single" w:sz="8" w:color="2C2C2C"/>
            </w:tcBorders>
          </w:tcPr>
          <w:p>
            <w:pPr>
              <w:jc w:val="right"/>
              <w:ind w:right="49"/>
              <w:spacing w:after="0" w:line="315" w:lineRule="exact"/>
              <w:rPr>
                <w:sz w:val="20"/>
                <w:szCs w:val="20"/>
                <w:color w:val="auto"/>
              </w:rPr>
            </w:pPr>
            <w:r>
              <w:rPr>
                <w:rFonts w:ascii="Arial" w:cs="Arial" w:eastAsia="Arial" w:hAnsi="Arial"/>
                <w:sz w:val="34"/>
                <w:szCs w:val="34"/>
                <w:color w:val="000000"/>
                <w:vertAlign w:val="subscript"/>
              </w:rPr>
              <w:t>$</w:t>
            </w:r>
            <w:r>
              <w:rPr>
                <w:rFonts w:ascii="Arial" w:cs="Arial" w:eastAsia="Arial" w:hAnsi="Arial"/>
                <w:sz w:val="34"/>
                <w:szCs w:val="34"/>
                <w:color w:val="0000FF"/>
                <w:vertAlign w:val="subscript"/>
              </w:rPr>
              <w:t>0</w:t>
            </w:r>
            <w:r>
              <w:rPr>
                <w:rFonts w:ascii="Arial" w:cs="Arial" w:eastAsia="Arial" w:hAnsi="Arial"/>
                <w:sz w:val="11"/>
                <w:szCs w:val="11"/>
                <w:color w:val="008000"/>
              </w:rPr>
              <w:t>(3)</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1,589</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900"/>
              <w:spacing w:after="0"/>
              <w:rPr>
                <w:sz w:val="20"/>
                <w:szCs w:val="20"/>
                <w:color w:val="auto"/>
              </w:rPr>
            </w:pPr>
            <w:r>
              <w:rPr>
                <w:rFonts w:ascii="Arial" w:cs="Arial" w:eastAsia="Arial" w:hAnsi="Arial"/>
                <w:sz w:val="17"/>
                <w:szCs w:val="17"/>
                <w:color w:val="0000FF"/>
              </w:rPr>
              <w:t>03/31/2011</w:t>
            </w:r>
          </w:p>
        </w:tc>
        <w:tc>
          <w:tcPr>
            <w:tcW w:w="5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jc w:val="center"/>
              <w:ind w:left="50"/>
              <w:spacing w:after="0"/>
              <w:rPr>
                <w:sz w:val="20"/>
                <w:szCs w:val="20"/>
                <w:color w:val="auto"/>
              </w:rPr>
            </w:pPr>
            <w:r>
              <w:rPr>
                <w:rFonts w:ascii="Arial" w:cs="Arial" w:eastAsia="Arial" w:hAnsi="Arial"/>
                <w:sz w:val="17"/>
                <w:szCs w:val="17"/>
                <w:color w:val="0000FF"/>
                <w:w w:val="91"/>
              </w:rPr>
              <w:t>943</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31.28</w:t>
            </w:r>
            <w:r>
              <w:rPr>
                <w:rFonts w:ascii="Arial" w:cs="Arial" w:eastAsia="Arial" w:hAnsi="Arial"/>
                <w:sz w:val="21"/>
                <w:szCs w:val="21"/>
                <w:color w:val="008000"/>
                <w:w w:val="86"/>
                <w:vertAlign w:val="superscript"/>
              </w:rPr>
              <w:t>(3)</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646</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900"/>
              <w:spacing w:after="0"/>
              <w:rPr>
                <w:sz w:val="20"/>
                <w:szCs w:val="20"/>
                <w:color w:val="auto"/>
              </w:rPr>
            </w:pPr>
            <w:r>
              <w:rPr>
                <w:rFonts w:ascii="Arial" w:cs="Arial" w:eastAsia="Arial" w:hAnsi="Arial"/>
                <w:sz w:val="17"/>
                <w:szCs w:val="17"/>
                <w:color w:val="0000FF"/>
              </w:rPr>
              <w:t>03/31/2011</w:t>
            </w:r>
          </w:p>
        </w:tc>
        <w:tc>
          <w:tcPr>
            <w:tcW w:w="5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50"/>
              <w:spacing w:after="0"/>
              <w:rPr>
                <w:sz w:val="20"/>
                <w:szCs w:val="20"/>
                <w:color w:val="auto"/>
              </w:rPr>
            </w:pPr>
            <w:r>
              <w:rPr>
                <w:rFonts w:ascii="Arial" w:cs="Arial" w:eastAsia="Arial" w:hAnsi="Arial"/>
                <w:sz w:val="17"/>
                <w:szCs w:val="17"/>
                <w:color w:val="0000FF"/>
                <w:w w:val="91"/>
              </w:rPr>
              <w:t>446</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31.28</w:t>
            </w:r>
            <w:r>
              <w:rPr>
                <w:rFonts w:ascii="Arial" w:cs="Arial" w:eastAsia="Arial" w:hAnsi="Arial"/>
                <w:sz w:val="21"/>
                <w:szCs w:val="21"/>
                <w:color w:val="008000"/>
                <w:w w:val="86"/>
                <w:vertAlign w:val="superscript"/>
              </w:rPr>
              <w:t>(3)</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200</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1"/>
                <w:szCs w:val="21"/>
                <w:color w:val="008000"/>
                <w:w w:val="95"/>
                <w:vertAlign w:val="superscript"/>
              </w:rPr>
              <w:t>(4)</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900"/>
              <w:spacing w:after="0"/>
              <w:rPr>
                <w:sz w:val="20"/>
                <w:szCs w:val="20"/>
                <w:color w:val="auto"/>
              </w:rPr>
            </w:pPr>
            <w:r>
              <w:rPr>
                <w:rFonts w:ascii="Arial" w:cs="Arial" w:eastAsia="Arial" w:hAnsi="Arial"/>
                <w:sz w:val="17"/>
                <w:szCs w:val="17"/>
                <w:color w:val="0000FF"/>
              </w:rPr>
              <w:t>03/31/2011</w:t>
            </w:r>
          </w:p>
        </w:tc>
        <w:tc>
          <w:tcPr>
            <w:tcW w:w="5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50"/>
              <w:spacing w:after="0"/>
              <w:rPr>
                <w:sz w:val="20"/>
                <w:szCs w:val="20"/>
                <w:color w:val="auto"/>
              </w:rPr>
            </w:pPr>
            <w:r>
              <w:rPr>
                <w:rFonts w:ascii="Arial" w:cs="Arial" w:eastAsia="Arial" w:hAnsi="Arial"/>
                <w:sz w:val="17"/>
                <w:szCs w:val="17"/>
                <w:color w:val="0000FF"/>
                <w:w w:val="83"/>
              </w:rPr>
              <w:t>3,261</w:t>
            </w:r>
            <w:r>
              <w:rPr>
                <w:rFonts w:ascii="Arial" w:cs="Arial" w:eastAsia="Arial" w:hAnsi="Arial"/>
                <w:sz w:val="21"/>
                <w:szCs w:val="21"/>
                <w:color w:val="008000"/>
                <w:w w:val="83"/>
                <w:vertAlign w:val="superscript"/>
              </w:rPr>
              <w:t>(5)</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80" w:type="dxa"/>
            <w:vAlign w:val="bottom"/>
            <w:tcBorders>
              <w:bottom w:val="single" w:sz="8" w:color="2C2C2C"/>
            </w:tcBorders>
          </w:tcPr>
          <w:p>
            <w:pPr>
              <w:jc w:val="right"/>
              <w:ind w:right="49"/>
              <w:spacing w:after="0" w:line="315" w:lineRule="exact"/>
              <w:rPr>
                <w:sz w:val="20"/>
                <w:szCs w:val="20"/>
                <w:color w:val="auto"/>
              </w:rPr>
            </w:pPr>
            <w:r>
              <w:rPr>
                <w:rFonts w:ascii="Arial" w:cs="Arial" w:eastAsia="Arial" w:hAnsi="Arial"/>
                <w:sz w:val="34"/>
                <w:szCs w:val="34"/>
                <w:color w:val="000000"/>
                <w:vertAlign w:val="subscript"/>
              </w:rPr>
              <w:t>$</w:t>
            </w:r>
            <w:r>
              <w:rPr>
                <w:rFonts w:ascii="Arial" w:cs="Arial" w:eastAsia="Arial" w:hAnsi="Arial"/>
                <w:sz w:val="34"/>
                <w:szCs w:val="34"/>
                <w:color w:val="0000FF"/>
                <w:vertAlign w:val="subscript"/>
              </w:rPr>
              <w:t>0</w:t>
            </w:r>
            <w:r>
              <w:rPr>
                <w:rFonts w:ascii="Arial" w:cs="Arial" w:eastAsia="Arial" w:hAnsi="Arial"/>
                <w:sz w:val="11"/>
                <w:szCs w:val="11"/>
                <w:color w:val="008000"/>
              </w:rPr>
              <w:t>(3)</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3,461</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900"/>
              <w:spacing w:after="0"/>
              <w:rPr>
                <w:sz w:val="20"/>
                <w:szCs w:val="20"/>
                <w:color w:val="auto"/>
              </w:rPr>
            </w:pPr>
            <w:r>
              <w:rPr>
                <w:rFonts w:ascii="Arial" w:cs="Arial" w:eastAsia="Arial" w:hAnsi="Arial"/>
                <w:sz w:val="17"/>
                <w:szCs w:val="17"/>
                <w:color w:val="0000FF"/>
              </w:rPr>
              <w:t>03/31/2011</w:t>
            </w:r>
          </w:p>
        </w:tc>
        <w:tc>
          <w:tcPr>
            <w:tcW w:w="5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jc w:val="center"/>
              <w:ind w:left="50"/>
              <w:spacing w:after="0"/>
              <w:rPr>
                <w:sz w:val="20"/>
                <w:szCs w:val="20"/>
                <w:color w:val="auto"/>
              </w:rPr>
            </w:pPr>
            <w:r>
              <w:rPr>
                <w:rFonts w:ascii="Arial" w:cs="Arial" w:eastAsia="Arial" w:hAnsi="Arial"/>
                <w:sz w:val="17"/>
                <w:szCs w:val="17"/>
                <w:color w:val="0000FF"/>
                <w:w w:val="89"/>
              </w:rPr>
              <w:t>2,215</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31.28</w:t>
            </w:r>
            <w:r>
              <w:rPr>
                <w:rFonts w:ascii="Arial" w:cs="Arial" w:eastAsia="Arial" w:hAnsi="Arial"/>
                <w:sz w:val="21"/>
                <w:szCs w:val="21"/>
                <w:color w:val="008000"/>
                <w:w w:val="86"/>
                <w:vertAlign w:val="superscript"/>
              </w:rPr>
              <w:t>(3)</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1,246</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900"/>
              <w:spacing w:after="0"/>
              <w:rPr>
                <w:sz w:val="20"/>
                <w:szCs w:val="20"/>
                <w:color w:val="auto"/>
              </w:rPr>
            </w:pPr>
            <w:r>
              <w:rPr>
                <w:rFonts w:ascii="Arial" w:cs="Arial" w:eastAsia="Arial" w:hAnsi="Arial"/>
                <w:sz w:val="17"/>
                <w:szCs w:val="17"/>
                <w:color w:val="0000FF"/>
              </w:rPr>
              <w:t>03/31/2011</w:t>
            </w:r>
          </w:p>
        </w:tc>
        <w:tc>
          <w:tcPr>
            <w:tcW w:w="5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50"/>
              <w:spacing w:after="0"/>
              <w:rPr>
                <w:sz w:val="20"/>
                <w:szCs w:val="20"/>
                <w:color w:val="auto"/>
              </w:rPr>
            </w:pPr>
            <w:r>
              <w:rPr>
                <w:rFonts w:ascii="Arial" w:cs="Arial" w:eastAsia="Arial" w:hAnsi="Arial"/>
                <w:sz w:val="17"/>
                <w:szCs w:val="17"/>
                <w:color w:val="0000FF"/>
                <w:w w:val="89"/>
              </w:rPr>
              <w:t>1,046</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31.28</w:t>
            </w:r>
            <w:r>
              <w:rPr>
                <w:rFonts w:ascii="Arial" w:cs="Arial" w:eastAsia="Arial" w:hAnsi="Arial"/>
                <w:sz w:val="21"/>
                <w:szCs w:val="21"/>
                <w:color w:val="008000"/>
                <w:w w:val="86"/>
                <w:vertAlign w:val="superscript"/>
              </w:rPr>
              <w:t>(3)</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200</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500" w:type="dxa"/>
            <w:vAlign w:val="bottom"/>
            <w:tcBorders>
              <w:top w:val="single" w:sz="8" w:color="2C2C2C"/>
            </w:tcBorders>
            <w:gridSpan w:val="12"/>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80" w:type="dxa"/>
            <w:vAlign w:val="bottom"/>
            <w:gridSpan w:val="10"/>
          </w:tcPr>
          <w:p>
            <w:pPr>
              <w:ind w:left="8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200" w:type="dxa"/>
            <w:vAlign w:val="bottom"/>
          </w:tcPr>
          <w:p>
            <w:pPr>
              <w:ind w:left="80"/>
              <w:spacing w:after="0"/>
              <w:rPr>
                <w:sz w:val="20"/>
                <w:szCs w:val="20"/>
                <w:color w:val="auto"/>
              </w:rPr>
            </w:pPr>
            <w:r>
              <w:rPr>
                <w:rFonts w:ascii="Arial" w:cs="Arial" w:eastAsia="Arial" w:hAnsi="Arial"/>
                <w:sz w:val="12"/>
                <w:szCs w:val="12"/>
                <w:b w:val="1"/>
                <w:bCs w:val="1"/>
                <w:color w:val="auto"/>
                <w:w w:val="99"/>
              </w:rPr>
              <w:t>4.</w:t>
            </w:r>
          </w:p>
        </w:tc>
        <w:tc>
          <w:tcPr>
            <w:tcW w:w="560" w:type="dxa"/>
            <w:vAlign w:val="bottom"/>
          </w:tcPr>
          <w:p>
            <w:pPr>
              <w:spacing w:after="0"/>
              <w:rPr>
                <w:sz w:val="14"/>
                <w:szCs w:val="14"/>
                <w:color w:val="auto"/>
              </w:rPr>
            </w:pPr>
          </w:p>
        </w:tc>
        <w:tc>
          <w:tcPr>
            <w:tcW w:w="108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3"/>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w w:val="96"/>
              </w:rPr>
              <w:t>Transaction</w:t>
            </w:r>
          </w:p>
        </w:tc>
        <w:tc>
          <w:tcPr>
            <w:tcW w:w="108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w w:val="98"/>
              </w:rPr>
              <w:t>Code (Instr.</w:t>
            </w:r>
          </w:p>
        </w:tc>
        <w:tc>
          <w:tcPr>
            <w:tcW w:w="108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Securities</w:t>
            </w:r>
          </w:p>
        </w:tc>
        <w:tc>
          <w:tcPr>
            <w:tcW w:w="15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8"/>
              </w:rPr>
              <w:t>Underlying</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3"/>
              </w:rPr>
              <w:t>8)</w:t>
            </w:r>
          </w:p>
        </w:tc>
        <w:tc>
          <w:tcPr>
            <w:tcW w:w="560" w:type="dxa"/>
            <w:vAlign w:val="bottom"/>
          </w:tcPr>
          <w:p>
            <w:pPr>
              <w:spacing w:after="0"/>
              <w:rPr>
                <w:sz w:val="11"/>
                <w:szCs w:val="11"/>
                <w:color w:val="auto"/>
              </w:rPr>
            </w:pPr>
          </w:p>
        </w:tc>
        <w:tc>
          <w:tcPr>
            <w:tcW w:w="108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Acquired (A)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8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Disposed of</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or Indirect</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8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(D) (Instr.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ind w:left="140"/>
              <w:spacing w:after="0" w:line="132" w:lineRule="exact"/>
              <w:rPr>
                <w:sz w:val="20"/>
                <w:szCs w:val="20"/>
                <w:color w:val="auto"/>
              </w:rPr>
            </w:pPr>
            <w:r>
              <w:rPr>
                <w:rFonts w:ascii="Arial" w:cs="Arial" w:eastAsia="Arial" w:hAnsi="Arial"/>
                <w:sz w:val="12"/>
                <w:szCs w:val="12"/>
                <w:b w:val="1"/>
                <w:bCs w:val="1"/>
                <w:color w:val="auto"/>
              </w:rPr>
              <w:t>and 5)</w:t>
            </w: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gridSpan w:val="2"/>
            <w:vMerge w:val="restart"/>
          </w:tcPr>
          <w:p>
            <w:pPr>
              <w:ind w:left="20"/>
              <w:spacing w:after="0" w:line="132"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(3)</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vMerge w:val="restart"/>
          </w:tcPr>
          <w:p>
            <w:pPr>
              <w:ind w:left="40"/>
              <w:spacing w:after="0"/>
              <w:rPr>
                <w:sz w:val="20"/>
                <w:szCs w:val="20"/>
                <w:color w:val="auto"/>
              </w:rPr>
            </w:pPr>
            <w:r>
              <w:rPr>
                <w:rFonts w:ascii="Arial" w:cs="Arial" w:eastAsia="Arial" w:hAnsi="Arial"/>
                <w:sz w:val="13"/>
                <w:szCs w:val="13"/>
                <w:color w:val="0000FF"/>
                <w:w w:val="96"/>
              </w:rPr>
              <w:t>1,389</w:t>
            </w:r>
            <w:r>
              <w:rPr>
                <w:rFonts w:ascii="Arial" w:cs="Arial" w:eastAsia="Arial" w:hAnsi="Arial"/>
                <w:sz w:val="21"/>
                <w:szCs w:val="21"/>
                <w:color w:val="008000"/>
                <w:w w:val="96"/>
                <w:vertAlign w:val="superscript"/>
              </w:rPr>
              <w:t>(2)</w:t>
            </w: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80" w:type="dxa"/>
            <w:vAlign w:val="bottom"/>
            <w:vMerge w:val="restart"/>
          </w:tcPr>
          <w:p>
            <w:pPr>
              <w:spacing w:after="0"/>
              <w:rPr>
                <w:sz w:val="20"/>
                <w:szCs w:val="20"/>
                <w:color w:val="auto"/>
              </w:rPr>
            </w:pPr>
            <w:r>
              <w:rPr>
                <w:rFonts w:ascii="Arial" w:cs="Arial" w:eastAsia="Arial" w:hAnsi="Arial"/>
                <w:sz w:val="17"/>
                <w:szCs w:val="17"/>
                <w:color w:val="0000FF"/>
                <w:w w:val="93"/>
              </w:rPr>
              <w:t>1,389</w:t>
            </w:r>
            <w:r>
              <w:rPr>
                <w:rFonts w:ascii="Arial" w:cs="Arial" w:eastAsia="Arial" w:hAnsi="Arial"/>
                <w:sz w:val="21"/>
                <w:szCs w:val="21"/>
                <w:color w:val="008000"/>
                <w:w w:val="93"/>
                <w:vertAlign w:val="superscript"/>
              </w:rPr>
              <w:t>(2)</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8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8"/>
              </w:rPr>
              <w:t>1,389</w:t>
            </w:r>
            <w:r>
              <w:rPr>
                <w:rFonts w:ascii="Arial" w:cs="Arial" w:eastAsia="Arial" w:hAnsi="Arial"/>
                <w:sz w:val="21"/>
                <w:szCs w:val="21"/>
                <w:color w:val="008000"/>
                <w:w w:val="88"/>
                <w:vertAlign w:val="superscript"/>
              </w:rPr>
              <w:t>(2)</w:t>
            </w: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Arial" w:cs="Arial" w:eastAsia="Arial" w:hAnsi="Arial"/>
                <w:sz w:val="13"/>
                <w:szCs w:val="13"/>
                <w:color w:val="0000FF"/>
                <w:w w:val="89"/>
              </w:rPr>
              <w:t>03/31/2011</w:t>
            </w:r>
          </w:p>
        </w:tc>
        <w:tc>
          <w:tcPr>
            <w:tcW w:w="1100" w:type="dxa"/>
            <w:vAlign w:val="bottom"/>
          </w:tcPr>
          <w:p>
            <w:pPr>
              <w:spacing w:after="0"/>
              <w:rPr>
                <w:sz w:val="13"/>
                <w:szCs w:val="13"/>
                <w:color w:val="auto"/>
              </w:rPr>
            </w:pPr>
          </w:p>
        </w:tc>
        <w:tc>
          <w:tcPr>
            <w:tcW w:w="760" w:type="dxa"/>
            <w:vAlign w:val="bottom"/>
            <w:gridSpan w:val="2"/>
          </w:tcPr>
          <w:p>
            <w:pPr>
              <w:ind w:left="160"/>
              <w:spacing w:after="0"/>
              <w:rPr>
                <w:sz w:val="20"/>
                <w:szCs w:val="20"/>
                <w:color w:val="auto"/>
              </w:rPr>
            </w:pPr>
            <w:r>
              <w:rPr>
                <w:rFonts w:ascii="Arial" w:cs="Arial" w:eastAsia="Arial" w:hAnsi="Arial"/>
                <w:sz w:val="13"/>
                <w:szCs w:val="13"/>
                <w:color w:val="0000FF"/>
              </w:rPr>
              <w:t>M</w:t>
            </w:r>
          </w:p>
        </w:tc>
        <w:tc>
          <w:tcPr>
            <w:tcW w:w="54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780" w:type="dxa"/>
            <w:vAlign w:val="bottom"/>
          </w:tcPr>
          <w:p>
            <w:pPr>
              <w:ind w:left="340"/>
              <w:spacing w:after="0"/>
              <w:rPr>
                <w:sz w:val="20"/>
                <w:szCs w:val="20"/>
                <w:color w:val="auto"/>
              </w:rPr>
            </w:pPr>
            <w:r>
              <w:rPr>
                <w:rFonts w:ascii="Arial" w:cs="Arial" w:eastAsia="Arial" w:hAnsi="Arial"/>
                <w:sz w:val="11"/>
                <w:szCs w:val="11"/>
                <w:color w:val="008000"/>
              </w:rPr>
              <w:t>(1)</w:t>
            </w:r>
          </w:p>
        </w:tc>
        <w:tc>
          <w:tcPr>
            <w:tcW w:w="740" w:type="dxa"/>
            <w:vAlign w:val="bottom"/>
          </w:tcPr>
          <w:p>
            <w:pPr>
              <w:ind w:left="320"/>
              <w:spacing w:after="0"/>
              <w:rPr>
                <w:sz w:val="20"/>
                <w:szCs w:val="20"/>
                <w:color w:val="auto"/>
              </w:rPr>
            </w:pPr>
            <w:r>
              <w:rPr>
                <w:rFonts w:ascii="Arial" w:cs="Arial" w:eastAsia="Arial" w:hAnsi="Arial"/>
                <w:sz w:val="11"/>
                <w:szCs w:val="11"/>
                <w:color w:val="008000"/>
              </w:rPr>
              <w:t>(1)</w:t>
            </w:r>
          </w:p>
        </w:tc>
        <w:tc>
          <w:tcPr>
            <w:tcW w:w="70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gridSpan w:val="2"/>
          </w:tcPr>
          <w:p>
            <w:pPr>
              <w:jc w:val="center"/>
              <w:ind w:right="39"/>
              <w:spacing w:after="0"/>
              <w:rPr>
                <w:sz w:val="20"/>
                <w:szCs w:val="20"/>
                <w:color w:val="auto"/>
              </w:rPr>
            </w:pPr>
            <w:r>
              <w:rPr>
                <w:rFonts w:ascii="Arial" w:cs="Arial" w:eastAsia="Arial" w:hAnsi="Arial"/>
                <w:sz w:val="11"/>
                <w:szCs w:val="11"/>
                <w:color w:val="008000"/>
              </w:rPr>
              <w:t>(3)</w:t>
            </w:r>
          </w:p>
        </w:tc>
        <w:tc>
          <w:tcPr>
            <w:tcW w:w="880" w:type="dxa"/>
            <w:vAlign w:val="bottom"/>
            <w:gridSpan w:val="2"/>
            <w:vMerge w:val="continue"/>
          </w:tcPr>
          <w:p>
            <w:pPr>
              <w:spacing w:after="0"/>
              <w:rPr>
                <w:sz w:val="13"/>
                <w:szCs w:val="13"/>
                <w:color w:val="auto"/>
              </w:rPr>
            </w:pPr>
          </w:p>
        </w:tc>
        <w:tc>
          <w:tcPr>
            <w:tcW w:w="66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gridSpan w:val="2"/>
            <w:vMerge w:val="restart"/>
          </w:tcPr>
          <w:p>
            <w:pPr>
              <w:ind w:left="60"/>
              <w:spacing w:after="0" w:line="224"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(1)</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ind w:left="160"/>
              <w:spacing w:after="0" w:line="145" w:lineRule="exact"/>
              <w:rPr>
                <w:sz w:val="20"/>
                <w:szCs w:val="20"/>
                <w:color w:val="auto"/>
              </w:rPr>
            </w:pPr>
            <w:r>
              <w:rPr>
                <w:rFonts w:ascii="Arial" w:cs="Arial" w:eastAsia="Arial" w:hAnsi="Arial"/>
                <w:sz w:val="13"/>
                <w:szCs w:val="13"/>
                <w:color w:val="0000FF"/>
              </w:rPr>
              <w:t>Stock</w:t>
            </w: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700" w:type="dxa"/>
            <w:vAlign w:val="bottom"/>
            <w:tcBorders>
              <w:bottom w:val="single" w:sz="8" w:color="2C2C2C"/>
            </w:tcBorders>
            <w:gridSpan w:val="2"/>
            <w:vMerge w:val="continue"/>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(3)</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vMerge w:val="restart"/>
          </w:tcPr>
          <w:p>
            <w:pPr>
              <w:ind w:left="40"/>
              <w:spacing w:after="0"/>
              <w:rPr>
                <w:sz w:val="20"/>
                <w:szCs w:val="20"/>
                <w:color w:val="auto"/>
              </w:rPr>
            </w:pPr>
            <w:r>
              <w:rPr>
                <w:rFonts w:ascii="Arial" w:cs="Arial" w:eastAsia="Arial" w:hAnsi="Arial"/>
                <w:sz w:val="13"/>
                <w:szCs w:val="13"/>
                <w:color w:val="0000FF"/>
                <w:w w:val="96"/>
              </w:rPr>
              <w:t>3,261</w:t>
            </w:r>
            <w:r>
              <w:rPr>
                <w:rFonts w:ascii="Arial" w:cs="Arial" w:eastAsia="Arial" w:hAnsi="Arial"/>
                <w:sz w:val="21"/>
                <w:szCs w:val="21"/>
                <w:color w:val="008000"/>
                <w:w w:val="96"/>
                <w:vertAlign w:val="superscript"/>
              </w:rPr>
              <w:t>(5)</w:t>
            </w: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80" w:type="dxa"/>
            <w:vAlign w:val="bottom"/>
            <w:vMerge w:val="restart"/>
          </w:tcPr>
          <w:p>
            <w:pPr>
              <w:spacing w:after="0"/>
              <w:rPr>
                <w:sz w:val="20"/>
                <w:szCs w:val="20"/>
                <w:color w:val="auto"/>
              </w:rPr>
            </w:pPr>
            <w:r>
              <w:rPr>
                <w:rFonts w:ascii="Arial" w:cs="Arial" w:eastAsia="Arial" w:hAnsi="Arial"/>
                <w:sz w:val="17"/>
                <w:szCs w:val="17"/>
                <w:color w:val="0000FF"/>
                <w:w w:val="93"/>
              </w:rPr>
              <w:t>3,261</w:t>
            </w:r>
            <w:r>
              <w:rPr>
                <w:rFonts w:ascii="Arial" w:cs="Arial" w:eastAsia="Arial" w:hAnsi="Arial"/>
                <w:sz w:val="21"/>
                <w:szCs w:val="21"/>
                <w:color w:val="008000"/>
                <w:w w:val="93"/>
                <w:vertAlign w:val="superscript"/>
              </w:rPr>
              <w:t>(2)</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8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8"/>
              </w:rPr>
              <w:t>6,516</w:t>
            </w:r>
            <w:r>
              <w:rPr>
                <w:rFonts w:ascii="Arial" w:cs="Arial" w:eastAsia="Arial" w:hAnsi="Arial"/>
                <w:sz w:val="21"/>
                <w:szCs w:val="21"/>
                <w:color w:val="008000"/>
                <w:w w:val="88"/>
                <w:vertAlign w:val="superscript"/>
              </w:rPr>
              <w:t>(2)</w:t>
            </w: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Arial" w:cs="Arial" w:eastAsia="Arial" w:hAnsi="Arial"/>
                <w:sz w:val="13"/>
                <w:szCs w:val="13"/>
                <w:color w:val="0000FF"/>
                <w:w w:val="89"/>
              </w:rPr>
              <w:t>03/31/2011</w:t>
            </w:r>
          </w:p>
        </w:tc>
        <w:tc>
          <w:tcPr>
            <w:tcW w:w="1100" w:type="dxa"/>
            <w:vAlign w:val="bottom"/>
          </w:tcPr>
          <w:p>
            <w:pPr>
              <w:spacing w:after="0"/>
              <w:rPr>
                <w:sz w:val="13"/>
                <w:szCs w:val="13"/>
                <w:color w:val="auto"/>
              </w:rPr>
            </w:pPr>
          </w:p>
        </w:tc>
        <w:tc>
          <w:tcPr>
            <w:tcW w:w="760" w:type="dxa"/>
            <w:vAlign w:val="bottom"/>
            <w:gridSpan w:val="2"/>
          </w:tcPr>
          <w:p>
            <w:pPr>
              <w:ind w:left="160"/>
              <w:spacing w:after="0"/>
              <w:rPr>
                <w:sz w:val="20"/>
                <w:szCs w:val="20"/>
                <w:color w:val="auto"/>
              </w:rPr>
            </w:pPr>
            <w:r>
              <w:rPr>
                <w:rFonts w:ascii="Arial" w:cs="Arial" w:eastAsia="Arial" w:hAnsi="Arial"/>
                <w:sz w:val="13"/>
                <w:szCs w:val="13"/>
                <w:color w:val="0000FF"/>
              </w:rPr>
              <w:t>M</w:t>
            </w:r>
          </w:p>
        </w:tc>
        <w:tc>
          <w:tcPr>
            <w:tcW w:w="54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780" w:type="dxa"/>
            <w:vAlign w:val="bottom"/>
          </w:tcPr>
          <w:p>
            <w:pPr>
              <w:ind w:left="340"/>
              <w:spacing w:after="0"/>
              <w:rPr>
                <w:sz w:val="20"/>
                <w:szCs w:val="20"/>
                <w:color w:val="auto"/>
              </w:rPr>
            </w:pPr>
            <w:r>
              <w:rPr>
                <w:rFonts w:ascii="Arial" w:cs="Arial" w:eastAsia="Arial" w:hAnsi="Arial"/>
                <w:sz w:val="11"/>
                <w:szCs w:val="11"/>
                <w:color w:val="008000"/>
              </w:rPr>
              <w:t>(1)</w:t>
            </w:r>
          </w:p>
        </w:tc>
        <w:tc>
          <w:tcPr>
            <w:tcW w:w="740" w:type="dxa"/>
            <w:vAlign w:val="bottom"/>
          </w:tcPr>
          <w:p>
            <w:pPr>
              <w:ind w:left="320"/>
              <w:spacing w:after="0"/>
              <w:rPr>
                <w:sz w:val="20"/>
                <w:szCs w:val="20"/>
                <w:color w:val="auto"/>
              </w:rPr>
            </w:pPr>
            <w:r>
              <w:rPr>
                <w:rFonts w:ascii="Arial" w:cs="Arial" w:eastAsia="Arial" w:hAnsi="Arial"/>
                <w:sz w:val="11"/>
                <w:szCs w:val="11"/>
                <w:color w:val="008000"/>
              </w:rPr>
              <w:t>(1)</w:t>
            </w:r>
          </w:p>
        </w:tc>
        <w:tc>
          <w:tcPr>
            <w:tcW w:w="70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gridSpan w:val="2"/>
          </w:tcPr>
          <w:p>
            <w:pPr>
              <w:jc w:val="center"/>
              <w:ind w:right="39"/>
              <w:spacing w:after="0"/>
              <w:rPr>
                <w:sz w:val="20"/>
                <w:szCs w:val="20"/>
                <w:color w:val="auto"/>
              </w:rPr>
            </w:pPr>
            <w:r>
              <w:rPr>
                <w:rFonts w:ascii="Arial" w:cs="Arial" w:eastAsia="Arial" w:hAnsi="Arial"/>
                <w:sz w:val="11"/>
                <w:szCs w:val="11"/>
                <w:color w:val="008000"/>
              </w:rPr>
              <w:t>(3)</w:t>
            </w:r>
          </w:p>
        </w:tc>
        <w:tc>
          <w:tcPr>
            <w:tcW w:w="880" w:type="dxa"/>
            <w:vAlign w:val="bottom"/>
            <w:gridSpan w:val="2"/>
            <w:vMerge w:val="continue"/>
          </w:tcPr>
          <w:p>
            <w:pPr>
              <w:spacing w:after="0"/>
              <w:rPr>
                <w:sz w:val="13"/>
                <w:szCs w:val="13"/>
                <w:color w:val="auto"/>
              </w:rPr>
            </w:pPr>
          </w:p>
        </w:tc>
        <w:tc>
          <w:tcPr>
            <w:tcW w:w="66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gridSpan w:val="2"/>
            <w:vMerge w:val="restart"/>
          </w:tcPr>
          <w:p>
            <w:pPr>
              <w:ind w:left="60"/>
              <w:spacing w:after="0" w:line="224"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(4)</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ind w:left="160"/>
              <w:spacing w:after="0" w:line="145" w:lineRule="exact"/>
              <w:rPr>
                <w:sz w:val="20"/>
                <w:szCs w:val="20"/>
                <w:color w:val="auto"/>
              </w:rPr>
            </w:pPr>
            <w:r>
              <w:rPr>
                <w:rFonts w:ascii="Arial" w:cs="Arial" w:eastAsia="Arial" w:hAnsi="Arial"/>
                <w:sz w:val="13"/>
                <w:szCs w:val="13"/>
                <w:color w:val="0000FF"/>
              </w:rPr>
              <w:t>Stock</w:t>
            </w: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700" w:type="dxa"/>
            <w:vAlign w:val="bottom"/>
            <w:tcBorders>
              <w:bottom w:val="single" w:sz="8" w:color="2C2C2C"/>
            </w:tcBorders>
            <w:gridSpan w:val="2"/>
            <w:vMerge w:val="continue"/>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(3)</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80" w:type="dxa"/>
            <w:vAlign w:val="bottom"/>
            <w:vMerge w:val="restart"/>
          </w:tcPr>
          <w:p>
            <w:pPr>
              <w:jc w:val="right"/>
              <w:ind w:right="69"/>
              <w:spacing w:after="0"/>
              <w:rPr>
                <w:sz w:val="20"/>
                <w:szCs w:val="20"/>
                <w:color w:val="auto"/>
              </w:rPr>
            </w:pPr>
            <w:r>
              <w:rPr>
                <w:rFonts w:ascii="Arial" w:cs="Arial" w:eastAsia="Arial" w:hAnsi="Arial"/>
                <w:sz w:val="17"/>
                <w:szCs w:val="17"/>
                <w:color w:val="0000FF"/>
                <w:w w:val="98"/>
              </w:rPr>
              <w:t>5,675</w:t>
            </w:r>
          </w:p>
        </w:tc>
        <w:tc>
          <w:tcPr>
            <w:tcW w:w="40" w:type="dxa"/>
            <w:vAlign w:val="bottom"/>
          </w:tcPr>
          <w:p>
            <w:pPr>
              <w:spacing w:after="0"/>
              <w:rPr>
                <w:sz w:val="16"/>
                <w:szCs w:val="16"/>
                <w:color w:val="auto"/>
              </w:rPr>
            </w:pPr>
          </w:p>
        </w:tc>
        <w:tc>
          <w:tcPr>
            <w:tcW w:w="720" w:type="dxa"/>
            <w:vAlign w:val="bottom"/>
            <w:gridSpan w:val="2"/>
            <w:vMerge w:val="restart"/>
          </w:tcPr>
          <w:p>
            <w:pPr>
              <w:jc w:val="center"/>
              <w:ind w:right="39"/>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(6)</w:t>
            </w: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1"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restart"/>
          </w:tcPr>
          <w:p>
            <w:pPr>
              <w:jc w:val="center"/>
              <w:spacing w:after="0" w:line="141" w:lineRule="exact"/>
              <w:rPr>
                <w:sz w:val="20"/>
                <w:szCs w:val="20"/>
                <w:color w:val="auto"/>
              </w:rPr>
            </w:pPr>
            <w:r>
              <w:rPr>
                <w:rFonts w:ascii="Arial" w:cs="Arial" w:eastAsia="Arial" w:hAnsi="Arial"/>
                <w:sz w:val="13"/>
                <w:szCs w:val="13"/>
                <w:color w:val="0000FF"/>
                <w:w w:val="89"/>
              </w:rPr>
              <w:t>03/31/2011</w:t>
            </w:r>
          </w:p>
        </w:tc>
        <w:tc>
          <w:tcPr>
            <w:tcW w:w="1100" w:type="dxa"/>
            <w:vAlign w:val="bottom"/>
          </w:tcPr>
          <w:p>
            <w:pPr>
              <w:spacing w:after="0"/>
              <w:rPr>
                <w:sz w:val="6"/>
                <w:szCs w:val="6"/>
                <w:color w:val="auto"/>
              </w:rPr>
            </w:pPr>
          </w:p>
        </w:tc>
        <w:tc>
          <w:tcPr>
            <w:tcW w:w="760" w:type="dxa"/>
            <w:vAlign w:val="bottom"/>
            <w:gridSpan w:val="2"/>
            <w:vMerge w:val="restart"/>
          </w:tcPr>
          <w:p>
            <w:pPr>
              <w:ind w:left="180"/>
              <w:spacing w:after="0" w:line="141" w:lineRule="exact"/>
              <w:rPr>
                <w:sz w:val="20"/>
                <w:szCs w:val="20"/>
                <w:color w:val="auto"/>
              </w:rPr>
            </w:pPr>
            <w:r>
              <w:rPr>
                <w:rFonts w:ascii="Arial" w:cs="Arial" w:eastAsia="Arial" w:hAnsi="Arial"/>
                <w:sz w:val="13"/>
                <w:szCs w:val="13"/>
                <w:color w:val="0000FF"/>
              </w:rPr>
              <w:t>A</w:t>
            </w:r>
          </w:p>
        </w:tc>
        <w:tc>
          <w:tcPr>
            <w:tcW w:w="540" w:type="dxa"/>
            <w:vAlign w:val="bottom"/>
            <w:vMerge w:val="restart"/>
          </w:tcPr>
          <w:p>
            <w:pPr>
              <w:ind w:left="140"/>
              <w:spacing w:after="0" w:line="141" w:lineRule="exact"/>
              <w:rPr>
                <w:sz w:val="20"/>
                <w:szCs w:val="20"/>
                <w:color w:val="auto"/>
              </w:rPr>
            </w:pPr>
            <w:r>
              <w:rPr>
                <w:rFonts w:ascii="Arial" w:cs="Arial" w:eastAsia="Arial" w:hAnsi="Arial"/>
                <w:sz w:val="13"/>
                <w:szCs w:val="13"/>
                <w:color w:val="0000FF"/>
              </w:rPr>
              <w:t>5,675</w:t>
            </w:r>
          </w:p>
        </w:tc>
        <w:tc>
          <w:tcPr>
            <w:tcW w:w="540" w:type="dxa"/>
            <w:vAlign w:val="bottom"/>
          </w:tcPr>
          <w:p>
            <w:pPr>
              <w:spacing w:after="0"/>
              <w:rPr>
                <w:sz w:val="6"/>
                <w:szCs w:val="6"/>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(6)</w:t>
            </w:r>
          </w:p>
        </w:tc>
        <w:tc>
          <w:tcPr>
            <w:tcW w:w="740" w:type="dxa"/>
            <w:vAlign w:val="bottom"/>
            <w:vMerge w:val="restart"/>
          </w:tcPr>
          <w:p>
            <w:pPr>
              <w:ind w:left="320"/>
              <w:spacing w:after="0"/>
              <w:rPr>
                <w:sz w:val="20"/>
                <w:szCs w:val="20"/>
                <w:color w:val="auto"/>
              </w:rPr>
            </w:pPr>
            <w:r>
              <w:rPr>
                <w:rFonts w:ascii="Arial" w:cs="Arial" w:eastAsia="Arial" w:hAnsi="Arial"/>
                <w:sz w:val="11"/>
                <w:szCs w:val="11"/>
                <w:color w:val="008000"/>
              </w:rPr>
              <w:t>(6)</w:t>
            </w:r>
          </w:p>
        </w:tc>
        <w:tc>
          <w:tcPr>
            <w:tcW w:w="70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80" w:type="dxa"/>
            <w:vAlign w:val="bottom"/>
            <w:vMerge w:val="restart"/>
          </w:tcPr>
          <w:p>
            <w:pPr>
              <w:jc w:val="center"/>
              <w:ind w:left="199"/>
              <w:spacing w:after="0" w:line="141" w:lineRule="exact"/>
              <w:rPr>
                <w:sz w:val="20"/>
                <w:szCs w:val="20"/>
                <w:color w:val="auto"/>
              </w:rPr>
            </w:pPr>
            <w:r>
              <w:rPr>
                <w:rFonts w:ascii="Arial" w:cs="Arial" w:eastAsia="Arial" w:hAnsi="Arial"/>
                <w:sz w:val="13"/>
                <w:szCs w:val="13"/>
                <w:color w:val="0000FF"/>
                <w:w w:val="85"/>
              </w:rPr>
              <w:t>5,675</w:t>
            </w:r>
          </w:p>
        </w:tc>
        <w:tc>
          <w:tcPr>
            <w:tcW w:w="300" w:type="dxa"/>
            <w:vAlign w:val="bottom"/>
          </w:tcPr>
          <w:p>
            <w:pPr>
              <w:spacing w:after="0"/>
              <w:rPr>
                <w:sz w:val="6"/>
                <w:szCs w:val="6"/>
                <w:color w:val="auto"/>
              </w:rPr>
            </w:pPr>
          </w:p>
        </w:tc>
        <w:tc>
          <w:tcPr>
            <w:tcW w:w="660" w:type="dxa"/>
            <w:vAlign w:val="bottom"/>
            <w:vMerge w:val="restart"/>
          </w:tcPr>
          <w:p>
            <w:pPr>
              <w:ind w:left="340"/>
              <w:spacing w:after="0" w:line="141"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(6)</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540" w:firstLine="5"/>
        <w:spacing w:after="0" w:line="297" w:lineRule="auto"/>
        <w:tabs>
          <w:tab w:leader="none" w:pos="172"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Common Stock reported in this item was issued upon the settlement of a portion of a grant of Salary Stock Units ("SSUs) deemed to have been issued, nunc pro tunc, on March 31, 2009 pursuant to the Company's Salary Stock Plan (the "GMSSP") and vested upon grant. The portion of this award currently payable was settled on March 31, 2011 in cash, less a portion withheld for taxes.</w:t>
      </w:r>
    </w:p>
    <w:p>
      <w:pPr>
        <w:ind w:left="40" w:right="140" w:firstLine="5"/>
        <w:spacing w:after="0"/>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March 31, 2009 the employee received a grant of 1,389 SSUs, of which 463 SSUs were scheduled to be payable on March 31, 2011. On November 1, 2010 the Company amended its certificate of incorporation to effect a stock split in which each issued and outstanding share of Common Stock was converted into three shares of Common Stock (the "Stock Split"). Pursuant to the terms of the GMSSP, each issued and outstanding SSUs was automatically converted upon the effectiveness of the Stock Split into three SSUs, so that the employee was credited with a total of 4,167 SSUs granted on March 31, 2009, of which 1,389 SSUs became payable on March 31, 2011.</w:t>
      </w:r>
    </w:p>
    <w:p>
      <w:pPr>
        <w:spacing w:after="0" w:line="33" w:lineRule="exact"/>
        <w:rPr>
          <w:rFonts w:ascii="Arial" w:cs="Arial" w:eastAsia="Arial" w:hAnsi="Arial"/>
          <w:sz w:val="13"/>
          <w:szCs w:val="13"/>
          <w:color w:val="008000"/>
        </w:rPr>
      </w:pPr>
    </w:p>
    <w:p>
      <w:pPr>
        <w:ind w:left="40" w:right="160" w:firstLine="5"/>
        <w:spacing w:after="0" w:line="244"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 Each SSU is the economic equivalent of one share of the Company's common stock. Under the GMSSP, the fair value of the Company's common stock is the average of the high and low trading prices for the Company's common stock as reported on the New York Stock Exchange, on which the Company's common stock is listed, on the date of the transaction, which was $31.28.</w:t>
      </w:r>
    </w:p>
    <w:p>
      <w:pPr>
        <w:spacing w:after="0" w:line="30" w:lineRule="exact"/>
        <w:rPr>
          <w:rFonts w:ascii="Arial" w:cs="Arial" w:eastAsia="Arial" w:hAnsi="Arial"/>
          <w:sz w:val="13"/>
          <w:szCs w:val="13"/>
          <w:color w:val="008000"/>
        </w:rPr>
      </w:pPr>
    </w:p>
    <w:p>
      <w:pPr>
        <w:ind w:left="40" w:right="360" w:firstLine="5"/>
        <w:spacing w:after="0" w:line="257"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deemed to have been issued, nunc pro tunc, on March 31, 2010 pursuant to the GMSSP and vested upon grant. The portion of this award currently payable was settled on March 31, 2011 in cash, less a portion withheld for taxes.</w:t>
      </w:r>
    </w:p>
    <w:p>
      <w:pPr>
        <w:spacing w:after="0" w:line="21" w:lineRule="exact"/>
        <w:rPr>
          <w:rFonts w:ascii="Arial" w:cs="Arial" w:eastAsia="Arial" w:hAnsi="Arial"/>
          <w:sz w:val="13"/>
          <w:szCs w:val="13"/>
          <w:color w:val="008000"/>
        </w:rPr>
      </w:pPr>
    </w:p>
    <w:p>
      <w:pPr>
        <w:ind w:left="40" w:right="160" w:firstLine="5"/>
        <w:spacing w:after="0" w:line="244"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March 31, 2010 the employee received a grant of 3,261 SSUs, of which 1,087 SSUs were scheduled to be payable on March 31, 2011. Pursuant to the terms of the GMSSP, each issued and outstanding SSUs was automatically converted upon the effectiveness of the Stock Split into three SSUs, so that the employee was credited with a total of 9,783 SSUs granted on March 31, 2010, of which 3,261 SSUs became payable on March 31, 2011.</w:t>
      </w:r>
    </w:p>
    <w:p>
      <w:pPr>
        <w:spacing w:after="0" w:line="30" w:lineRule="exact"/>
        <w:rPr>
          <w:rFonts w:ascii="Arial" w:cs="Arial" w:eastAsia="Arial" w:hAnsi="Arial"/>
          <w:sz w:val="13"/>
          <w:szCs w:val="13"/>
          <w:color w:val="008000"/>
        </w:rPr>
      </w:pPr>
    </w:p>
    <w:p>
      <w:pPr>
        <w:ind w:left="40" w:right="160" w:firstLine="5"/>
        <w:spacing w:after="0" w:line="299" w:lineRule="auto"/>
        <w:tabs>
          <w:tab w:leader="none" w:pos="172"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SSUs reported in this item were awarded on March 31, 2011 pursuant to the Company's Salary Stock Plan (the "GMSSP"), and will be settled in three equal, annual installments beginning on March 31, 2012. Each SSU is fully vested and represents a right to receive one share of the Company's common stock on the applicable settlement date; provided, however, that if a settlement date occurs prior to the date that is six months following a consummation of an initial public offering of the Company's common stock, which occurred on November 17, 2010, the SSU will be settled by the delivery of cash (with certain exceptions) in an amount equal to the Fair Market Value (as defined in the GMSSP) of the Company's common stock as of the applicable anniversary date of the SSU's grant. The SSUs do not have an expiration or exercise date.</w:t>
      </w:r>
    </w:p>
    <w:p>
      <w:pPr>
        <w:sectPr>
          <w:pgSz w:w="11900" w:h="16838" w:orient="portrait"/>
          <w:cols w:equalWidth="0" w:num="1">
            <w:col w:w="11520"/>
          </w:cols>
          <w:pgMar w:left="240" w:top="223" w:right="139" w:bottom="0" w:gutter="0" w:footer="0" w:header="0"/>
          <w:type w:val="continuous"/>
        </w:sectPr>
      </w:pPr>
    </w:p>
    <w:p>
      <w:pPr>
        <w:spacing w:after="0" w:line="28" w:lineRule="exact"/>
        <w:rPr>
          <w:sz w:val="24"/>
          <w:szCs w:val="24"/>
          <w:color w:val="auto"/>
        </w:rPr>
      </w:pPr>
    </w:p>
    <w:p>
      <w:pPr>
        <w:ind w:left="6860"/>
        <w:spacing w:after="0"/>
        <w:rPr>
          <w:sz w:val="20"/>
          <w:szCs w:val="20"/>
          <w:color w:val="auto"/>
        </w:rPr>
      </w:pPr>
      <w:r>
        <w:rPr>
          <w:rFonts w:ascii="Arial" w:cs="Arial" w:eastAsia="Arial" w:hAnsi="Arial"/>
          <w:sz w:val="15"/>
          <w:szCs w:val="15"/>
          <w:color w:val="0000FF"/>
        </w:rPr>
        <w:t>/s/ Anne T. Larin,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4445</wp:posOffset>
            </wp:positionV>
            <wp:extent cx="13068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06830" cy="8255"/>
                    </a:xfrm>
                    <a:prstGeom prst="rect">
                      <a:avLst/>
                    </a:prstGeom>
                    <a:noFill/>
                  </pic:spPr>
                </pic:pic>
              </a:graphicData>
            </a:graphic>
          </wp:anchor>
        </w:drawing>
      </w:r>
    </w:p>
    <w:p>
      <w:pPr>
        <w:spacing w:after="0" w:line="24"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fact for Mr. Kline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-13335</wp:posOffset>
            </wp:positionV>
            <wp:extent cx="7658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65810" cy="8255"/>
                    </a:xfrm>
                    <a:prstGeom prst="rect">
                      <a:avLst/>
                    </a:prstGeom>
                    <a:noFill/>
                  </pic:spPr>
                </pic:pic>
              </a:graphicData>
            </a:graphic>
          </wp:anchor>
        </w:drawing>
      </w:r>
    </w:p>
    <w:p>
      <w:pPr>
        <w:spacing w:after="0" w:line="50" w:lineRule="exact"/>
        <w:rPr>
          <w:sz w:val="24"/>
          <w:szCs w:val="24"/>
          <w:color w:val="auto"/>
        </w:rPr>
      </w:pPr>
    </w:p>
    <w:p>
      <w:pPr>
        <w:ind w:left="6860"/>
        <w:spacing w:after="0"/>
        <w:rPr>
          <w:sz w:val="20"/>
          <w:szCs w:val="20"/>
          <w:color w:val="auto"/>
        </w:rPr>
      </w:pPr>
      <w:r>
        <w:rPr>
          <w:rFonts w:ascii="Arial" w:cs="Arial" w:eastAsia="Arial" w:hAnsi="Arial"/>
          <w:sz w:val="13"/>
          <w:szCs w:val="13"/>
          <w:color w:val="auto"/>
        </w:rPr>
        <w:t>** Signature of Reporting Person</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20" w:lineRule="exact"/>
        <w:rPr>
          <w:sz w:val="24"/>
          <w:szCs w:val="24"/>
          <w:color w:val="auto"/>
        </w:rPr>
      </w:pPr>
      <w:r>
        <w:rPr>
          <w:sz w:val="24"/>
          <w:szCs w:val="24"/>
          <w:color w:val="auto"/>
        </w:rPr>
        <w:br w:type="column"/>
      </w:r>
    </w:p>
    <w:p>
      <w:pPr>
        <w:spacing w:after="0" w:line="113" w:lineRule="exact"/>
        <w:rPr>
          <w:sz w:val="24"/>
          <w:szCs w:val="24"/>
          <w:color w:val="auto"/>
        </w:rPr>
      </w:pPr>
    </w:p>
    <w:p>
      <w:pPr>
        <w:spacing w:after="0"/>
        <w:rPr>
          <w:sz w:val="20"/>
          <w:szCs w:val="20"/>
          <w:color w:val="auto"/>
        </w:rPr>
      </w:pPr>
      <w:r>
        <w:rPr>
          <w:rFonts w:ascii="Arial" w:cs="Arial" w:eastAsia="Arial" w:hAnsi="Arial"/>
          <w:sz w:val="15"/>
          <w:szCs w:val="15"/>
          <w:color w:val="0000FF"/>
        </w:rPr>
        <w:t>04/04/2011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4445</wp:posOffset>
            </wp:positionV>
            <wp:extent cx="4908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0855" cy="8255"/>
                    </a:xfrm>
                    <a:prstGeom prst="rect">
                      <a:avLst/>
                    </a:prstGeom>
                    <a:noFill/>
                  </pic:spPr>
                </pic:pic>
              </a:graphicData>
            </a:graphic>
          </wp:anchor>
        </w:drawing>
      </w:r>
    </w:p>
    <w:p>
      <w:pPr>
        <w:spacing w:after="0" w:line="184"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ectPr>
          <w:pgSz w:w="11900" w:h="16838" w:orient="portrait"/>
          <w:cols w:equalWidth="0" w:num="2">
            <w:col w:w="8920" w:space="220"/>
            <w:col w:w="2380"/>
          </w:cols>
          <w:pgMar w:left="240" w:top="223" w:right="139" w:bottom="0" w:gutter="0" w:footer="0" w:header="0"/>
          <w:type w:val="continuous"/>
        </w:sectPr>
      </w:pPr>
    </w:p>
    <w:bookmarkStart w:id="1" w:name="page2"/>
    <w:bookmarkEnd w:id="1"/>
    <w:p>
      <w:pPr>
        <w:jc w:val="both"/>
        <w:ind w:right="2579" w:firstLine="5"/>
        <w:spacing w:after="0" w:line="314" w:lineRule="auto"/>
        <w:tabs>
          <w:tab w:leader="none" w:pos="13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79"/>
      </w:cols>
      <w:pgMar w:left="28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92156"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2019-12-17T00:22:16Z</dcterms:created>
  <dcterms:modified xsi:type="dcterms:W3CDTF">2019-12-17T00:22:16Z</dcterms:modified>
</cp:coreProperties>
</file>