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7, 2016</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The annual meeting of the shareholders of General Motors Company (the Company) was held on June 7, 2016. The final votes on the matters submitted to the shareholders were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No. 1-Election of Directors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Company's shareholders elected each of the following individuals as directors for one year terms:</w:t>
      </w:r>
    </w:p>
    <w:p>
      <w:pPr>
        <w:spacing w:after="0" w:line="138" w:lineRule="exact"/>
        <w:rPr>
          <w:sz w:val="20"/>
          <w:szCs w:val="20"/>
          <w:color w:val="auto"/>
        </w:rPr>
      </w:pPr>
    </w:p>
    <w:tbl>
      <w:tblPr>
        <w:tblLayout w:type="fixed"/>
        <w:tblInd w:w="50" w:type="dxa"/>
        <w:tblCellMar>
          <w:top w:w="0" w:type="dxa"/>
          <w:left w:w="0" w:type="dxa"/>
          <w:bottom w:w="0" w:type="dxa"/>
          <w:right w:w="0" w:type="dxa"/>
        </w:tblCellMar>
      </w:tblPr>
      <w:tr>
        <w:trPr>
          <w:trHeight w:val="257"/>
        </w:trPr>
        <w:tc>
          <w:tcPr>
            <w:tcW w:w="4120" w:type="dxa"/>
            <w:vAlign w:val="bottom"/>
            <w:tcBorders>
              <w:top w:val="single" w:sz="8" w:color="auto"/>
              <w:left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Nominee</w:t>
            </w:r>
          </w:p>
        </w:tc>
        <w:tc>
          <w:tcPr>
            <w:tcW w:w="1940" w:type="dxa"/>
            <w:vAlign w:val="bottom"/>
            <w:tcBorders>
              <w:top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For</w:t>
            </w:r>
          </w:p>
        </w:tc>
        <w:tc>
          <w:tcPr>
            <w:tcW w:w="1700" w:type="dxa"/>
            <w:vAlign w:val="bottom"/>
            <w:tcBorders>
              <w:top w:val="single" w:sz="8" w:color="auto"/>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Against</w:t>
            </w:r>
          </w:p>
        </w:tc>
        <w:tc>
          <w:tcPr>
            <w:tcW w:w="1800" w:type="dxa"/>
            <w:vAlign w:val="bottom"/>
            <w:tcBorders>
              <w:top w:val="single" w:sz="8" w:color="auto"/>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Abstain</w:t>
            </w:r>
          </w:p>
        </w:tc>
        <w:tc>
          <w:tcPr>
            <w:tcW w:w="1820" w:type="dxa"/>
            <w:vAlign w:val="bottom"/>
            <w:tcBorders>
              <w:top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Broker Non-Vote</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Joseph J. Ashton</w:t>
            </w:r>
          </w:p>
        </w:tc>
        <w:tc>
          <w:tcPr>
            <w:tcW w:w="1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1,132,207,943</w:t>
            </w:r>
          </w:p>
        </w:tc>
        <w:tc>
          <w:tcPr>
            <w:tcW w:w="1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10,752,675</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916,116</w:t>
            </w:r>
          </w:p>
        </w:tc>
        <w:tc>
          <w:tcPr>
            <w:tcW w:w="1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176,376,057</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Mary T. Barra</w:t>
            </w:r>
          </w:p>
        </w:tc>
        <w:tc>
          <w:tcPr>
            <w:tcW w:w="1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1,090,489,796</w:t>
            </w:r>
          </w:p>
        </w:tc>
        <w:tc>
          <w:tcPr>
            <w:tcW w:w="1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50,096,603</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3,290,335</w:t>
            </w:r>
          </w:p>
        </w:tc>
        <w:tc>
          <w:tcPr>
            <w:tcW w:w="1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176,376,057</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Linda R. Gooden</w:t>
            </w:r>
          </w:p>
        </w:tc>
        <w:tc>
          <w:tcPr>
            <w:tcW w:w="1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1,133,606,808</w:t>
            </w:r>
          </w:p>
        </w:tc>
        <w:tc>
          <w:tcPr>
            <w:tcW w:w="1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9,403,002</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866,924</w:t>
            </w:r>
          </w:p>
        </w:tc>
        <w:tc>
          <w:tcPr>
            <w:tcW w:w="1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176,376,057</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Joseph Jimenez Jr.</w:t>
            </w:r>
          </w:p>
        </w:tc>
        <w:tc>
          <w:tcPr>
            <w:tcW w:w="1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1,117,020,877</w:t>
            </w:r>
          </w:p>
        </w:tc>
        <w:tc>
          <w:tcPr>
            <w:tcW w:w="1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25,959,226</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896,631</w:t>
            </w:r>
          </w:p>
        </w:tc>
        <w:tc>
          <w:tcPr>
            <w:tcW w:w="1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176,376,057</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Kathryn V. Marinello</w:t>
            </w:r>
          </w:p>
        </w:tc>
        <w:tc>
          <w:tcPr>
            <w:tcW w:w="1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1,113,650,881</w:t>
            </w:r>
          </w:p>
        </w:tc>
        <w:tc>
          <w:tcPr>
            <w:tcW w:w="1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29,355,068</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870,785</w:t>
            </w:r>
          </w:p>
        </w:tc>
        <w:tc>
          <w:tcPr>
            <w:tcW w:w="1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176,376,057</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Jane L. Mendillo</w:t>
            </w:r>
          </w:p>
        </w:tc>
        <w:tc>
          <w:tcPr>
            <w:tcW w:w="1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1,137,992,991</w:t>
            </w:r>
          </w:p>
        </w:tc>
        <w:tc>
          <w:tcPr>
            <w:tcW w:w="1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5,006,499</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877,244</w:t>
            </w:r>
          </w:p>
        </w:tc>
        <w:tc>
          <w:tcPr>
            <w:tcW w:w="1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176,376,057</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Michael G. Mullen</w:t>
            </w:r>
          </w:p>
        </w:tc>
        <w:tc>
          <w:tcPr>
            <w:tcW w:w="1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1,137,767,122</w:t>
            </w:r>
          </w:p>
        </w:tc>
        <w:tc>
          <w:tcPr>
            <w:tcW w:w="1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5,203,108</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906,504</w:t>
            </w:r>
          </w:p>
        </w:tc>
        <w:tc>
          <w:tcPr>
            <w:tcW w:w="1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176,376,057</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James J. Mulva</w:t>
            </w:r>
          </w:p>
        </w:tc>
        <w:tc>
          <w:tcPr>
            <w:tcW w:w="1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1,125,921,951</w:t>
            </w:r>
          </w:p>
        </w:tc>
        <w:tc>
          <w:tcPr>
            <w:tcW w:w="1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17,048,751</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906,032</w:t>
            </w:r>
          </w:p>
        </w:tc>
        <w:tc>
          <w:tcPr>
            <w:tcW w:w="1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176,376,057</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Patricia F. Russo</w:t>
            </w:r>
          </w:p>
        </w:tc>
        <w:tc>
          <w:tcPr>
            <w:tcW w:w="1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941,616,641</w:t>
            </w:r>
          </w:p>
        </w:tc>
        <w:tc>
          <w:tcPr>
            <w:tcW w:w="1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198,287,778</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3,972,315</w:t>
            </w:r>
          </w:p>
        </w:tc>
        <w:tc>
          <w:tcPr>
            <w:tcW w:w="1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176,376,057</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Thomas M. Schoewe</w:t>
            </w:r>
          </w:p>
        </w:tc>
        <w:tc>
          <w:tcPr>
            <w:tcW w:w="1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1,138,055,494</w:t>
            </w:r>
          </w:p>
        </w:tc>
        <w:tc>
          <w:tcPr>
            <w:tcW w:w="1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4,909,174</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912,066</w:t>
            </w:r>
          </w:p>
        </w:tc>
        <w:tc>
          <w:tcPr>
            <w:tcW w:w="1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176,376,057</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Theodore M. Solso</w:t>
            </w:r>
          </w:p>
        </w:tc>
        <w:tc>
          <w:tcPr>
            <w:tcW w:w="1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1,125,241,174</w:t>
            </w:r>
          </w:p>
        </w:tc>
        <w:tc>
          <w:tcPr>
            <w:tcW w:w="1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17,712,040</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923,520</w:t>
            </w:r>
          </w:p>
        </w:tc>
        <w:tc>
          <w:tcPr>
            <w:tcW w:w="1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176,376,057</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4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Carol M. Stephenson</w:t>
            </w:r>
          </w:p>
        </w:tc>
        <w:tc>
          <w:tcPr>
            <w:tcW w:w="1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972,637,424</w:t>
            </w:r>
          </w:p>
        </w:tc>
        <w:tc>
          <w:tcPr>
            <w:tcW w:w="1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170,384,260</w:t>
            </w:r>
          </w:p>
        </w:tc>
        <w:tc>
          <w:tcPr>
            <w:tcW w:w="1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855,050</w:t>
            </w:r>
          </w:p>
        </w:tc>
        <w:tc>
          <w:tcPr>
            <w:tcW w:w="1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176,376,057</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440" w:firstLine="162"/>
        <w:spacing w:after="0" w:line="501" w:lineRule="auto"/>
        <w:rPr>
          <w:sz w:val="20"/>
          <w:szCs w:val="20"/>
          <w:color w:val="auto"/>
        </w:rPr>
      </w:pPr>
      <w:r>
        <w:rPr>
          <w:rFonts w:ascii="Arial" w:cs="Arial" w:eastAsia="Arial" w:hAnsi="Arial"/>
          <w:sz w:val="18"/>
          <w:szCs w:val="18"/>
          <w:color w:val="auto"/>
        </w:rPr>
        <w:t>In addition, two individuals nominated by a shareholder at the annual meeting received an average of 125 votes "For" and 1.1 billion votes "Against". Item No. 2-Advisory Vote to Approve Named Executive Officer Compensation</w:t>
      </w:r>
    </w:p>
    <w:p>
      <w:pPr>
        <w:ind w:left="180"/>
        <w:spacing w:after="0"/>
        <w:rPr>
          <w:sz w:val="20"/>
          <w:szCs w:val="20"/>
          <w:color w:val="auto"/>
        </w:rPr>
      </w:pPr>
      <w:r>
        <w:rPr>
          <w:rFonts w:ascii="Arial" w:cs="Arial" w:eastAsia="Arial" w:hAnsi="Arial"/>
          <w:sz w:val="18"/>
          <w:szCs w:val="18"/>
          <w:color w:val="auto"/>
        </w:rPr>
        <w:t>The shareholders approved, on an advisory basis, the compensation of the Company's named executive officers:</w:t>
      </w:r>
    </w:p>
    <w:p>
      <w:pPr>
        <w:spacing w:after="0" w:line="138" w:lineRule="exact"/>
        <w:rPr>
          <w:sz w:val="20"/>
          <w:szCs w:val="20"/>
          <w:color w:val="auto"/>
        </w:rPr>
      </w:pPr>
    </w:p>
    <w:tbl>
      <w:tblPr>
        <w:tblLayout w:type="fixed"/>
        <w:tblInd w:w="550" w:type="dxa"/>
        <w:tblCellMar>
          <w:top w:w="0" w:type="dxa"/>
          <w:left w:w="0" w:type="dxa"/>
          <w:bottom w:w="0" w:type="dxa"/>
          <w:right w:w="0" w:type="dxa"/>
        </w:tblCellMar>
      </w:tblPr>
      <w:tr>
        <w:trPr>
          <w:trHeight w:val="257"/>
        </w:trPr>
        <w:tc>
          <w:tcPr>
            <w:tcW w:w="2620" w:type="dxa"/>
            <w:vAlign w:val="bottom"/>
            <w:tcBorders>
              <w:top w:val="single" w:sz="8" w:color="auto"/>
              <w:left w:val="single" w:sz="8" w:color="auto"/>
              <w:right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For</w:t>
            </w:r>
          </w:p>
        </w:tc>
        <w:tc>
          <w:tcPr>
            <w:tcW w:w="2600" w:type="dxa"/>
            <w:vAlign w:val="bottom"/>
            <w:tcBorders>
              <w:top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Against</w:t>
            </w:r>
          </w:p>
        </w:tc>
        <w:tc>
          <w:tcPr>
            <w:tcW w:w="2580" w:type="dxa"/>
            <w:vAlign w:val="bottom"/>
            <w:tcBorders>
              <w:top w:val="single" w:sz="8" w:color="auto"/>
              <w:right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Abstain</w:t>
            </w:r>
          </w:p>
        </w:tc>
        <w:tc>
          <w:tcPr>
            <w:tcW w:w="2560" w:type="dxa"/>
            <w:vAlign w:val="bottom"/>
            <w:tcBorders>
              <w:top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Broker Non-Vote</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r>
        <w:trPr>
          <w:trHeight w:val="237"/>
        </w:trPr>
        <w:tc>
          <w:tcPr>
            <w:tcW w:w="26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706,068,220</w:t>
            </w:r>
          </w:p>
        </w:tc>
        <w:tc>
          <w:tcPr>
            <w:tcW w:w="26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432,553,431</w:t>
            </w:r>
          </w:p>
        </w:tc>
        <w:tc>
          <w:tcPr>
            <w:tcW w:w="2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5,255,083</w:t>
            </w:r>
          </w:p>
        </w:tc>
        <w:tc>
          <w:tcPr>
            <w:tcW w:w="2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176,376,057</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No. 3-Ratification of the Selection of Deloitte &amp; Touche LLP as the Company's Independent Registered Public Accounting Firm for 2016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shareholders ratified the appointment of Deloitte &amp; Touche LLP as the Company's independent registered public accounting firm for 2016:</w:t>
      </w:r>
    </w:p>
    <w:p>
      <w:pPr>
        <w:spacing w:after="0" w:line="150" w:lineRule="exact"/>
        <w:rPr>
          <w:sz w:val="20"/>
          <w:szCs w:val="20"/>
          <w:color w:val="auto"/>
        </w:rPr>
      </w:pPr>
    </w:p>
    <w:tbl>
      <w:tblPr>
        <w:tblLayout w:type="fixed"/>
        <w:tblInd w:w="550" w:type="dxa"/>
        <w:tblCellMar>
          <w:top w:w="0" w:type="dxa"/>
          <w:left w:w="0" w:type="dxa"/>
          <w:bottom w:w="0" w:type="dxa"/>
          <w:right w:w="0" w:type="dxa"/>
        </w:tblCellMar>
      </w:tblPr>
      <w:tr>
        <w:trPr>
          <w:trHeight w:val="257"/>
        </w:trPr>
        <w:tc>
          <w:tcPr>
            <w:tcW w:w="2620" w:type="dxa"/>
            <w:vAlign w:val="bottom"/>
            <w:tcBorders>
              <w:top w:val="single" w:sz="8" w:color="auto"/>
              <w:left w:val="single" w:sz="8" w:color="auto"/>
              <w:right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For</w:t>
            </w:r>
          </w:p>
        </w:tc>
        <w:tc>
          <w:tcPr>
            <w:tcW w:w="2600" w:type="dxa"/>
            <w:vAlign w:val="bottom"/>
            <w:tcBorders>
              <w:top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Against</w:t>
            </w:r>
          </w:p>
        </w:tc>
        <w:tc>
          <w:tcPr>
            <w:tcW w:w="2580" w:type="dxa"/>
            <w:vAlign w:val="bottom"/>
            <w:tcBorders>
              <w:top w:val="single" w:sz="8" w:color="auto"/>
              <w:right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Abstain</w:t>
            </w:r>
          </w:p>
        </w:tc>
        <w:tc>
          <w:tcPr>
            <w:tcW w:w="256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Broker Non-Vote</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r>
        <w:trPr>
          <w:trHeight w:val="237"/>
        </w:trPr>
        <w:tc>
          <w:tcPr>
            <w:tcW w:w="26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1,304,864,993</w:t>
            </w:r>
          </w:p>
        </w:tc>
        <w:tc>
          <w:tcPr>
            <w:tcW w:w="26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13,592,385</w:t>
            </w:r>
          </w:p>
        </w:tc>
        <w:tc>
          <w:tcPr>
            <w:tcW w:w="2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1,795,413</w:t>
            </w:r>
          </w:p>
        </w:tc>
        <w:tc>
          <w:tcPr>
            <w:tcW w:w="2560" w:type="dxa"/>
            <w:vAlign w:val="bottom"/>
            <w:tcBorders>
              <w:right w:val="single" w:sz="8" w:color="auto"/>
            </w:tcBorders>
          </w:tcPr>
          <w:p>
            <w:pPr>
              <w:ind w:left="2260"/>
              <w:spacing w:after="0"/>
              <w:rPr>
                <w:sz w:val="20"/>
                <w:szCs w:val="20"/>
                <w:color w:val="auto"/>
              </w:rPr>
            </w:pPr>
            <w:r>
              <w:rPr>
                <w:rFonts w:ascii="Arial" w:cs="Arial" w:eastAsia="Arial" w:hAnsi="Arial"/>
                <w:sz w:val="18"/>
                <w:szCs w:val="18"/>
                <w:color w:val="auto"/>
              </w:rPr>
              <w:t>—</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No. 4-Shareholder Proposal Regarding Implementation of Holy Land Principles for Employment in Palestine-Israel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shareholders did not approve a shareholder proposal regarding implementation of Holy Land Principles for Employment in Palestine-Israel:</w:t>
      </w:r>
    </w:p>
    <w:p>
      <w:pPr>
        <w:spacing w:after="0" w:line="150" w:lineRule="exact"/>
        <w:rPr>
          <w:sz w:val="20"/>
          <w:szCs w:val="20"/>
          <w:color w:val="auto"/>
        </w:rPr>
      </w:pPr>
    </w:p>
    <w:tbl>
      <w:tblPr>
        <w:tblLayout w:type="fixed"/>
        <w:tblInd w:w="550" w:type="dxa"/>
        <w:tblCellMar>
          <w:top w:w="0" w:type="dxa"/>
          <w:left w:w="0" w:type="dxa"/>
          <w:bottom w:w="0" w:type="dxa"/>
          <w:right w:w="0" w:type="dxa"/>
        </w:tblCellMar>
      </w:tblPr>
      <w:tr>
        <w:trPr>
          <w:trHeight w:val="257"/>
        </w:trPr>
        <w:tc>
          <w:tcPr>
            <w:tcW w:w="2620" w:type="dxa"/>
            <w:vAlign w:val="bottom"/>
            <w:tcBorders>
              <w:top w:val="single" w:sz="8" w:color="auto"/>
              <w:left w:val="single" w:sz="8" w:color="auto"/>
              <w:right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For</w:t>
            </w:r>
          </w:p>
        </w:tc>
        <w:tc>
          <w:tcPr>
            <w:tcW w:w="2600" w:type="dxa"/>
            <w:vAlign w:val="bottom"/>
            <w:tcBorders>
              <w:top w:val="single" w:sz="8" w:color="auto"/>
              <w:right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Against</w:t>
            </w:r>
          </w:p>
        </w:tc>
        <w:tc>
          <w:tcPr>
            <w:tcW w:w="2580" w:type="dxa"/>
            <w:vAlign w:val="bottom"/>
            <w:tcBorders>
              <w:top w:val="single" w:sz="8" w:color="auto"/>
              <w:right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Abstain</w:t>
            </w:r>
          </w:p>
        </w:tc>
        <w:tc>
          <w:tcPr>
            <w:tcW w:w="2560" w:type="dxa"/>
            <w:vAlign w:val="bottom"/>
            <w:tcBorders>
              <w:top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Broker Non-Vote</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r>
        <w:trPr>
          <w:trHeight w:val="237"/>
        </w:trPr>
        <w:tc>
          <w:tcPr>
            <w:tcW w:w="2620" w:type="dxa"/>
            <w:vAlign w:val="bottom"/>
            <w:tcBorders>
              <w:left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29,204,396</w:t>
            </w:r>
          </w:p>
        </w:tc>
        <w:tc>
          <w:tcPr>
            <w:tcW w:w="26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972,616,268</w:t>
            </w:r>
          </w:p>
        </w:tc>
        <w:tc>
          <w:tcPr>
            <w:tcW w:w="25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142,056,070</w:t>
            </w:r>
          </w:p>
        </w:tc>
        <w:tc>
          <w:tcPr>
            <w:tcW w:w="2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176,376,057</w:t>
            </w:r>
          </w:p>
        </w:tc>
      </w:tr>
      <w:tr>
        <w:trPr>
          <w:trHeight w:val="27"/>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00"/>
          </w:cols>
          <w:pgMar w:left="240" w:top="58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JILL E. SUTTON</w:t>
            </w:r>
          </w:p>
        </w:tc>
        <w:tc>
          <w:tcPr>
            <w:tcW w:w="0" w:type="dxa"/>
            <w:vAlign w:val="bottom"/>
          </w:tcPr>
          <w:p>
            <w:pPr>
              <w:spacing w:after="0"/>
              <w:rPr>
                <w:sz w:val="1"/>
                <w:szCs w:val="1"/>
                <w:color w:val="auto"/>
              </w:rPr>
            </w:pPr>
          </w:p>
        </w:tc>
      </w:tr>
      <w:tr>
        <w:trPr>
          <w:trHeight w:val="27"/>
        </w:trPr>
        <w:tc>
          <w:tcPr>
            <w:tcW w:w="3460" w:type="dxa"/>
            <w:vAlign w:val="bottom"/>
            <w:vMerge w:val="restart"/>
          </w:tcPr>
          <w:p>
            <w:pPr>
              <w:spacing w:after="0"/>
              <w:rPr>
                <w:sz w:val="20"/>
                <w:szCs w:val="20"/>
                <w:color w:val="auto"/>
              </w:rPr>
            </w:pPr>
            <w:r>
              <w:rPr>
                <w:rFonts w:ascii="Arial" w:cs="Arial" w:eastAsia="Arial" w:hAnsi="Arial"/>
                <w:sz w:val="18"/>
                <w:szCs w:val="18"/>
                <w:color w:val="auto"/>
              </w:rPr>
              <w:t>Date: June 10, 2016</w:t>
            </w:r>
          </w:p>
        </w:tc>
        <w:tc>
          <w:tcPr>
            <w:tcW w:w="2680" w:type="dxa"/>
            <w:vAlign w:val="bottom"/>
            <w:vMerge w:val="restart"/>
          </w:tcPr>
          <w:p>
            <w:pPr>
              <w:ind w:left="202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60" w:type="dxa"/>
            <w:vAlign w:val="bottom"/>
            <w:vMerge w:val="continue"/>
          </w:tcPr>
          <w:p>
            <w:pPr>
              <w:spacing w:after="0"/>
              <w:rPr>
                <w:sz w:val="19"/>
                <w:szCs w:val="19"/>
                <w:color w:val="auto"/>
              </w:rPr>
            </w:pPr>
          </w:p>
        </w:tc>
        <w:tc>
          <w:tcPr>
            <w:tcW w:w="2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Jill E. Sutton</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Deputy General Counsel &amp; Corporate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2019-12-08T19:50:11Z</dcterms:created>
  <dcterms:modified xsi:type="dcterms:W3CDTF">2019-12-08T19:50:11Z</dcterms:modified>
</cp:coreProperties>
</file>