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44" w:lineRule="exact"/>
        <w:rPr>
          <w:sz w:val="24"/>
          <w:szCs w:val="24"/>
          <w:color w:val="auto"/>
        </w:rPr>
      </w:pPr>
    </w:p>
    <w:p>
      <w:pPr>
        <w:ind w:left="660" w:right="2180" w:hanging="635"/>
        <w:spacing w:after="0" w:line="239"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44" w:lineRule="exact"/>
        <w:rPr>
          <w:sz w:val="24"/>
          <w:szCs w:val="24"/>
          <w:color w:val="auto"/>
        </w:rPr>
      </w:pPr>
    </w:p>
    <w:p>
      <w:pPr>
        <w:ind w:left="660" w:right="2160" w:hanging="635"/>
        <w:spacing w:after="0" w:line="239"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2"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121920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215"/>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8"/>
              </w:rPr>
              <w:t>(I.R.S. Employer</w:t>
            </w:r>
          </w:p>
        </w:tc>
      </w:tr>
      <w:tr>
        <w:trPr>
          <w:trHeight w:val="236"/>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22"/>
        </w:trPr>
        <w:tc>
          <w:tcPr>
            <w:tcW w:w="50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276"/>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309"/>
        </w:trPr>
        <w:tc>
          <w:tcPr>
            <w:tcW w:w="5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gridSpan w:val="3"/>
          </w:tcPr>
          <w:p>
            <w:pPr>
              <w:jc w:val="center"/>
              <w:ind w:left="94"/>
              <w:spacing w:after="0"/>
              <w:rPr>
                <w:sz w:val="20"/>
                <w:szCs w:val="20"/>
                <w:color w:val="auto"/>
              </w:rPr>
            </w:pPr>
            <w:r>
              <w:rPr>
                <w:rFonts w:ascii="Times New Roman" w:cs="Times New Roman" w:eastAsia="Times New Roman" w:hAnsi="Times New Roman"/>
                <w:sz w:val="17"/>
                <w:szCs w:val="17"/>
                <w:color w:val="auto"/>
              </w:rPr>
              <w:t>Trading Symbol(s)</w:t>
            </w:r>
          </w:p>
        </w:tc>
        <w:tc>
          <w:tcPr>
            <w:tcW w:w="352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7"/>
        </w:trPr>
        <w:tc>
          <w:tcPr>
            <w:tcW w:w="29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40" w:lineRule="exact"/>
        <w:rPr>
          <w:sz w:val="24"/>
          <w:szCs w:val="24"/>
          <w:color w:val="auto"/>
        </w:rPr>
      </w:pPr>
    </w:p>
    <w:p>
      <w:pPr>
        <w:jc w:val="both"/>
        <w:ind w:firstLine="81"/>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81"/>
        <w:spacing w:after="0" w:line="25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6" w:lineRule="exact"/>
        <w:rPr>
          <w:sz w:val="24"/>
          <w:szCs w:val="24"/>
          <w:color w:val="auto"/>
        </w:rPr>
      </w:pPr>
    </w:p>
    <w:p>
      <w:pPr>
        <w:jc w:val="both"/>
        <w:ind w:firstLine="81"/>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7"/>
          <w:szCs w:val="17"/>
          <w:color w:val="auto"/>
        </w:rPr>
        <w:t>☐</w:t>
      </w:r>
    </w:p>
    <w:p>
      <w:pPr>
        <w:spacing w:after="0" w:line="142" w:lineRule="exact"/>
        <w:rPr>
          <w:sz w:val="24"/>
          <w:szCs w:val="24"/>
          <w:color w:val="auto"/>
        </w:rPr>
      </w:pPr>
    </w:p>
    <w:p>
      <w:pPr>
        <w:jc w:val="both"/>
        <w:ind w:firstLine="81"/>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3" w:lineRule="exact"/>
        <w:rPr>
          <w:sz w:val="24"/>
          <w:szCs w:val="24"/>
          <w:color w:val="auto"/>
        </w:rPr>
      </w:pPr>
    </w:p>
    <w:p>
      <w:pPr>
        <w:ind w:left="80" w:right="2220"/>
        <w:spacing w:after="0" w:line="28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July 13, 2022 there were 1,458,048,958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739775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Significant Accounting Policies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 Incentive Plans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20" w:type="dxa"/>
            <w:vAlign w:val="bottom"/>
            <w:tcBorders>
              <w:top w:val="single" w:sz="8" w:color="CCEEFF"/>
            </w:tcBorders>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3"/>
        </w:trPr>
        <w:tc>
          <w:tcPr>
            <w:tcW w:w="86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CCEEFF"/>
              <w:bottom w:val="single" w:sz="8" w:color="9A9A9A"/>
            </w:tcBorders>
          </w:tcPr>
          <w:p>
            <w:pPr>
              <w:spacing w:after="0"/>
              <w:rPr>
                <w:sz w:val="24"/>
                <w:szCs w:val="24"/>
                <w:color w:val="auto"/>
              </w:rPr>
            </w:pPr>
          </w:p>
        </w:tc>
        <w:tc>
          <w:tcPr>
            <w:tcW w:w="87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74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5"/>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22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22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220" w:type="dxa"/>
            <w:vAlign w:val="bottom"/>
          </w:tcPr>
          <w:p>
            <w:pPr>
              <w:spacing w:after="0"/>
              <w:rPr>
                <w:sz w:val="15"/>
                <w:szCs w:val="15"/>
                <w:color w:val="auto"/>
              </w:rPr>
            </w:pP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June 30, 2021</w:t>
            </w:r>
          </w:p>
        </w:tc>
      </w:tr>
      <w:tr>
        <w:trPr>
          <w:trHeight w:val="19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8"/>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59,811</w:t>
            </w:r>
          </w:p>
        </w:tc>
      </w:tr>
      <w:tr>
        <w:trPr>
          <w:trHeight w:val="212"/>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6,830</w:t>
            </w:r>
          </w:p>
        </w:tc>
      </w:tr>
      <w:tr>
        <w:trPr>
          <w:trHeight w:val="211"/>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sales and revenue (Note 3)</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66,641</w:t>
            </w: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52,381</w:t>
            </w:r>
          </w:p>
        </w:tc>
      </w:tr>
      <w:tr>
        <w:trPr>
          <w:trHeight w:val="212"/>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w:t>
            </w:r>
          </w:p>
        </w:tc>
      </w:tr>
      <w:tr>
        <w:trPr>
          <w:trHeight w:val="218"/>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w:t>
            </w:r>
          </w:p>
        </w:tc>
      </w:tr>
      <w:tr>
        <w:trPr>
          <w:trHeight w:val="206"/>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33,643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31,285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67,426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60,482</w:t>
            </w:r>
          </w:p>
        </w:tc>
      </w:tr>
      <w:tr>
        <w:trPr>
          <w:trHeight w:val="211"/>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8)</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7,941</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15)</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w:t>
            </w: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5,767</w:t>
            </w:r>
          </w:p>
        </w:tc>
      </w:tr>
      <w:tr>
        <w:trPr>
          <w:trHeight w:val="54"/>
        </w:trPr>
        <w:tc>
          <w:tcPr>
            <w:tcW w:w="5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17)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2"/>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8"/>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r>
      <w:tr>
        <w:trPr>
          <w:trHeight w:val="212"/>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8"/>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74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64"/>
        </w:trPr>
        <w:tc>
          <w:tcPr>
            <w:tcW w:w="5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June 30, 2021</w:t>
            </w: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2"/>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Defined benefit plans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1"/>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06"/>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6,278</w:t>
            </w:r>
          </w:p>
        </w:tc>
      </w:tr>
      <w:tr>
        <w:trPr>
          <w:trHeight w:val="21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1"/>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6,350</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debt securities (Note 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 of allowance of $214 and $192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$782 and $703 (Note 5; Note 9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(Note 6)</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(Note 4; Note 9 at VIEs)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82,103</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$1,245 and $1,183 (Note 5; Note 9 at VIEs)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8)</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on operating leases, net (Note 7; Note 9 at VIEs)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37,929</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(Note 4; Note 9 at VIEs)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162,615</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244,718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10)</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9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20,297</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74,408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(Note 10)</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16,355</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9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Postretirement benefits other than pensions (Note 13)</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Pensions (Note 13)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15,085</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104,495</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178,903</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 Cruise Stock Incentive Awards (Note 18)</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(Note 16)</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41,937</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(9,269)</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59,744</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65,815</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244,718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Pr>
          <w:p>
            <w:pPr>
              <w:spacing w:after="0"/>
              <w:rPr>
                <w:sz w:val="16"/>
                <w:szCs w:val="16"/>
                <w:color w:val="auto"/>
              </w:rPr>
            </w:pPr>
          </w:p>
        </w:tc>
        <w:tc>
          <w:tcPr>
            <w:tcW w:w="14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(17,485)</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10,868</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(7,010)</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25,955</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(redemptions) of subsidiary preferred stock (Note 16)</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w:t>
            </w: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4"/>
        </w:trPr>
        <w:tc>
          <w:tcPr>
            <w:tcW w:w="7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479"/>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00" w:type="dxa"/>
            <w:vAlign w:val="bottom"/>
          </w:tcPr>
          <w:p>
            <w:pPr>
              <w:spacing w:after="0"/>
              <w:rPr>
                <w:sz w:val="12"/>
                <w:szCs w:val="12"/>
                <w:color w:val="auto"/>
              </w:rPr>
            </w:pPr>
          </w:p>
        </w:tc>
        <w:tc>
          <w:tcPr>
            <w:tcW w:w="1200" w:type="dxa"/>
            <w:vAlign w:val="bottom"/>
          </w:tcPr>
          <w:p>
            <w:pPr>
              <w:jc w:val="center"/>
              <w:ind w:right="28"/>
              <w:spacing w:after="0" w:line="148"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Cruise Stock</w:t>
            </w:r>
          </w:p>
        </w:tc>
        <w:tc>
          <w:tcPr>
            <w:tcW w:w="0" w:type="dxa"/>
            <w:vAlign w:val="bottom"/>
          </w:tcPr>
          <w:p>
            <w:pPr>
              <w:spacing w:after="0"/>
              <w:rPr>
                <w:sz w:val="1"/>
                <w:szCs w:val="1"/>
                <w:color w:val="auto"/>
              </w:rPr>
            </w:pPr>
          </w:p>
        </w:tc>
      </w:tr>
      <w:tr>
        <w:trPr>
          <w:trHeight w:val="137"/>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120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Incentive Awards</w:t>
            </w:r>
          </w:p>
        </w:tc>
        <w:tc>
          <w:tcPr>
            <w:tcW w:w="0" w:type="dxa"/>
            <w:vAlign w:val="bottom"/>
          </w:tcPr>
          <w:p>
            <w:pPr>
              <w:spacing w:after="0"/>
              <w:rPr>
                <w:sz w:val="1"/>
                <w:szCs w:val="1"/>
                <w:color w:val="auto"/>
              </w:rPr>
            </w:pPr>
          </w:p>
        </w:tc>
      </w:tr>
      <w:tr>
        <w:trPr>
          <w:trHeight w:val="193"/>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0" w:type="dxa"/>
            <w:vAlign w:val="bottom"/>
          </w:tcPr>
          <w:p>
            <w:pPr>
              <w:spacing w:after="0"/>
              <w:rPr>
                <w:sz w:val="1"/>
                <w:szCs w:val="1"/>
                <w:color w:val="auto"/>
              </w:rPr>
            </w:pPr>
          </w:p>
        </w:tc>
      </w:tr>
      <w:tr>
        <w:trPr>
          <w:trHeight w:val="20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0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(redemption) of subsidiary preferred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(Note 16)</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54,443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Issuance (redemption) of subsidiary preferred</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(Note 16)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0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(redemption) of subsidiary preferred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(Note 16)</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43,879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66,774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Issuance (redemption) of subsidiary preferred</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21"/>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106" w:lineRule="exact"/>
        <w:rPr>
          <w:sz w:val="20"/>
          <w:szCs w:val="20"/>
          <w:color w:val="auto"/>
        </w:rPr>
      </w:pPr>
    </w:p>
    <w:p>
      <w:pPr>
        <w:jc w:val="both"/>
        <w:ind w:firstLine="161"/>
        <w:spacing w:after="0" w:line="239"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Additionally, we are investing in and growing an autonomous vehicle (AV)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AV technology. Nonsegment operations are classified as Corporate. Corporate includes certain centrally recorded income and costs such as interest, income taxes, corporate expenditures and certain nonsegment-specific revenues and expenses.</w:t>
      </w:r>
    </w:p>
    <w:p>
      <w:pPr>
        <w:spacing w:after="0" w:line="21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2021 Form 10-K. Except for per share amounts or as otherwise specified, amounts presented within tables are stated in millions. Certain columns and rows may not add due to rounding.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information presented on Stock Incentive Plans updates our Significant Accounting Policies information presented in our 2021 Form 10-K to reflect the effect of modifications made to Cruise stock incentive awards during the three months ended March 31, 2022. Refer to Note 18 to our condensed consolidated financial statements for additional information on the modifications made.</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Stock Incentive Plans </w:t>
      </w:r>
      <w:r>
        <w:rPr>
          <w:rFonts w:ascii="Times New Roman" w:cs="Times New Roman" w:eastAsia="Times New Roman" w:hAnsi="Times New Roman"/>
          <w:sz w:val="18"/>
          <w:szCs w:val="18"/>
          <w:color w:val="auto"/>
        </w:rPr>
        <w:t>Our stock incentive plans include Restricted Stock Units (RSUs), Restricted Stock Awards (RSAs), Performance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(PSUs), stock options and awards that may be settled in our stock, the stock of our subsidiaries or in cash. We measure and record compensation expense based on the fair value of GM or Cruise's common stock on the date of grant for RSUs, RSAs and PSUs and the grant date fair value, determined utilizing a lattice model or the Black-Scholes formula for stock options and PSUs. We record compensation cost for service-based RSUs, RSAs, PSUs and service-based stock options on a straight-line basis over the entire vesting period, or for retirement eligible employees over the requisite service period. In March 2022, all outstanding RSUs that settle in Cruise’s common stock were modified to remove the liquidity vesting condition. Prospectively, RSUs that will settle in Cruise’s common stock will vest solely upon satisfaction of a service condition. Compensation cost for awards that do not have an established accounting grant date, but for which the service inception date has been established, or are settled in cash is based generally on the fair value of GM or Cruise's common stock at the end of each reporting period. Compensation cost is also recorded on stock issued to settle awards based on the fair value of Cruise's common stock until such time that the stock has been issued for more than six months. We use the graded vesting method to record compensation cost for stock options with market conditions over the lesser of the vesting period or the time period an employee becomes eligible to retain the award at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Accounting Standards Not Yet Adopted </w:t>
      </w:r>
      <w:r>
        <w:rPr>
          <w:rFonts w:ascii="Times New Roman" w:cs="Times New Roman" w:eastAsia="Times New Roman" w:hAnsi="Times New Roman"/>
          <w:sz w:val="18"/>
          <w:szCs w:val="18"/>
          <w:color w:val="auto"/>
        </w:rPr>
        <w:t>In March 2022, the Financial Accounting Standards Board issued Accounting Standards Update (ASU) 2022-02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 Credit Losses (Topic 326): Troubled Debt Restructurings and Vintage Disclosures" (ASU 2022-02), which eliminates the accounting guidance for troubled debt restructurings (TDRs) by creditors that have adopted ASU 2016-13, "Financial Instruments - Credit Losses (Topic 326): Measurement of Credit Losses on Financial Instruments" and enhances certain disclosure requirements. The adoption of ASU 2022-02 is expected to be insignificant.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1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1"/>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right"/>
              <w:ind w:right="201"/>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27,826</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28,760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28,760</w:t>
            </w: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6"/>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GMNA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5"/>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GMI</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00" w:type="dxa"/>
            <w:vAlign w:val="bottom"/>
          </w:tcPr>
          <w:p>
            <w:pPr>
              <w:spacing w:after="0"/>
              <w:rPr>
                <w:sz w:val="11"/>
                <w:szCs w:val="11"/>
                <w:color w:val="auto"/>
              </w:rPr>
            </w:pPr>
          </w:p>
        </w:tc>
        <w:tc>
          <w:tcPr>
            <w:tcW w:w="980" w:type="dxa"/>
            <w:vAlign w:val="bottom"/>
            <w:gridSpan w:val="7"/>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60" w:type="dxa"/>
            <w:vAlign w:val="bottom"/>
          </w:tcPr>
          <w:p>
            <w:pPr>
              <w:spacing w:after="0"/>
              <w:rPr>
                <w:sz w:val="11"/>
                <w:szCs w:val="11"/>
                <w:color w:val="auto"/>
              </w:rPr>
            </w:pPr>
          </w:p>
        </w:tc>
        <w:tc>
          <w:tcPr>
            <w:tcW w:w="1400" w:type="dxa"/>
            <w:vAlign w:val="bottom"/>
            <w:gridSpan w:val="3"/>
          </w:tcPr>
          <w:p>
            <w:pPr>
              <w:ind w:left="160"/>
              <w:spacing w:after="0" w:line="128"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6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6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ind w:right="241"/>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29,470</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w w:val="99"/>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304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27,932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30,745</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30,744</w:t>
            </w: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5"/>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2,304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5"/>
          </w:tcPr>
          <w:p>
            <w:pPr>
              <w:jc w:val="right"/>
              <w:ind w:right="1"/>
              <w:spacing w:after="0"/>
              <w:rPr>
                <w:sz w:val="20"/>
                <w:szCs w:val="20"/>
                <w:color w:val="auto"/>
              </w:rPr>
            </w:pPr>
            <w:r>
              <w:rPr>
                <w:rFonts w:ascii="Times New Roman" w:cs="Times New Roman" w:eastAsia="Times New Roman" w:hAnsi="Times New Roman"/>
                <w:sz w:val="16"/>
                <w:szCs w:val="16"/>
                <w:color w:val="auto"/>
                <w:w w:val="94"/>
              </w:rPr>
              <w:t>1,036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5"/>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gridSpan w:val="5"/>
          </w:tcPr>
          <w:p>
            <w:pPr>
              <w:jc w:val="right"/>
              <w:ind w:right="1"/>
              <w:spacing w:after="0"/>
              <w:rPr>
                <w:sz w:val="20"/>
                <w:szCs w:val="20"/>
                <w:color w:val="auto"/>
              </w:rPr>
            </w:pPr>
            <w:r>
              <w:rPr>
                <w:rFonts w:ascii="Times New Roman" w:cs="Times New Roman" w:eastAsia="Times New Roman" w:hAnsi="Times New Roman"/>
                <w:sz w:val="16"/>
                <w:szCs w:val="16"/>
                <w:color w:val="auto"/>
                <w:w w:val="94"/>
              </w:rPr>
              <w:t>3,426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center"/>
              <w:ind w:right="2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gridSpan w:val="5"/>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3,426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34,167</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61"/>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right="141"/>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56,398</w:t>
            </w:r>
          </w:p>
        </w:tc>
        <w:tc>
          <w:tcPr>
            <w:tcW w:w="6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62,904</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62,904</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1,606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6,301</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w:t>
            </w:r>
          </w:p>
        </w:tc>
        <w:tc>
          <w:tcPr>
            <w:tcW w:w="6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65,437</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40" w:type="dxa"/>
            <w:vAlign w:val="bottom"/>
            <w:tcBorders>
              <w:bottom w:val="single" w:sz="8" w:color="auto"/>
            </w:tcBorders>
            <w:gridSpan w:val="2"/>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71,738</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57,191</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0" w:type="dxa"/>
            <w:vAlign w:val="bottom"/>
          </w:tcPr>
          <w:p>
            <w:pPr>
              <w:spacing w:after="0"/>
              <w:rPr>
                <w:sz w:val="1"/>
                <w:szCs w:val="1"/>
                <w:color w:val="auto"/>
              </w:rPr>
            </w:pPr>
          </w:p>
        </w:tc>
      </w:tr>
      <w:tr>
        <w:trPr>
          <w:trHeight w:val="206"/>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53,889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59,811</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6"/>
        </w:trPr>
        <w:tc>
          <w:tcPr>
            <w:tcW w:w="3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6,833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0" w:type="dxa"/>
            <w:vAlign w:val="bottom"/>
          </w:tcPr>
          <w:p>
            <w:pPr>
              <w:spacing w:after="0"/>
              <w:rPr>
                <w:sz w:val="1"/>
                <w:szCs w:val="1"/>
                <w:color w:val="auto"/>
              </w:rPr>
            </w:pPr>
          </w:p>
        </w:tc>
      </w:tr>
      <w:tr>
        <w:trPr>
          <w:trHeight w:val="236"/>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increased revenue by $320 million and $350 million in the three months ended June 30, 2022 and 2021.</w:t>
      </w:r>
    </w:p>
    <w:p>
      <w:pPr>
        <w:spacing w:after="0" w:line="8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Contract liabilities in our Automotive segments primarily consist of maintenance, extended warranty and other service contracts of $2.9 billion and $2.5 billion at June 30, 2022 and December 31, 2021, which are included in Accrued liabilities and Other liabilities. We recognized revenue of $307 million and $726 million related to contract liabilities in the three and six months ended June 30, 2022 and $294 million and $689 million in the three and six months ended June 30, 2021. We expect to recognize revenue of $901 million in the six months ending December 31, 2022 and $752 million, $428 million and $827 million in the years ending December 31, 2023, 2024 and thereafter related to contract liabilities at June 30, 2022.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Marketable and Other Securities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3"/>
                <w:szCs w:val="13"/>
                <w:color w:val="auto"/>
              </w:rPr>
            </w:pPr>
          </w:p>
        </w:tc>
        <w:tc>
          <w:tcPr>
            <w:tcW w:w="13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equivalents(a)</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securities(b)</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maturities(c)</w:t>
            </w: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 billion and $1.6 billion in Cruise at June 30, 2022 and December 31, 2021.</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 billion and $1.5 billion in Cruise at June 30, 2022 and December 31, 2021.</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mortgage and asset-backed securities of $605 million at June 30, 2022 as these securities are not due at a single maturity date.</w:t>
      </w:r>
    </w:p>
    <w:p>
      <w:pPr>
        <w:spacing w:after="0" w:line="23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$494 million and $557 million in the three months ended June 30, 2022 and 2021 and $1.0 billion and $1.1 billion in the six months ended June 30, 2022 and 2021. Net unrealized losses on available-for-sale debt securities were insignificant in the three months ended June 30, 2022 and 2021. Net unrealized losses on available-for-sale debt were $261 million and insignificant in the six months ended June 30, 2022 and 2021. Cumulative unrealized losses on available-for-sale debt securities were $276 million and insignificant at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shown in the condensed consolidated statement of cash flows:</w:t>
      </w:r>
    </w:p>
    <w:p>
      <w:pPr>
        <w:spacing w:after="0" w:line="75"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20" w:right="540"/>
        <w:spacing w:after="0" w:line="285" w:lineRule="auto"/>
        <w:rPr>
          <w:sz w:val="20"/>
          <w:szCs w:val="20"/>
          <w:color w:val="auto"/>
        </w:rPr>
      </w:pPr>
      <w:r>
        <w:rPr>
          <w:rFonts w:ascii="Times New Roman" w:cs="Times New Roman" w:eastAsia="Times New Roman" w:hAnsi="Times New Roman"/>
          <w:sz w:val="18"/>
          <w:szCs w:val="18"/>
          <w:color w:val="auto"/>
        </w:rPr>
        <w:t>Restricted cash included in Other current assets Restricted cash included in Other assets</w:t>
      </w: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GM Financial Receivables and Transactions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16,710</w:t>
            </w:r>
          </w:p>
        </w:tc>
      </w:tr>
      <w:tr>
        <w:trPr>
          <w:trHeight w:val="228"/>
        </w:trPr>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33"/>
        </w:trPr>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2"/>
        </w:trPr>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w:t>
            </w:r>
          </w:p>
        </w:tc>
      </w:tr>
      <w:tr>
        <w:trPr>
          <w:trHeight w:val="20"/>
        </w:trPr>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34"/>
        </w:trPr>
        <w:tc>
          <w:tcPr>
            <w:tcW w:w="98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80" w:type="dxa"/>
            <w:vAlign w:val="bottom"/>
          </w:tcPr>
          <w:p>
            <w:pPr>
              <w:spacing w:after="0"/>
              <w:rPr>
                <w:sz w:val="24"/>
                <w:szCs w:val="24"/>
                <w:color w:val="auto"/>
              </w:rPr>
            </w:pPr>
          </w:p>
        </w:tc>
      </w:tr>
      <w:tr>
        <w:trPr>
          <w:trHeight w:val="25"/>
        </w:trPr>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5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-946150</wp:posOffset>
            </wp:positionV>
            <wp:extent cx="7132955" cy="144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60" w:space="320"/>
            <w:col w:w="6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 of fees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61,208</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68,733</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58,093</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64,702</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(1,987)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(1,839)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59,220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56,254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42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2"/>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2"/>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57,613</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dealer cash management balances of $1.3 billion and $1.0 billion at June 30, 2022 and December 31, 2021. Under the cash management program, subject to certain conditions, a dealer may choose to reduce the amount of interest on its floorplan line by making principal payments to GM Financial in advance.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3120" w:type="dxa"/>
            <w:vAlign w:val="bottom"/>
            <w:gridSpan w:val="4"/>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8"/>
        </w:trPr>
        <w:tc>
          <w:tcPr>
            <w:tcW w:w="43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28"/>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vehicles for personal and commercial use. The following tables are consolidated summaries of the retail finance receivables by FICO score or its equivalent, determined at origination, for each vintage of the retail finance receivables portfolio at June 30, 2022 and December 31, 2021:</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Prime – FICO score 680 and greater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Near-prime – FICO score 620 to 679</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Sub-prime – FICO score less than 620</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Retail finance receivables, net of fees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5"/>
        </w:trPr>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188"/>
        </w:trPr>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6"/>
        </w:trPr>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12,052</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16,089</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43,141</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70.5 %</w:t>
            </w:r>
          </w:p>
        </w:tc>
      </w:tr>
      <w:tr>
        <w:trPr>
          <w:trHeight w:val="206"/>
        </w:trPr>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8,366</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13.7 %</w:t>
            </w:r>
          </w:p>
        </w:tc>
      </w:tr>
      <w:tr>
        <w:trPr>
          <w:trHeight w:val="215"/>
        </w:trPr>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15.8 %</w:t>
            </w:r>
          </w:p>
        </w:tc>
      </w:tr>
      <w:tr>
        <w:trPr>
          <w:trHeight w:val="25"/>
        </w:trPr>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61,208</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7"/>
        </w:trPr>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-579755</wp:posOffset>
            </wp:positionV>
            <wp:extent cx="7132955"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-306705</wp:posOffset>
            </wp:positionV>
            <wp:extent cx="7132955" cy="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520"/>
          </w:cols>
          <w:pgMar w:left="320" w:top="121"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Prime – FICO score 680 and greater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Near-prime – FICO score 620 to 679</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Sub-prime – FICO score less than 620</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Retail finance receivables, net of fees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188"/>
        </w:trPr>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6"/>
        </w:trPr>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19,729</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12,408</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4,078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39,419</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67.9 %</w:t>
            </w:r>
          </w:p>
        </w:tc>
      </w:tr>
      <w:tr>
        <w:trPr>
          <w:trHeight w:val="206"/>
        </w:trPr>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8,479</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14.6 %</w:t>
            </w:r>
          </w:p>
        </w:tc>
      </w:tr>
      <w:tr>
        <w:trPr>
          <w:trHeight w:val="215"/>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w:t>
            </w:r>
          </w:p>
        </w:tc>
      </w:tr>
      <w:tr>
        <w:trPr>
          <w:trHeight w:val="25"/>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27,638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7,084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58,093</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7"/>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-579755</wp:posOffset>
            </wp:positionV>
            <wp:extent cx="7132955"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-306705</wp:posOffset>
            </wp:positionV>
            <wp:extent cx="713295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121" w:right="339" w:bottom="1440" w:gutter="0" w:footer="0" w:header="0"/>
          <w:type w:val="continuous"/>
        </w:sectPr>
      </w:pPr>
    </w:p>
    <w:p>
      <w:pPr>
        <w:spacing w:after="0" w:line="11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$583 million and $602 million at June 30, 2022 and December 31, 2021. The following tables are consolidated summaries of the delinquency status of the outstanding amortized cost of retail finance receivables for each vintage of the portfolio at June 30, 2022 and December 31, 2021, as well as summary totals for June 30,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58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59,681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55,187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97.9 %</w:t>
            </w:r>
          </w:p>
        </w:tc>
        <w:tc>
          <w:tcPr>
            <w:tcW w:w="0" w:type="dxa"/>
            <w:vAlign w:val="bottom"/>
          </w:tcPr>
          <w:p>
            <w:pPr>
              <w:spacing w:after="0"/>
              <w:rPr>
                <w:sz w:val="1"/>
                <w:szCs w:val="1"/>
                <w:color w:val="auto"/>
              </w:rPr>
            </w:pPr>
          </w:p>
        </w:tc>
      </w:tr>
      <w:tr>
        <w:trPr>
          <w:trHeight w:val="22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28"/>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63"/>
        </w:trPr>
        <w:tc>
          <w:tcPr>
            <w:tcW w:w="21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Finance receivables more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30 days delinquent</w:t>
            </w:r>
          </w:p>
        </w:tc>
        <w:tc>
          <w:tcPr>
            <w:tcW w:w="18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228"/>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3"/>
        </w:trPr>
        <w:tc>
          <w:tcPr>
            <w:tcW w:w="21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Finance receivables more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8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auto"/>
              </w:rPr>
              <w:t>than 30 days delinquent or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 repossession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8"/>
                <w:szCs w:val="18"/>
                <w:color w:val="auto"/>
              </w:rPr>
              <w:t>Retail finance receivables,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15,582</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22,595</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13,784</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5,337</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61,208</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56,357</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26"/>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fees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188"/>
        </w:trPr>
        <w:tc>
          <w:tcPr>
            <w:tcW w:w="2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97.5 %</w:t>
            </w:r>
          </w:p>
        </w:tc>
      </w:tr>
      <w:tr>
        <w:trPr>
          <w:trHeight w:val="22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28"/>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55"/>
        </w:trPr>
        <w:tc>
          <w:tcPr>
            <w:tcW w:w="23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23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55"/>
        </w:trPr>
        <w:tc>
          <w:tcPr>
            <w:tcW w:w="23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230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30 days delinquent or in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8"/>
        </w:trPr>
        <w:tc>
          <w:tcPr>
            <w:tcW w:w="2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59"/>
        </w:trPr>
        <w:tc>
          <w:tcPr>
            <w:tcW w:w="23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Retail finance receivables, net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0"/>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fees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58,093</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outstanding amortized cost of retail finance receivables that are considered TDRs was $1.9 billion at June 30, 2022, including $200 million in nonaccrual loans.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financings, primarily for inventory 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models are used to assign a risk rating to each dealer. GM Financial performs periodic credit reviews of each dealership and adjusts the dealership's risk rating, if necessary. There were no commercial finance receivables on nonaccrual status at June 30, 2022.</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commercial risk model and risk rating categories are as follows:</w:t>
      </w:r>
    </w:p>
    <w:p>
      <w:pPr>
        <w:sectPr>
          <w:pgSz w:w="11900" w:h="16838" w:orient="portrait"/>
          <w:cols w:equalWidth="0" w:num="1">
            <w:col w:w="11240"/>
          </w:cols>
          <w:pgMar w:left="320" w:top="121"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1" w:right="339" w:bottom="1440" w:gutter="0" w:footer="0" w:header="0"/>
          <w:type w:val="continuous"/>
        </w:sectPr>
      </w:pPr>
    </w:p>
    <w:p>
      <w:pPr>
        <w:spacing w:after="0" w:line="11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June 30, 2022 and December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0"/>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96.3 %</w:t>
            </w: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finance receivables, net of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94.7 %</w:t>
            </w: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finance receivables, net of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Floorplan advances comprise 93% and 94% of the total revolving balance at June 30, 2022 and December 31, 2021. Dealer term loans are presented by year of origination.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GM Financial </w:t>
      </w:r>
      <w:r>
        <w:rPr>
          <w:rFonts w:ascii="Times New Roman" w:cs="Times New Roman" w:eastAsia="Times New Roman" w:hAnsi="Times New Roman"/>
          <w:sz w:val="18"/>
          <w:szCs w:val="18"/>
          <w:color w:val="auto"/>
        </w:rPr>
        <w:t>The following table shows transactions between our Automotive segments and GM Financial. These amounts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in GM Financial's condensed consolidated balance sheets and statements of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Sheets(a)</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net due from GM consolidated dealers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Subvention receivable(b)</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304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48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5"/>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8"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segments made cash payments to GM Financial for subvention of $561 million and $1.0 billion in the three months ended June 30, 2022 and 2021 and $1.0 billion and $2.0 billion in the six months ended June 30, 2022 and 2021.</w:t>
      </w:r>
    </w:p>
    <w:p>
      <w:pPr>
        <w:spacing w:after="0" w:line="192"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$750 million and $600 million on its common stock in the three months ended June 30, 2022 and 2021 and $750 million and $1.2 billion in the six months ended June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Inventories at June 30, 2022 and December 31, 2021 include vehicles that were manufactured without certain components as a result of supply chain disruptions, including with respect to semiconductors.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Equipment on Operating Leases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Equipment on operating leases consists of leases to retail customers of GM Financial.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43,925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47,423</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8"/>
              </w:rPr>
              <w:t>(8,618)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(9,494)</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35,307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37,929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estimated residual value of our leased assets at the end of the lease term was $26.9 billion and $29.1 billion at June 30, 2022 and December 31, 2021.</w:t>
      </w:r>
    </w:p>
    <w:p>
      <w:pPr>
        <w:spacing w:after="0" w:line="261"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$1.2 billion and $1.5 billion in the three months ended June 30, 2022 and 2021 and $2.4 billion and $3.2 billion in the six months ended June 30, 2022 and 2021.</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 in Net Assets of Nonconsolidated Affiliates</w:t>
      </w:r>
    </w:p>
    <w:p>
      <w:pPr>
        <w:spacing w:after="0" w:line="14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5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equity income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center"/>
              <w:ind w:left="798"/>
              <w:spacing w:after="0"/>
              <w:rPr>
                <w:sz w:val="20"/>
                <w:szCs w:val="20"/>
                <w:color w:val="auto"/>
              </w:rPr>
            </w:pPr>
            <w:r>
              <w:rPr>
                <w:rFonts w:ascii="Times New Roman" w:cs="Times New Roman" w:eastAsia="Times New Roman" w:hAnsi="Times New Roman"/>
                <w:sz w:val="18"/>
                <w:szCs w:val="18"/>
                <w:color w:val="auto"/>
                <w:w w:val="99"/>
              </w:rPr>
              <w:t>(87)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8"/>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798"/>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since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r>
    </w:tbl>
    <w:p>
      <w:pPr>
        <w:spacing w:after="0" w:line="151"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7"/>
          <w:szCs w:val="17"/>
          <w:color w:val="auto"/>
        </w:rPr>
        <w:t>Dividends declared but not paid from our nonconsolidated affiliates were $878 million and an insignificant amount at June 30, 2022 and December 31, 2021. Dividends received from our nonconsolidated affiliates were insignificant in the three and six months ended June 30, 2022 and $693 million and $709 million in the three and six months ended June 30, 2021. Undistributed earnings from our nonconsolidated affiliates were $2.3 billion and $2.1 billion at June 30, 2022 and December 31, 2021. In July 2022, approximately $400 million of the dividends declared from our nonconsolidated affiliates were paid.</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Variable Interest Entities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Automotive Financing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 of fees – current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receivables, net of fees – non-current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19,876</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w:t>
            </w: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106"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$1.2 billion and liabilities were insignificant related to our nonconsolidated VIEs at June 30, 2022. The carrying amounts of assets were approximately $850 million and liabilities were insignificant related to our nonconsolidated VIEs at December 31, 2021. Our maximum exposure to loss as a result of our involvement with these VIEs was approximately $3.2 billion and $2.1 billion, inclusive of approximately $1.9 billion and $1.2 billion in committed capital contributions to Ultium Cells LLC, at June 30, 2022 and December 31, 2021. Our maximum exposure to loss, and required capital contributions, could increase by $750 million depending on Ultium Cells LLC’s ability to raise debt proceeds. We currently lack the power through voting or similar rights to direct the activities of these entities that most significantly affect their economic performance.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212</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19,995</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362</w:t>
            </w: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16,473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20,569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15,144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19,085</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1,484</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15,111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15,208</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senior notes.</w:t>
      </w:r>
    </w:p>
    <w:p>
      <w:pPr>
        <w:spacing w:after="0" w:line="8"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$511 million and $512 million at June 30, 2022 and December 31, 2021.</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allocated for exclusive use by GM Financial.</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April 2022, we renewed our 364-day, $2.0 billion revolving credit facility allocated for the exclusive use of GM Financial, which now matures on April 4, 2023.</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39,401</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54,357</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92,250</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r>
    </w:tbl>
    <w:p>
      <w:pPr>
        <w:spacing w:after="0" w:line="29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9 to our condensed consolidated financial statements for additional information on GM Financial's involvement with VIEs. In the six months ended June 30, 2022, GM Financial renewed revolving credit facilities with total borrowing capacity of $10.6 billion and issued $12.3 billion in aggregate principal amount of securitization notes payable with an initial weighted average interest rate of 2.57% and maturity dates ranging from 2023 to 2029.</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six months ended June 30, 2022, GM Financial issued $7.6 billion in aggregate principal amount of senior notes with an initial weighted average interest rate of 3.35% and maturity dates ranging from 2024 to 2032.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Financial Instruments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the notional amounts of derivative financial instruments in our automotive operations: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3"/>
                <w:szCs w:val="13"/>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3"/>
                <w:szCs w:val="13"/>
                <w:color w:val="auto"/>
              </w:rPr>
            </w:pPr>
          </w:p>
        </w:tc>
        <w:tc>
          <w:tcPr>
            <w:tcW w:w="14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3"/>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Stellantis warrants(b)</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47"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at June 30, 2022 and December 31, 2021 and the gains/losses included in our condensed consolidated income statements for the three and six months ended June 30, 2022 and 2021 were insignificant, unless otherwise noted.</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39.7 million warrants in Stellantis N.V. (Stellantis) may be exercised at any time, in one or more tranches, from August 2022 through July 2026. Upon exercise, the warrants will convert into 69.2 million common shares of Stellantis. The fair value of these warrants, located in Other assets, was $1.0 billion and $1.4 billion at June 30, 2022 and December 31, 2021. We recorded a loss in Interest income and other non-operating income, net of $221 million and a gain of $154 million in the three months ended June 30, 2022 and 2021 and a loss of $419 million and a gain of $364 million in the six months ended June 30, 2022 and 2021.</w:t>
      </w:r>
    </w:p>
    <w:p>
      <w:pPr>
        <w:spacing w:after="0" w:line="20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We estimate the fair value of the Stellantis warrants using a Black-Scholes formula. The significant inputs to the model include the Stellantis stock price and the estimated dividend yield. We are entitled to receive any dividends declared by Stellantis through the conversion date upon exercise of the warrants.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4"/>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4"/>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instruments(b)</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condensed consolidated income statements and statements of comprehensive income for the three and six months ended June 30, 2022 and 2021 were insignificant, unless otherwise noted. Amounts accrued for interest payments in a net receivable position are included in Other assets. Amounts accrued for interest payments in a net payable position are included in Other liabilities.</w:t>
      </w:r>
    </w:p>
    <w:p>
      <w:pPr>
        <w:ind w:left="340" w:hanging="333"/>
        <w:spacing w:after="0" w:line="268"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 Financial held $272 million and $376 million of collateral from counterparties available for netting against GM Financial's asset positions, and posted $864 million and an insignificant amount of collateral to counterparties available for netting against GM Financial's liability positions at June 30, 2022 and December 31, 2021.</w:t>
      </w:r>
    </w:p>
    <w:p>
      <w:pPr>
        <w:spacing w:after="0" w:line="20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items designated and qualifying as hedged items in fair value hedging relationships: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21"/>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75"/>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72" w:lineRule="auto"/>
        <w:tabs>
          <w:tab w:leader="none" w:pos="3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insignificant amount and $246 million of unamortized gains remaining on hedged items for which hedge accounting has been discontinued at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Product Warranty and Related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current portion of supplier recoveries is recorded in Accounts and notes receivable, net of allowance and the non-current portion is recorded in Other assets.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5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estimate our reasonably possible loss in excess of amounts accrued for recall campaigns to be insignificant at June 30, 2022. Refer to Note 14 to our condensed consolidated financial statements for more details.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Pensions and Other Postretirement Benefits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6"/>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8"/>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8"/>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7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non-service cost components of net periodic pension and other postretirement benefits (OPEB) income of $376 million and $485 million in the three months ended June 30, 2022 and 2021 and $752 million and $968 million in the six months ended June 30, 2022 and 2021 are presented in Interest income and other non-operating income,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We had accruals of $1.3 billion and $1.4 billion in Accrued liabilities and Other liabilities at June 30, 2022 and December 31, 2021.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20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Wage Litigation </w:t>
      </w:r>
      <w:r>
        <w:rPr>
          <w:rFonts w:ascii="Times New Roman" w:cs="Times New Roman" w:eastAsia="Times New Roman" w:hAnsi="Times New Roman"/>
          <w:sz w:val="18"/>
          <w:szCs w:val="18"/>
          <w:color w:val="auto"/>
        </w:rPr>
        <w:t>GM Korea Company (GM Korea) is party to litigation with current and former subcontract workers over allegations that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In June 2020, the Seoul High Court (an intermediate-level appellate court) ruled against GM Korea in one of the subcontract worker claims. Although GM Korea has appealed this decision to the Supreme Court of the Republic of Korea (Korea Supreme Court), GM Korea has since hired certain of its subcontract workers as full-time employees. At June 30, 2022, our accrual covering certain asserted claims and claims that we believe are probable of assertion and for which liability is probable was approximately $249 million. We estimate the reasonably possible loss in excess of amounts accrued for other current subcontract workers who may assert similar claims to be approximately $95 million at June 30, 2022. We are currently unable to estimate any possible loss or range of loss that may result from additional claims that may be asserted by former subcontract workers.</w:t>
      </w:r>
    </w:p>
    <w:p>
      <w:pPr>
        <w:spacing w:after="0" w:line="21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including class actions, governmental investigations,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and proceedings are pending against us or our related companies or joint ventures, including, but not limited to, matters arising out of alleged product defects; employment-related matters; product and workplace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We are unable to estimate any reasonably possible loss or range of loss that may result from these actions. GM has also faced a series of additional lawsuits in the U.S. based on these allegations, including a shareholder demand lawsuit that remains pending.</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 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1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Indirect tax-related matters are being litigated globally pertaining to value added taxes, customs, duties, sales, property taxes and other non-income tax-related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June 30, 2022. We believe that appropriate accruals have been established for losses that are probable and can be reasonably estimated. For indirect tax-related matters, we estimate our reasonably possible loss in excess of amounts accrued to be up to approximately $1.0 billion at June 30, 2022.</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the National Highway Traffic Safety Administration (NHTSA) directed that we replace the airbag inflators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and we believe the currently accrued amount remains reasonable.</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has recalled certain vehicles sold outside of the U.S. to replace Takata Corporation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federal courts in the U.S., in the Provincial Courts in Canada, and in Mexico, arising out of allegations that airbag inflators manufactured by Takata are defective. At this stage of these proceedings, we are unable to provide an estimate of the amounts or range of possible loss.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Accordingly, in the three months ended June 30, 2021, we recorded a warranty accrual of $812 million. After further investigation into the manufacturing processes at our battery supplier, LG Energy Solutions (LG), and disassembling battery packs, we determined that the risk of battery cell defects was not confined to the initial recall population. As a result, in August 2021, we expanded the recall to include all 2017-2022 model year Chevrolet Bolt EV and Electric Utility Vehicles (EUVs) and recorded an additional warranty accrual of $1.2 billion in the three months ended September 30, 2021. In October 2021, we reached an agreement with LG, under which LG will reimburse GM for costs and expenses associated with the recall. As a result, in the three months ended September 30, 2021, we recognized a receivable of $1.9 billion, which substantially offsets the warranty charges we recognized in connection with the recall. These charges reflect our current best estimate for the cost of the recall remedy. The actual costs of the recall and GM's associated recovery from LG could be higher or lower. For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2017-2019 model year vehicles, the recall remedy will be to replace the high voltage battery modules in these vehicles with new modules. For 2020-2022 model year vehicles, the recall remedy will be to replace any defective high voltage battery modules in these vehicles with new modules.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federal courts in the U.S. and in the Provincial Courts in Canada alleging that the batteries contained in the Bolt EVs and EUVs included in the recall population are defective. At this stage of these proceedings, we are unable to provide an estimate of the amounts or range of possible loss.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Opel/Vauxhall Sale </w:t>
      </w:r>
      <w:r>
        <w:rPr>
          <w:rFonts w:ascii="Times New Roman" w:cs="Times New Roman" w:eastAsia="Times New Roman" w:hAnsi="Times New Roman"/>
          <w:sz w:val="18"/>
          <w:szCs w:val="18"/>
          <w:color w:val="auto"/>
        </w:rPr>
        <w:t>In 2017, we sold the Opel and Vauxhall businesses and certain other assets in Europe (the Opel/Vauxhall Business) to PSA Group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Our wholly owned subsidiary (the Seller) agreed to indemnify Stellantis for certain losses resulting from any inaccuracy of the representations and warranties or breaches of our covenants included in the Agreement and for certain other liabilities, including certain emissions and product liabilities. Currently, various consumer lawsuits have been filed against the Seller and Stellantis in Germany, the United Kingdom, and the Netherlands alleging that Opel and Vauxhall vehicles sold by the Seller violated applicable emissions standards. We are unable to estimate any reasonably possible loss or range of loss that may result from these actions either directly or through an indemnification claim from Stellantis. The Company entered into a guarantee for the benefit of Stellantis, pursuant to which the Company agreed to guarantee the Seller's obligation to indemnify Stellantis. Certain of these indemnification obligations are subject to time limitations, thresholds and/or caps as to the amount of required payments.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Patent Royalty Matters </w:t>
      </w:r>
      <w:r>
        <w:rPr>
          <w:rFonts w:ascii="Times New Roman" w:cs="Times New Roman" w:eastAsia="Times New Roman" w:hAnsi="Times New Roman"/>
          <w:sz w:val="18"/>
          <w:szCs w:val="18"/>
          <w:color w:val="auto"/>
        </w:rPr>
        <w:t>Several owners of patents are seeking past royalties from various automotive manufacturers, including GM, for the use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As of December 31, 2021, we had accrued approximately $300 million relating to these matters. We have resolved substantially all of these matters and, accordingly, reduced our total accrual by $100 million in the three months ended March 31, 2022. We currently anticipate no material reasonably possible loss in excess of amounts accrued.</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We recorded liabilities of $617 million and $587 million in Accrued liabilities and Other liabilities at June 30, 2022 and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2022 to 2026 or upon the occurrence of specific events or are ongoing. We believe that the related potential costs incurred are adequately covered by our recorded accruals, which are insignificant. The maximum future undiscounted payments mainly based on vehicles sold to date were $3.4 billion and $3.1 billion for these guarantees at June 30, 2022 and December 31, 2021,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1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June 30, 2022 and 2021, Income tax expense of $490 million and $971 million was primarily due to tax expense attributable to entities included in our effective tax rate calculation.</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2022, Income tax expense of $462 million was primarily due to tax expense attributable to entities included in our effective tax rate calculation, partially offset by the release of a valuation allowance against certain Cruise deferred tax assets that were considered realizable due to the reconsolidation of Cruise for U.S. tax purposes. In the six months ended June 30, 2021, Income tax expense of $2.1 billion was primarily due to tax expense attributable to entities included in our effective tax rate calculation and the establishment of a valuation allowance against Cruise deferred tax assets that were considered no longer realizable.</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2022, GM entered into a Share Purchase Agreement with SoftBank Vision Fund (AIV M2) L.P. (SoftBank), pursuant to which GM acquired SoftBank’s equity ownership stake in GM Cruise Holdings LLC (Cruise Holdings) and separately, made an additional $1.35 billion investment in Cruise in place of SoftBank. As of March 31, 2022, GM’s ownership in Cruise increased above the 80% threshold which allowed for inclusion of Cruise in our U.S. Federal consolidated income tax return and the release of a valuation allowance of $482 million against certain Cruise deferred tax assets. Refer to Note 16 to our condensed consolidated financial statements for additional information regarding the Share Purchase Agreement with SoftBank.</w:t>
      </w:r>
    </w:p>
    <w:p>
      <w:pPr>
        <w:spacing w:after="0" w:line="21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At June 30, 2022, we had $20.2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 and Noncontrolling Interests</w:t>
      </w:r>
    </w:p>
    <w:p>
      <w:pPr>
        <w:spacing w:after="0" w:line="11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June 30, 2022 and December 31, 2021. We had 1.5 billion shares of common stock issued and outstanding at June 30, 2022 and December 31, 2021.</w:t>
      </w:r>
    </w:p>
    <w:p>
      <w:pPr>
        <w:spacing w:after="0" w:line="186"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Preferred Shares </w:t>
      </w:r>
      <w:r>
        <w:rPr>
          <w:rFonts w:ascii="Times New Roman" w:cs="Times New Roman" w:eastAsia="Times New Roman" w:hAnsi="Times New Roman"/>
          <w:sz w:val="18"/>
          <w:szCs w:val="18"/>
          <w:color w:val="auto"/>
        </w:rPr>
        <w:t>In 2021, Cruise Holdings issued $2.7 billion of Class G Preferred Shares (Cruise Class G Preferred Shares) to Microsoft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(Microsoft), Walmart Inc. (Walmart) and other investors, including $1.0 billion to General Motors Holdings LLC. All proceeds related to the Cruise Class G Preferred Shares are designated exclusively for working capital and general corporate purposes of Cruise Holdings. In addition, we, Cruise Holdings and Microsoft entered into a long-term strategic relationship to accelerate the commercialization of self-driving vehicles with Microsoft being the preferred public cloud provider.</w:t>
      </w:r>
    </w:p>
    <w:p>
      <w:pPr>
        <w:spacing w:after="0" w:line="22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Cruise Class G Preferred Shares participate pari passu with holders of Cruise Holdings common stock and Class F Preferred Shares (Cruise Class F Preferred Shares) in any dividends declared. The Cruise Class G and Cruise Class F Preferred Shares convert into the class of shares to be issued to the public in an initial public offering (IPO) at specified exchange ratios. No covenants or other events of default exist that can trigger redemption of the Cruise Class G and Cruise Class F Preferred Shares. The Cruise Class G and Cruise Class F Preferred Shares are entitled to receive the greater of their carrying value or a pro-rata share of any proceeds or distributions upon the occurrence of a merger, sale, liquidation or dissolution of Cruise Holdings, and are classified as noncontrolling interests in our condensed consolidated financial statements.</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2022, under the Share Purchase Agreement, we acquired SoftBank’s Cruise Class A-1, Class F and Class G Preferred Shares for $2.1 billion and made an additional $1.35 billion investment in Cruise in place of SoftBank. SoftBank no longer has an ownership interest in or has any rights with respect to Cruise.</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Common Shares </w:t>
      </w:r>
      <w:r>
        <w:rPr>
          <w:rFonts w:ascii="Times New Roman" w:cs="Times New Roman" w:eastAsia="Times New Roman" w:hAnsi="Times New Roman"/>
          <w:sz w:val="18"/>
          <w:szCs w:val="18"/>
          <w:color w:val="auto"/>
        </w:rPr>
        <w:t>In the three months ended June 30, 2022, Cruise Holdings issued $0.7 billion of Class B Common Shares to settle vested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Cruise's 2018 Employee Incentive Plan. In addition, Cruise Holdings issued $0.4 billion of Class B Common Shares, primarily to us, to fund the payment of statutory tax withholding obligations resulting from the settlement or exercise of vested awards. Also, GM conducted a quarterly tender offer and paid $0.2 billion in cash to settle tendered Cruise Class B Common Shares. The Class B Common Shares are classified as noncontrolling interests in our condensed consolidated financial statements except for certain shares that are liability classified that have a recorded value of $0.4 billion at June 30, 2022. Refer to Note 18 for additional information on Cruise stock incentive awards.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Net income attributable to shareholders and transfers to the noncontrolling interest in Cruise was $2.0 billion, which includes the $909 million decrease in retained earnings for the redemption of Cruise preferred shares for the period ended March 31, 2022. The effect on the equity attributable to us for the changes in our ownership interest in Cruise and other subsidiaries during the three months ended June 30, 2022 was insignificant.</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net of</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and tax(a)(b)</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before reclassification adjustment,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tax(b)</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tax(b)</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2"/>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tax(b)</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and reclassification adjustment were insignificant in the three and six months ended June 30, 2022 and 2021.</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and six months ended June 30, 2022 and 2021.</w:t>
      </w:r>
    </w:p>
    <w:p>
      <w:pPr>
        <w:spacing w:after="0" w:line="4" w:lineRule="exact"/>
        <w:rPr>
          <w:rFonts w:ascii="Times New Roman" w:cs="Times New Roman" w:eastAsia="Times New Roman" w:hAnsi="Times New Roman"/>
          <w:sz w:val="16"/>
          <w:szCs w:val="16"/>
          <w:color w:val="auto"/>
        </w:rPr>
      </w:pPr>
    </w:p>
    <w:p>
      <w:pPr>
        <w:ind w:left="340" w:hanging="333"/>
        <w:spacing w:after="0" w:line="272" w:lineRule="auto"/>
        <w:tabs>
          <w:tab w:leader="none" w:pos="3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 Refer to Note 2. Significant Accounting Policies of our 2021 Form 10-K for additional information.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5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r>
      <w:tr>
        <w:trPr>
          <w:trHeight w:val="22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cumulative dividends on subsidiary preferred stock(a)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107"/>
        </w:trPr>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r>
      <w:tr>
        <w:trPr>
          <w:trHeight w:val="107"/>
        </w:trPr>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$909 million deemed dividend related to the redemption of Cruise preferred shares from SoftBank in the six months ended June 30, 2022.</w:t>
      </w:r>
    </w:p>
    <w:p>
      <w:pPr>
        <w:spacing w:after="0" w:line="14" w:lineRule="exact"/>
        <w:rPr>
          <w:rFonts w:ascii="Times New Roman" w:cs="Times New Roman" w:eastAsia="Times New Roman" w:hAnsi="Times New Roman"/>
          <w:sz w:val="16"/>
          <w:szCs w:val="16"/>
          <w:color w:val="auto"/>
        </w:rPr>
      </w:pPr>
    </w:p>
    <w:p>
      <w:pPr>
        <w:ind w:left="340" w:right="20" w:hanging="333"/>
        <w:spacing w:after="0" w:line="255"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at June 30, 2022 and 2021 and RSUs at June 30, 2022, were excluded from the computation of diluted earnings per share (EPS) because the securities would have had an antidilutive effect.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 Incentive Plans</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Stock Incentive Awards </w:t>
      </w:r>
      <w:r>
        <w:rPr>
          <w:rFonts w:ascii="Times New Roman" w:cs="Times New Roman" w:eastAsia="Times New Roman" w:hAnsi="Times New Roman"/>
          <w:sz w:val="18"/>
          <w:szCs w:val="18"/>
          <w:color w:val="auto"/>
        </w:rPr>
        <w:t>We grant to certain employees RSUs, RSAs, PSUs and stock options (collectively, stock incentive awards).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related to the above awards was $94 million and $139 million in the three months ended June 30, 2022 and 2021 and $172 million and $204 million in the six months ended June 30, 2022 and 2021. At June 30, 2022, the total unrecognized compensation expense for nonvested equity awards granted was $423 million. This expense is expected to be recorded over a weighted-average period of 1.7 years.</w:t>
      </w:r>
    </w:p>
    <w:p>
      <w:pPr>
        <w:spacing w:after="0" w:line="188"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Stock Incentive Awards </w:t>
      </w:r>
      <w:r>
        <w:rPr>
          <w:rFonts w:ascii="Times New Roman" w:cs="Times New Roman" w:eastAsia="Times New Roman" w:hAnsi="Times New Roman"/>
          <w:sz w:val="18"/>
          <w:szCs w:val="18"/>
          <w:color w:val="auto"/>
        </w:rPr>
        <w:t>Cruise granted RSUs and stock options that will settle in common shares of Cruise Holdings in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2022 and 2021. In March 2022, Cruise modified its RSUs that settle in Cruise Class B Common Shares to remove the liquidity vesting condition such that all granted RSU awards vest solely upon satisfaction of a service condition. The service condition for the majority of these awards is satisfied over four years. Upon modification, 31 million RSUs whose service condition was previously met became immediately vested, thereby resulting in the immediate recognition of compensation expense. In addition, at Cruise's election, GM intends to conduct quarterly tender offers whereby, holders of Cruise Class B Common Shares issued to settle vested awards can tender their shares generally at the fair value of Cruise’s common stock. The planned tenders result in certain awards to be classified as liabilities and other awards to be presented in temporary equity, which triggers the immediate recognition of incremental compensation expense associated with the stock options. These awards were granted under Cruise's 2018 Employee Incentive Plan approved by Cruise Holdings' Board of Directors in August 2018. Shares awarded under the plan are subject to forfeiture if the participant leaves the company for reasons other than those permitted under the plan. Stock options vest ratably over four to 10 years, as defined in the terms of each award. Stock options expire 10 years from the grant date.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3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Cruise Restricted Stock Units</w:t>
            </w:r>
          </w:p>
        </w:tc>
        <w:tc>
          <w:tcPr>
            <w:tcW w:w="1000" w:type="dxa"/>
            <w:vAlign w:val="bottom"/>
          </w:tcPr>
          <w:p>
            <w:pPr>
              <w:spacing w:after="0"/>
              <w:rPr>
                <w:sz w:val="16"/>
                <w:szCs w:val="16"/>
                <w:color w:val="auto"/>
              </w:rPr>
            </w:pPr>
          </w:p>
        </w:tc>
        <w:tc>
          <w:tcPr>
            <w:tcW w:w="13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Cruise Stock Options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102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Shares (in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Shares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1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10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0" w:type="dxa"/>
            <w:vAlign w:val="bottom"/>
          </w:tcPr>
          <w:p>
            <w:pPr>
              <w:spacing w:after="0"/>
              <w:rPr>
                <w:sz w:val="1"/>
                <w:szCs w:val="1"/>
                <w:color w:val="auto"/>
              </w:rPr>
            </w:pPr>
          </w:p>
        </w:tc>
      </w:tr>
      <w:tr>
        <w:trPr>
          <w:trHeight w:val="228"/>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January 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Settled or exercised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June 30, 2022(a)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55" w:lineRule="auto"/>
        <w:tabs>
          <w:tab w:leader="none" w:pos="23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fair values include the impact of the remeasurement triggered by the modification. Post modification, certain awards are liability-awards resulting in ongoing remeasurement based on changes to the awards' fair value.</w:t>
      </w:r>
    </w:p>
    <w:p>
      <w:pPr>
        <w:spacing w:after="0" w:line="205"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Our weighted-average assumptions used to value Cruise stock options are a dividend yield of 0.00% and 0.00%, expected volatility of 57.3% and 55.0%, a risk-free interest rate of 2.47% and 0.78% and an expected option life of 6.57 and 6.25 years for options issued during the six months ended June 30, 2022 and 2021. The expected volatility is based on the historical volatility of comparable public company data as Cruise Holdings is not publicly traded and therefore, does not have any trading history of its common stock.</w:t>
      </w:r>
    </w:p>
    <w:p>
      <w:pPr>
        <w:spacing w:after="0" w:line="210"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Total compensation expense related to Cruise Holdings' share-based awards was $158 million for the three months ended June 30, 2022 and an insignificant amount for three months ended June 30, 2021. Total compensation expense related to Cruise Holdings' share-based awards was $1.3 billion for the six months ended June 30, 2022, which, when excluding the compensation expense for the three months ended June 30, 2022, primarily represents the impact of the modification to outstanding awards, and an insignificant amount for the six months ended June 30, 2021. During the three months ended June 30, 2022, GM conducted a quarterly tender offer and paid $0.2 billion in cash to settle tendered Cruise Class B Common Shares. No cash was paid to settle share-based awards for the three months ended March 31, 2022. Total unrecognized compensation expense for Cruise Holdings’ nonvested equity awards granted was $1.9 billion at June 30, 2022. Total units outstanding were 85 million at June 30, 2022. The expense related to RSUs and stock options is expected to be recorded over a weighted-average period of 1.7 years.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25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reportable segments: GMNA, GMI, Cruise and GM Financial. The chief operating decision-maker evaluates the operating results and performance of our automotive segments and Cruise through earnings before interest and income taxes (EBIT)-adjusted, which is presented net of noncontrolling interests. The chief operating decision-maker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global segment responsible for the development and commercialization of AV technology, and includes AV-related engineering and other costs. We provide automotive financing services through our GM Financial segment.</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automotive interest income and interest expense, legacy costs from the Opel/Vauxhall Business (primarily pension costs), corporate expenditures and certain nonsegment specific revenues and expenses are recorded centrally in Corporate. Corporate assets primarily consist of cash and cash equivalents, marketable debt securities, Stellantis warrants and intersegment balances. All intersegment balances and transactions have been eliminated in consolidation.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460"/>
              <w:spacing w:after="0"/>
              <w:rPr>
                <w:sz w:val="20"/>
                <w:szCs w:val="20"/>
                <w:color w:val="auto"/>
              </w:rPr>
            </w:pPr>
            <w:r>
              <w:rPr>
                <w:rFonts w:ascii="Times New Roman" w:cs="Times New Roman" w:eastAsia="Times New Roman" w:hAnsi="Times New Roman"/>
                <w:sz w:val="13"/>
                <w:szCs w:val="13"/>
                <w:b w:val="1"/>
                <w:bCs w:val="1"/>
                <w:color w:val="auto"/>
              </w:rPr>
              <w:t>At and For the Three Months Ended June 30, 2022</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28,760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35,759</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0"/>
        </w:trPr>
        <w:tc>
          <w:tcPr>
            <w:tcW w:w="2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w:t>
            </w:r>
          </w:p>
        </w:tc>
      </w:tr>
      <w:tr>
        <w:trPr>
          <w:trHeight w:val="18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r>
      <w:tr>
        <w:trPr>
          <w:trHeight w:val="16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w:t>
            </w:r>
          </w:p>
        </w:tc>
      </w:tr>
      <w:tr>
        <w:trPr>
          <w:trHeight w:val="17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Net income (loss)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8"/>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9,733</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5,013</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4"/>
              </w:rPr>
              <w:t>(55,045)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116,807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253,517</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2,844</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4"/>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bl>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460"/>
              <w:spacing w:after="0"/>
              <w:rPr>
                <w:sz w:val="20"/>
                <w:szCs w:val="20"/>
                <w:color w:val="auto"/>
              </w:rPr>
            </w:pPr>
            <w:r>
              <w:rPr>
                <w:rFonts w:ascii="Times New Roman" w:cs="Times New Roman" w:eastAsia="Times New Roman" w:hAnsi="Times New Roman"/>
                <w:sz w:val="13"/>
                <w:szCs w:val="13"/>
                <w:b w:val="1"/>
                <w:bCs w:val="1"/>
                <w:color w:val="auto"/>
              </w:rPr>
              <w:t>At and For the Three Months Ended June 30, 2021</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27,932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30,745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34,167</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0"/>
        </w:trPr>
        <w:tc>
          <w:tcPr>
            <w:tcW w:w="2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4,117</w:t>
            </w:r>
          </w:p>
        </w:tc>
      </w:tr>
      <w:tr>
        <w:trPr>
          <w:trHeight w:val="18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w:t>
            </w:r>
          </w:p>
        </w:tc>
      </w:tr>
      <w:tr>
        <w:trPr>
          <w:trHeight w:val="16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w:t>
            </w:r>
          </w:p>
        </w:tc>
      </w:tr>
      <w:tr>
        <w:trPr>
          <w:trHeight w:val="17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2,779</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Net income (loss)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8"/>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8,882</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5,169</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4"/>
              </w:rPr>
              <w:t>(52,138)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115,346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241,803</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3,014</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4"/>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4" w:lineRule="exact"/>
        <w:rPr>
          <w:sz w:val="20"/>
          <w:szCs w:val="20"/>
          <w:color w:val="auto"/>
        </w:rPr>
      </w:pPr>
    </w:p>
    <w:p>
      <w:pPr>
        <w:ind w:left="280" w:hanging="273"/>
        <w:spacing w:after="0"/>
        <w:tabs>
          <w:tab w:leader="none" w:pos="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restructuring charges related to Cadillac dealer strategy in GMNA and an adjustment related to unique events associated with Korea Supreme Court decisions related to our salaried workers in GMI.</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560"/>
              <w:spacing w:after="0"/>
              <w:rPr>
                <w:sz w:val="20"/>
                <w:szCs w:val="20"/>
                <w:color w:val="auto"/>
              </w:rPr>
            </w:pPr>
            <w:r>
              <w:rPr>
                <w:rFonts w:ascii="Times New Roman" w:cs="Times New Roman" w:eastAsia="Times New Roman" w:hAnsi="Times New Roman"/>
                <w:sz w:val="13"/>
                <w:szCs w:val="13"/>
                <w:b w:val="1"/>
                <w:bCs w:val="1"/>
                <w:color w:val="auto"/>
              </w:rPr>
              <w:t>At and For the Six Months Ended June 30, 2022</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21"/>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4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58,216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7,120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65,437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6,302</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71,738</w:t>
            </w:r>
          </w:p>
        </w:tc>
      </w:tr>
      <w:tr>
        <w:trPr>
          <w:trHeight w:val="121"/>
        </w:trPr>
        <w:tc>
          <w:tcPr>
            <w:tcW w:w="238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0"/>
        </w:trPr>
        <w:tc>
          <w:tcPr>
            <w:tcW w:w="23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5,440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4,859</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6,387</w:t>
            </w:r>
          </w:p>
        </w:tc>
      </w:tr>
      <w:tr>
        <w:trPr>
          <w:trHeight w:val="18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w:t>
            </w:r>
          </w:p>
        </w:tc>
      </w:tr>
      <w:tr>
        <w:trPr>
          <w:trHeight w:val="169"/>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8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r>
      <w:tr>
        <w:trPr>
          <w:trHeight w:val="121"/>
        </w:trPr>
        <w:tc>
          <w:tcPr>
            <w:tcW w:w="238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w:t>
            </w:r>
          </w:p>
        </w:tc>
      </w:tr>
      <w:tr>
        <w:trPr>
          <w:trHeight w:val="17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w:t>
            </w:r>
          </w:p>
        </w:tc>
      </w:tr>
      <w:tr>
        <w:trPr>
          <w:trHeight w:val="169"/>
        </w:trPr>
        <w:tc>
          <w:tcPr>
            <w:tcW w:w="2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w:t>
            </w:r>
          </w:p>
        </w:tc>
      </w:tr>
      <w:tr>
        <w:trPr>
          <w:trHeight w:val="17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4,449</w:t>
            </w:r>
          </w:p>
        </w:tc>
      </w:tr>
      <w:tr>
        <w:trPr>
          <w:trHeight w:val="121"/>
        </w:trPr>
        <w:tc>
          <w:tcPr>
            <w:tcW w:w="238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w:t>
            </w:r>
          </w:p>
        </w:tc>
      </w:tr>
      <w:tr>
        <w:trPr>
          <w:trHeight w:val="173"/>
        </w:trPr>
        <w:tc>
          <w:tcPr>
            <w:tcW w:w="238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w w:val="99"/>
              </w:rPr>
              <w:t>Net income (loss) attributable to stockholders</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4,631</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5,735</w:t>
            </w:r>
          </w:p>
        </w:tc>
      </w:tr>
      <w:tr>
        <w:trPr>
          <w:trHeight w:val="169"/>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Impairment charges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8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4" w:lineRule="exact"/>
        <w:rPr>
          <w:sz w:val="20"/>
          <w:szCs w:val="20"/>
          <w:color w:val="auto"/>
        </w:rPr>
      </w:pPr>
    </w:p>
    <w:p>
      <w:pPr>
        <w:ind w:left="280" w:hanging="273"/>
        <w:spacing w:after="0"/>
        <w:tabs>
          <w:tab w:leader="none" w:pos="2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the resolution of substantially all royalty matters accrued with respect to past-year vehicle sales in GMNA; and charges related to the one-time modification of Cruise stock incentive awards.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560"/>
              <w:spacing w:after="0"/>
              <w:rPr>
                <w:sz w:val="20"/>
                <w:szCs w:val="20"/>
                <w:color w:val="auto"/>
              </w:rPr>
            </w:pPr>
            <w:r>
              <w:rPr>
                <w:rFonts w:ascii="Times New Roman" w:cs="Times New Roman" w:eastAsia="Times New Roman" w:hAnsi="Times New Roman"/>
                <w:sz w:val="13"/>
                <w:szCs w:val="13"/>
                <w:b w:val="1"/>
                <w:bCs w:val="1"/>
                <w:color w:val="auto"/>
              </w:rPr>
              <w:t>At and For the Six Months Ended June 30, 2021</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21"/>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53,889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59,807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6,833</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66,641</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0"/>
        </w:trPr>
        <w:tc>
          <w:tcPr>
            <w:tcW w:w="2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left="57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8,534</w:t>
            </w:r>
          </w:p>
        </w:tc>
      </w:tr>
      <w:tr>
        <w:trPr>
          <w:trHeight w:val="18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center"/>
              <w:ind w:left="4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7,941</w:t>
            </w:r>
          </w:p>
        </w:tc>
      </w:tr>
      <w:tr>
        <w:trPr>
          <w:trHeight w:val="16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(2,148)</w:t>
            </w:r>
          </w:p>
        </w:tc>
      </w:tr>
      <w:tr>
        <w:trPr>
          <w:trHeight w:val="17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5,793</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Net income (loss) attributable to 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5,858</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center"/>
              <w:ind w:left="4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6,029</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center"/>
              <w:ind w:left="4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center"/>
              <w:ind w:left="4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4" w:lineRule="exact"/>
        <w:rPr>
          <w:sz w:val="20"/>
          <w:szCs w:val="20"/>
          <w:color w:val="auto"/>
        </w:rPr>
      </w:pPr>
    </w:p>
    <w:p>
      <w:pPr>
        <w:ind w:left="280" w:hanging="273"/>
        <w:spacing w:after="0"/>
        <w:tabs>
          <w:tab w:leader="none" w:pos="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restructuring charges related to Cadillac dealer strategy in GMNA and an adjustment related to unique events associated with Korea Supreme Court decisions related to our salaried workers in GMI.</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notes thereto, and the audited consolidated financial statements and notes thereto included in our 2021 Form 10-K.</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2021 Form 10-K for a discussion of these risks and uncertainties. Except for per share amounts or as otherwise specified, dollar amounts presented within tables are stated in millions. Certain columns and rows may not add due to rounding.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Our non-GAAP measures include: EBIT-adjusted, presented net of noncontrolling interests; EBT-adjusted for our GM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color w:val="auto"/>
        </w:rPr>
        <w:t>EBIT-adjusted is presented net of noncontrolling interests and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color w:val="auto"/>
        </w:rPr>
        <w:t>EPS-diluted-adjusted is used by management and can be used by investors to review our consolidated diluted EPS results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color w:val="auto"/>
        </w:rPr>
        <w:t>ETR-adjusted is used by management and can be used by investors to review the consolidated effective tax rate for our core operations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color w:val="auto"/>
        </w:rPr>
        <w:t>ROIC-adjusted is used by management and can be used by investors to review our investment and capital allocation decisions. We define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color w:val="auto"/>
        </w:rPr>
        <w:t>Adjusted automotive free cash flow is used by management and can be used by investors to review the liquidity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(loss) attributable to stockholders under U.S. GAAP to EBIT (loss)-adjusted: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5"/>
        </w:trPr>
        <w:tc>
          <w:tcPr>
            <w:tcW w:w="3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r>
      <w:tr>
        <w:trPr>
          <w:trHeight w:val="188"/>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35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8"/>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Cruise compensation modifications(a)</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Patent royalty matters(b)</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 Brazil indirect tax matters(c)</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Cadillac dealer strategy(d)</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GMI restructuring(e)</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8"/>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GM Korea wage litigation(f)</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520" w:type="dxa"/>
            <w:vAlign w:val="bottom"/>
          </w:tcPr>
          <w:p>
            <w:pPr>
              <w:ind w:left="160"/>
              <w:spacing w:after="0" w:line="175" w:lineRule="exact"/>
              <w:rPr>
                <w:sz w:val="20"/>
                <w:szCs w:val="20"/>
                <w:color w:val="auto"/>
              </w:rPr>
            </w:pPr>
            <w:r>
              <w:rPr>
                <w:rFonts w:ascii="Times New Roman" w:cs="Times New Roman" w:eastAsia="Times New Roman" w:hAnsi="Times New Roman"/>
                <w:sz w:val="18"/>
                <w:szCs w:val="18"/>
                <w:color w:val="auto"/>
              </w:rPr>
              <w:t>Ignition switch recall and related legal</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2"/>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matters(g)</w:t>
            </w:r>
          </w:p>
        </w:tc>
        <w:tc>
          <w:tcPr>
            <w:tcW w:w="2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w:t>
            </w:r>
          </w:p>
        </w:tc>
      </w:tr>
      <w:tr>
        <w:trPr>
          <w:trHeight w:val="20"/>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one-time modification of Cruise stock incentive awards.</w:t>
      </w:r>
    </w:p>
    <w:p>
      <w:pPr>
        <w:spacing w:after="0" w:line="11" w:lineRule="exact"/>
        <w:rPr>
          <w:rFonts w:ascii="Times New Roman" w:cs="Times New Roman" w:eastAsia="Times New Roman" w:hAnsi="Times New Roman"/>
          <w:sz w:val="16"/>
          <w:szCs w:val="16"/>
          <w:color w:val="auto"/>
        </w:rPr>
      </w:pPr>
    </w:p>
    <w:p>
      <w:pPr>
        <w:ind w:left="340" w:hanging="333"/>
        <w:spacing w:after="0" w:line="251"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certain royalties accrued with respect to past-year vehicle sales in the three months ended December 31, 2021, and the resolution of substantially all of these matters in the three months ended March 31, 2022.</w:t>
      </w:r>
    </w:p>
    <w:p>
      <w:pPr>
        <w:spacing w:after="0" w:line="1" w:lineRule="exact"/>
        <w:rPr>
          <w:rFonts w:ascii="Times New Roman" w:cs="Times New Roman" w:eastAsia="Times New Roman" w:hAnsi="Times New Roman"/>
          <w:sz w:val="16"/>
          <w:szCs w:val="16"/>
          <w:color w:val="auto"/>
        </w:rPr>
      </w:pPr>
    </w:p>
    <w:p>
      <w:pPr>
        <w:ind w:left="340" w:hanging="333"/>
        <w:spacing w:after="0" w:line="254"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a settlement with third parties in the three months ended December 31, 2021 relating to retrospective recoveries of indirect taxes in Brazil realized in prior periods.</w:t>
      </w:r>
    </w:p>
    <w:p>
      <w:pPr>
        <w:ind w:left="340" w:right="20" w:hanging="333"/>
        <w:spacing w:after="0" w:line="254"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Cadillac dealers from the network as part of Cadillac's electric vehicle (EV) strategy.</w:t>
      </w:r>
    </w:p>
    <w:p>
      <w:pPr>
        <w:jc w:val="both"/>
        <w:ind w:left="340" w:hanging="333"/>
        <w:spacing w:after="0" w:line="251"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employee separation charges in the three months ended December 31, 2020 and supplier claims in the three months ended September 30, 2020.</w:t>
      </w:r>
    </w:p>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the unique events associated with Supreme Court of Korea decisions related to our salaried workers.</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the unique events associated with the ignition switch recall.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diluted earnings (loss) per common share under U.S. GAAP to EPS-diluted-adjusted: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
        </w:trPr>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4"/>
          </w:tcPr>
          <w:p>
            <w:pPr>
              <w:spacing w:after="0"/>
              <w:rPr>
                <w:sz w:val="2"/>
                <w:szCs w:val="2"/>
                <w:color w:val="auto"/>
              </w:rPr>
            </w:pPr>
          </w:p>
        </w:tc>
      </w:tr>
      <w:tr>
        <w:trPr>
          <w:trHeight w:val="188"/>
        </w:trPr>
        <w:tc>
          <w:tcPr>
            <w:tcW w:w="3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5"/>
        </w:trPr>
        <w:tc>
          <w:tcPr>
            <w:tcW w:w="3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5"/>
              </w:rPr>
              <w:t>2.49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5"/>
              </w:rPr>
              <w:t>0.65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adjustments(c)</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dividend adjustment(d)</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5"/>
              </w:rPr>
              <w:t>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center"/>
              <w:ind w:left="195"/>
              <w:spacing w:after="0"/>
              <w:rPr>
                <w:sz w:val="20"/>
                <w:szCs w:val="20"/>
                <w:color w:val="auto"/>
              </w:rPr>
            </w:pPr>
            <w:r>
              <w:rPr>
                <w:rFonts w:ascii="Times New Roman" w:cs="Times New Roman" w:eastAsia="Times New Roman" w:hAnsi="Times New Roman"/>
                <w:sz w:val="18"/>
                <w:szCs w:val="18"/>
                <w:color w:val="auto"/>
                <w:w w:val="95"/>
              </w:rPr>
              <w:t>3.23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 (loss)-adjusted within this section of MD&amp;A for the details of each individual adjustment.</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4" w:lineRule="exact"/>
        <w:rPr>
          <w:rFonts w:ascii="Times New Roman" w:cs="Times New Roman" w:eastAsia="Times New Roman" w:hAnsi="Times New Roman"/>
          <w:sz w:val="16"/>
          <w:szCs w:val="16"/>
          <w:color w:val="auto"/>
        </w:rPr>
      </w:pPr>
    </w:p>
    <w:p>
      <w:pPr>
        <w:jc w:val="both"/>
        <w:ind w:left="340" w:hanging="333"/>
        <w:spacing w:after="0" w:line="223" w:lineRule="auto"/>
        <w:tabs>
          <w:tab w:leader="none" w:pos="3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consist of tax benefit related to the release of a valuation allowance against deferred tax assets that are considered realizable as a result of Cruise tax reconsolidation in the six months ended June 30, 2022, and tax expense related to the establishment of a valuation allowance against deferred tax assets that were considered no longer realizable for Cruise in the six months ended June 30, 2021. These adjustments were excluded because significant impacts of valuation allowances are not considered part of our core operations.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consists of a deemed dividend related to the redemption of Cruise preferred shares from SoftBank in the six months ended June 30, 2022.</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2"/>
              </w:rPr>
              <w:t>Income</w:t>
            </w:r>
          </w:p>
        </w:tc>
        <w:tc>
          <w:tcPr>
            <w:tcW w:w="100" w:type="dxa"/>
            <w:vAlign w:val="bottom"/>
          </w:tcPr>
          <w:p>
            <w:pPr>
              <w:spacing w:after="0"/>
              <w:rPr>
                <w:sz w:val="10"/>
                <w:szCs w:val="10"/>
                <w:color w:val="auto"/>
              </w:rPr>
            </w:pPr>
          </w:p>
        </w:tc>
        <w:tc>
          <w:tcPr>
            <w:tcW w:w="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0"/>
                <w:szCs w:val="10"/>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8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8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Income tax</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120" w:type="dxa"/>
            <w:vAlign w:val="bottom"/>
          </w:tcPr>
          <w:p>
            <w:pPr>
              <w:spacing w:after="0"/>
              <w:rPr>
                <w:sz w:val="10"/>
                <w:szCs w:val="10"/>
                <w:color w:val="auto"/>
              </w:rPr>
            </w:pPr>
          </w:p>
        </w:tc>
        <w:tc>
          <w:tcPr>
            <w:tcW w:w="560" w:type="dxa"/>
            <w:vAlign w:val="bottom"/>
          </w:tcPr>
          <w:p>
            <w:pPr>
              <w:jc w:val="center"/>
              <w:ind w:right="2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2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Effective tax</w:t>
            </w: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0"/>
              </w:rPr>
              <w:t>before</w:t>
            </w:r>
          </w:p>
        </w:tc>
        <w:tc>
          <w:tcPr>
            <w:tcW w:w="10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Effective tax</w:t>
            </w:r>
          </w:p>
        </w:tc>
        <w:tc>
          <w:tcPr>
            <w:tcW w:w="14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expense</w:t>
            </w: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20"/>
              <w:spacing w:after="0" w:line="121" w:lineRule="exact"/>
              <w:rPr>
                <w:sz w:val="20"/>
                <w:szCs w:val="20"/>
                <w:color w:val="auto"/>
              </w:rPr>
            </w:pPr>
            <w:r>
              <w:rPr>
                <w:rFonts w:ascii="Times New Roman" w:cs="Times New Roman" w:eastAsia="Times New Roman" w:hAnsi="Times New Roman"/>
                <w:sz w:val="13"/>
                <w:szCs w:val="13"/>
                <w:b w:val="1"/>
                <w:bCs w:val="1"/>
                <w:color w:val="auto"/>
              </w:rPr>
              <w:t>expense</w:t>
            </w: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expense</w:t>
            </w: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1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120" w:type="dxa"/>
            <w:vAlign w:val="bottom"/>
          </w:tcPr>
          <w:p>
            <w:pPr>
              <w:spacing w:after="0"/>
              <w:rPr>
                <w:sz w:val="15"/>
                <w:szCs w:val="15"/>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taxes</w:t>
            </w:r>
          </w:p>
        </w:tc>
        <w:tc>
          <w:tcPr>
            <w:tcW w:w="120" w:type="dxa"/>
            <w:vAlign w:val="bottom"/>
          </w:tcPr>
          <w:p>
            <w:pPr>
              <w:spacing w:after="0"/>
              <w:rPr>
                <w:sz w:val="15"/>
                <w:szCs w:val="15"/>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9"/>
              </w:rPr>
              <w:t>rate</w:t>
            </w:r>
          </w:p>
        </w:tc>
        <w:tc>
          <w:tcPr>
            <w:tcW w:w="12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100" w:type="dxa"/>
            <w:vAlign w:val="bottom"/>
          </w:tcPr>
          <w:p>
            <w:pPr>
              <w:spacing w:after="0"/>
              <w:rPr>
                <w:sz w:val="15"/>
                <w:szCs w:val="15"/>
                <w:color w:val="auto"/>
              </w:rPr>
            </w:pP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Pr>
          <w:p>
            <w:pPr>
              <w:spacing w:after="0"/>
              <w:rPr>
                <w:sz w:val="15"/>
                <w:szCs w:val="15"/>
                <w:color w:val="auto"/>
              </w:rPr>
            </w:pPr>
          </w:p>
        </w:tc>
        <w:tc>
          <w:tcPr>
            <w:tcW w:w="56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7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228"/>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7,941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28"/>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4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adjustments(b)</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5" w:lineRule="auto"/>
        <w:tabs>
          <w:tab w:leader="none" w:pos="3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 (loss)-adjusted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under U.S. GAAP to EPS-diluted-adjusted within this section of MD&amp;A for adjustment details.</w:t>
      </w:r>
    </w:p>
    <w:p>
      <w:pPr>
        <w:spacing w:after="0" w:line="22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Four Quarters Ended</w:t>
            </w:r>
          </w:p>
        </w:tc>
        <w:tc>
          <w:tcPr>
            <w:tcW w:w="1660" w:type="dxa"/>
            <w:vAlign w:val="bottom"/>
          </w:tcPr>
          <w:p>
            <w:pPr>
              <w:spacing w:after="0"/>
              <w:rPr>
                <w:sz w:val="16"/>
                <w:szCs w:val="16"/>
                <w:color w:val="auto"/>
              </w:rPr>
            </w:pPr>
          </w:p>
        </w:tc>
      </w:tr>
      <w:tr>
        <w:trPr>
          <w:trHeight w:val="25"/>
        </w:trPr>
        <w:tc>
          <w:tcPr>
            <w:tcW w:w="65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8"/>
        </w:trPr>
        <w:tc>
          <w:tcPr>
            <w:tcW w:w="65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28"/>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62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12.7</w:t>
            </w:r>
          </w:p>
        </w:tc>
      </w:tr>
      <w:tr>
        <w:trPr>
          <w:trHeight w:val="22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1620" w:type="dxa"/>
            <w:vAlign w:val="bottom"/>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7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49.2</w:t>
            </w:r>
          </w:p>
        </w:tc>
      </w:tr>
      <w:tr>
        <w:trPr>
          <w:trHeight w:val="228"/>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16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25.9 %</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(loss) attributable to stockholders.</w:t>
      </w: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Four Quarters Ended</w:t>
            </w:r>
          </w:p>
        </w:tc>
        <w:tc>
          <w:tcPr>
            <w:tcW w:w="148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2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(loss)-adjusted(a)</w:t>
            </w:r>
          </w:p>
        </w:tc>
        <w:tc>
          <w:tcPr>
            <w:tcW w:w="148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17.5</w:t>
            </w: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1480" w:type="dxa"/>
            <w:vAlign w:val="bottom"/>
          </w:tcPr>
          <w:p>
            <w:pPr>
              <w:jc w:val="right"/>
              <w:ind w:right="12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49.2</w:t>
            </w:r>
          </w:p>
        </w:tc>
      </w:tr>
      <w:tr>
        <w:trPr>
          <w:trHeight w:val="22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1480" w:type="dxa"/>
            <w:vAlign w:val="bottom"/>
            <w:shd w:val="clear" w:color="auto" w:fill="CCEEFF"/>
          </w:tcPr>
          <w:p>
            <w:pPr>
              <w:spacing w:after="0"/>
              <w:rPr>
                <w:sz w:val="19"/>
                <w:szCs w:val="19"/>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20.3</w:t>
            </w: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148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17.8</w:t>
            </w:r>
          </w:p>
        </w:tc>
      </w:tr>
      <w:tr>
        <w:trPr>
          <w:trHeight w:val="22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and other net income tax asset</w:t>
            </w:r>
          </w:p>
        </w:tc>
        <w:tc>
          <w:tcPr>
            <w:tcW w:w="14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(23.2)</w:t>
            </w:r>
          </w:p>
        </w:tc>
      </w:tr>
      <w:tr>
        <w:trPr>
          <w:trHeight w:val="222"/>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1480" w:type="dxa"/>
            <w:vAlign w:val="bottom"/>
            <w:tcBorders>
              <w:bottom w:val="single" w:sz="8" w:color="auto"/>
            </w:tcBorders>
          </w:tcPr>
          <w:p>
            <w:pPr>
              <w:jc w:val="right"/>
              <w:ind w:right="12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64.1</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1480" w:type="dxa"/>
            <w:vAlign w:val="bottom"/>
            <w:shd w:val="clear" w:color="auto" w:fill="CCEEFF"/>
          </w:tcPr>
          <w:p>
            <w:pPr>
              <w:spacing w:after="0"/>
              <w:rPr>
                <w:sz w:val="19"/>
                <w:szCs w:val="19"/>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17.4 %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27.3 %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 (loss)-adjusted within this section of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 (loss)-adjusted.</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zero-emissions and zero congestion, which guides our growth-focused strategy to invest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EVs and AVs, software-enabled services and subscriptions and new business opportunities, while strengthening our market position in profitable internal combustion engine vehicles, such as trucks and SUVs. We have committed to an all-electric future with a core focus on zero-emission battery EVs as part of our long-term strategy. We plan to execute our strategy with a diverse team and a steadfast commitment to good citizenship through sustainable operations and a leading health and safety culture.</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automotive industry and GM continue to experience supply chain disruptions, including semiconductor supply shortages, which impact multiple suppliers and our planned production schedules. We will continue prioritizing the production of our most popular and in-demand vehicles, including our full-size trucks, full-size SUVs and EVs. We do not expect these disruptions to impact our long-term growth and EV initiatives. In June 2021, we announced plans to increase our investment in EVs and AVs from $27.0 billion to more than $35.0 billion, through 2025, to accelerate battery and EV assembly capacity.</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continue to monitor the impact of the COVID-19 pandemic, and government actions and measures taken to prevent its spread, and the potential to affect our operations. Refer to Part I, Item 1A. Risk Factors of our 2021 Form 10-K for further discussion of these risks.</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also face continuing market, operating and regulatory challenges in several countries across the globe due to, among other factors, rising interest rates and higher material and service prices driven by inflationary pressures, competitive pressures, our product portfolio offerings, heightened emissions standards, potentially weak economic conditions, labor disruptions, foreign exchange volatility, evolving trade policy and political uncertainty. Refer to Part I, Item 1A. Risk Factors of our 2021 Form 10-K for a discussion of these challenges.</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actions could give rise to future asset impairments or other charges, which may have a material impact on our operating results.</w:t>
      </w:r>
    </w:p>
    <w:p>
      <w:pPr>
        <w:spacing w:after="0" w:line="23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year ending December 31, 2022, we continue to expect Net income attributable to stockholders of between $9.6 billion and $11.2 billion, EBIT-adjusted of between $13.0 billion and $15.0 billion, EPS-diluted of between $5.76 and $6.76 and EPS-diluted-adjusted of between $6.50 and $7.50. We do not consider the potential impact of future adjustments on our expected financial results.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under U.S. GAAP to expected EBIT-adjusted (dollars in billions):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Ending December 31, 2022</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$ 9.6-11.2</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 net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EBIT-adjusted(b)</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$ 13.0-15.0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2" w:lineRule="exact"/>
        <w:rPr>
          <w:sz w:val="20"/>
          <w:szCs w:val="20"/>
          <w:color w:val="auto"/>
        </w:rPr>
      </w:pPr>
    </w:p>
    <w:p>
      <w:pPr>
        <w:ind w:left="340" w:right="640" w:hanging="333"/>
        <w:spacing w:after="0" w:line="247" w:lineRule="auto"/>
        <w:tabs>
          <w:tab w:leader="none" w:pos="33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 (loss)-adjusted within the MD&amp;A for the details of each individual adjustment.</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consider the potential future impact of adjustments on our expected financial results.</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EPS-diluted under U.S. GAAP to expected EPS-diluted-adjusted</w:t>
      </w:r>
      <w:r>
        <w:rPr>
          <w:rFonts w:ascii="Times New Roman" w:cs="Times New Roman" w:eastAsia="Times New Roman" w:hAnsi="Times New Roman"/>
          <w:sz w:val="16"/>
          <w:szCs w:val="16"/>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 Ending December 31, 2022</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$ 5.76-6.76</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EPS-diluted-adjusted(b)</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$ 6.50-7.50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2" w:lineRule="exact"/>
        <w:rPr>
          <w:sz w:val="20"/>
          <w:szCs w:val="20"/>
          <w:color w:val="auto"/>
        </w:rPr>
      </w:pPr>
    </w:p>
    <w:p>
      <w:pPr>
        <w:ind w:left="340" w:right="200" w:hanging="333"/>
        <w:spacing w:after="0" w:line="254" w:lineRule="auto"/>
        <w:tabs>
          <w:tab w:leader="none" w:pos="3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(loss) per common share under U.S. GAAP to EPS-diluted-adjusted within the MD&amp;A for the details of each individual adjustment.</w:t>
      </w:r>
    </w:p>
    <w:p>
      <w:pPr>
        <w:ind w:left="320" w:hanging="313"/>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consider the potential future impact of adjustments on our expected financial results.</w:t>
      </w:r>
    </w:p>
    <w:p>
      <w:pPr>
        <w:spacing w:after="0" w:line="219"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8.5 million units in the six months ended June 30, 2022, representing a decrease of 16.0%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2021. U.S. industry sales were 7.0 million units in the six months ended June 30, 2022, representing a decrease of 18.0% compared to the corresponding period in 2021.</w:t>
      </w:r>
    </w:p>
    <w:p>
      <w:pPr>
        <w:spacing w:after="0" w:line="200"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1.1 million units for market share of 15.7% in the six months ended June 30, 2022, representing an increase of 0.1 percentage points compared to the corresponding period in 2021.</w:t>
      </w:r>
    </w:p>
    <w:p>
      <w:pPr>
        <w:spacing w:after="0" w:line="18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We expect to sustain relatively strong EBIT-adjusted margins in 2022 on the continued strength of favorable vehicle pricing and strong U.S. industry light vehicle demand, partially offset by higher costs associated with commodities, raw materials and logistics. Our outlook is dependent on the pricing environment, continuing improvement of supply chain disruptions and overall economic conditions. As a result of supply chain disruptions, including with respect to semiconductors, we experienced interruptions to our planned production schedules and continue to prioritize production of our most popular and in-demand products, including our full-size trucks, full-size SUVs and EVs. Additionally, we have been manufacturing vehicles without the impacted components and had more than 90,000 of these vehicles in our inventory as of June 30, 2022. We expect that substantially all of these vehicles will be completed and sold to dealers before the end of 2022.</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10.8 million units in the six months ended June 30, 2022, representing a decrease of 19.5%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2021. Our total vehicle sales in China were 1.1 million units for market share of 10.2% in the six months ended June 30, 2022, representing a decrease of 1.3 percentage points compared to the corresponding period in 2021. The ongoing global semiconductor supply shortage, macro-economic impact and local restrictions due to COVID-19 and geopolitical tensions continue to place pressure on China's automotive industry and our vehicle sales in China. Our Automotive China JVs generated equity income of $0.1 billion in the six months ended June 30, 2022. Although price competition, higher costs associated with commodities and raw materials and a more challenging regulatory environment related to emissions, fuel consumption and new energy vehicles will place pressure on our operations in China, we will continue to build upon our strong brands, network, and partnerships in China as well as drive improvements in vehicle mix and cost.</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11.3 million units in the six months ended June 30, 2022, representing a decrease of 5.1% compared to the corresponding period in 2021. Our total vehicle sales outside of China were 0.5 million units for a market share of 4.1% in the six months ended June 30, 2022, representing an increase of 0.5 percentage points compared to the corresponding period in 2021.</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We historically operated a small import business in Russia and sold GM-badged vehicles into Russia through GM’s alliance partner in Uzbekistan. GM’s direct and indirect profitability in Russia was insignificant. With Russia’s invasion of Ukraine, western sanctions on Russia have and may continue to progressively increase. In addition, reputational, legal and other concerns have impacted and may continue to impact our ability to operate in Russia. As of the end of February, we suspended our exports into Russia and instructed our Russian sales company to cease selling vehicles within Russia. In April, we took additional actions to extend the suspension of our Russian business, including the cessation of commercial operations. Although we have limited supply chain exposure to Russia and Ukraine, we are working closely with our supply base to mitigate any potential risks. Because of the deteriorating business environment in Russia and ongoing sanctions, our ability to operate in Russia in the future is uncertain. In the event we were to lose control of our Russian sales company or are otherwise unable to operate again in Russia, we would expect to record a non-cash charge of approximately $0.7 billion to write off our investment and release accumulated translation losses. These charges would be considered special for EBIT-adjusted and EPS-diluted-adjusted purposes. In addition, we are monitoring the situation and its macroeconomic impacts on our financial position and results of operations.</w:t>
      </w:r>
    </w:p>
    <w:p>
      <w:pPr>
        <w:spacing w:after="0" w:line="21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w:t>
      </w:r>
      <w:r>
        <w:rPr>
          <w:rFonts w:ascii="Times New Roman" w:cs="Times New Roman" w:eastAsia="Times New Roman" w:hAnsi="Times New Roman"/>
          <w:sz w:val="18"/>
          <w:szCs w:val="18"/>
          <w:color w:val="auto"/>
        </w:rPr>
        <w:t>Gated by safety and regulation, Cruise continues to make significant progress towards commercialization of a network of on-demand AVs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globally. In 2021, Cruise received a driverless test permit from the California Public Utilities Commission (CPUC) to provide unpaid rides to the public in driverless vehicles and received approval of its Autonomous Vehicle Deployment Permit from the California Department of Motor Vehicles to commercially deploy driverless AVs. In June 2022, Cruise received the first ever Driverless Deployment Permit granted by the CPUC, which allows them to charge a fare for the driverless rides they are providing to members of the public in certain parts of San Francisco. Refer to the "Liquidity and Capital Resources" section of this MD&amp;A for information about GM's additional investment in Cruise.</w:t>
      </w:r>
    </w:p>
    <w:p>
      <w:pPr>
        <w:spacing w:after="0" w:line="207"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and functionality. Market leadership in individual countries in which we compete varies widely.</w:t>
      </w:r>
    </w:p>
    <w:p>
      <w:pPr>
        <w:spacing w:after="0" w:line="18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six months ended June 30, 2022, 30.2% of our wholesale vehicle sales volume was generated outside the U.S. The following table summarizes wholesale vehicle sales by automotive segment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5"/>
        </w:trPr>
        <w:tc>
          <w:tcPr>
            <w:tcW w:w="19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80" w:type="dxa"/>
            <w:vAlign w:val="bottom"/>
            <w:tcBorders>
              <w:bottom w:val="single" w:sz="8" w:color="auto"/>
            </w:tcBorders>
          </w:tcPr>
          <w:p>
            <w:pPr>
              <w:spacing w:after="0"/>
              <w:rPr>
                <w:sz w:val="16"/>
                <w:szCs w:val="16"/>
                <w:color w:val="auto"/>
              </w:rPr>
            </w:pPr>
          </w:p>
        </w:tc>
      </w:tr>
      <w:tr>
        <w:trPr>
          <w:trHeight w:val="22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82.6 %</w:t>
            </w:r>
          </w:p>
        </w:tc>
      </w:tr>
      <w:tr>
        <w:trPr>
          <w:trHeight w:val="228"/>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47"/>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 Total vehicle sales data for periods presented prior to 2022 reflect courtesy transportation vehicles used by U.S. dealers in their business; beginning in 2022, we stopped including such dealership courtesy transportation vehicles in total vehicle sales until such time as those vehicles were sold to the end customer.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GM</w:t>
            </w:r>
          </w:p>
        </w:tc>
        <w:tc>
          <w:tcPr>
            <w:tcW w:w="680" w:type="dxa"/>
            <w:vAlign w:val="bottom"/>
          </w:tcPr>
          <w:p>
            <w:pPr>
              <w:jc w:val="right"/>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GM</w:t>
            </w:r>
          </w:p>
        </w:tc>
        <w:tc>
          <w:tcPr>
            <w:tcW w:w="6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GM</w:t>
            </w:r>
          </w:p>
        </w:tc>
        <w:tc>
          <w:tcPr>
            <w:tcW w:w="6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1"/>
                <w:szCs w:val="1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GM</w:t>
            </w:r>
          </w:p>
        </w:tc>
        <w:tc>
          <w:tcPr>
            <w:tcW w:w="800" w:type="dxa"/>
            <w:vAlign w:val="bottom"/>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6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202"/>
        </w:trPr>
        <w:tc>
          <w:tcPr>
            <w:tcW w:w="1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North America</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10,103</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r>
        <w:trPr>
          <w:trHeight w:val="114"/>
        </w:trPr>
        <w:tc>
          <w:tcPr>
            <w:tcW w:w="146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Asia/Pacific, Middle</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East and Africa</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China(a)</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6,669</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21"/>
        </w:trPr>
        <w:tc>
          <w:tcPr>
            <w:tcW w:w="146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Total Asia/Pacific,</w:t>
            </w: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Middle East and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9,524</w:t>
            </w: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11,428</w:t>
            </w: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20,344</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23,479</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211"/>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Africa</w:t>
            </w: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tcBorders>
            <w:gridSpan w:val="3"/>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tcBorders>
            <w:gridSpan w:val="3"/>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680" w:type="dxa"/>
            <w:vAlign w:val="bottom"/>
            <w:tcBorders>
              <w:bottom w:val="single" w:sz="8" w:color="CCEEFF"/>
            </w:tcBorders>
            <w:gridSpan w:val="3"/>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8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7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202"/>
        </w:trPr>
        <w:tc>
          <w:tcPr>
            <w:tcW w:w="1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South America</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r>
        <w:trPr>
          <w:trHeight w:val="187"/>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 GM markets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35,363</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Europe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Worldwide(b)(c)</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18,604</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21,963</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37,752</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43,585</w:t>
            </w:r>
          </w:p>
        </w:tc>
        <w:tc>
          <w:tcPr>
            <w:tcW w:w="12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Trucks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Crossovers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0" w:type="dxa"/>
            <w:vAlign w:val="bottom"/>
          </w:tcPr>
          <w:p>
            <w:pPr>
              <w:spacing w:after="0"/>
              <w:rPr>
                <w:sz w:val="1"/>
                <w:szCs w:val="1"/>
                <w:color w:val="auto"/>
              </w:rPr>
            </w:pPr>
          </w:p>
        </w:tc>
      </w:tr>
      <w:tr>
        <w:trPr>
          <w:trHeight w:val="227"/>
        </w:trPr>
        <w:tc>
          <w:tcPr>
            <w:tcW w:w="1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United States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China(a)</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4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SGMS</w:t>
            </w:r>
          </w:p>
        </w:tc>
        <w:tc>
          <w:tcPr>
            <w:tcW w:w="7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SGMW</w:t>
            </w:r>
          </w:p>
        </w:tc>
        <w:tc>
          <w:tcPr>
            <w:tcW w:w="70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China</w:t>
            </w: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JVs: SAIC General Motors Sales Co., Ltd. (SGMS) and SAIC GM Wuling Automobile Co., Ltd. (SGMW).</w:t>
      </w:r>
    </w:p>
    <w:p>
      <w:pPr>
        <w:spacing w:after="0" w:line="14" w:lineRule="exact"/>
        <w:rPr>
          <w:rFonts w:ascii="Times New Roman" w:cs="Times New Roman" w:eastAsia="Times New Roman" w:hAnsi="Times New Roman"/>
          <w:sz w:val="16"/>
          <w:szCs w:val="16"/>
          <w:color w:val="auto"/>
        </w:rPr>
      </w:pPr>
    </w:p>
    <w:p>
      <w:pPr>
        <w:ind w:left="340" w:hanging="333"/>
        <w:spacing w:after="0" w:line="247"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Sudan and Syria are subject to broad economic sanctions. Accordingly, these countries are excluded from industry sales data and corresponding calculation of market share.</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2022, GM is no longer importing vehicles or parts to Russia, Belarus and other sanctioned provinces in Ukraine.</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32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40" w:type="dxa"/>
            <w:vAlign w:val="bottom"/>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8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188"/>
        </w:trPr>
        <w:tc>
          <w:tcPr>
            <w:tcW w:w="4880" w:type="dxa"/>
            <w:vAlign w:val="bottom"/>
          </w:tcPr>
          <w:p>
            <w:pPr>
              <w:spacing w:after="0"/>
              <w:rPr>
                <w:sz w:val="16"/>
                <w:szCs w:val="16"/>
                <w:color w:val="auto"/>
              </w:rPr>
            </w:pPr>
          </w:p>
        </w:tc>
        <w:tc>
          <w:tcPr>
            <w:tcW w:w="16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0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2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5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251</w:t>
            </w:r>
          </w:p>
        </w:tc>
      </w:tr>
      <w:tr>
        <w:trPr>
          <w:trHeight w:val="228"/>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5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133</w:t>
            </w:r>
          </w:p>
        </w:tc>
      </w:tr>
      <w:tr>
        <w:trPr>
          <w:trHeight w:val="247"/>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15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659"/>
        </w:trPr>
        <w:tc>
          <w:tcPr>
            <w:tcW w:w="4880" w:type="dxa"/>
            <w:vAlign w:val="bottom"/>
          </w:tcPr>
          <w:p>
            <w:pPr>
              <w:spacing w:after="0"/>
              <w:rPr>
                <w:sz w:val="24"/>
                <w:szCs w:val="24"/>
                <w:color w:val="auto"/>
              </w:rPr>
            </w:pPr>
          </w:p>
        </w:tc>
        <w:tc>
          <w:tcPr>
            <w:tcW w:w="150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6"/>
        </w:trPr>
        <w:tc>
          <w:tcPr>
            <w:tcW w:w="48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We believe that offering a comprehensive suite of financing products will generate incremental sales of our vehicles, drive incremental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GM Financial earnings and help support our sales throughout various economic cycles. GM Financial's leasing program is exposed to residual values, which are heavily dependent on used vehicle prices. Used vehicle prices were sustained at high levels for the three and six months ended June 30, 2022, primarily due to low new vehicle inventory. The high levels of used vehicle prices also resulted in gains on terminations of leased vehicles of $0.4 billion and $0.7 billion included in GM Financial interest, operating and other expenses for the three and six months ended June 30, 2022, compared to gains of $0.8 billion and $1.2 billion in the corresponding periods in 2021. The decrease in gains is primarily due to higher residual value estimates resulting in decreased depreciation expense as well as fewer vehicles returned for the three and six months ended June 30, 2022 compared to the corresponding periods in 2021. For the remainder of 2022, GM Financial expects used vehicle prices to remain elevated primarily due to sustained low new vehicle inventory, but to decrease relative to 2021 peak levels. The following table summarizes the estimated residual value based on GM Financial's most recent estimates and the number of units included in GM Financial Equipment on operating leases, net by vehicle type (units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20" w:type="dxa"/>
            <w:vAlign w:val="bottom"/>
          </w:tcPr>
          <w:p>
            <w:pPr>
              <w:spacing w:after="0"/>
              <w:rPr>
                <w:sz w:val="16"/>
                <w:szCs w:val="16"/>
                <w:color w:val="auto"/>
              </w:rPr>
            </w:pPr>
          </w:p>
        </w:tc>
      </w:tr>
      <w:tr>
        <w:trPr>
          <w:trHeight w:val="25"/>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188"/>
        </w:trPr>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8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Financial's penetration of our retail sales in the U.S. was 45% in the six months ended June 30, 2022 and 43% in the corresponding period in 2021. Penetration levels vary depending on incentive financing programs available and competing third-party financing products in the market. GM Financial's prime loan originations as a percentage of total loan originations in North America increased to 79% in the six months ended June 30, 2022 from 71% in the six months ended June 30, 2021. In the six months ended June 30, 2022, GM Financial's revenue consisted of leased vehicle income of 64%, retail finance charge income of 30% and commercial finance charge income of 2%.</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4"/>
                <w:szCs w:val="14"/>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4"/>
                <w:szCs w:val="14"/>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4"/>
                <w:szCs w:val="14"/>
                <w:color w:val="auto"/>
              </w:rPr>
            </w:pPr>
          </w:p>
        </w:tc>
        <w:tc>
          <w:tcPr>
            <w:tcW w:w="6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4"/>
                <w:szCs w:val="14"/>
                <w:color w:val="auto"/>
              </w:rPr>
            </w:pPr>
          </w:p>
        </w:tc>
        <w:tc>
          <w:tcPr>
            <w:tcW w:w="58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6"/>
                <w:szCs w:val="16"/>
                <w:color w:val="auto"/>
                <w:w w:val="97"/>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9"/>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103"/>
              <w:spacing w:after="0"/>
              <w:rPr>
                <w:sz w:val="20"/>
                <w:szCs w:val="20"/>
                <w:color w:val="auto"/>
              </w:rPr>
            </w:pPr>
            <w:r>
              <w:rPr>
                <w:rFonts w:ascii="Times New Roman" w:cs="Times New Roman" w:eastAsia="Times New Roman" w:hAnsi="Times New Roman"/>
                <w:sz w:val="16"/>
                <w:szCs w:val="16"/>
                <w:color w:val="auto"/>
                <w:w w:val="97"/>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34,167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103"/>
              <w:spacing w:after="0"/>
              <w:rPr>
                <w:sz w:val="20"/>
                <w:szCs w:val="20"/>
                <w:color w:val="auto"/>
              </w:rPr>
            </w:pPr>
            <w:r>
              <w:rPr>
                <w:rFonts w:ascii="Times New Roman" w:cs="Times New Roman" w:eastAsia="Times New Roman" w:hAnsi="Times New Roman"/>
                <w:sz w:val="16"/>
                <w:szCs w:val="16"/>
                <w:color w:val="auto"/>
                <w:w w:val="97"/>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4"/>
                <w:szCs w:val="14"/>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4"/>
                <w:szCs w:val="14"/>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4"/>
                <w:szCs w:val="14"/>
                <w:color w:val="auto"/>
              </w:rPr>
            </w:pPr>
          </w:p>
        </w:tc>
        <w:tc>
          <w:tcPr>
            <w:tcW w:w="6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4"/>
                <w:szCs w:val="14"/>
                <w:color w:val="auto"/>
              </w:rPr>
            </w:pPr>
          </w:p>
        </w:tc>
        <w:tc>
          <w:tcPr>
            <w:tcW w:w="5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6"/>
                <w:szCs w:val="16"/>
                <w:color w:val="auto"/>
                <w:w w:val="97"/>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9"/>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103"/>
              <w:spacing w:after="0"/>
              <w:rPr>
                <w:sz w:val="20"/>
                <w:szCs w:val="20"/>
                <w:color w:val="auto"/>
              </w:rPr>
            </w:pPr>
            <w:r>
              <w:rPr>
                <w:rFonts w:ascii="Times New Roman" w:cs="Times New Roman" w:eastAsia="Times New Roman" w:hAnsi="Times New Roman"/>
                <w:sz w:val="16"/>
                <w:szCs w:val="16"/>
                <w:color w:val="auto"/>
                <w:w w:val="97"/>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71,738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66,641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103"/>
              <w:spacing w:after="0"/>
              <w:rPr>
                <w:sz w:val="20"/>
                <w:szCs w:val="20"/>
                <w:color w:val="auto"/>
              </w:rPr>
            </w:pPr>
            <w:r>
              <w:rPr>
                <w:rFonts w:ascii="Times New Roman" w:cs="Times New Roman" w:eastAsia="Times New Roman" w:hAnsi="Times New Roman"/>
                <w:sz w:val="16"/>
                <w:szCs w:val="16"/>
                <w:color w:val="auto"/>
                <w:w w:val="97"/>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and price.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4"/>
                <w:szCs w:val="14"/>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4"/>
                <w:szCs w:val="14"/>
                <w:color w:val="auto"/>
              </w:rPr>
            </w:pPr>
          </w:p>
        </w:tc>
        <w:tc>
          <w:tcPr>
            <w:tcW w:w="62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4"/>
                <w:szCs w:val="14"/>
                <w:color w:val="auto"/>
              </w:rPr>
            </w:pPr>
          </w:p>
        </w:tc>
        <w:tc>
          <w:tcPr>
            <w:tcW w:w="6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4"/>
                <w:szCs w:val="14"/>
                <w:color w:val="auto"/>
              </w:rPr>
            </w:pP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29,261</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27,266</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3"/>
        </w:trPr>
        <w:tc>
          <w:tcPr>
            <w:tcW w:w="2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3"/>
                <w:szCs w:val="13"/>
                <w:color w:val="auto"/>
              </w:rPr>
            </w:pPr>
          </w:p>
        </w:tc>
        <w:tc>
          <w:tcPr>
            <w:tcW w:w="62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3"/>
                <w:szCs w:val="13"/>
                <w:color w:val="auto"/>
              </w:rPr>
            </w:pPr>
          </w:p>
        </w:tc>
        <w:tc>
          <w:tcPr>
            <w:tcW w:w="6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58,614</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52,381</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3"/>
        </w:trPr>
        <w:tc>
          <w:tcPr>
            <w:tcW w:w="2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2022, increased Cost was primarily due to: (1) increased material and freight costs of $1.6 billion; (2) increased engineering costs of $0.4 billion primarily related to accelerating our EV portfolio; and (3) increased costs of $0.3 billion primarily related to parts and accessories sales; partially offset by (4) decreased campaigns and other warranty-related costs of $1.1 billion, including the Chevrolet Bolt recall in 2021.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In the six months ended June 30, 2022, increased Cost was primarily due to: (1) increased material and freight costs of $2.7 billion; (2) increased costs of $0.8 billion related to modification of Cruise stock incentive awards; (3) increased costs of $0.6 billion primarily related to parts and accessories sales; (4) increased engineering costs of $0.6 billion primarily related to accelerating our EV portfolio; and (5) increased manufacturing costs of $0.6 billion; partially offset by (6) decreased campaigns and other warranty-related costs of $1.1 billion, including the Chevrolet Bolt recall in 2021.</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and mix.</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4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5"/>
              </w:rPr>
              <w:t>June 30, 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82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4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97"/>
              </w:rPr>
              <w:t>June 30, 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0"/>
        </w:trPr>
        <w:tc>
          <w:tcPr>
            <w:tcW w:w="24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Automotive and other selling,</w:t>
            </w: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4,797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3,928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June 30, 2022, Automotive and other selling, general and administrative expense increased primarily due to several insignificant items.</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2022, Automotive and other selling, general and administrative expense increased primarily due to increased advertising and administrative costs of $0.4 billion and increased costs of $0.3 billion related to modification of Cruise stock incentive awards.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40" w:type="dxa"/>
            <w:vAlign w:val="bottom"/>
          </w:tcPr>
          <w:p>
            <w:pPr>
              <w:spacing w:after="0"/>
              <w:rPr>
                <w:sz w:val="19"/>
                <w:szCs w:val="19"/>
                <w:color w:val="auto"/>
              </w:rPr>
            </w:pPr>
          </w:p>
        </w:tc>
      </w:tr>
      <w:tr>
        <w:trPr>
          <w:trHeight w:val="182"/>
        </w:trPr>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2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7"/>
              </w:rPr>
              <w:t>June 30, 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4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4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97"/>
              </w:rPr>
              <w:t>June 30, 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8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1"/>
        </w:trPr>
        <w:tc>
          <w:tcPr>
            <w:tcW w:w="24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Interest income and other non-</w:t>
            </w: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242"/>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1,583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June 30, 2022, Interest income and other non-operating income, net decreased primarily due to $0.2 billion in losses in the three months ended June 30, 2022 compared to $0.2 billion in gains in the three months ended June 30, 2021 related to Stellantis warrants.</w:t>
      </w:r>
    </w:p>
    <w:p>
      <w:pPr>
        <w:spacing w:after="0" w:line="189"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2022, Interest income and other non-operating income, net decreased primarily due to $0.4 billion in losses in the six months ended June 30, 2022 compared to $0.4 billion in gains in the six months ended June 30, 2021 related to Stellantis warrants.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40" w:type="dxa"/>
            <w:vAlign w:val="bottom"/>
          </w:tcPr>
          <w:p>
            <w:pPr>
              <w:spacing w:after="0"/>
              <w:rPr>
                <w:sz w:val="19"/>
                <w:szCs w:val="19"/>
                <w:color w:val="auto"/>
              </w:rPr>
            </w:pPr>
          </w:p>
        </w:tc>
      </w:tr>
      <w:tr>
        <w:trPr>
          <w:trHeight w:val="182"/>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4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7"/>
              </w:rPr>
              <w:t>June 30, 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4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97"/>
              </w:rPr>
              <w:t>June 30, 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49.5 %</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78.5 %</w:t>
            </w:r>
          </w:p>
        </w:tc>
      </w:tr>
    </w:tbl>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three months ended June 30, 2022, Income tax expense decreased primarily due to lower pre-tax income.</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 the six months ended June 30, 2022, Income tax expense decreased primarily due to Cruise valuation allowance adjustments and lower pre-tax income.</w:t>
      </w:r>
    </w:p>
    <w:p>
      <w:pPr>
        <w:spacing w:after="0" w:line="234" w:lineRule="exact"/>
        <w:rPr>
          <w:sz w:val="20"/>
          <w:szCs w:val="20"/>
          <w:color w:val="auto"/>
        </w:rPr>
      </w:pPr>
    </w:p>
    <w:p>
      <w:pPr>
        <w:jc w:val="both"/>
        <w:ind w:firstLine="161"/>
        <w:spacing w:after="0" w:line="248" w:lineRule="auto"/>
        <w:rPr>
          <w:sz w:val="20"/>
          <w:szCs w:val="20"/>
          <w:color w:val="auto"/>
        </w:rPr>
      </w:pPr>
      <w:r>
        <w:rPr>
          <w:rFonts w:ascii="Times New Roman" w:cs="Times New Roman" w:eastAsia="Times New Roman" w:hAnsi="Times New Roman"/>
          <w:sz w:val="18"/>
          <w:szCs w:val="18"/>
          <w:color w:val="auto"/>
        </w:rPr>
        <w:t>For the three and six months ended June 30, 2022, our ETR-adjusted was 23.0% and 20.8%. We expect our adjusted effective tax rate to be approximately 20% for the year ending December 31, 2022.</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15 to our condensed consolidated financial statements for additional information related to Income tax expense (benefit).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4"/>
                <w:szCs w:val="14"/>
                <w:color w:val="auto"/>
              </w:rPr>
            </w:pPr>
          </w:p>
        </w:tc>
        <w:tc>
          <w:tcPr>
            <w:tcW w:w="11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4"/>
                <w:szCs w:val="14"/>
                <w:color w:val="auto"/>
              </w:rPr>
            </w:pPr>
          </w:p>
        </w:tc>
        <w:tc>
          <w:tcPr>
            <w:tcW w:w="5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4"/>
                <w:szCs w:val="14"/>
                <w:color w:val="auto"/>
              </w:rPr>
            </w:pPr>
          </w:p>
        </w:tc>
        <w:tc>
          <w:tcPr>
            <w:tcW w:w="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14"/>
                <w:szCs w:val="14"/>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80" w:type="dxa"/>
            <w:vAlign w:val="bottom"/>
          </w:tcPr>
          <w:p>
            <w:pPr>
              <w:spacing w:after="0"/>
              <w:rPr>
                <w:sz w:val="14"/>
                <w:szCs w:val="14"/>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28,760</w:t>
            </w:r>
          </w:p>
        </w:tc>
        <w:tc>
          <w:tcPr>
            <w:tcW w:w="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27,932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2,299</w:t>
            </w: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 margin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662</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18"/>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3"/>
            <w:vMerge w:val="restart"/>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3"/>
                <w:szCs w:val="13"/>
                <w:color w:val="auto"/>
              </w:rPr>
            </w:pPr>
          </w:p>
        </w:tc>
        <w:tc>
          <w:tcPr>
            <w:tcW w:w="118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3"/>
                <w:szCs w:val="13"/>
                <w:color w:val="auto"/>
              </w:rPr>
            </w:pPr>
          </w:p>
        </w:tc>
        <w:tc>
          <w:tcPr>
            <w:tcW w:w="5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3"/>
                <w:szCs w:val="13"/>
                <w:color w:val="auto"/>
              </w:rPr>
            </w:pPr>
          </w:p>
        </w:tc>
        <w:tc>
          <w:tcPr>
            <w:tcW w:w="4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3"/>
                <w:szCs w:val="13"/>
                <w:color w:val="auto"/>
              </w:rPr>
            </w:pPr>
          </w:p>
        </w:tc>
        <w:tc>
          <w:tcPr>
            <w:tcW w:w="5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3"/>
                <w:szCs w:val="13"/>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58,216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53,889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4,327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5,440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6,028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 margin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1,356</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June 30, 2022, Total net sales and revenue increased primarily due to: (1) favorable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of low dealer inventory levels and strong demand for our products; (2) increased net wholesale volumes primarily due to increased sales of passenger cars, vans and crossover vehicles, partially offset by a decrease in sales of full-size pickup trucks and full-size SUVs; and (3) favorable Other due to increased sales of parts and accessories; partially offset by (4) unfavorable mix associated with increased sales of passenger cars, crossover vehicles and vans and decreased sales of full-size SUVs.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2022, Total net sales and revenue increased primarily due to: (1) favorable price as a result of low dealer inventory levels and strong demand for our products; (2) increased net wholesale volumes primarily due to increased sales of passenger cars, vans, mid-size pickup trucks and crossover vehicles, partially offset by a decrease in sales of full-size pickup trucks and full-size SUVs; and (3) favorable Other due to increased sales of parts and accessories; partially offset by (4) unfavorable mix associated with increased sales of crossover vehicles, vans and passenger cars and decreased sales of full-size SUVs.</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 (Loss)-Adjusted </w:t>
      </w:r>
      <w:r>
        <w:rPr>
          <w:rFonts w:ascii="Times New Roman" w:cs="Times New Roman" w:eastAsia="Times New Roman" w:hAnsi="Times New Roman"/>
          <w:sz w:val="18"/>
          <w:szCs w:val="18"/>
          <w:color w:val="auto"/>
        </w:rPr>
        <w:t>In the three months ended June 30, 2022, EBIT-adjusted decreased primarily due to: (1) unfavorable mix associated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sales of passenger cars, crossover vehicles and vans and decreased sales of full-size SUVs and full-size pickup trucks; and (2) unfavorable Cost primarily due to increased material and freight cost of $1.4 billion and increased engineering cost of $0.2 billion including accelerating our EV portfolio, partially offset by a decrease in campaigns and other warranty-related costs of $1.0 billion, including the Chevrolet Bolt recall in 2021; partially offset by (3) favorable price; and (4) favorable volume.</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2022, EBIT-adjusted decreased primarily due to: (1) unfavorable Cost primarily due to increased material and freight cost of $2.4 billion, increased manufacturing cost of $0.5 billion, increased selling, general and administrative costs of $0.4 billion and increased engineering cost of $0.3 billion including accelerating our EV portfolio, partially offset by a decrease in campaigns and other warranty-related costs of $1.0 billion, including the Chevrolet Bolt recall in 2021; and (2) unfavorable mix associated with increased sales of passenger cars, decreased sales of full-size pickup trucks and increased sales of crossover vehicles and vans; partially offset by (3) favorable price; and (4) favorable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2"/>
                <w:szCs w:val="2"/>
                <w:color w:val="auto"/>
              </w:rPr>
            </w:pPr>
          </w:p>
        </w:tc>
        <w:tc>
          <w:tcPr>
            <w:tcW w:w="11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2"/>
                <w:szCs w:val="2"/>
                <w:color w:val="auto"/>
              </w:rPr>
            </w:pPr>
          </w:p>
        </w:tc>
        <w:tc>
          <w:tcPr>
            <w:tcW w:w="4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2"/>
                <w:szCs w:val="2"/>
                <w:color w:val="auto"/>
              </w:rPr>
            </w:pPr>
          </w:p>
        </w:tc>
        <w:tc>
          <w:tcPr>
            <w:tcW w:w="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2"/>
                <w:szCs w:val="2"/>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2"/>
                <w:szCs w:val="2"/>
                <w:color w:val="auto"/>
              </w:rPr>
            </w:pPr>
          </w:p>
        </w:tc>
        <w:tc>
          <w:tcPr>
            <w:tcW w:w="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line="20" w:lineRule="exact"/>
              <w:rPr>
                <w:sz w:val="1"/>
                <w:szCs w:val="1"/>
                <w:color w:val="auto"/>
              </w:rPr>
            </w:pPr>
          </w:p>
        </w:tc>
      </w:tr>
      <w:tr>
        <w:trPr>
          <w:trHeight w:val="19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3,807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40" w:type="dxa"/>
            <w:vAlign w:val="bottom"/>
            <w:tcBorders>
              <w:right w:val="single" w:sz="8" w:color="auto"/>
            </w:tcBorders>
            <w:shd w:val="clear" w:color="auto" w:fill="CCEEFF"/>
          </w:tcPr>
          <w:p>
            <w:pPr>
              <w:spacing w:after="0"/>
              <w:rPr>
                <w:sz w:val="20"/>
                <w:szCs w:val="20"/>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center"/>
              <w:ind w:left="353"/>
              <w:spacing w:after="0"/>
              <w:rPr>
                <w:sz w:val="20"/>
                <w:szCs w:val="20"/>
                <w:color w:val="auto"/>
              </w:rPr>
            </w:pPr>
            <w:r>
              <w:rPr>
                <w:rFonts w:ascii="Times New Roman" w:cs="Times New Roman" w:eastAsia="Times New Roman" w:hAnsi="Times New Roman"/>
                <w:sz w:val="18"/>
                <w:szCs w:val="18"/>
                <w:color w:val="auto"/>
                <w:w w:val="99"/>
              </w:rPr>
              <w:t>n.m.</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 margin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i w:val="1"/>
                <w:iCs w:val="1"/>
                <w:color w:val="auto"/>
              </w:rPr>
              <w:t>(87)</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276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(363)</w:t>
            </w:r>
          </w:p>
        </w:tc>
        <w:tc>
          <w:tcPr>
            <w:tcW w:w="100" w:type="dxa"/>
            <w:vAlign w:val="bottom"/>
          </w:tcPr>
          <w:p>
            <w:pPr>
              <w:spacing w:after="0"/>
              <w:rPr>
                <w:sz w:val="15"/>
                <w:szCs w:val="15"/>
                <w:color w:val="auto"/>
              </w:rPr>
            </w:pPr>
          </w:p>
        </w:tc>
        <w:tc>
          <w:tcPr>
            <w:tcW w:w="1080" w:type="dxa"/>
            <w:vAlign w:val="bottom"/>
            <w:tcBorders>
              <w:right w:val="single" w:sz="8" w:color="auto"/>
            </w:tcBorders>
            <w:gridSpan w:val="2"/>
            <w:vMerge w:val="restart"/>
          </w:tcPr>
          <w:p>
            <w:pPr>
              <w:jc w:val="center"/>
              <w:ind w:left="353"/>
              <w:spacing w:after="0"/>
              <w:rPr>
                <w:sz w:val="20"/>
                <w:szCs w:val="20"/>
                <w:color w:val="auto"/>
              </w:rPr>
            </w:pPr>
            <w:r>
              <w:rPr>
                <w:rFonts w:ascii="Times New Roman" w:cs="Times New Roman" w:eastAsia="Times New Roman" w:hAnsi="Times New Roman"/>
                <w:sz w:val="18"/>
                <w:szCs w:val="18"/>
                <w:i w:val="1"/>
                <w:iCs w:val="1"/>
                <w:color w:val="auto"/>
              </w:rPr>
              <w:t>n.m.</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1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right w:val="single" w:sz="8" w:color="auto"/>
            </w:tcBorders>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 (loss)-adjusted —</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296</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(261)</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557</w:t>
            </w:r>
          </w:p>
        </w:tc>
        <w:tc>
          <w:tcPr>
            <w:tcW w:w="100" w:type="dxa"/>
            <w:vAlign w:val="bottom"/>
            <w:shd w:val="clear" w:color="auto" w:fill="CCEEFF"/>
          </w:tcPr>
          <w:p>
            <w:pPr>
              <w:spacing w:after="0"/>
              <w:rPr>
                <w:sz w:val="15"/>
                <w:szCs w:val="15"/>
                <w:color w:val="auto"/>
              </w:rPr>
            </w:pPr>
          </w:p>
        </w:tc>
        <w:tc>
          <w:tcPr>
            <w:tcW w:w="1080" w:type="dxa"/>
            <w:vAlign w:val="bottom"/>
            <w:tcBorders>
              <w:right w:val="single" w:sz="8" w:color="auto"/>
            </w:tcBorders>
            <w:gridSpan w:val="2"/>
            <w:vMerge w:val="restart"/>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i w:val="1"/>
                <w:iCs w:val="1"/>
                <w:color w:val="auto"/>
              </w:rPr>
              <w:t>n.m.</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excluding Equity income</w:t>
            </w:r>
          </w:p>
        </w:tc>
        <w:tc>
          <w:tcPr>
            <w:tcW w:w="18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right w:val="single" w:sz="8" w:color="auto"/>
            </w:tcBorders>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4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60" w:type="dxa"/>
            <w:vAlign w:val="bottom"/>
            <w:gridSpan w:val="3"/>
            <w:vMerge w:val="restart"/>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9"/>
                <w:szCs w:val="9"/>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4"/>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6"/>
                <w:szCs w:val="16"/>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6"/>
                <w:szCs w:val="16"/>
                <w:color w:val="auto"/>
              </w:rPr>
            </w:pPr>
          </w:p>
        </w:tc>
        <w:tc>
          <w:tcPr>
            <w:tcW w:w="4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6"/>
                <w:szCs w:val="16"/>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16"/>
                <w:szCs w:val="16"/>
                <w:color w:val="auto"/>
              </w:rPr>
            </w:pPr>
          </w:p>
        </w:tc>
        <w:tc>
          <w:tcPr>
            <w:tcW w:w="5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6"/>
                <w:szCs w:val="16"/>
                <w:color w:val="auto"/>
              </w:rPr>
            </w:pP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7,120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40" w:type="dxa"/>
            <w:vAlign w:val="bottom"/>
            <w:tcBorders>
              <w:right w:val="single" w:sz="8" w:color="auto"/>
            </w:tcBorders>
            <w:shd w:val="clear" w:color="auto" w:fill="CCEEFF"/>
          </w:tcPr>
          <w:p>
            <w:pPr>
              <w:spacing w:after="0"/>
              <w:rPr>
                <w:sz w:val="20"/>
                <w:szCs w:val="20"/>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40" w:type="dxa"/>
            <w:vAlign w:val="bottom"/>
            <w:tcBorders>
              <w:right w:val="single" w:sz="8" w:color="auto"/>
            </w:tcBorders>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 margin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147</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584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(437)</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(74.8)%</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1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 (loss)-adjusted —</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390</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(261)</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651</w:t>
            </w:r>
          </w:p>
        </w:tc>
        <w:tc>
          <w:tcPr>
            <w:tcW w:w="100" w:type="dxa"/>
            <w:vAlign w:val="bottom"/>
            <w:shd w:val="clear" w:color="auto" w:fill="CCEEFF"/>
          </w:tcPr>
          <w:p>
            <w:pPr>
              <w:spacing w:after="0"/>
              <w:rPr>
                <w:sz w:val="15"/>
                <w:szCs w:val="15"/>
                <w:color w:val="auto"/>
              </w:rPr>
            </w:pPr>
          </w:p>
        </w:tc>
        <w:tc>
          <w:tcPr>
            <w:tcW w:w="1080" w:type="dxa"/>
            <w:vAlign w:val="bottom"/>
            <w:tcBorders>
              <w:right w:val="single" w:sz="8" w:color="auto"/>
            </w:tcBorders>
            <w:gridSpan w:val="2"/>
            <w:vMerge w:val="restart"/>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i w:val="1"/>
                <w:iCs w:val="1"/>
                <w:color w:val="auto"/>
                <w:w w:val="96"/>
              </w:rPr>
              <w:t>n.m.</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excluding Equity income</w:t>
            </w:r>
          </w:p>
        </w:tc>
        <w:tc>
          <w:tcPr>
            <w:tcW w:w="18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right w:val="single" w:sz="8" w:color="auto"/>
            </w:tcBorders>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 (loss)-adjusted above.</w:t>
      </w:r>
    </w:p>
    <w:p>
      <w:pPr>
        <w:spacing w:after="0" w:line="185" w:lineRule="exact"/>
        <w:rPr>
          <w:sz w:val="20"/>
          <w:szCs w:val="20"/>
          <w:color w:val="auto"/>
        </w:rPr>
      </w:pPr>
    </w:p>
    <w:p>
      <w:pPr>
        <w:jc w:val="both"/>
        <w:ind w:firstLine="161"/>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three months ended June 30, 2022, Total net sales and revenue increased primarily due to: (1) increased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due to lost production volumes resulting from the shortage of semiconductors in 2021, partially offset by ongoing supply chain constraints; (2) favorable pricing across multiple vehicle lines in South America; and (3) favorable mix in Asia/Pacific and the Middle East, partially offset by unfavorable mix in Brazil; partially offset by (4) unfavorable Other primarily due to the foreign currency effect resulting from the weakening of various currencies against the U.S. Dollar.</w:t>
      </w:r>
    </w:p>
    <w:p>
      <w:pPr>
        <w:spacing w:after="0" w:line="202" w:lineRule="exact"/>
        <w:rPr>
          <w:sz w:val="20"/>
          <w:szCs w:val="20"/>
          <w:color w:val="auto"/>
        </w:rPr>
      </w:pPr>
    </w:p>
    <w:p>
      <w:pPr>
        <w:jc w:val="both"/>
        <w:ind w:firstLine="161"/>
        <w:spacing w:after="0" w:line="245" w:lineRule="auto"/>
        <w:rPr>
          <w:sz w:val="20"/>
          <w:szCs w:val="20"/>
          <w:color w:val="auto"/>
        </w:rPr>
      </w:pPr>
      <w:r>
        <w:rPr>
          <w:rFonts w:ascii="Times New Roman" w:cs="Times New Roman" w:eastAsia="Times New Roman" w:hAnsi="Times New Roman"/>
          <w:sz w:val="18"/>
          <w:szCs w:val="18"/>
          <w:color w:val="auto"/>
        </w:rPr>
        <w:t>In the six months ended June 30, 2022, Total net sales and revenue increased primarily due to: (1) favorable pricing across multiple vehicle lines in South America; (2) favorable mix in South America, Asia/Pacific and the Middle East; and (3) increased net wholesale volumes due to lost production volumes resulting from the shortage of semiconductors in 2021, partially offset by ongoing supply chain constraints; partially offset by (4) unfavorable Other primarily due to the foreign currency effect resulting from the weakening of various currencies against the U.S. dollar, partially offset by increased components, parts and accessories sales.</w:t>
      </w:r>
    </w:p>
    <w:p>
      <w:pPr>
        <w:spacing w:after="0" w:line="189"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 (Loss)-Adjusted </w:t>
      </w:r>
      <w:r>
        <w:rPr>
          <w:rFonts w:ascii="Times New Roman" w:cs="Times New Roman" w:eastAsia="Times New Roman" w:hAnsi="Times New Roman"/>
          <w:sz w:val="18"/>
          <w:szCs w:val="18"/>
          <w:color w:val="auto"/>
        </w:rPr>
        <w:t>In the three months ended June 30, 2022, EBIT-adjusted increased primarily due to: (1) favorable price; (2) favorable mix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Asia/Pacific and the Middle East; and (3) increased net wholesale volumes; partially offset by (4) unfavorable Cost primarily due to increased material and logistic costs; and (5) unfavorable Other primarily due to decreased equity income.</w:t>
      </w:r>
    </w:p>
    <w:p>
      <w:pPr>
        <w:spacing w:after="0" w:line="20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six months ended June 30, 2022, EBIT-adjusted increased primarily due to: (1) favorable price; (2) favorable mix; and (3) increased net wholesale volumes; partially offset by (4) unfavorable Cost primarily due to increased material and logistic</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costs; and (5) unfavorable Other primarily due to decreased equity income and foreign currency effect resulting from the weakening of various currencies against the U.S. dollar.</w:t>
      </w:r>
    </w:p>
    <w:p>
      <w:pPr>
        <w:spacing w:after="0" w:line="20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while we are accelerating the development and rollout of EVs across our brands in China in response to our commitment to an all-electric future. We operate in the Chinese market through a number of joint ventures and maintaining strong relationships with our joint venture partners is an important part of our China growth strategy.</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Borders>
              <w:top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40" w:type="dxa"/>
            <w:vAlign w:val="bottom"/>
            <w:tcBorders>
              <w:top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200" w:type="dxa"/>
            <w:vAlign w:val="bottom"/>
            <w:tcBorders>
              <w:top w:val="single" w:sz="8" w:color="CCEEFF"/>
            </w:tcBorders>
            <w:gridSpan w:val="9"/>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w w:val="99"/>
              </w:rPr>
              <w:t>Wholesale vehicle sales, including vehicles exported to markets outside</w:t>
            </w: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China</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960" w:type="dxa"/>
            <w:vAlign w:val="bottom"/>
            <w:gridSpan w:val="3"/>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15,074</w:t>
            </w:r>
          </w:p>
        </w:tc>
        <w:tc>
          <w:tcPr>
            <w:tcW w:w="100" w:type="dxa"/>
            <w:vAlign w:val="bottom"/>
          </w:tcPr>
          <w:p>
            <w:pPr>
              <w:spacing w:after="0"/>
              <w:rPr>
                <w:sz w:val="19"/>
                <w:szCs w:val="19"/>
                <w:color w:val="auto"/>
              </w:rPr>
            </w:pP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960" w:type="dxa"/>
            <w:vAlign w:val="bottom"/>
            <w:gridSpan w:val="3"/>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Cruise</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4"/>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6"/>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3"/>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Favorable /</w:t>
            </w: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4"/>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Favorable /</w:t>
            </w: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8"/>
                <w:szCs w:val="8"/>
                <w:color w:val="auto"/>
              </w:rPr>
            </w:pPr>
          </w:p>
        </w:tc>
        <w:tc>
          <w:tcPr>
            <w:tcW w:w="96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84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8"/>
                <w:szCs w:val="8"/>
                <w:color w:val="auto"/>
              </w:rPr>
            </w:pPr>
          </w:p>
        </w:tc>
        <w:tc>
          <w:tcPr>
            <w:tcW w:w="96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8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sales and revenue(a)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top w:val="single" w:sz="8" w:color="CCEEFF"/>
              <w:right w:val="single" w:sz="8" w:color="auto"/>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 (loss)-adjusted(b)</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4"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reclassified to Interest income and other non-operating income, net in our condensed consolidated income statements in the three and six months ended June 30, 2022 and 2021.</w:t>
      </w: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$1.1 billion in compensation expense in the six months ended June 30, 2022 resulting from modification of the Cruise stock incentive awards.</w:t>
      </w:r>
    </w:p>
    <w:p>
      <w:pPr>
        <w:spacing w:after="0" w:line="229" w:lineRule="exact"/>
        <w:rPr>
          <w:sz w:val="20"/>
          <w:szCs w:val="20"/>
          <w:color w:val="auto"/>
        </w:rPr>
      </w:pPr>
    </w:p>
    <w:p>
      <w:pPr>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EBIT (Loss)-Adjusted </w:t>
      </w:r>
      <w:r>
        <w:rPr>
          <w:rFonts w:ascii="Times New Roman" w:cs="Times New Roman" w:eastAsia="Times New Roman" w:hAnsi="Times New Roman"/>
          <w:sz w:val="18"/>
          <w:szCs w:val="18"/>
          <w:color w:val="auto"/>
        </w:rPr>
        <w:t>In the three and six months ended June 30, 2022, EBIT (loss)-adjusted increased primarily due to an increase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costs as we progress towards the commercialization of a network of on-demand AVs in the United States and globally.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8"/>
                <w:szCs w:val="8"/>
                <w:color w:val="auto"/>
              </w:rPr>
            </w:pPr>
          </w:p>
        </w:tc>
        <w:tc>
          <w:tcPr>
            <w:tcW w:w="114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8"/>
                <w:szCs w:val="8"/>
                <w:color w:val="auto"/>
              </w:rPr>
            </w:pPr>
          </w:p>
        </w:tc>
        <w:tc>
          <w:tcPr>
            <w:tcW w:w="10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3,426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6,302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6,833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61"/>
        </w:trPr>
        <w:tc>
          <w:tcPr>
            <w:tcW w:w="14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Provision for loan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4"/>
                <w:szCs w:val="14"/>
                <w:color w:val="auto"/>
              </w:rPr>
            </w:pPr>
          </w:p>
        </w:tc>
        <w:tc>
          <w:tcPr>
            <w:tcW w:w="940" w:type="dxa"/>
            <w:vAlign w:val="bottom"/>
            <w:tcBorders>
              <w:right w:val="single" w:sz="8" w:color="auto"/>
            </w:tcBorders>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33</w:t>
            </w:r>
          </w:p>
        </w:tc>
        <w:tc>
          <w:tcPr>
            <w:tcW w:w="3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1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losses</w:t>
            </w:r>
          </w:p>
        </w:tc>
        <w:tc>
          <w:tcPr>
            <w:tcW w:w="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EBT (loss)-adjusted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1,581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2,763</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61"/>
        </w:trPr>
        <w:tc>
          <w:tcPr>
            <w:tcW w:w="14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Average debt</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0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(dollars in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94.7</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94.3</w:t>
            </w:r>
          </w:p>
        </w:tc>
        <w:tc>
          <w:tcPr>
            <w:tcW w:w="3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1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billions)</w:t>
            </w:r>
          </w:p>
        </w:tc>
        <w:tc>
          <w:tcPr>
            <w:tcW w:w="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4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Effective rate of</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paid</w:t>
            </w: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29"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three months ended June 30, 2022, total revenue decreased primarily due to decreased leased vehicle income of $0.3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a decrease in the average balance of the leased vehicles portfolio.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2022, total revenue decreased primarily due to decreased leased vehicle income of $0.6 billion primarily due to a decrease in the average balance of the leased vehicles portfolio.</w:t>
      </w:r>
    </w:p>
    <w:p>
      <w:pPr>
        <w:spacing w:after="0" w:line="185"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three months ended June 30, 2022, EBT-adjusted decreased primarily due to: (1) decreased leased vehicle income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leased vehicle expenses of $0.3 billion primarily due to decreased leased vehicle income primarily due to a decrease in the average balance of the leased vehicles portfolio, decreased lease termination gains associated with higher leased portfolio net book values and fewer vehicles returned to us for remarketing; partially offset by decreased depreciation on leased vehicles resulting from increased residual value estimates and a decrease in the size of the portfolio; and (2) increased provision for loan losses of $0.1 billion primarily due to a reduction in reserve levels recorded in the three months ended June 30, 2021 as a result of actual credit performance that was better than forecast, as well as favorable expectations for future charge-offs and recoveries; in addition, the provision expense recorded in the three months ended June 30, 2022 incorporates economic forecast scenarios weighted more heavily to a weaker outlook.</w:t>
      </w:r>
    </w:p>
    <w:p>
      <w:pPr>
        <w:spacing w:after="0" w:line="222"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color w:val="auto"/>
        </w:rPr>
        <w:t>In the six months ended June 30, 2022, EBT-adjusted decreased primarily due to: (1) increased provision for loan losses of $0.3 billion primarily due to a reduction in reserve levels recorded in the six months ended June 30, 2021 as a result of actual credit performance that was better than forecast, as well as favorable expectations for future charge-offs and recoveries; in addition, the provision expense recorded in the six months ended June 30, 2022 incorporates economic forecast scenarios weighted more heavily to a weaker outlook; (2) decreased leased vehicle income net of leased vehicle expenses of $0.2 billion primarily due to decreased leased vehicle income primarily due to a decrease in the average balance of the lease vehicle portfolio, decreased depreciation on leased vehicles resulting from increased residual value estimates and a decrease in the size of the portfolio; partially offset by decreased lease termination gains associated with higher leased portfolio net book values and fewer vehicles returned for remarketing; and (3) decreased interest expense of $0.1 billion primarily due to decreased effective rate of interest on GM Financial debt, as well as a decrease in the average debt outstanding.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95" w:lineRule="exact"/>
        <w:rPr>
          <w:sz w:val="20"/>
          <w:szCs w:val="20"/>
          <w:color w:val="auto"/>
        </w:rPr>
      </w:pPr>
    </w:p>
    <w:p>
      <w:pPr>
        <w:jc w:val="both"/>
        <w:ind w:firstLine="161"/>
        <w:spacing w:after="0" w:line="241"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Ultium Cells LLC, our battery joint venture, of approximately $9.0 billion to $10.0 billion annually over the medium term in addition to payments for engineering and product development activities; (2) payments associated with the previously announced vehicle recalls and any other recall-related contingencies; (3) payments to service debt and other long-term obligations, including discretionary and mandatory contributions to our pension plans; and (4) payments associated with the previously announced liquidity program for holders of equity-based incentive awards issued to employees of Cruise pursuant to Cruise's 2018 Employee Incentive Plan, which we expect to be $1.0 billion to $1.5 billion in 2022, with ongoing expenditures thereafter.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2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Part I, Item 1A. Risk Factors of our 2021 Form 10-K, some of which are outside of our control.</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w:t>
      </w:r>
    </w:p>
    <w:p>
      <w:pPr>
        <w:spacing w:after="0" w:line="195" w:lineRule="exact"/>
        <w:rPr>
          <w:sz w:val="20"/>
          <w:szCs w:val="20"/>
          <w:color w:val="auto"/>
        </w:rPr>
      </w:pPr>
    </w:p>
    <w:p>
      <w:pPr>
        <w:jc w:val="both"/>
        <w:ind w:firstLine="161"/>
        <w:spacing w:after="0" w:line="239" w:lineRule="auto"/>
        <w:rPr>
          <w:sz w:val="20"/>
          <w:szCs w:val="20"/>
          <w:color w:val="auto"/>
        </w:rPr>
      </w:pPr>
      <w:r>
        <w:rPr>
          <w:rFonts w:ascii="Times New Roman" w:cs="Times New Roman" w:eastAsia="Times New Roman" w:hAnsi="Times New Roman"/>
          <w:sz w:val="18"/>
          <w:szCs w:val="18"/>
          <w:color w:val="auto"/>
        </w:rPr>
        <w:t>In July 2022, the U.S. Department of Energy (DOE) announced its conditional commitment through the Advanced Technology Vehicles Manufacturing program to loan $2.5 billion to Ultium Cells LLC, our battery joint venture with LG Energy Solutions. We expect the loan will close in the second half of the year, subject to negotiation of final documentation and satisfaction of certain conditions. Under the anticipated terms of the loan, the DOE will not have recourse on the principal and interest of the loan against General Motors Company or any of its consolidated subsidiaries.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both"/>
        <w:ind w:firstLine="161"/>
        <w:spacing w:after="0" w:line="239"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2021. Refer to Part II, Item 7. MD&amp;A of our 2021 Form 10-K.</w:t>
      </w:r>
    </w:p>
    <w:p>
      <w:pPr>
        <w:spacing w:after="0" w:line="203"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$15.5 billion at June 30, 2022 and December 31, 2021.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$0.4 billion and $0.3 billion at June 30, 2022 and December 31, 2021.</w:t>
      </w:r>
    </w:p>
    <w:p>
      <w:pPr>
        <w:spacing w:after="0" w:line="20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April 2022, we renewed our 364-day, $2.0 billion revolving credit facility allocated for the exclusive use of GM Financial, which now matures on April 4, 2023. If available capacity permits, GM Financial continues to have access to our automotive credit facilities. GM Financial did not have borrowings outstanding against any of these facilities at June 30, 2022 and December 31, 2021. We had intercompany loans from GM Financial of $0.1 billion and $0.2 billion at June 30, 2022 and December 31, 2021, which primarily consisted of commercial loans to dealers we consolidate. We did not have intercompany loans to GM Financial at June 30, 2022 and December 31, 2021. Refer to Note 5 to our condensed consolidated financial statements for additional information.</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revolving credit facilities, require compliance with certain financial and operational covenants as well as regular reporting to lenders. We have reviewed our covenants in effect as of June 30, 2022 and determined we are in compliance and expect to remain in compliance in the future.</w:t>
      </w:r>
    </w:p>
    <w:p>
      <w:pPr>
        <w:spacing w:after="0" w:line="190"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In March 2022, under the Share Purchase Agreement, we acquired SoftBank's equity ownership stake in Cruise for $2.1 billion, and separately, we made an additional $1.35 billion investment in Cruise in place of SoftBank. In the three months ended June 30, 2022, we made an additional $0.6 billion investment in Cruise.</w:t>
      </w:r>
    </w:p>
    <w:p>
      <w:pPr>
        <w:spacing w:after="0" w:line="21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$0.8 billion on its common stock in the three and six months ended June 30, 2022 and $0.6 billion and $1.2 billion in the three and six months ended June 30, 2021. In July 2022, approximately $0.4 billion of dividends declared from our nonconsolidated affiliates were paid.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We had letters of credit outstanding under our sub-facility of $0.4 billion and $0.3 billion at June 30, 2022 and December 31, 2021.</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SoftBank's equity stake in Cruise</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GM investment in Cruise</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Ultium Cells LLC</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non-operating</w:t>
            </w:r>
          </w:p>
        </w:tc>
        <w:tc>
          <w:tcPr>
            <w:tcW w:w="12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tc>
        <w:tc>
          <w:tcPr>
            <w:tcW w:w="1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000" w:type="dxa"/>
            <w:vAlign w:val="bottom"/>
            <w:gridSpan w:val="5"/>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2022, the increase in Net automotive cash provided by operating activities was primarily due to: (1) working capital; partially offset by (2) lower dividends received from GM Financial of $0.5 billion.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02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6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1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w:t>
            </w:r>
          </w:p>
        </w:tc>
        <w:tc>
          <w:tcPr>
            <w:tcW w:w="126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(9.7)</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6" w:lineRule="auto"/>
        <w:tabs>
          <w:tab w:leader="none" w:pos="33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 billion and $1.0 billion for GM investment in Cruise in the six months ended June 30, 2022 and 2021, $2.1 billion related to the redemption of Cruise preferred shares from SoftBank in the six months ended June 30, 2022, and a $0.4 billion and $0.2 billion investment in Ultium Cells LLC in the six months ended June 30, 2022 and 2021.</w:t>
      </w:r>
    </w:p>
    <w:p>
      <w:pPr>
        <w:spacing w:after="0" w:line="2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2022, cash used in acquisitions and liquidations of marketable securities, net increased due to acquisitions of securities and investments compared to liquidations of securities to fund operating activities and investments during the six months ended June 30, 2021.</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00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126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In the six months ended June 30, 2022, net automotive cash provided by operating activities under U.S. GAAP was $5.1 billion, capital expenditures were $3.7 billion, and adjustments for management actions were insignificant.</w:t>
      </w:r>
    </w:p>
    <w:p>
      <w:pPr>
        <w:spacing w:after="0" w:line="20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2021, net automotive cash provided by operating activities under U.S. GAAP was $2.9 billion, capital expenditures were $2.4 billion, and adjustments for management actions were insignificant.</w:t>
      </w:r>
    </w:p>
    <w:p>
      <w:pPr>
        <w:spacing w:after="0" w:line="18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(DBRS), Fitch Ratings (Fitch), Moody's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Service and Standard &amp; Poor's. All four credit rating agencies currently rate our corporate credit at investment grade. In May 2022, Fitch raised our ratings outlook to positive from stable. In June 2022, DBRS upgraded our Issuer Rating and Revolving Credit Facility rating to BBB (high) from BBB and also changed its outlook to stable from positive. As of July 18, 2022, all other credit ratings remained unchanged since December 31, 2021.</w:t>
      </w:r>
    </w:p>
    <w:p>
      <w:pPr>
        <w:spacing w:after="0" w:line="23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Liquidity </w:t>
      </w:r>
      <w:r>
        <w:rPr>
          <w:rFonts w:ascii="Times New Roman" w:cs="Times New Roman" w:eastAsia="Times New Roman" w:hAnsi="Times New Roman"/>
          <w:sz w:val="18"/>
          <w:szCs w:val="18"/>
          <w:color w:val="auto"/>
        </w:rPr>
        <w:t>In January 2022, Cruise Holdings met the requirements for commercial deployment under its agreements with SoftBank,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triggered SoftBank's obligation to purchase additional Cruise convertible preferred shares for $1.35 billion. In March 2022, GM made the additional $1.35 billion investment in Cruise in place of SoftBank following GM's acquisition of SoftBank's equity ownership stake in Cruise pursuant to the Share Purchase Agreement.</w:t>
      </w:r>
    </w:p>
    <w:p>
      <w:pPr>
        <w:spacing w:after="0" w:line="205"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Additionally, in March 2022, GM and Cruise announced a liquidity program for holders of equity-based incentive awards issued to the employees of Cruise pursuant to Cruise's 2018 Employee Incentive Plan, under which GM will purchase newly issued Cruise Class B Common Shares to fund the withholding tax on vested awards and GM will conduct tender offers for Cruise Class B Common Shares issued to settle vested awards. In the three months ended June 30, 2022, Cruise issued $0.4 billion of Cruise Class B Common Shares, primarily to us, to fund the payment of statutory tax withholding obligations resulting from the settlement or exercise of vested awards. Also, GM conducted a quarterly tender offer and paid $0.2 billion in cash to settle tendered Cruise Class B Common Shares under the announced liquidity program. Refer to Note 16 to our condensed consolidated financial statements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Cruise's available liquidity (dollars in billions):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Cruise cash and cash equivalents</w:t>
            </w:r>
          </w:p>
        </w:tc>
        <w:tc>
          <w:tcPr>
            <w:tcW w:w="130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Cruise marketable securities</w:t>
            </w: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Cruise available liquidity(a)</w:t>
            </w: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3"/>
        <w:spacing w:after="0" w:line="260"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 multi-year credit agreement between Cruise and GM Financial whereby Cruise can request to borrow, over time, up to an aggregate of $5.0 billion, through 2024, to fund exclusively the purchase of AVs from GM.</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Cruise's available liquidity (dollars in billions):</w:t>
      </w:r>
    </w:p>
    <w:p>
      <w:pPr>
        <w:spacing w:after="0" w:line="42"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5"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2955" cy="1536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 investment in Cruise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Incentive Plan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0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change in Cruise available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$0.1 billion cash outflows related to tendered Cruise Class B Common Shares classified as liabilities.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Cruise Cash Flow (dollars in billions)</w:t>
      </w:r>
    </w:p>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(0.8)</w:t>
            </w:r>
          </w:p>
        </w:tc>
      </w:tr>
      <w:tr>
        <w:trPr>
          <w:trHeight w:val="228"/>
        </w:trPr>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2.0</w:t>
            </w:r>
          </w:p>
        </w:tc>
      </w:tr>
      <w:tr>
        <w:trPr>
          <w:trHeight w:val="228"/>
        </w:trPr>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(0.5)</w:t>
            </w:r>
          </w:p>
        </w:tc>
      </w:tr>
      <w:tr>
        <w:trPr>
          <w:trHeight w:val="233"/>
        </w:trPr>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(0.2)</w:t>
            </w:r>
          </w:p>
        </w:tc>
      </w:tr>
      <w:tr>
        <w:trPr>
          <w:trHeight w:val="222"/>
        </w:trPr>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0.5</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70" w:lineRule="exact"/>
        <w:rPr>
          <w:sz w:val="20"/>
          <w:szCs w:val="20"/>
          <w:color w:val="auto"/>
        </w:rPr>
      </w:pPr>
    </w:p>
    <w:p>
      <w:pPr>
        <w:sectPr>
          <w:pgSz w:w="11900" w:h="16838" w:orient="portrait"/>
          <w:cols w:equalWidth="0" w:num="2">
            <w:col w:w="8980" w:space="480"/>
            <w:col w:w="1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7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(0.3)</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0.8</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(1.3)</w:t>
            </w:r>
          </w:p>
        </w:tc>
      </w:tr>
    </w:tbl>
    <w:p>
      <w:pPr>
        <w:spacing w:after="0" w:line="314" w:lineRule="exact"/>
        <w:rPr>
          <w:sz w:val="20"/>
          <w:szCs w:val="20"/>
          <w:color w:val="auto"/>
        </w:rPr>
      </w:pPr>
    </w:p>
    <w:p>
      <w:pPr>
        <w:jc w:val="both"/>
        <w:ind w:firstLine="161"/>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Automotive Financing – GM Financial Liquidity </w:t>
      </w:r>
      <w:r>
        <w:rPr>
          <w:rFonts w:ascii="Times New Roman" w:cs="Times New Roman" w:eastAsia="Times New Roman" w:hAnsi="Times New Roman"/>
          <w:sz w:val="17"/>
          <w:szCs w:val="17"/>
          <w:color w:val="auto"/>
        </w:rPr>
        <w:t>GM Financial's primary sources of cash are finance charge income, leasing income and proceeds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At June 30, 2022, GM Financial's available liquidity increased from December 31, 2021 due to increased available borrowing capacity on unpledged eligible assets, resulting from the issuance of securitization transactions and unsecured debt, and increase in cash and cash equivalents. GM Financial structures liquidity to support at least six months of GM Financial's expected net cash flows, including new originations, without access to new debt financing transactions or other capital markets activity.</w:t>
      </w:r>
    </w:p>
    <w:p>
      <w:pPr>
        <w:spacing w:after="0" w:line="20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June 30, 2022 and December 31, 2021. Refer to the Automotive Liquidity section of this MD&amp;A for additional details.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1"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June 30, 2022, secured, committed unsecured and uncommitted unsecured credit facilities totaled $26.1 billion, $0.6 billion and $1.3 billion with advances outstanding of $1.3 billion, an insignificant amount and $1.3 billion.</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00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6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(1.3)</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60" w:type="dxa"/>
            <w:vAlign w:val="bottom"/>
          </w:tcPr>
          <w:p>
            <w:pPr>
              <w:jc w:val="right"/>
              <w:ind w:right="10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w:t>
            </w:r>
          </w:p>
        </w:tc>
        <w:tc>
          <w:tcPr>
            <w:tcW w:w="120" w:type="dxa"/>
            <w:vAlign w:val="bottom"/>
          </w:tcPr>
          <w:p>
            <w:pPr>
              <w:spacing w:after="0"/>
              <w:rPr>
                <w:sz w:val="19"/>
                <w:szCs w:val="19"/>
                <w:color w:val="auto"/>
              </w:rPr>
            </w:pP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6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2022, Net cash provided by operating activities decreased primarily due to: (1) a decrease in derivative collateral posting activities of $0.7 billion; and (2) a decrease in leased vehicle income of $0.6 billion; partially offset by (3) a decrease in interest paid of $0.2 billion.</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six months ended June 30, 2022, Net cash used in investing activities decreased primarily due to: (1) a decrease in purchases of leased vehicles of $6.2 billion; partially offset by (2) a decrease in the proceeds from termination of leased vehicles of $3.3 billion; (3) a decrease in collections and recoveries on finance receivables of $1.9 billion; and (4) an increase in purchases and originations of finance receivables of $0.5 billion.</w:t>
      </w:r>
    </w:p>
    <w:p>
      <w:pPr>
        <w:spacing w:after="0" w:line="20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2022, Net cash provided by financing activities increased primarily due to: (1) a decrease in debt repayments of $4.3 billion; and (2) a decrease in dividend payments of $0.5 billion; partially offset by (3) a decrease in borrowings of $3.5 billion.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2021 Form 10-K.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jc w:val="both"/>
        <w:ind w:firstLine="7"/>
        <w:spacing w:after="0" w:line="250" w:lineRule="auto"/>
        <w:tabs>
          <w:tab w:leader="none" w:pos="2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new products, services, technologies and customer experiences in response to increased competition and changing consumer preferences in the automotive industry; (2) our ability to timely fund and introduce new and improved vehicle models, including EVs, that are able to attract a sufficient number of consumers; (3) our ability to profitably deliver a broad portfolio of EVs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AVs; (7) risks associated with climate change, including increased regulation of greenhouse gas emissions, our transition to EVs and the potential increased impacts of severe weather events; (8) global automobile market sales volume, which can be volatile; (9) prices and uncertain availability of raw materials and commodities used by us and our</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suppliers, and instability in logistics and related costs; (10) our business in China, which is subject to unique operational, competitive, regulatory and economic risks; (11) 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the ongoing COVID-19 pandemic; (16) the success of any restructurings or other cost reduction actions; (17) the possibility that competitors may independently develop products and services similar to ours, or that our intellectual property rights are not sufficient to prevent competitors from developing or selling those products or services; (18) our ability to manage risks related to security breaches and other disruptions to our information technology systems and networked products, including connected vehicles and in-vehicle systems; (19) our ability to comply with increasingly complex, restrictive and punitive regulations relating to our enterprise data practices, including the collection, use, sharing and security of the Personal Identifiable Information of our customers, employees, or suppliers; (20) our ability to comply with extensive laws, regulations and policies applicable to our operations and products, including those relating to fuel economy, emissions and AVs; (21) costs and risks associated with litigation and government investigations; (22) the costs and effect on our reputation of product safety recalls and alleged defects in products and services; (23) any additional tax expense or exposure; (24) our continued ability to develop captive financing capability through GM Financial; and (25) any significant increase in our pension funding requirements. A further list and description of these risks, uncertainties and other factors can be found in our 2021 Form 10-K and our subsequent filings with the SEC.</w:t>
      </w:r>
    </w:p>
    <w:p>
      <w:pPr>
        <w:spacing w:after="0" w:line="22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2021. For further discussion on market risk, refer to Part II, Item 7A. of our 2021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June 30, 2022 as required by paragraph (b) of Rules 13a-15 or 15d-15. Based on this evaluation, our CEO and CFO concluded that our disclosure controls and procedures were effective as of June 30, 2022.</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June 30, 2022 that have materially affected, or are reasonably likely to materially affect, our internal control over financial reporting. For additional information refer to Part I, Item 1A. Risk Factors of our 2021 Form 10-K.</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Michigan Department of Environment, Great Lakes, and Energy (EGLE) issued three Violation Notices in June 2021, October 2021, and January 2022, alleging violations of air emissions requirements at the Company's Saginaw, Michigan facility. In April 2022, EGLE proposed a settlement of the alleged violations that would include, among other items, payment of a civil penalty of approximately $1.0 million, enhanced emissions testing, and other corrective actions to address the alleged violations. In May 2022, the Company reached a settlement with EGLE of approximately $0.5 million.</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discussion under "Litigation-Related Liability and Tax Administrative Matters" in Note 14 to our condensed consolidated financial statements is incorporated by reference into this Part II, Item 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2021 Form 10-K.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June 30,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37"/>
        </w:trPr>
        <w:tc>
          <w:tcPr>
            <w:tcW w:w="5080" w:type="dxa"/>
            <w:vAlign w:val="bottom"/>
          </w:tcPr>
          <w:p>
            <w:pPr>
              <w:spacing w:after="0"/>
              <w:rPr>
                <w:sz w:val="11"/>
                <w:szCs w:val="11"/>
                <w:color w:val="auto"/>
              </w:rPr>
            </w:pPr>
          </w:p>
        </w:tc>
        <w:tc>
          <w:tcPr>
            <w:tcW w:w="14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1"/>
                <w:szCs w:val="11"/>
                <w:color w:val="auto"/>
              </w:rPr>
            </w:pPr>
          </w:p>
        </w:tc>
        <w:tc>
          <w:tcPr>
            <w:tcW w:w="1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Programs(b)</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0" w:type="dxa"/>
            <w:vAlign w:val="bottom"/>
          </w:tcPr>
          <w:p>
            <w:pPr>
              <w:spacing w:after="0"/>
              <w:rPr>
                <w:sz w:val="1"/>
                <w:szCs w:val="1"/>
                <w:color w:val="auto"/>
              </w:rPr>
            </w:pPr>
          </w:p>
        </w:tc>
      </w:tr>
      <w:tr>
        <w:trPr>
          <w:trHeight w:val="25"/>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through April 30,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through May 31,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through June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w:t>
      </w:r>
    </w:p>
    <w:p>
      <w:pPr>
        <w:spacing w:after="0" w:line="26" w:lineRule="exact"/>
        <w:rPr>
          <w:sz w:val="20"/>
          <w:szCs w:val="20"/>
          <w:color w:val="auto"/>
        </w:rPr>
      </w:pPr>
    </w:p>
    <w:p>
      <w:pPr>
        <w:ind w:left="340" w:hanging="333"/>
        <w:spacing w:after="0" w:line="251" w:lineRule="auto"/>
        <w:tabs>
          <w:tab w:leader="none" w:pos="33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consist of shares delivered by employees or directors to us for the payment of taxes resulting from the issuance of common stock upon the vesting of RSUs relating to compensation plans. Refer to our 2021 Form 10-K for additional details on employee stock incentive plans.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2017, we announced that our Board of Directors had authorized the purchase of up to $5.0 billion of our common stock with no expiration date.</w:t>
      </w:r>
    </w:p>
    <w:p>
      <w:pPr>
        <w:spacing w:after="0" w:line="236"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80" w:type="dxa"/>
            <w:vAlign w:val="bottom"/>
            <w:gridSpan w:val="12"/>
          </w:tcPr>
          <w:p>
            <w:pPr>
              <w:ind w:left="78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80" w:type="dxa"/>
            <w:vAlign w:val="bottom"/>
            <w:gridSpan w:val="12"/>
          </w:tcPr>
          <w:p>
            <w:pPr>
              <w:ind w:left="238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200" w:type="dxa"/>
            <w:vAlign w:val="bottom"/>
            <w:tcBorders>
              <w:top w:val="single" w:sz="8" w:color="auto"/>
            </w:tcBorders>
            <w:gridSpan w:val="15"/>
            <w:shd w:val="clear" w:color="auto" w:fill="CCEEFF"/>
          </w:tcPr>
          <w:p>
            <w:pPr>
              <w:spacing w:after="0" w:line="168"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Restated Certificate of Incorporation of General Motors Company dated December 7, 2010, incorporated herein</w:t>
              </w:r>
            </w:hyperlink>
          </w:p>
        </w:tc>
        <w:tc>
          <w:tcPr>
            <w:tcW w:w="152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120" w:type="dxa"/>
            <w:vAlign w:val="bottom"/>
            <w:tcBorders>
              <w:top w:val="single" w:sz="8" w:color="0000FF"/>
              <w:bottom w:val="single" w:sz="8" w:color="0000FF"/>
            </w:tcBorders>
            <w:gridSpan w:val="11"/>
            <w:shd w:val="clear" w:color="auto" w:fill="CCEEFF"/>
          </w:tcPr>
          <w:p>
            <w:pPr>
              <w:spacing w:after="0" w:line="161"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by reference to Exhibit 3.2 to the Current Report on Form 8-K of General Motors Company filed December 13,</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2010</w:t>
              </w:r>
            </w:hyperlink>
          </w:p>
        </w:tc>
        <w:tc>
          <w:tcPr>
            <w:tcW w:w="28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5"/>
          </w:tcPr>
          <w:p>
            <w:pPr>
              <w:spacing w:after="0" w:line="18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General Motors Company Amended and Restated Bylaws, as amended August 17, 2021, incorporated by</w:t>
              </w:r>
            </w:hyperlink>
          </w:p>
        </w:tc>
        <w:tc>
          <w:tcPr>
            <w:tcW w:w="1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reference to Exhibit 3.1 to the Current Report on Form 8-K of General Motors Company filed on August 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2021</w:t>
              </w:r>
            </w:hyperlink>
          </w:p>
        </w:tc>
        <w:tc>
          <w:tcPr>
            <w:tcW w:w="280" w:type="dxa"/>
            <w:vAlign w:val="bottom"/>
            <w:tcBorders>
              <w:top w:val="single" w:sz="8" w:color="0000FF"/>
            </w:tcBorders>
          </w:tcPr>
          <w:p>
            <w:pPr>
              <w:spacing w:after="0"/>
              <w:rPr>
                <w:sz w:val="13"/>
                <w:szCs w:val="13"/>
                <w:color w:val="auto"/>
              </w:rPr>
            </w:pPr>
          </w:p>
        </w:tc>
        <w:tc>
          <w:tcPr>
            <w:tcW w:w="28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6"/>
                <w:szCs w:val="16"/>
                <w:color w:val="auto"/>
              </w:rPr>
            </w:pPr>
          </w:p>
        </w:tc>
        <w:tc>
          <w:tcPr>
            <w:tcW w:w="820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Fourth Amended and Restated 364-Day Revolving Credit Agreement among General Motors Company,</w:t>
              </w:r>
            </w:hyperlink>
          </w:p>
        </w:tc>
        <w:tc>
          <w:tcPr>
            <w:tcW w:w="1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140" w:type="dxa"/>
            <w:vAlign w:val="bottom"/>
            <w:tcBorders>
              <w:top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General Motors Financial Company, Inc., the subsidiary borrowers from time to time parties thereto, the several</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80" w:type="dxa"/>
            <w:vAlign w:val="bottom"/>
            <w:tcBorders>
              <w:top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lenders from time to time parties thereto, JPMorgan Chase Bank, N.A., as administrative agent, Citibank, N.A.,</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60" w:type="dxa"/>
            <w:vAlign w:val="bottom"/>
            <w:tcBorders>
              <w:top w:val="single" w:sz="8" w:color="0000FF"/>
              <w:bottom w:val="single" w:sz="8" w:color="0000FF"/>
            </w:tcBorders>
            <w:gridSpan w:val="8"/>
            <w:shd w:val="clear" w:color="auto" w:fill="CCEEFF"/>
          </w:tcPr>
          <w:p>
            <w:pPr>
              <w:spacing w:after="0" w:line="168"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as syndication agent, and Bank of America, N.A., as co-syndication agent, incorporated by reference to Exhibit</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180" w:type="dxa"/>
            <w:vAlign w:val="bottom"/>
            <w:gridSpan w:val="14"/>
            <w:shd w:val="clear" w:color="auto" w:fill="CCEEFF"/>
          </w:tcPr>
          <w:p>
            <w:pPr>
              <w:spacing w:after="0" w:line="154"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Current Report on Form 8-K of General Motors Company filed April 5, 2022</w:t>
              </w:r>
            </w:hyperlink>
          </w:p>
        </w:tc>
        <w:tc>
          <w:tcPr>
            <w:tcW w:w="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8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340" w:type="dxa"/>
            <w:vAlign w:val="bottom"/>
            <w:tcBorders>
              <w:top w:val="single" w:sz="8" w:color="0000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Eighth Amended and Restated Limited Liability Company Agreement of GM Cruise Holdings, LLC, dated</w:t>
            </w:r>
          </w:p>
        </w:tc>
        <w:tc>
          <w:tcPr>
            <w:tcW w:w="1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tcBorders>
            <w:gridSpan w:val="10"/>
          </w:tcPr>
          <w:p>
            <w:pPr>
              <w:spacing w:after="0" w:line="154" w:lineRule="exact"/>
              <w:rPr>
                <w:sz w:val="20"/>
                <w:szCs w:val="20"/>
                <w:color w:val="auto"/>
              </w:rPr>
            </w:pPr>
            <w:r>
              <w:rPr>
                <w:rFonts w:ascii="Times New Roman" w:cs="Times New Roman" w:eastAsia="Times New Roman" w:hAnsi="Times New Roman"/>
                <w:sz w:val="17"/>
                <w:szCs w:val="17"/>
                <w:color w:val="0000FF"/>
              </w:rPr>
              <w:t>March 18, 2022</w:t>
            </w:r>
          </w:p>
        </w:tc>
        <w:tc>
          <w:tcPr>
            <w:tcW w:w="100" w:type="dxa"/>
            <w:vAlign w:val="bottom"/>
            <w:gridSpan w:val="5"/>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Executive Officer</w:t>
            </w:r>
          </w:p>
        </w:tc>
        <w:tc>
          <w:tcPr>
            <w:tcW w:w="1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w w:val="99"/>
              </w:rPr>
              <w:t>Section 302 Certification of the Chief Financial Officer</w:t>
            </w:r>
          </w:p>
        </w:tc>
        <w:tc>
          <w:tcPr>
            <w:tcW w:w="4200" w:type="dxa"/>
            <w:vAlign w:val="bottom"/>
            <w:tcBorders>
              <w:top w:val="single" w:sz="8" w:color="CCEEFF"/>
            </w:tcBorders>
            <w:gridSpan w:val="10"/>
          </w:tcPr>
          <w:p>
            <w:pPr>
              <w:spacing w:after="0"/>
              <w:rPr>
                <w:sz w:val="16"/>
                <w:szCs w:val="16"/>
                <w:color w:val="auto"/>
              </w:rPr>
            </w:pPr>
          </w:p>
        </w:tc>
        <w:tc>
          <w:tcPr>
            <w:tcW w:w="15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w:t>
            </w:r>
          </w:p>
        </w:tc>
        <w:tc>
          <w:tcPr>
            <w:tcW w:w="1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40" w:type="dxa"/>
            <w:vAlign w:val="bottom"/>
            <w:tcBorders>
              <w:top w:val="single" w:sz="8" w:color="0000FF"/>
            </w:tcBorders>
            <w:gridSpan w:val="7"/>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160" w:type="dxa"/>
            <w:vAlign w:val="bottom"/>
            <w:tcBorders>
              <w:top w:val="single" w:sz="8" w:color="CCEEFF"/>
            </w:tcBorders>
            <w:gridSpan w:val="8"/>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0" w:type="dxa"/>
            <w:vAlign w:val="bottom"/>
            <w:gridSpan w:val="15"/>
          </w:tcPr>
          <w:p>
            <w:pPr>
              <w:spacing w:after="0" w:line="175" w:lineRule="exact"/>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w:t>
            </w:r>
          </w:p>
        </w:tc>
        <w:tc>
          <w:tcPr>
            <w:tcW w:w="15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0" w:type="dxa"/>
            <w:vAlign w:val="bottom"/>
            <w:gridSpan w:val="15"/>
          </w:tcPr>
          <w:p>
            <w:pPr>
              <w:spacing w:after="0" w:line="175" w:lineRule="exact"/>
              <w:rPr>
                <w:sz w:val="20"/>
                <w:szCs w:val="20"/>
                <w:color w:val="auto"/>
              </w:rPr>
            </w:pPr>
            <w:r>
              <w:rPr>
                <w:rFonts w:ascii="Times New Roman" w:cs="Times New Roman" w:eastAsia="Times New Roman" w:hAnsi="Times New Roman"/>
                <w:sz w:val="18"/>
                <w:szCs w:val="18"/>
                <w:color w:val="auto"/>
              </w:rPr>
              <w:t>June 30, 2022, formatted in Inline Extensible Business Reporting Language (iXBRL) includes: (i) the</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0" w:type="dxa"/>
            <w:vAlign w:val="bottom"/>
            <w:gridSpan w:val="15"/>
          </w:tcPr>
          <w:p>
            <w:pPr>
              <w:spacing w:after="0" w:line="183" w:lineRule="exact"/>
              <w:rPr>
                <w:sz w:val="20"/>
                <w:szCs w:val="20"/>
                <w:color w:val="auto"/>
              </w:rPr>
            </w:pPr>
            <w:r>
              <w:rPr>
                <w:rFonts w:ascii="Times New Roman" w:cs="Times New Roman" w:eastAsia="Times New Roman" w:hAnsi="Times New Roman"/>
                <w:sz w:val="18"/>
                <w:szCs w:val="18"/>
                <w:color w:val="auto"/>
              </w:rPr>
              <w:t>Condensed Consolidated Income Statements, (ii) the Condensed Consolidated Statements of Comprehensive</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0" w:type="dxa"/>
            <w:vAlign w:val="bottom"/>
            <w:gridSpan w:val="15"/>
          </w:tcPr>
          <w:p>
            <w:pPr>
              <w:spacing w:after="0" w:line="180" w:lineRule="exact"/>
              <w:rPr>
                <w:sz w:val="20"/>
                <w:szCs w:val="20"/>
                <w:color w:val="auto"/>
              </w:rPr>
            </w:pPr>
            <w:r>
              <w:rPr>
                <w:rFonts w:ascii="Times New Roman" w:cs="Times New Roman" w:eastAsia="Times New Roman" w:hAnsi="Times New Roman"/>
                <w:sz w:val="18"/>
                <w:szCs w:val="18"/>
                <w:color w:val="auto"/>
              </w:rPr>
              <w:t>Income, (iii) the Condensed Consolidated Balance Sheets, (iv) the Condensed Consolidated Statements of Cash</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0" w:type="dxa"/>
            <w:vAlign w:val="bottom"/>
            <w:gridSpan w:val="15"/>
          </w:tcPr>
          <w:p>
            <w:pPr>
              <w:spacing w:after="0" w:line="175" w:lineRule="exact"/>
              <w:rPr>
                <w:sz w:val="20"/>
                <w:szCs w:val="20"/>
                <w:color w:val="auto"/>
              </w:rPr>
            </w:pPr>
            <w:r>
              <w:rPr>
                <w:rFonts w:ascii="Times New Roman" w:cs="Times New Roman" w:eastAsia="Times New Roman" w:hAnsi="Times New Roman"/>
                <w:sz w:val="18"/>
                <w:szCs w:val="18"/>
                <w:color w:val="auto"/>
              </w:rPr>
              <w:t>Flows, (v) the Condensed Consolidated Statements of Equity and (vi) Notes to the Condensed Consolidated</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5"/>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June 30, 2022,</w:t>
            </w:r>
          </w:p>
        </w:tc>
        <w:tc>
          <w:tcPr>
            <w:tcW w:w="15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formatted as Inline XBRL and contained in Exhibit 101</w:t>
            </w: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48" w:lineRule="exact"/>
        <w:rPr>
          <w:sz w:val="20"/>
          <w:szCs w:val="20"/>
          <w:color w:val="auto"/>
        </w:rPr>
      </w:pPr>
    </w:p>
    <w:p>
      <w:pPr>
        <w:ind w:left="420" w:right="220" w:hanging="395"/>
        <w:spacing w:after="0" w:line="236"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90"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43" w:lineRule="exact"/>
        <w:rPr>
          <w:sz w:val="20"/>
          <w:szCs w:val="20"/>
          <w:color w:val="auto"/>
        </w:rPr>
      </w:pPr>
    </w:p>
    <w:p>
      <w:pPr>
        <w:ind w:right="120"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180"/>
        <w:spacing w:after="0"/>
        <w:tabs>
          <w:tab w:leader="none" w:pos="5620" w:val="left"/>
        </w:tabs>
        <w:rPr>
          <w:sz w:val="20"/>
          <w:szCs w:val="20"/>
          <w:color w:val="auto"/>
        </w:rPr>
      </w:pPr>
      <w:r>
        <w:rPr>
          <w:rFonts w:ascii="Times New Roman" w:cs="Times New Roman" w:eastAsia="Times New Roman" w:hAnsi="Times New Roman"/>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3870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38709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Christopher T. Hatto, Vice President, Global Business Solutions and</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26, 2022</w:t>
      </w: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20"/>
          </w:cols>
          <w:pgMar w:left="320" w:top="121" w:right="10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GM CRUISE HOLDINGS LLC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EIGHTH 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March 18, 2022</w:t>
      </w:r>
    </w:p>
    <w:p>
      <w:pPr>
        <w:spacing w:after="0" w:line="18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THE SHARES REPRESENTED BY THIS EIGHTH AMENDED AND RESTATED LIMITED LIABILITY COMPANY AGREEMENT HAVE NOT BEEN REGISTERED UNDER THE SECURITIES ACT OF 1933, AS AMENDED, OR UNDER ANY OTHER APPLICABLE SECURITIES LAWS. SUCH SHARES MAY NOT BE SOLD, ASSIGNED, PLEDGED OR OTHERWISE DISPOSED OF AT ANY TIME WITHOUT EFFECTIVE REGISTRATION UNDER SUCH ACT AND LAWS OR AN EXEMPTION THEREFROM, AND COMPLIANCE WITH THE OTHER RESTRICTIONS ON TRANSFERABILITY SET FORTH HEREIN.</w:t>
      </w:r>
    </w:p>
    <w:p>
      <w:pPr>
        <w:spacing w:after="0" w:line="15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CERTAIN OF THE SHARES REPRESENTED BY THIS EIGHTH AMENDED AND RESTATED LIMITED LIABILITY COMPANY AGREEMENT ARE ALSO SUBJECT TO ADDITIONAL RESTRICTIONS SET FORTH IN ANY EQUITY AWARDS, SHARE PURCHASE OR OTHER SIMILAR AGREEMENT BETWEEN THE COMPANY AND CERTAIN PURCHASERS OR HOLDERS OF SHARES.</w:t>
      </w:r>
    </w:p>
    <w:p>
      <w:pPr>
        <w:sectPr>
          <w:pgSz w:w="11900" w:h="16838" w:orient="portrait"/>
          <w:cols w:equalWidth="0" w:num="1">
            <w:col w:w="11240"/>
          </w:cols>
          <w:pgMar w:left="320" w:top="96"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312"/>
        </w:trPr>
        <w:tc>
          <w:tcPr>
            <w:tcW w:w="88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 ORGANIZATIONAL MATTERS AND CERTAIN 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1.01</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Organization of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1.02</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Legal Status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1.03</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Name</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1.04</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Registered Office and Registered Agent; Principal Office</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1.05</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Purpose</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1.06</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Term</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1.07</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Certain 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1.08</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 State-Law Partnership</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80"/>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1.09</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Limited Liability Company Agreement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567"/>
        </w:trPr>
        <w:tc>
          <w:tcPr>
            <w:tcW w:w="88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II CAPITAL CONTRIBUTIONS; ISSUANCES OF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2.01</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Shares Generally</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2.02</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Class A Preferred Shares; Class C Common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2.03</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Class B Common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2.04</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Additional Classes of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2.05</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Other Contributions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2.06</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Issuances of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2.07</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Preemptive Rights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2.08</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Certificates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2.09</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Repurchase Rights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2.10</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Optional A-1 Conversion</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80"/>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2.11</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Optional A-2 Conversion</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527"/>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ARTICLE III DISTRIBUTIONS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3.01</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Distributions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3.02</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Distributions Upon Liquidation or a Deemed Liquidation Event</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80"/>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3.03</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Distributions In-Kind</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527"/>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ARTICLE IV TAX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4.01</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Corporate Status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4.02</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Withholding</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4.03</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Tax Sharing</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280"/>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4.04</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Transfer Taxes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527"/>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ARTICLE V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5.01</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Voting Rights of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9"/>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5.02</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Quorum; Voting</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80"/>
        </w:trPr>
        <w:tc>
          <w:tcPr>
            <w:tcW w:w="7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5.03</w:t>
            </w:r>
          </w:p>
        </w:tc>
        <w:tc>
          <w:tcPr>
            <w:tcW w:w="80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Written Consent</w:t>
            </w:r>
          </w:p>
        </w:tc>
        <w:tc>
          <w:tcPr>
            <w:tcW w:w="2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bl>
    <w:p>
      <w:pPr>
        <w:spacing w:after="0" w:line="200" w:lineRule="exact"/>
        <w:rPr>
          <w:sz w:val="20"/>
          <w:szCs w:val="20"/>
          <w:color w:val="auto"/>
        </w:rPr>
      </w:pPr>
    </w:p>
    <w:p>
      <w:pPr>
        <w:sectPr>
          <w:pgSz w:w="11900" w:h="16838" w:orient="portrait"/>
          <w:cols w:equalWidth="0" w:num="1">
            <w:col w:w="11200"/>
          </w:cols>
          <w:pgMar w:left="340" w:top="5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578" w:right="359" w:bottom="1440" w:gutter="0" w:footer="0" w:header="0"/>
          <w:type w:val="continuous"/>
        </w:sectPr>
      </w:pPr>
    </w:p>
    <w:bookmarkStart w:id="54" w:name="page55"/>
    <w:bookmarkEnd w:id="54"/>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8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271"/>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5.04</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Meetings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5.05</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Place of Meeting</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5.06</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Notice of Meeting</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5.07</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Withdrawal; Partition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5.08</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Business Opportunities; Performance of Duties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5.09</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Limitation of Liability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5.10</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Authority</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9"/>
        </w:trPr>
        <w:tc>
          <w:tcPr>
            <w:tcW w:w="978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5.11  Sale of the Company; IPO</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5.12</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Honda Minority Consent Right</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5.13</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Class F Minority Consent Right</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80"/>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5.14</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Class G Minority Consent Right</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527"/>
        </w:trPr>
        <w:tc>
          <w:tcPr>
            <w:tcW w:w="97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VI MANAGEMENT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6.01</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Management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6.02</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Number of Directors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6.03</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Board Designation Rights and Composition; Proxies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6.04</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Board Observers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6.05</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Director Appointee Screening</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6.06</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Tenure of Directors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6.07</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Committees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6.08</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Director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6.09</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Director Resignation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6.10</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Vacancies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6.11</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Meetings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6.12</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Meetings by Telephone</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6.13</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Quorum; Actions of Board of Directors; SoftBank Minority Consent Rights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6.14</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Competitively Sensitive Information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6.15</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Officers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80"/>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6.16</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Enhanced Voting Rights</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527"/>
        </w:trPr>
        <w:tc>
          <w:tcPr>
            <w:tcW w:w="97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VII EXCULPATION AND INDEMNIFICATION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7.01</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Exculpation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7.02</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Indemnification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80"/>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7.03</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 Personal Liability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742"/>
        </w:trPr>
        <w:tc>
          <w:tcPr>
            <w:tcW w:w="97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VIII BOOKS AND RECORDS; INFORMATION; RELATED MATTERS; COMPLIANCE</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269"/>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8.01</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Generally</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280"/>
        </w:trPr>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8.02</w:t>
            </w:r>
          </w:p>
        </w:tc>
        <w:tc>
          <w:tcPr>
            <w:tcW w:w="910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Delivery of Financial Information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bl>
    <w:p>
      <w:pPr>
        <w:spacing w:after="0" w:line="200" w:lineRule="exact"/>
        <w:rPr>
          <w:sz w:val="20"/>
          <w:szCs w:val="20"/>
          <w:color w:val="auto"/>
        </w:rPr>
      </w:pPr>
    </w:p>
    <w:p>
      <w:pPr>
        <w:sectPr>
          <w:pgSz w:w="11900" w:h="16838" w:orient="portrait"/>
          <w:cols w:equalWidth="0" w:num="1">
            <w:col w:w="11140"/>
          </w:cols>
          <w:pgMar w:left="400" w:top="5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140"/>
          </w:cols>
          <w:pgMar w:left="400" w:top="551" w:right="359" w:bottom="1440" w:gutter="0" w:footer="0" w:header="0"/>
          <w:type w:val="continuous"/>
        </w:sectPr>
      </w:pPr>
    </w:p>
    <w:bookmarkStart w:id="55" w:name="page56"/>
    <w:bookmarkEnd w:id="55"/>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4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271"/>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8.03</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Technical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8.04</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Applicable ABAC/AML/Trade Laws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8.05</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Notice to Honda of an OEM Investment</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280"/>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8.06</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Material Non-Public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742"/>
        </w:trPr>
        <w:tc>
          <w:tcPr>
            <w:tcW w:w="99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IX TRANSFERS OF COMPANY INTERESTS; ADMISSION OF NEW MEMBERS; GM Call</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9.01</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Limitations on Transfer</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9.02</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Permitted Transfers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9.03</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Assignee’s Rights and Obligations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9.04</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Admission of Members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9.05</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Certain Requirements of Prospective Members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9.06</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Status of Transferred Shares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9.07</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Tag-Along Rights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9.08</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Sale of the Company</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9.09</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Drag-Along</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9.10</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Public Offering</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69"/>
        </w:trPr>
        <w:tc>
          <w:tcPr>
            <w:tcW w:w="996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9.11  Registration Rights; “Market Stand-Off” Agreement; Volume Restrictions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9.12</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Call Rights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r>
      <w:tr>
        <w:trPr>
          <w:trHeight w:val="280"/>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9.13</w:t>
            </w:r>
          </w:p>
        </w:tc>
        <w:tc>
          <w:tcPr>
            <w:tcW w:w="9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Optional SoftBank Conversion</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w:t>
            </w:r>
          </w:p>
        </w:tc>
      </w:tr>
      <w:tr>
        <w:trPr>
          <w:trHeight w:val="527"/>
        </w:trPr>
        <w:tc>
          <w:tcPr>
            <w:tcW w:w="99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X DISSOLUTION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10.01</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Events of Dissolution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10.02</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Liquidation and Termination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80"/>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10.03</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Cancellation of Certificate</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r>
      <w:tr>
        <w:trPr>
          <w:trHeight w:val="527"/>
        </w:trPr>
        <w:tc>
          <w:tcPr>
            <w:tcW w:w="99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XI EXCLUSIVITY; NON-COMPETE</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11.01</w:t>
            </w:r>
          </w:p>
        </w:tc>
        <w:tc>
          <w:tcPr>
            <w:tcW w:w="92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Exclusivity</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r>
      <w:tr>
        <w:trPr>
          <w:trHeight w:val="280"/>
        </w:trPr>
        <w:tc>
          <w:tcPr>
            <w:tcW w:w="996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11.02  Non-Compete</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r>
        <w:trPr>
          <w:trHeight w:val="527"/>
        </w:trPr>
        <w:tc>
          <w:tcPr>
            <w:tcW w:w="99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XII GENERAL PROVISIONS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12.01</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Expenses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12.02</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No Third-Party Rights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r>
      <w:tr>
        <w:trPr>
          <w:trHeight w:val="269"/>
        </w:trPr>
        <w:tc>
          <w:tcPr>
            <w:tcW w:w="996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12.03  Legend on Certificates for Certificated Shares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12.04</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Confidentiality</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12.05</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Power of Attorney</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12.06</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Notices</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r>
      <w:tr>
        <w:trPr>
          <w:trHeight w:val="269"/>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12.07</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Electronic Mail</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r>
      <w:tr>
        <w:trPr>
          <w:trHeight w:val="280"/>
        </w:trPr>
        <w:tc>
          <w:tcPr>
            <w:tcW w:w="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12.08</w:t>
            </w:r>
          </w:p>
        </w:tc>
        <w:tc>
          <w:tcPr>
            <w:tcW w:w="92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Amendment</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r>
    </w:tbl>
    <w:p>
      <w:pPr>
        <w:spacing w:after="0" w:line="200" w:lineRule="exact"/>
        <w:rPr>
          <w:sz w:val="20"/>
          <w:szCs w:val="20"/>
          <w:color w:val="auto"/>
        </w:rPr>
      </w:pPr>
    </w:p>
    <w:p>
      <w:pPr>
        <w:sectPr>
          <w:pgSz w:w="11900" w:h="16838" w:orient="portrait"/>
          <w:cols w:equalWidth="0" w:num="1">
            <w:col w:w="11140"/>
          </w:cols>
          <w:pgMar w:left="400" w:top="5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140"/>
          </w:cols>
          <w:pgMar w:left="400" w:top="551" w:right="359" w:bottom="1440" w:gutter="0" w:footer="0" w:header="0"/>
          <w:type w:val="continuous"/>
        </w:sectPr>
      </w:pPr>
    </w:p>
    <w:bookmarkStart w:id="56" w:name="page57"/>
    <w:bookmarkEnd w:id="56"/>
    <w:p>
      <w:pPr>
        <w:jc w:val="center"/>
        <w:ind w:right="26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271"/>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12.09</w:t>
            </w:r>
          </w:p>
        </w:tc>
        <w:tc>
          <w:tcPr>
            <w:tcW w:w="6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Tax and Other Advice</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r>
      <w:tr>
        <w:trPr>
          <w:trHeight w:val="269"/>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12.10</w:t>
            </w:r>
          </w:p>
        </w:tc>
        <w:tc>
          <w:tcPr>
            <w:tcW w:w="6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Acknowledgments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r>
      <w:tr>
        <w:trPr>
          <w:trHeight w:val="269"/>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12.11</w:t>
            </w:r>
          </w:p>
        </w:tc>
        <w:tc>
          <w:tcPr>
            <w:tcW w:w="69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Miscellaneous</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r>
      <w:tr>
        <w:trPr>
          <w:trHeight w:val="269"/>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12.12</w:t>
            </w:r>
          </w:p>
        </w:tc>
        <w:tc>
          <w:tcPr>
            <w:tcW w:w="6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Title to Company Assets</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69"/>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12.13</w:t>
            </w:r>
          </w:p>
        </w:tc>
        <w:tc>
          <w:tcPr>
            <w:tcW w:w="6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Creditors</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69"/>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12.14</w:t>
            </w:r>
          </w:p>
        </w:tc>
        <w:tc>
          <w:tcPr>
            <w:tcW w:w="6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Remedies</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69"/>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12.15</w:t>
            </w:r>
          </w:p>
        </w:tc>
        <w:tc>
          <w:tcPr>
            <w:tcW w:w="6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Time is of the Essence; Computation of Time</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69"/>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12.16</w:t>
            </w:r>
          </w:p>
        </w:tc>
        <w:tc>
          <w:tcPr>
            <w:tcW w:w="6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Notice to Members of Provisions</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69"/>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12.17</w:t>
            </w:r>
          </w:p>
        </w:tc>
        <w:tc>
          <w:tcPr>
            <w:tcW w:w="6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Further Assurances</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80"/>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12.18</w:t>
            </w:r>
          </w:p>
        </w:tc>
        <w:tc>
          <w:tcPr>
            <w:tcW w:w="6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Termination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0940"/>
          </w:cols>
          <w:pgMar w:left="600" w:top="551" w:right="35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1"/>
          <w:szCs w:val="21"/>
          <w:b w:val="1"/>
          <w:bCs w:val="1"/>
          <w:color w:val="auto"/>
        </w:rPr>
        <w:t>GM CRUISE HOLDINGS LLC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EIGHTH AMENDED AND RESTATED LIMITED LIABILITY COMPANY AGREEMENT</w:t>
      </w:r>
    </w:p>
    <w:p>
      <w:pPr>
        <w:spacing w:after="0" w:line="164" w:lineRule="exact"/>
        <w:rPr>
          <w:sz w:val="20"/>
          <w:szCs w:val="20"/>
          <w:color w:val="auto"/>
        </w:rPr>
      </w:pPr>
    </w:p>
    <w:p>
      <w:pPr>
        <w:jc w:val="both"/>
        <w:ind w:firstLine="645"/>
        <w:spacing w:after="0" w:line="222" w:lineRule="auto"/>
        <w:rPr>
          <w:sz w:val="20"/>
          <w:szCs w:val="20"/>
          <w:color w:val="auto"/>
        </w:rPr>
      </w:pPr>
      <w:r>
        <w:rPr>
          <w:rFonts w:ascii="Times New Roman" w:cs="Times New Roman" w:eastAsia="Times New Roman" w:hAnsi="Times New Roman"/>
          <w:sz w:val="21"/>
          <w:szCs w:val="21"/>
          <w:color w:val="auto"/>
        </w:rPr>
        <w:t>This EIGHTH AMENDED AND RESTATED LIMITED LIABILITY COMPANY AGREEMENT for GM Cruise Holdings LLC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dated as of March 18, 2022, is entered into by and among the Company, General Motors Holdings LLC, a Delaware limited liability company (“</w:t>
      </w:r>
      <w:r>
        <w:rPr>
          <w:rFonts w:ascii="Times New Roman" w:cs="Times New Roman" w:eastAsia="Times New Roman" w:hAnsi="Times New Roman"/>
          <w:sz w:val="21"/>
          <w:szCs w:val="21"/>
          <w:b w:val="1"/>
          <w:bCs w:val="1"/>
          <w:color w:val="auto"/>
        </w:rPr>
        <w:t>GM</w:t>
      </w:r>
      <w:r>
        <w:rPr>
          <w:rFonts w:ascii="Times New Roman" w:cs="Times New Roman" w:eastAsia="Times New Roman" w:hAnsi="Times New Roman"/>
          <w:sz w:val="21"/>
          <w:szCs w:val="21"/>
          <w:color w:val="auto"/>
        </w:rPr>
        <w:t>”), SoftBank Vision Fund (AIV M2) L.P., a Delaware limited partnership (“</w:t>
      </w:r>
      <w:r>
        <w:rPr>
          <w:rFonts w:ascii="Times New Roman" w:cs="Times New Roman" w:eastAsia="Times New Roman" w:hAnsi="Times New Roman"/>
          <w:sz w:val="21"/>
          <w:szCs w:val="21"/>
          <w:b w:val="1"/>
          <w:bCs w:val="1"/>
          <w:color w:val="auto"/>
        </w:rPr>
        <w:t>SoftBank</w:t>
      </w:r>
      <w:r>
        <w:rPr>
          <w:rFonts w:ascii="Times New Roman" w:cs="Times New Roman" w:eastAsia="Times New Roman" w:hAnsi="Times New Roman"/>
          <w:sz w:val="21"/>
          <w:szCs w:val="21"/>
          <w:color w:val="auto"/>
        </w:rPr>
        <w:t>”), Honda Motor Co., Ltd., a Japanese company (“</w:t>
      </w:r>
      <w:r>
        <w:rPr>
          <w:rFonts w:ascii="Times New Roman" w:cs="Times New Roman" w:eastAsia="Times New Roman" w:hAnsi="Times New Roman"/>
          <w:sz w:val="21"/>
          <w:szCs w:val="21"/>
          <w:b w:val="1"/>
          <w:bCs w:val="1"/>
          <w:color w:val="auto"/>
        </w:rPr>
        <w:t>Honda</w:t>
      </w:r>
      <w:r>
        <w:rPr>
          <w:rFonts w:ascii="Times New Roman" w:cs="Times New Roman" w:eastAsia="Times New Roman" w:hAnsi="Times New Roman"/>
          <w:sz w:val="21"/>
          <w:szCs w:val="21"/>
          <w:color w:val="auto"/>
        </w:rPr>
        <w:t>”), the Class F New Members (as defined herein), the Class G New Members (as defined herein) (including Microsoft Corporation (“</w:t>
      </w:r>
      <w:r>
        <w:rPr>
          <w:rFonts w:ascii="Times New Roman" w:cs="Times New Roman" w:eastAsia="Times New Roman" w:hAnsi="Times New Roman"/>
          <w:sz w:val="21"/>
          <w:szCs w:val="21"/>
          <w:b w:val="1"/>
          <w:bCs w:val="1"/>
          <w:color w:val="auto"/>
        </w:rPr>
        <w:t>Microsoft</w:t>
      </w:r>
      <w:r>
        <w:rPr>
          <w:rFonts w:ascii="Times New Roman" w:cs="Times New Roman" w:eastAsia="Times New Roman" w:hAnsi="Times New Roman"/>
          <w:sz w:val="21"/>
          <w:szCs w:val="21"/>
          <w:color w:val="auto"/>
        </w:rPr>
        <w:t xml:space="preserve">”)), and the Class H Members (as defined herein), and any and all other Persons who are Members as of the date hereof or who hereafter become Members. Certain capitalized terms used herein are defined in </w:t>
      </w:r>
      <w:r>
        <w:rPr>
          <w:rFonts w:ascii="Times New Roman" w:cs="Times New Roman" w:eastAsia="Times New Roman" w:hAnsi="Times New Roman"/>
          <w:sz w:val="21"/>
          <w:szCs w:val="21"/>
          <w:u w:val="single" w:color="auto"/>
          <w:color w:val="auto"/>
        </w:rPr>
        <w:t>Appendix I</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 E C I T A L S</w:t>
      </w:r>
    </w:p>
    <w:p>
      <w:pPr>
        <w:spacing w:after="0" w:line="188" w:lineRule="exact"/>
        <w:rPr>
          <w:sz w:val="20"/>
          <w:szCs w:val="20"/>
          <w:color w:val="auto"/>
        </w:rPr>
      </w:pPr>
    </w:p>
    <w:p>
      <w:pPr>
        <w:ind w:firstLine="652"/>
        <w:spacing w:after="0" w:line="251" w:lineRule="auto"/>
        <w:tabs>
          <w:tab w:leader="none" w:pos="116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was formed as a Delaware limited liability company effective on May 23, 2018 by the filing of a Certificate of Formation with the Delaware Secretary of State.</w:t>
      </w:r>
    </w:p>
    <w:p>
      <w:pPr>
        <w:spacing w:after="0" w:line="139" w:lineRule="exact"/>
        <w:rPr>
          <w:rFonts w:ascii="Times New Roman" w:cs="Times New Roman" w:eastAsia="Times New Roman" w:hAnsi="Times New Roman"/>
          <w:sz w:val="21"/>
          <w:szCs w:val="21"/>
          <w:color w:val="auto"/>
        </w:rPr>
      </w:pPr>
    </w:p>
    <w:p>
      <w:pPr>
        <w:ind w:firstLine="652"/>
        <w:spacing w:after="0" w:line="251" w:lineRule="auto"/>
        <w:tabs>
          <w:tab w:leader="none" w:pos="117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May 23, 2018, GM, the initial and sole member of the Company, entered into a Limited Liability Company Agreement of the Company (the “</w:t>
      </w:r>
      <w:r>
        <w:rPr>
          <w:rFonts w:ascii="Times New Roman" w:cs="Times New Roman" w:eastAsia="Times New Roman" w:hAnsi="Times New Roman"/>
          <w:sz w:val="21"/>
          <w:szCs w:val="21"/>
          <w:b w:val="1"/>
          <w:bCs w:val="1"/>
          <w:color w:val="auto"/>
        </w:rPr>
        <w:t>Original Agreement</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auto"/>
        </w:rPr>
      </w:pPr>
    </w:p>
    <w:p>
      <w:pPr>
        <w:ind w:firstLine="652"/>
        <w:spacing w:after="0" w:line="251" w:lineRule="auto"/>
        <w:tabs>
          <w:tab w:leader="none" w:pos="110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May 24, 2018, GM made an election under Treasury Regulations Section 301.7701-3 to treat the Company as a corporation for U.S. federal income tax purposes, effective as of May 23, 2018.</w:t>
      </w:r>
    </w:p>
    <w:p>
      <w:pPr>
        <w:spacing w:after="0" w:line="135" w:lineRule="exact"/>
        <w:rPr>
          <w:rFonts w:ascii="Times New Roman" w:cs="Times New Roman" w:eastAsia="Times New Roman" w:hAnsi="Times New Roman"/>
          <w:sz w:val="21"/>
          <w:szCs w:val="21"/>
          <w:color w:val="auto"/>
        </w:rPr>
      </w:pPr>
    </w:p>
    <w:p>
      <w:pPr>
        <w:ind w:firstLine="652"/>
        <w:spacing w:after="0" w:line="255" w:lineRule="auto"/>
        <w:tabs>
          <w:tab w:leader="none" w:pos="107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June 28, 2018 (the “</w:t>
      </w:r>
      <w:r>
        <w:rPr>
          <w:rFonts w:ascii="Times New Roman" w:cs="Times New Roman" w:eastAsia="Times New Roman" w:hAnsi="Times New Roman"/>
          <w:sz w:val="21"/>
          <w:szCs w:val="21"/>
          <w:b w:val="1"/>
          <w:bCs w:val="1"/>
          <w:color w:val="auto"/>
        </w:rPr>
        <w:t>Original Closing Date</w:t>
      </w:r>
      <w:r>
        <w:rPr>
          <w:rFonts w:ascii="Times New Roman" w:cs="Times New Roman" w:eastAsia="Times New Roman" w:hAnsi="Times New Roman"/>
          <w:sz w:val="21"/>
          <w:szCs w:val="21"/>
          <w:color w:val="auto"/>
        </w:rPr>
        <w:t>”), GM, SB Investment Holdings (UK) Limited (“</w:t>
      </w:r>
      <w:r>
        <w:rPr>
          <w:rFonts w:ascii="Times New Roman" w:cs="Times New Roman" w:eastAsia="Times New Roman" w:hAnsi="Times New Roman"/>
          <w:sz w:val="21"/>
          <w:szCs w:val="21"/>
          <w:b w:val="1"/>
          <w:bCs w:val="1"/>
          <w:color w:val="auto"/>
        </w:rPr>
        <w:t>SoftBank UK</w:t>
      </w:r>
      <w:r>
        <w:rPr>
          <w:rFonts w:ascii="Times New Roman" w:cs="Times New Roman" w:eastAsia="Times New Roman" w:hAnsi="Times New Roman"/>
          <w:sz w:val="21"/>
          <w:szCs w:val="21"/>
          <w:color w:val="auto"/>
        </w:rPr>
        <w:t>”) and the Company amended and restated the Original Agreement (as amended and restated, the “</w:t>
      </w:r>
      <w:r>
        <w:rPr>
          <w:rFonts w:ascii="Times New Roman" w:cs="Times New Roman" w:eastAsia="Times New Roman" w:hAnsi="Times New Roman"/>
          <w:sz w:val="21"/>
          <w:szCs w:val="21"/>
          <w:b w:val="1"/>
          <w:bCs w:val="1"/>
          <w:color w:val="auto"/>
        </w:rPr>
        <w:t>First A&amp;R Agreement</w:t>
      </w:r>
      <w:r>
        <w:rPr>
          <w:rFonts w:ascii="Times New Roman" w:cs="Times New Roman" w:eastAsia="Times New Roman" w:hAnsi="Times New Roman"/>
          <w:sz w:val="21"/>
          <w:szCs w:val="21"/>
          <w:color w:val="auto"/>
        </w:rPr>
        <w:t>”).</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08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October 3, 2018, the Company and Honda, entered into that certain Purchase Agreement (the “</w:t>
      </w:r>
      <w:r>
        <w:rPr>
          <w:rFonts w:ascii="Times New Roman" w:cs="Times New Roman" w:eastAsia="Times New Roman" w:hAnsi="Times New Roman"/>
          <w:sz w:val="21"/>
          <w:szCs w:val="21"/>
          <w:b w:val="1"/>
          <w:bCs w:val="1"/>
          <w:color w:val="auto"/>
        </w:rPr>
        <w:t>Honda 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pursuant to which the Company issued certain Shares to Honda in exchange for the Honda Commitment 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terms and conditions therein.</w:t>
      </w:r>
    </w:p>
    <w:p>
      <w:pPr>
        <w:spacing w:after="0" w:line="151" w:lineRule="exact"/>
        <w:rPr>
          <w:rFonts w:ascii="Times New Roman" w:cs="Times New Roman" w:eastAsia="Times New Roman" w:hAnsi="Times New Roman"/>
          <w:sz w:val="21"/>
          <w:szCs w:val="21"/>
          <w:color w:val="auto"/>
        </w:rPr>
      </w:pPr>
    </w:p>
    <w:p>
      <w:pPr>
        <w:ind w:firstLine="652"/>
        <w:spacing w:after="0" w:line="251" w:lineRule="auto"/>
        <w:tabs>
          <w:tab w:leader="none" w:pos="104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October 3, 2018, concurrently with entering into the Honda Purchase Agreement, GM, Honda, SoftBank UK and the Company amended and restated the First A&amp;R Agreement (as amended, the “</w:t>
      </w:r>
      <w:r>
        <w:rPr>
          <w:rFonts w:ascii="Times New Roman" w:cs="Times New Roman" w:eastAsia="Times New Roman" w:hAnsi="Times New Roman"/>
          <w:sz w:val="21"/>
          <w:szCs w:val="21"/>
          <w:b w:val="1"/>
          <w:bCs w:val="1"/>
          <w:color w:val="auto"/>
        </w:rPr>
        <w:t>Second A&amp;R Agreement</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auto"/>
        </w:rPr>
      </w:pPr>
    </w:p>
    <w:p>
      <w:pPr>
        <w:ind w:left="1080" w:hanging="428"/>
        <w:spacing w:after="0"/>
        <w:tabs>
          <w:tab w:leader="none" w:pos="10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January 16, 2019, SoftBank UK Transferred all of its interests in the Company to SoftBank.</w:t>
      </w:r>
    </w:p>
    <w:p>
      <w:pPr>
        <w:spacing w:after="0" w:line="188" w:lineRule="exact"/>
        <w:rPr>
          <w:rFonts w:ascii="Times New Roman" w:cs="Times New Roman" w:eastAsia="Times New Roman" w:hAnsi="Times New Roman"/>
          <w:sz w:val="21"/>
          <w:szCs w:val="21"/>
          <w:color w:val="auto"/>
        </w:rPr>
      </w:pPr>
    </w:p>
    <w:p>
      <w:pPr>
        <w:jc w:val="both"/>
        <w:ind w:firstLine="652"/>
        <w:spacing w:after="0" w:line="235" w:lineRule="auto"/>
        <w:tabs>
          <w:tab w:leader="none" w:pos="118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May 7, 2019, the Company, the Class F New Members, SoftBank, Honda and GM entered into that certain Purchase Agreement (the “</w:t>
      </w:r>
      <w:r>
        <w:rPr>
          <w:rFonts w:ascii="Times New Roman" w:cs="Times New Roman" w:eastAsia="Times New Roman" w:hAnsi="Times New Roman"/>
          <w:sz w:val="21"/>
          <w:szCs w:val="21"/>
          <w:b w:val="1"/>
          <w:bCs w:val="1"/>
          <w:color w:val="auto"/>
        </w:rPr>
        <w:t>Class F Purchase Agreement</w:t>
      </w:r>
      <w:r>
        <w:rPr>
          <w:rFonts w:ascii="Times New Roman" w:cs="Times New Roman" w:eastAsia="Times New Roman" w:hAnsi="Times New Roman"/>
          <w:sz w:val="21"/>
          <w:szCs w:val="21"/>
          <w:color w:val="auto"/>
        </w:rPr>
        <w:t>”), pursuant to which the Company agreed to issue certain Class F Preferred Shares to such Class F New Members, SoftBank, Honda and GM on and subject to the terms and conditions therein.</w:t>
      </w:r>
    </w:p>
    <w:p>
      <w:pPr>
        <w:spacing w:after="0" w:line="150" w:lineRule="exact"/>
        <w:rPr>
          <w:rFonts w:ascii="Times New Roman" w:cs="Times New Roman" w:eastAsia="Times New Roman" w:hAnsi="Times New Roman"/>
          <w:sz w:val="21"/>
          <w:szCs w:val="21"/>
          <w:color w:val="auto"/>
        </w:rPr>
      </w:pPr>
    </w:p>
    <w:p>
      <w:pPr>
        <w:jc w:val="both"/>
        <w:ind w:firstLine="652"/>
        <w:spacing w:after="0"/>
        <w:tabs>
          <w:tab w:leader="none" w:pos="100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May 7, 2019, concurrently with entering into the Class F Purchase Agreement, GM, Honda, SoftBank, the Class F New Members and the Company amended and restated the Second A&amp;R Agreement (as amended, the “</w:t>
      </w:r>
      <w:r>
        <w:rPr>
          <w:rFonts w:ascii="Times New Roman" w:cs="Times New Roman" w:eastAsia="Times New Roman" w:hAnsi="Times New Roman"/>
          <w:sz w:val="21"/>
          <w:szCs w:val="21"/>
          <w:b w:val="1"/>
          <w:bCs w:val="1"/>
          <w:color w:val="auto"/>
        </w:rPr>
        <w:t>Third A&amp;R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376" w:lineRule="exact"/>
        <w:rPr>
          <w:rFonts w:ascii="Times New Roman" w:cs="Times New Roman" w:eastAsia="Times New Roman" w:hAnsi="Times New Roman"/>
          <w:sz w:val="21"/>
          <w:szCs w:val="21"/>
          <w:color w:val="auto"/>
        </w:rPr>
      </w:pPr>
    </w:p>
    <w:p>
      <w:pPr>
        <w:ind w:firstLine="652"/>
        <w:spacing w:after="0" w:line="251" w:lineRule="auto"/>
        <w:tabs>
          <w:tab w:leader="none" w:pos="105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July 17, 2019, the Board of Directors approved a 100 for 1 split of all of the Company’s issued and outstanding Shares (the “</w:t>
      </w:r>
      <w:r>
        <w:rPr>
          <w:rFonts w:ascii="Times New Roman" w:cs="Times New Roman" w:eastAsia="Times New Roman" w:hAnsi="Times New Roman"/>
          <w:sz w:val="21"/>
          <w:szCs w:val="21"/>
          <w:b w:val="1"/>
          <w:bCs w:val="1"/>
          <w:color w:val="auto"/>
        </w:rPr>
        <w:t>Share Split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4" w:right="339" w:bottom="1440" w:gutter="0" w:footer="0" w:header="0"/>
        </w:sectPr>
      </w:pPr>
    </w:p>
    <w:bookmarkStart w:id="58" w:name="page59"/>
    <w:bookmarkEnd w:id="58"/>
    <w:p>
      <w:pPr>
        <w:ind w:firstLine="652"/>
        <w:spacing w:after="0" w:line="255" w:lineRule="auto"/>
        <w:tabs>
          <w:tab w:leader="none" w:pos="112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July 22, 2019, the Company amended and restated the Third A&amp;R Agreement (“</w:t>
      </w:r>
      <w:r>
        <w:rPr>
          <w:rFonts w:ascii="Times New Roman" w:cs="Times New Roman" w:eastAsia="Times New Roman" w:hAnsi="Times New Roman"/>
          <w:sz w:val="21"/>
          <w:szCs w:val="21"/>
          <w:b w:val="1"/>
          <w:bCs w:val="1"/>
          <w:color w:val="auto"/>
        </w:rPr>
        <w:t>Fourth A&amp;R Agreement</w:t>
      </w:r>
      <w:r>
        <w:rPr>
          <w:rFonts w:ascii="Times New Roman" w:cs="Times New Roman" w:eastAsia="Times New Roman" w:hAnsi="Times New Roman"/>
          <w:sz w:val="21"/>
          <w:szCs w:val="21"/>
          <w:color w:val="auto"/>
        </w:rPr>
        <w:t>”) to reflect the Share Split.</w:t>
      </w:r>
    </w:p>
    <w:p>
      <w:pPr>
        <w:spacing w:after="0" w:line="135" w:lineRule="exact"/>
        <w:rPr>
          <w:rFonts w:ascii="Times New Roman" w:cs="Times New Roman" w:eastAsia="Times New Roman" w:hAnsi="Times New Roman"/>
          <w:sz w:val="21"/>
          <w:szCs w:val="21"/>
          <w:color w:val="auto"/>
        </w:rPr>
      </w:pPr>
    </w:p>
    <w:p>
      <w:pPr>
        <w:ind w:firstLine="652"/>
        <w:spacing w:after="0" w:line="251" w:lineRule="auto"/>
        <w:tabs>
          <w:tab w:leader="none" w:pos="113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U.S. federal income tax purposes, the GM Commitment and the SoftBank Commitment, taken together, were intended to qualify as a contribution under Section 351(a) of the Code.</w:t>
      </w:r>
    </w:p>
    <w:p>
      <w:pPr>
        <w:spacing w:after="0" w:line="139" w:lineRule="exact"/>
        <w:rPr>
          <w:rFonts w:ascii="Times New Roman" w:cs="Times New Roman" w:eastAsia="Times New Roman" w:hAnsi="Times New Roman"/>
          <w:sz w:val="21"/>
          <w:szCs w:val="21"/>
          <w:color w:val="auto"/>
        </w:rPr>
      </w:pPr>
    </w:p>
    <w:p>
      <w:pPr>
        <w:jc w:val="both"/>
        <w:ind w:firstLine="652"/>
        <w:spacing w:after="0"/>
        <w:tabs>
          <w:tab w:leader="none" w:pos="11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intended that, immediately following the contributions of property and issuance of Shares contemplated by each of the GM Commitment, the SoftBank Commitment, the Honda Commitment, and the Class F Commitment (together with the issuance of any additional Shares contemplated by the Class F Purchase Agreement), GM continued to own, an amount of Equity Securities that (i) constituted “control” within the meaning of Section 368(c) of the Code and the Treasury Regulations thereunder and (ii) allowed the Company to be a member of the GM Affiliated Group under Section 1504 of the Code. Immediately following the contributions of property and issuance of shares contemplated by the Class G Commitment (together with the issuance of any additional Shares contemplated by the Class G Purchase Agreement), GM shall continue to own an amount of Equity Securities that constitutes “control” within the meaning of Section 368(c) of the Code and the Treasury Regulations thereunder.</w:t>
      </w:r>
    </w:p>
    <w:p>
      <w:pPr>
        <w:spacing w:after="0" w:line="214" w:lineRule="exact"/>
        <w:rPr>
          <w:rFonts w:ascii="Times New Roman" w:cs="Times New Roman" w:eastAsia="Times New Roman" w:hAnsi="Times New Roman"/>
          <w:sz w:val="21"/>
          <w:szCs w:val="21"/>
          <w:color w:val="auto"/>
        </w:rPr>
      </w:pPr>
    </w:p>
    <w:p>
      <w:pPr>
        <w:ind w:left="1080" w:hanging="428"/>
        <w:spacing w:after="0"/>
        <w:tabs>
          <w:tab w:leader="none" w:pos="10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December 18, 2019, the Company amended and restated the Fourth A&amp;R Agreement (“</w:t>
      </w:r>
      <w:r>
        <w:rPr>
          <w:rFonts w:ascii="Times New Roman" w:cs="Times New Roman" w:eastAsia="Times New Roman" w:hAnsi="Times New Roman"/>
          <w:sz w:val="21"/>
          <w:szCs w:val="21"/>
          <w:b w:val="1"/>
          <w:bCs w:val="1"/>
          <w:color w:val="auto"/>
        </w:rPr>
        <w:t>Fifth A&amp;R Agreement</w:t>
      </w:r>
      <w:r>
        <w:rPr>
          <w:rFonts w:ascii="Times New Roman" w:cs="Times New Roman" w:eastAsia="Times New Roman" w:hAnsi="Times New Roman"/>
          <w:sz w:val="21"/>
          <w:szCs w:val="21"/>
          <w:color w:val="auto"/>
        </w:rPr>
        <w:t>”).</w:t>
      </w:r>
    </w:p>
    <w:p>
      <w:pPr>
        <w:spacing w:after="0" w:line="192" w:lineRule="exact"/>
        <w:rPr>
          <w:rFonts w:ascii="Times New Roman" w:cs="Times New Roman" w:eastAsia="Times New Roman" w:hAnsi="Times New Roman"/>
          <w:sz w:val="21"/>
          <w:szCs w:val="21"/>
          <w:color w:val="auto"/>
        </w:rPr>
      </w:pPr>
    </w:p>
    <w:p>
      <w:pPr>
        <w:jc w:val="both"/>
        <w:ind w:firstLine="652"/>
        <w:spacing w:after="0" w:line="229" w:lineRule="auto"/>
        <w:tabs>
          <w:tab w:leader="none" w:pos="118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January 18, 2021, the Company, certain existing Members, and the Class G New Members entered into that certain Purchase Agreement (the “</w:t>
      </w:r>
      <w:r>
        <w:rPr>
          <w:rFonts w:ascii="Times New Roman" w:cs="Times New Roman" w:eastAsia="Times New Roman" w:hAnsi="Times New Roman"/>
          <w:sz w:val="21"/>
          <w:szCs w:val="21"/>
          <w:b w:val="1"/>
          <w:bCs w:val="1"/>
          <w:color w:val="auto"/>
        </w:rPr>
        <w:t>Class G Purchase Agreement</w:t>
      </w:r>
      <w:r>
        <w:rPr>
          <w:rFonts w:ascii="Times New Roman" w:cs="Times New Roman" w:eastAsia="Times New Roman" w:hAnsi="Times New Roman"/>
          <w:sz w:val="21"/>
          <w:szCs w:val="21"/>
          <w:color w:val="auto"/>
        </w:rPr>
        <w:t>”), pursuant to which the Company agreed to issue certain Class G Preferred Shares to such existing Members and the Class G New Members, on and subject to the terms and conditions therein, and the Company amended and restated the Fifth A&amp;R Agreement (“</w:t>
      </w:r>
      <w:r>
        <w:rPr>
          <w:rFonts w:ascii="Times New Roman" w:cs="Times New Roman" w:eastAsia="Times New Roman" w:hAnsi="Times New Roman"/>
          <w:sz w:val="21"/>
          <w:szCs w:val="21"/>
          <w:b w:val="1"/>
          <w:bCs w:val="1"/>
          <w:color w:val="auto"/>
        </w:rPr>
        <w:t>Sixth A&amp;R Agreement</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652"/>
        <w:spacing w:after="0" w:line="236" w:lineRule="auto"/>
        <w:tabs>
          <w:tab w:leader="none" w:pos="115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March 14, 2021, the Company amended and restated the Sixth A&amp;R Agreement (the “</w:t>
      </w:r>
      <w:r>
        <w:rPr>
          <w:rFonts w:ascii="Times New Roman" w:cs="Times New Roman" w:eastAsia="Times New Roman" w:hAnsi="Times New Roman"/>
          <w:sz w:val="21"/>
          <w:szCs w:val="21"/>
          <w:b w:val="1"/>
          <w:bCs w:val="1"/>
          <w:color w:val="auto"/>
        </w:rPr>
        <w:t>Seventh A&amp;R LLC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to create and designate Class H Common Shares (as defined below) issuable, from time to time, to Class 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Members in connection with M&amp;A Transactions (as defined below).</w:t>
      </w:r>
    </w:p>
    <w:p>
      <w:pPr>
        <w:spacing w:after="0" w:line="149" w:lineRule="exact"/>
        <w:rPr>
          <w:rFonts w:ascii="Times New Roman" w:cs="Times New Roman" w:eastAsia="Times New Roman" w:hAnsi="Times New Roman"/>
          <w:sz w:val="21"/>
          <w:szCs w:val="21"/>
          <w:color w:val="auto"/>
        </w:rPr>
      </w:pPr>
    </w:p>
    <w:p>
      <w:pPr>
        <w:ind w:left="1140" w:hanging="488"/>
        <w:spacing w:after="0"/>
        <w:tabs>
          <w:tab w:leader="none" w:pos="11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hereof, the Company is amending and restating the Seventh A&amp;R LLC Agreement, as set forth in this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164" w:lineRule="exact"/>
        <w:rPr>
          <w:rFonts w:ascii="Times New Roman" w:cs="Times New Roman" w:eastAsia="Times New Roman" w:hAnsi="Times New Roman"/>
          <w:sz w:val="21"/>
          <w:szCs w:val="21"/>
          <w:color w:val="auto"/>
        </w:rPr>
      </w:pPr>
    </w:p>
    <w:p>
      <w:pPr>
        <w:ind w:firstLine="652"/>
        <w:spacing w:after="0" w:line="251" w:lineRule="auto"/>
        <w:tabs>
          <w:tab w:leader="none" w:pos="106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of the Members and the Board of Directors desire to amend and restate the Seventh A&amp;R Agreement and to effect this Agreement to set forth, among other things, the rights and obligations of the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5"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1"/>
          <w:szCs w:val="21"/>
          <w:u w:val="single" w:color="auto"/>
          <w:color w:val="auto"/>
        </w:rPr>
        <w:t>A G R E E M E N T S</w:t>
      </w:r>
    </w:p>
    <w:p>
      <w:pPr>
        <w:spacing w:after="0" w:line="188" w:lineRule="exact"/>
        <w:rPr>
          <w:sz w:val="20"/>
          <w:szCs w:val="20"/>
          <w:color w:val="auto"/>
        </w:rPr>
      </w:pPr>
    </w:p>
    <w:p>
      <w:pPr>
        <w:jc w:val="both"/>
        <w:ind w:firstLine="645"/>
        <w:spacing w:after="0" w:line="235" w:lineRule="auto"/>
        <w:rPr>
          <w:sz w:val="20"/>
          <w:szCs w:val="20"/>
          <w:color w:val="auto"/>
        </w:rPr>
      </w:pPr>
      <w:r>
        <w:rPr>
          <w:rFonts w:ascii="Times New Roman" w:cs="Times New Roman" w:eastAsia="Times New Roman" w:hAnsi="Times New Roman"/>
          <w:sz w:val="21"/>
          <w:szCs w:val="21"/>
          <w:color w:val="auto"/>
        </w:rPr>
        <w:t>NOW THEREFORE, in consideration of the mutual promises contained in this Agreement and for other good and valuable consideration, the receipt and sufficiency of which are hereby acknowledged, the parties hereto agree that the Sixth A&amp;R Agreement is hereby amended and restated in its entirety as follows:</w:t>
      </w: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I</w:t>
      </w:r>
    </w:p>
    <w:p>
      <w:pPr>
        <w:spacing w:after="0" w:line="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b w:val="1"/>
          <w:bCs w:val="1"/>
          <w:u w:val="single" w:color="auto"/>
          <w:color w:val="auto"/>
        </w:rPr>
        <w:t>ORGANIZATIONAL MATTERS AND CERTAIN DEFINITIONS</w:t>
      </w:r>
    </w:p>
    <w:p>
      <w:pPr>
        <w:spacing w:after="0" w:line="16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1.01</w:t>
      </w:r>
      <w:r>
        <w:rPr>
          <w:sz w:val="20"/>
          <w:szCs w:val="20"/>
          <w:color w:val="auto"/>
        </w:rPr>
        <w:tab/>
      </w:r>
      <w:r>
        <w:rPr>
          <w:rFonts w:ascii="Times New Roman" w:cs="Times New Roman" w:eastAsia="Times New Roman" w:hAnsi="Times New Roman"/>
          <w:sz w:val="21"/>
          <w:szCs w:val="21"/>
          <w:b w:val="1"/>
          <w:bCs w:val="1"/>
          <w:u w:val="single" w:color="auto"/>
          <w:color w:val="auto"/>
        </w:rPr>
        <w:t>Organization of Company</w:t>
      </w:r>
      <w:r>
        <w:rPr>
          <w:rFonts w:ascii="Times New Roman" w:cs="Times New Roman" w:eastAsia="Times New Roman" w:hAnsi="Times New Roman"/>
          <w:sz w:val="21"/>
          <w:szCs w:val="21"/>
          <w:color w:val="auto"/>
        </w:rPr>
        <w:t>. The Company was formed as a limited liability company on May 23, 2018.</w:t>
      </w:r>
    </w:p>
    <w:p>
      <w:pPr>
        <w:spacing w:after="0" w:line="188" w:lineRule="exact"/>
        <w:rPr>
          <w:sz w:val="20"/>
          <w:szCs w:val="20"/>
          <w:color w:val="auto"/>
        </w:rPr>
      </w:pPr>
    </w:p>
    <w:p>
      <w:pPr>
        <w:jc w:val="both"/>
        <w:ind w:firstLine="645"/>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1.02 </w:t>
      </w:r>
      <w:r>
        <w:rPr>
          <w:rFonts w:ascii="Times New Roman" w:cs="Times New Roman" w:eastAsia="Times New Roman" w:hAnsi="Times New Roman"/>
          <w:sz w:val="21"/>
          <w:szCs w:val="21"/>
          <w:b w:val="1"/>
          <w:bCs w:val="1"/>
          <w:u w:val="single" w:color="auto"/>
          <w:color w:val="auto"/>
        </w:rPr>
        <w:t>Legal Status</w:t>
      </w:r>
      <w:r>
        <w:rPr>
          <w:rFonts w:ascii="Times New Roman" w:cs="Times New Roman" w:eastAsia="Times New Roman" w:hAnsi="Times New Roman"/>
          <w:sz w:val="21"/>
          <w:szCs w:val="21"/>
          <w:color w:val="auto"/>
        </w:rPr>
        <w:t>. The Company is a limited liability company organized and existing under the Delaware 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Liability Company Act (the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The Members shall take such steps as are necessary to permit the Company to conduct business, to maintain its status as a limited liability company formed under the laws of the State of Delaware and qualified to conduct business in any jurisdiction where the Company does so.</w:t>
      </w:r>
    </w:p>
    <w:p>
      <w:pPr>
        <w:spacing w:after="0" w:line="149" w:lineRule="exact"/>
        <w:rPr>
          <w:sz w:val="20"/>
          <w:szCs w:val="20"/>
          <w:color w:val="auto"/>
        </w:rPr>
      </w:pPr>
    </w:p>
    <w:p>
      <w:pPr>
        <w:jc w:val="both"/>
        <w:ind w:right="20"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1.03 </w:t>
      </w:r>
      <w:r>
        <w:rPr>
          <w:rFonts w:ascii="Times New Roman" w:cs="Times New Roman" w:eastAsia="Times New Roman" w:hAnsi="Times New Roman"/>
          <w:sz w:val="21"/>
          <w:szCs w:val="21"/>
          <w:b w:val="1"/>
          <w:bCs w:val="1"/>
          <w:u w:val="single" w:color="auto"/>
          <w:color w:val="auto"/>
        </w:rPr>
        <w:t>Name</w:t>
      </w:r>
      <w:r>
        <w:rPr>
          <w:rFonts w:ascii="Times New Roman" w:cs="Times New Roman" w:eastAsia="Times New Roman" w:hAnsi="Times New Roman"/>
          <w:sz w:val="21"/>
          <w:szCs w:val="21"/>
          <w:color w:val="auto"/>
        </w:rPr>
        <w:t>. The name of the Company shall be “GM Cruise Holdings LLC” or such other name as the Board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Directors shall, from time to time, hereafter designate.</w:t>
      </w:r>
    </w:p>
    <w:p>
      <w:pPr>
        <w:spacing w:after="0" w:line="13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1.04</w:t>
      </w:r>
      <w:r>
        <w:rPr>
          <w:sz w:val="20"/>
          <w:szCs w:val="20"/>
          <w:color w:val="auto"/>
        </w:rPr>
        <w:tab/>
      </w:r>
      <w:r>
        <w:rPr>
          <w:rFonts w:ascii="Times New Roman" w:cs="Times New Roman" w:eastAsia="Times New Roman" w:hAnsi="Times New Roman"/>
          <w:sz w:val="21"/>
          <w:szCs w:val="21"/>
          <w:b w:val="1"/>
          <w:bCs w:val="1"/>
          <w:u w:val="single" w:color="auto"/>
          <w:color w:val="auto"/>
        </w:rPr>
        <w:t>Registered Office and Registered Agent; Principal Office</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tabs>
          <w:tab w:leader="none" w:pos="1743" w:val="left"/>
        </w:tabs>
        <w:numPr>
          <w:ilvl w:val="0"/>
          <w:numId w:val="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address of the registered office of the Company in the State of Delaware shall be c/o Corporation Service Company, 251 Little Falls Drive, New Castle County, Wilmington, Delaware 19808, and the initial registered agent for service of process on the Company in the State of Delaware at such registered office shall be Corporation Service Company. The Board of Directors may, in its discretion, change the registered office and/or registered agent from time to time by filing the address of the new registered office and/or the name of the new registered agent with the Secretary of State of the State of Delaware pursuant to the Act.</w:t>
      </w:r>
    </w:p>
    <w:p>
      <w:pPr>
        <w:spacing w:after="0" w:line="297"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836" w:val="left"/>
        </w:tabs>
        <w:numPr>
          <w:ilvl w:val="0"/>
          <w:numId w:val="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principal office of the Company shall be located at such place (whether inside or outside the State of Delaware) as the Board of Directors may from time to time designate. The Company may have such other offices (whether inside or outside the State of Delaware) as the Board of Directors may from time to time designate.</w:t>
      </w:r>
    </w:p>
    <w:p>
      <w:pPr>
        <w:spacing w:after="0" w:line="147" w:lineRule="exact"/>
        <w:rPr>
          <w:sz w:val="20"/>
          <w:szCs w:val="20"/>
          <w:color w:val="auto"/>
        </w:rPr>
      </w:pPr>
    </w:p>
    <w:p>
      <w:pPr>
        <w:jc w:val="both"/>
        <w:ind w:firstLine="645"/>
        <w:spacing w:after="0"/>
        <w:rPr>
          <w:sz w:val="20"/>
          <w:szCs w:val="20"/>
          <w:color w:val="auto"/>
        </w:rPr>
      </w:pPr>
      <w:r>
        <w:rPr>
          <w:rFonts w:ascii="Times New Roman" w:cs="Times New Roman" w:eastAsia="Times New Roman" w:hAnsi="Times New Roman"/>
          <w:sz w:val="21"/>
          <w:szCs w:val="21"/>
          <w:b w:val="1"/>
          <w:bCs w:val="1"/>
          <w:color w:val="auto"/>
        </w:rPr>
        <w:t xml:space="preserve">1.05 </w:t>
      </w:r>
      <w:r>
        <w:rPr>
          <w:rFonts w:ascii="Times New Roman" w:cs="Times New Roman" w:eastAsia="Times New Roman" w:hAnsi="Times New Roman"/>
          <w:sz w:val="21"/>
          <w:szCs w:val="21"/>
          <w:b w:val="1"/>
          <w:bCs w:val="1"/>
          <w:u w:val="single" w:color="auto"/>
          <w:color w:val="auto"/>
        </w:rPr>
        <w:t>Purpose</w:t>
      </w:r>
      <w:r>
        <w:rPr>
          <w:rFonts w:ascii="Times New Roman" w:cs="Times New Roman" w:eastAsia="Times New Roman" w:hAnsi="Times New Roman"/>
          <w:sz w:val="21"/>
          <w:szCs w:val="21"/>
          <w:color w:val="auto"/>
        </w:rPr>
        <w:t>. The Company is formed for the object and purpose of, and the nature of the business to be conducted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promoted by the Company is to, engage in any lawful act or activity for which limited liability companies may be formed under the Act, including carrying on the AVCo Business. The Company shall have the power and authority to take any and all actions that are necessary, appropriate, advisable, convenient or incidental to, or for the furtherance of, the purposes set forth in this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w:t>
      </w:r>
    </w:p>
    <w:p>
      <w:pPr>
        <w:spacing w:after="0" w:line="32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1.06</w:t>
      </w:r>
      <w:r>
        <w:rPr>
          <w:sz w:val="20"/>
          <w:szCs w:val="20"/>
          <w:color w:val="auto"/>
        </w:rPr>
        <w:tab/>
      </w: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Unless terminated in accordance with</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the existence of the Company shall be perpetual.</w:t>
      </w:r>
    </w:p>
    <w:p>
      <w:pPr>
        <w:spacing w:after="0" w:line="18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1.07</w:t>
      </w:r>
      <w:r>
        <w:rPr>
          <w:sz w:val="20"/>
          <w:szCs w:val="20"/>
          <w:color w:val="auto"/>
        </w:rPr>
        <w:tab/>
      </w:r>
      <w:r>
        <w:rPr>
          <w:rFonts w:ascii="Times New Roman" w:cs="Times New Roman" w:eastAsia="Times New Roman" w:hAnsi="Times New Roman"/>
          <w:sz w:val="21"/>
          <w:szCs w:val="21"/>
          <w:b w:val="1"/>
          <w:bCs w:val="1"/>
          <w:u w:val="single" w:color="auto"/>
          <w:color w:val="auto"/>
        </w:rPr>
        <w:t>Certain Definitions</w:t>
      </w:r>
      <w:r>
        <w:rPr>
          <w:rFonts w:ascii="Times New Roman" w:cs="Times New Roman" w:eastAsia="Times New Roman" w:hAnsi="Times New Roman"/>
          <w:sz w:val="21"/>
          <w:szCs w:val="21"/>
          <w:color w:val="auto"/>
        </w:rPr>
        <w:t>. Certain capitalized terms used in this Agreement are defined in</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u w:val="single" w:color="auto"/>
          <w:color w:val="auto"/>
        </w:rPr>
        <w:t>Appendix I</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hereto.</w:t>
      </w:r>
    </w:p>
    <w:p>
      <w:pPr>
        <w:spacing w:after="0" w:line="18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1.08 </w:t>
      </w:r>
      <w:r>
        <w:rPr>
          <w:rFonts w:ascii="Times New Roman" w:cs="Times New Roman" w:eastAsia="Times New Roman" w:hAnsi="Times New Roman"/>
          <w:sz w:val="21"/>
          <w:szCs w:val="21"/>
          <w:b w:val="1"/>
          <w:bCs w:val="1"/>
          <w:u w:val="single" w:color="auto"/>
          <w:color w:val="auto"/>
        </w:rPr>
        <w:t>No State-Law Partnership</w:t>
      </w:r>
      <w:r>
        <w:rPr>
          <w:rFonts w:ascii="Times New Roman" w:cs="Times New Roman" w:eastAsia="Times New Roman" w:hAnsi="Times New Roman"/>
          <w:sz w:val="21"/>
          <w:szCs w:val="21"/>
          <w:color w:val="auto"/>
        </w:rPr>
        <w:t>. The Members intend that the Company not be a partnership (including a 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partnership), and that no Member or Assignee be a partner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8" w:right="339" w:bottom="1440" w:gutter="0" w:footer="0" w:header="0"/>
        </w:sectPr>
      </w:pPr>
    </w:p>
    <w:bookmarkStart w:id="60" w:name="page61"/>
    <w:bookmarkEnd w:id="60"/>
    <w:p>
      <w:pPr>
        <w:jc w:val="both"/>
        <w:spacing w:after="0" w:line="235" w:lineRule="auto"/>
        <w:rPr>
          <w:sz w:val="20"/>
          <w:szCs w:val="20"/>
          <w:color w:val="auto"/>
        </w:rPr>
      </w:pPr>
      <w:r>
        <w:rPr>
          <w:rFonts w:ascii="Times New Roman" w:cs="Times New Roman" w:eastAsia="Times New Roman" w:hAnsi="Times New Roman"/>
          <w:sz w:val="21"/>
          <w:szCs w:val="21"/>
          <w:color w:val="auto"/>
        </w:rPr>
        <w:t>any other Member or Assignee by virtue of this Agreement for any purposes, and neither this Agreement nor any other document entered into by the Company or any Member or Assignee relating to the subject matter hereof shall be construed to suggest otherwise.</w:t>
      </w:r>
    </w:p>
    <w:p>
      <w:pPr>
        <w:spacing w:after="0" w:line="147" w:lineRule="exact"/>
        <w:rPr>
          <w:sz w:val="20"/>
          <w:szCs w:val="20"/>
          <w:color w:val="auto"/>
        </w:rPr>
      </w:pPr>
    </w:p>
    <w:p>
      <w:pPr>
        <w:jc w:val="both"/>
        <w:ind w:firstLine="645"/>
        <w:spacing w:after="0"/>
        <w:rPr>
          <w:sz w:val="20"/>
          <w:szCs w:val="20"/>
          <w:color w:val="auto"/>
        </w:rPr>
      </w:pPr>
      <w:r>
        <w:rPr>
          <w:rFonts w:ascii="Times New Roman" w:cs="Times New Roman" w:eastAsia="Times New Roman" w:hAnsi="Times New Roman"/>
          <w:sz w:val="21"/>
          <w:szCs w:val="21"/>
          <w:b w:val="1"/>
          <w:bCs w:val="1"/>
          <w:color w:val="auto"/>
        </w:rPr>
        <w:t xml:space="preserve">1.09 </w:t>
      </w:r>
      <w:r>
        <w:rPr>
          <w:rFonts w:ascii="Times New Roman" w:cs="Times New Roman" w:eastAsia="Times New Roman" w:hAnsi="Times New Roman"/>
          <w:sz w:val="21"/>
          <w:szCs w:val="21"/>
          <w:b w:val="1"/>
          <w:bCs w:val="1"/>
          <w:u w:val="single" w:color="auto"/>
          <w:color w:val="auto"/>
        </w:rPr>
        <w:t>Limited Liability Company Agreement</w:t>
      </w:r>
      <w:r>
        <w:rPr>
          <w:rFonts w:ascii="Times New Roman" w:cs="Times New Roman" w:eastAsia="Times New Roman" w:hAnsi="Times New Roman"/>
          <w:sz w:val="21"/>
          <w:szCs w:val="21"/>
          <w:color w:val="auto"/>
        </w:rPr>
        <w:t>. The Members hereby are each a party to this Agreement to conduct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affairs and the business of the Company in accordance with the provisions of the Act. The Members hereby agree that, during the term of the Company set forth in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the rights, powers and obligations of the Members and Assignees with respect to the Company will be determined in accordance with the terms and conditions of this Agreement and the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to the fullest extent permitted by the Act, the terms of this Agreement shall control and, notwithstanding anything to the contrary, Section 18-210 of the Act (entitled “Contractual Appraisal Rights”) and Section 18-305(a) of the Act (entitled “Access to and Confidentiality of Information; Records”) shall not apply or be incorporated into this Agreement. This Agreement hereby supersedes and preempts the Seventh A&amp;R Agreement in all respects, and the Seventh A&amp;R Agreement shall hereafter be null and void.</w:t>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II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CAPITAL CONTRIBUTIONS; ISSUANCES OF SHARES</w:t>
      </w:r>
    </w:p>
    <w:p>
      <w:pPr>
        <w:spacing w:after="0" w:line="16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2.01</w:t>
      </w:r>
      <w:r>
        <w:rPr>
          <w:sz w:val="20"/>
          <w:szCs w:val="20"/>
          <w:color w:val="auto"/>
        </w:rPr>
        <w:tab/>
      </w:r>
      <w:r>
        <w:rPr>
          <w:rFonts w:ascii="Times New Roman" w:cs="Times New Roman" w:eastAsia="Times New Roman" w:hAnsi="Times New Roman"/>
          <w:sz w:val="21"/>
          <w:szCs w:val="21"/>
          <w:b w:val="1"/>
          <w:bCs w:val="1"/>
          <w:u w:val="single" w:color="auto"/>
          <w:color w:val="auto"/>
        </w:rPr>
        <w:t>Shares Generally</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31" w:lineRule="auto"/>
        <w:tabs>
          <w:tab w:leader="none" w:pos="1797" w:val="left"/>
        </w:tabs>
        <w:numPr>
          <w:ilvl w:val="0"/>
          <w:numId w:val="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interests of the Members in Distributions and other amounts specified in this Agreement, as well as the rights of the Members to vote on, consent to or approve any matter for which a vote of Members is required under this Agreement or the Act, shall be denominated in shares of membership interests in the Company (each a “</w:t>
      </w:r>
      <w:r>
        <w:rPr>
          <w:rFonts w:ascii="Times New Roman" w:cs="Times New Roman" w:eastAsia="Times New Roman" w:hAnsi="Times New Roman"/>
          <w:sz w:val="21"/>
          <w:szCs w:val="21"/>
          <w:b w:val="1"/>
          <w:bCs w:val="1"/>
          <w:color w:val="auto"/>
        </w:rPr>
        <w:t>Share</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and the relative rights, privileges, preferences and obligations of the Members with respect to Shares shall be determined under this Agreement to the extent provided herein. As of the date of this Agreement, the classes of Shares that the Company is authorized to issue are as follows: “</w:t>
      </w:r>
      <w:r>
        <w:rPr>
          <w:rFonts w:ascii="Times New Roman" w:cs="Times New Roman" w:eastAsia="Times New Roman" w:hAnsi="Times New Roman"/>
          <w:sz w:val="21"/>
          <w:szCs w:val="21"/>
          <w:b w:val="1"/>
          <w:bCs w:val="1"/>
          <w:color w:val="auto"/>
        </w:rPr>
        <w:t>Class A-1-A Preferred Shares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Class A-1-B Preferred Shares</w:t>
      </w:r>
      <w:r>
        <w:rPr>
          <w:rFonts w:ascii="Times New Roman" w:cs="Times New Roman" w:eastAsia="Times New Roman" w:hAnsi="Times New Roman"/>
          <w:sz w:val="21"/>
          <w:szCs w:val="21"/>
          <w:color w:val="auto"/>
        </w:rPr>
        <w:t>” (collectively with the Class A-1-A Preferred Shares, the “</w:t>
      </w:r>
      <w:r>
        <w:rPr>
          <w:rFonts w:ascii="Times New Roman" w:cs="Times New Roman" w:eastAsia="Times New Roman" w:hAnsi="Times New Roman"/>
          <w:sz w:val="21"/>
          <w:szCs w:val="21"/>
          <w:b w:val="1"/>
          <w:bCs w:val="1"/>
          <w:color w:val="auto"/>
        </w:rPr>
        <w:t>Class A-1 Preferred Shares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Class A-2 Preferred Shares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Class B 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Class C Common Shares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Class D Common Shares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Class E Common Shares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Class H Common Shares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F Preferred Shares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Class G Preferred Shares</w:t>
      </w:r>
      <w:r>
        <w:rPr>
          <w:rFonts w:ascii="Times New Roman" w:cs="Times New Roman" w:eastAsia="Times New Roman" w:hAnsi="Times New Roman"/>
          <w:sz w:val="21"/>
          <w:szCs w:val="21"/>
          <w:color w:val="auto"/>
        </w:rPr>
        <w:t xml:space="preserve">”. Subject to the limitations (in each case to the extent applicable) set forth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the Company may, from time to time following the date of this Agreement, create and issue other classes and series of Shares or Equity Securities. Subject to approval by the Board of Directors, the Company is hereby authorized to issue an unlimited number of Class A-1-A Preferred Shares, Class A-1-B Preferred Shares, Class A-2 Preferred Shares, Class B Common Shares, Class C Common Shares, Class D Common Shares, Class E Common Shares, Class H Common Shares, Class F Preferred Shares, Class G Preferred Shares, and any new class or series of Shares or Equity Securities in the Company. The Company may issue fractional Shares, and all Shares shall be rounded to the nearest fourth decimal place. Ownership of a Share (or a fraction thereof) shall not entitle a Member to call for a partition or division of any property of the Company or for any accounting.</w:t>
      </w:r>
    </w:p>
    <w:p>
      <w:pPr>
        <w:spacing w:after="0" w:line="150"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890" w:val="left"/>
        </w:tabs>
        <w:numPr>
          <w:ilvl w:val="0"/>
          <w:numId w:val="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Members, their respective Commitments and Capital Contributions and their respective classes and numbers of Shares issued, sold, granted or Transferred to them shall be set forth on a ledger maintained by the Company (the “</w:t>
      </w:r>
      <w:r>
        <w:rPr>
          <w:rFonts w:ascii="Times New Roman" w:cs="Times New Roman" w:eastAsia="Times New Roman" w:hAnsi="Times New Roman"/>
          <w:sz w:val="21"/>
          <w:szCs w:val="21"/>
          <w:b w:val="1"/>
          <w:bCs w:val="1"/>
          <w:color w:val="auto"/>
        </w:rPr>
        <w:t>Members Schedule</w:t>
      </w:r>
      <w:r>
        <w:rPr>
          <w:rFonts w:ascii="Times New Roman" w:cs="Times New Roman" w:eastAsia="Times New Roman" w:hAnsi="Times New Roman"/>
          <w:sz w:val="21"/>
          <w:szCs w:val="21"/>
          <w:color w:val="auto"/>
        </w:rPr>
        <w:t>”), as may be amended and restated from time to time in accordance with the provisions of this Agreement. Absent manifest error, the ownership interests recorded on the Members Schedule shall be a conclusive record of the Shares that are issued and outstanding.</w:t>
      </w:r>
    </w:p>
    <w:p>
      <w:pPr>
        <w:spacing w:after="0" w:line="152" w:lineRule="exact"/>
        <w:rPr>
          <w:rFonts w:ascii="Times New Roman" w:cs="Times New Roman" w:eastAsia="Times New Roman" w:hAnsi="Times New Roman"/>
          <w:sz w:val="21"/>
          <w:szCs w:val="21"/>
          <w:color w:val="010000"/>
        </w:rPr>
      </w:pPr>
    </w:p>
    <w:p>
      <w:pPr>
        <w:ind w:firstLine="1297"/>
        <w:spacing w:after="0" w:line="251" w:lineRule="auto"/>
        <w:tabs>
          <w:tab w:leader="none" w:pos="1878" w:val="left"/>
        </w:tabs>
        <w:numPr>
          <w:ilvl w:val="0"/>
          <w:numId w:val="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partial copy of the Members Schedule as of the date of the First A&amp;R Agreement showing only the aggregate number of each class of Shares held by the Members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9" w:right="339" w:bottom="1440" w:gutter="0" w:footer="0" w:header="0"/>
        </w:sectPr>
      </w:pPr>
    </w:p>
    <w:bookmarkStart w:id="61" w:name="page62"/>
    <w:bookmarkEnd w:id="61"/>
    <w:p>
      <w:pPr>
        <w:jc w:val="both"/>
        <w:spacing w:after="0" w:line="230" w:lineRule="auto"/>
        <w:rPr>
          <w:sz w:val="20"/>
          <w:szCs w:val="20"/>
          <w:color w:val="auto"/>
        </w:rPr>
      </w:pPr>
      <w:r>
        <w:rPr>
          <w:rFonts w:ascii="Times New Roman" w:cs="Times New Roman" w:eastAsia="Times New Roman" w:hAnsi="Times New Roman"/>
          <w:sz w:val="21"/>
          <w:szCs w:val="21"/>
          <w:color w:val="auto"/>
        </w:rPr>
        <w:t>at such time (but not any identifying information about the Persons holding any Shares) was provided to SoftBank prior to the execution of the SoftBank Purchase Agreement. A partial copy of the Members Schedule as of the date of the Second A&amp;R Agreement showing only the aggregate number of each class of Shares held by the Members (but not any identifying information about the Persons holding any Shares) was provided to Honda prior to the execution of the Honda Purchase Agreement. A partial copy of the Members Schedule as of the date of the Third A&amp;R Agreement showing only the aggregate number of each class of Shares held by the Members (but not any identifying information about the Persons holding any Shares (other than the Class F Preferred Shares)) was provided to the Class F Preferred Members prior to the execution of the Class F Purchase Agreement. A partial copy of the Members Schedule as of the date of the Sixth A&amp;R Agreement showing only the aggregate number of each class of Shares held by the Members (but not any identifying information about the Persons holding any Shares (other than the Class G Preferred Shares)) was provided to the Class G Preferred Members prior to the execution of the Class G Purchase Agreement. Any amendment or revision to the Members Schedule made to reflect an action taken in accordance with this Agreement shall not be deemed an amendment to this Agreement. A current copy of the Members Schedule shall be held in confidence by the Company and maintained in a separate file conspicuously marked as confidential. A redacted version of the Members Schedule shall be made available to any Member at the request of such Member, which such redacted version will show only the Shares held by such Member and the aggregate number of issued and outstanding Shares held by other Members (and not, for clarity, any other identifying information about any other Person holding Shares). Notwithstanding the foregoing, each of the GM Investor, SoftBank, Honda, and Microsoft shall be entitled to request a full and complete unredacted copy of the Members Schedule from time to time.</w:t>
      </w:r>
    </w:p>
    <w:p>
      <w:pPr>
        <w:spacing w:after="0" w:line="14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2.02</w:t>
      </w:r>
      <w:r>
        <w:rPr>
          <w:sz w:val="20"/>
          <w:szCs w:val="20"/>
          <w:color w:val="auto"/>
        </w:rPr>
        <w:tab/>
      </w:r>
      <w:r>
        <w:rPr>
          <w:rFonts w:ascii="Times New Roman" w:cs="Times New Roman" w:eastAsia="Times New Roman" w:hAnsi="Times New Roman"/>
          <w:sz w:val="21"/>
          <w:szCs w:val="21"/>
          <w:b w:val="1"/>
          <w:bCs w:val="1"/>
          <w:u w:val="single" w:color="auto"/>
          <w:color w:val="auto"/>
        </w:rPr>
        <w:t>Class A Preferred Shares; Class C Common Shares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9" w:lineRule="auto"/>
        <w:tabs>
          <w:tab w:leader="none" w:pos="1757" w:val="left"/>
        </w:tabs>
        <w:numPr>
          <w:ilvl w:val="0"/>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Pursuant to the SoftBank Purchase Agreement, and subject to the terms and conditions thereof, SoftBank UK made Capital Contributions totaling $900,000,000 in the aggregate (the “</w:t>
      </w:r>
      <w:r>
        <w:rPr>
          <w:rFonts w:ascii="Times New Roman" w:cs="Times New Roman" w:eastAsia="Times New Roman" w:hAnsi="Times New Roman"/>
          <w:sz w:val="21"/>
          <w:szCs w:val="21"/>
          <w:b w:val="1"/>
          <w:bCs w:val="1"/>
          <w:color w:val="auto"/>
        </w:rPr>
        <w:t>SoftBank Commitment</w:t>
      </w:r>
      <w:r>
        <w:rPr>
          <w:rFonts w:ascii="Times New Roman" w:cs="Times New Roman" w:eastAsia="Times New Roman" w:hAnsi="Times New Roman"/>
          <w:sz w:val="21"/>
          <w:szCs w:val="21"/>
          <w:color w:val="auto"/>
        </w:rPr>
        <w:t>”), pursuant to which the Company issued to SoftBank UK 900,000 Class A-1-A Preferred Shares, which Class A-1-A Preferred Shares were subsequently Transferred by Softbank UK to SoftBank.</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010000"/>
        </w:rPr>
        <w:t>(b)</w:t>
      </w:r>
    </w:p>
    <w:p>
      <w:pPr>
        <w:spacing w:after="0" w:line="188" w:lineRule="exact"/>
        <w:rPr>
          <w:sz w:val="20"/>
          <w:szCs w:val="20"/>
          <w:color w:val="auto"/>
        </w:rPr>
      </w:pPr>
    </w:p>
    <w:p>
      <w:pPr>
        <w:jc w:val="both"/>
        <w:ind w:firstLine="1942"/>
        <w:spacing w:after="0" w:line="220" w:lineRule="auto"/>
        <w:tabs>
          <w:tab w:leader="none" w:pos="238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any time that the Company determines, acting in good faith, that it is reasonably likely to be ready to commercially deploy vehicles in fully driverless operation (the date of readiness for such initial deployment, the “</w:t>
      </w:r>
      <w:r>
        <w:rPr>
          <w:rFonts w:ascii="Times New Roman" w:cs="Times New Roman" w:eastAsia="Times New Roman" w:hAnsi="Times New Roman"/>
          <w:sz w:val="21"/>
          <w:szCs w:val="21"/>
          <w:b w:val="1"/>
          <w:bCs w:val="1"/>
          <w:color w:val="auto"/>
        </w:rPr>
        <w:t>Commercial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Deployment</w:t>
      </w:r>
      <w:r>
        <w:rPr>
          <w:rFonts w:ascii="Times New Roman" w:cs="Times New Roman" w:eastAsia="Times New Roman" w:hAnsi="Times New Roman"/>
          <w:sz w:val="21"/>
          <w:szCs w:val="21"/>
          <w:color w:val="auto"/>
        </w:rPr>
        <w:t>”) within the following one hundred twenty (120) day period, the Company shall be entitled to deliver written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such determination to SoftBank (it being understood that delivery of such written notice (or failure to deliver such written notice) shall not be binding in any respect and the failure of Commercial Deployment to occur on such timetable shall not constitute a breach of this Agreement by any Member or the Company). Following delivery of any such written notification, the Company and SoftBank (each acting reasonably and in good faith) will cooperate to identify and mutually agree upon, as promptly as reasonably practicable, whether any approvals, consents, registrations, permits or authorizations (or the expiration of any waiting periods) are required under the HSR Act or any comparable laws in any foreign jurisdiction (the “</w:t>
      </w:r>
      <w:r>
        <w:rPr>
          <w:rFonts w:ascii="Times New Roman" w:cs="Times New Roman" w:eastAsia="Times New Roman" w:hAnsi="Times New Roman"/>
          <w:sz w:val="21"/>
          <w:szCs w:val="21"/>
          <w:b w:val="1"/>
          <w:bCs w:val="1"/>
          <w:color w:val="auto"/>
        </w:rPr>
        <w:t>A-1-B Antitrust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Approvals</w:t>
      </w:r>
      <w:r>
        <w:rPr>
          <w:rFonts w:ascii="Times New Roman" w:cs="Times New Roman" w:eastAsia="Times New Roman" w:hAnsi="Times New Roman"/>
          <w:sz w:val="21"/>
          <w:szCs w:val="21"/>
          <w:color w:val="auto"/>
        </w:rPr>
        <w:t>”) in connection with the issuance of Class A-1-B Preferred Shares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466"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any A-1-B Antitrust Approvals are identified and agreed pursuant to </w:t>
      </w:r>
      <w:r>
        <w:rPr>
          <w:rFonts w:ascii="Times New Roman" w:cs="Times New Roman" w:eastAsia="Times New Roman" w:hAnsi="Times New Roman"/>
          <w:sz w:val="21"/>
          <w:szCs w:val="21"/>
          <w:u w:val="single" w:color="auto"/>
          <w:color w:val="auto"/>
        </w:rPr>
        <w:t>Section 2.02(b)(i)</w:t>
      </w:r>
      <w:r>
        <w:rPr>
          <w:rFonts w:ascii="Times New Roman" w:cs="Times New Roman" w:eastAsia="Times New Roman" w:hAnsi="Times New Roman"/>
          <w:sz w:val="21"/>
          <w:szCs w:val="21"/>
          <w:color w:val="auto"/>
        </w:rPr>
        <w:t xml:space="preserve"> then each Class A-1 Preferred Member and each Class A-2 Preferred Member will (and will cause its Affiliates to) (A) make (as promptly as reasonably practicable) such notifications, registrations and filings necessary or advisable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8" w:right="339" w:bottom="1440" w:gutter="0" w:footer="0" w:header="0"/>
        </w:sectPr>
      </w:pPr>
    </w:p>
    <w:bookmarkStart w:id="62" w:name="page63"/>
    <w:bookmarkEnd w:id="62"/>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obtaining the A-1-B Antitrust Approvals and (B) without limiting the foregoing, use its reasonable best efforts to obtain (as promptly as reasonably practicable) the A-1-B Antitrust Approvals. If the A-1-B Antitrust Approvals are not obtained (or, as applicable, any waiting period has not expired or early termination of any waiting period has not been granted) prior to end of the Payment Period, then the Payment Period will be extended until such A-1-B Antitrust Approvals are obtained or until the waiting periods with respect to such A-1-B Antitrust Approvals have expired or been terminated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order to obtain such A-1-B Antitrust Approvals, (1) none of GM nor any of its Subsidiaries or other Affiliates shall be required to offer or commit to hold separate, sell, divest or dispose, or suffer any restriction on the operation, of any assets, properties or businesses of GM Parent or any of its Subsidiaries or other Affiliates (including the Company), and (2) none of SoftBank nor any of its Subsidiaries or other Affiliates shall be required to offer or commit to hold separate, sell, divest or dispose, or suffer any restriction on the operation, management, or governance of, any assets, properties or businesses of SoftBank or any portfolio companies (as such term is commonly understood in the private equity industry) of SoftBank or its Subsidiaries or Affiliates or, with the sole exception of the Company, any companies in which SoftBank or any of SoftBank’s Subsidiaries or other Affiliates hold a minority equity position.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010000"/>
        </w:rPr>
        <w:t>(c)</w:t>
      </w:r>
    </w:p>
    <w:p>
      <w:pPr>
        <w:spacing w:after="0" w:line="188" w:lineRule="exact"/>
        <w:rPr>
          <w:sz w:val="20"/>
          <w:szCs w:val="20"/>
          <w:color w:val="auto"/>
        </w:rPr>
      </w:pPr>
    </w:p>
    <w:p>
      <w:pPr>
        <w:jc w:val="both"/>
        <w:ind w:firstLine="1942"/>
        <w:spacing w:after="0" w:line="218" w:lineRule="auto"/>
        <w:tabs>
          <w:tab w:leader="none" w:pos="2487"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Within three (3) Business Days of the date on which Commercial Deployment has occurred, the Company will provide written notice to SoftBank and the GM Investor of the same (such notice, the “</w:t>
      </w:r>
      <w:r>
        <w:rPr>
          <w:rFonts w:ascii="Times New Roman" w:cs="Times New Roman" w:eastAsia="Times New Roman" w:hAnsi="Times New Roman"/>
          <w:sz w:val="21"/>
          <w:szCs w:val="21"/>
          <w:b w:val="1"/>
          <w:bCs w:val="1"/>
          <w:color w:val="auto"/>
        </w:rPr>
        <w:t>CD Notice</w:t>
      </w:r>
      <w:r>
        <w:rPr>
          <w:rFonts w:ascii="Times New Roman" w:cs="Times New Roman" w:eastAsia="Times New Roman" w:hAnsi="Times New Roman"/>
          <w:sz w:val="21"/>
          <w:szCs w:val="21"/>
          <w:color w:val="auto"/>
        </w:rPr>
        <w:t>”). Subject to the satisfaction of the Second Tranche Conditions, within fifty (50) days (or such shorter period contemplated by the immediately following sentence) of the delivery of the CD Notice (such applicable period, the “</w:t>
      </w:r>
      <w:r>
        <w:rPr>
          <w:rFonts w:ascii="Times New Roman" w:cs="Times New Roman" w:eastAsia="Times New Roman" w:hAnsi="Times New Roman"/>
          <w:sz w:val="21"/>
          <w:szCs w:val="21"/>
          <w:b w:val="1"/>
          <w:bCs w:val="1"/>
          <w:color w:val="auto"/>
        </w:rPr>
        <w:t>Payment Period</w:t>
      </w:r>
      <w:r>
        <w:rPr>
          <w:rFonts w:ascii="Times New Roman" w:cs="Times New Roman" w:eastAsia="Times New Roman" w:hAnsi="Times New Roman"/>
          <w:sz w:val="21"/>
          <w:szCs w:val="21"/>
          <w:color w:val="auto"/>
        </w:rPr>
        <w:t>”), SoftBank or its assignee will purchase and acquire from the Company, and the Company will issue, sell and deliver to SoftBank or its assignee, a number of Class A-1-B Preferred Shares equal to $1,350,000,000 (the “</w:t>
      </w:r>
      <w:r>
        <w:rPr>
          <w:rFonts w:ascii="Times New Roman" w:cs="Times New Roman" w:eastAsia="Times New Roman" w:hAnsi="Times New Roman"/>
          <w:sz w:val="21"/>
          <w:szCs w:val="21"/>
          <w:b w:val="1"/>
          <w:bCs w:val="1"/>
          <w:color w:val="auto"/>
        </w:rPr>
        <w:t>Subsequent SoftBank Commitment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the Class A-1-B Preferred Capital Value, in consideration for payment by SoftBank in full of such amount paid by wire transfer of immediately available funds to an account designated by the Company and free and clear of any withholding. If GM, prior to the date that Commercial Deployment occurs, confirms (by way of a binding and irrevocable written notice to SoftBank (the “</w:t>
      </w:r>
      <w:r>
        <w:rPr>
          <w:rFonts w:ascii="Times New Roman" w:cs="Times New Roman" w:eastAsia="Times New Roman" w:hAnsi="Times New Roman"/>
          <w:sz w:val="21"/>
          <w:szCs w:val="21"/>
          <w:b w:val="1"/>
          <w:bCs w:val="1"/>
          <w:color w:val="auto"/>
        </w:rPr>
        <w:t>Advance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the definitive date on which Commercial Deployment will occur, then the Payment Period will be reduced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aggregate number of days between the date the Advance Notice is delivered to SoftBank in accordance with the terms of this Agreement and the date of Commercial Deployment;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no event will the Payment Period be reduced to fewer than twenty five (25) days following the date on which Commercial Deployment occurs.</w:t>
      </w:r>
    </w:p>
    <w:p>
      <w:pPr>
        <w:spacing w:after="0" w:line="158" w:lineRule="exact"/>
        <w:rPr>
          <w:rFonts w:ascii="Times New Roman" w:cs="Times New Roman" w:eastAsia="Times New Roman" w:hAnsi="Times New Roman"/>
          <w:sz w:val="21"/>
          <w:szCs w:val="21"/>
          <w:color w:val="010000"/>
        </w:rPr>
      </w:pPr>
    </w:p>
    <w:p>
      <w:pPr>
        <w:jc w:val="both"/>
        <w:ind w:firstLine="1942"/>
        <w:spacing w:after="0" w:line="238" w:lineRule="auto"/>
        <w:tabs>
          <w:tab w:leader="none" w:pos="2480"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Second Tranche Conditions have been satisfied but the Subsequent SoftBank Commitment is not fully paid by start of the Business Day following the final day of the Payment Period, then, automatically and without any further action by the Company or any Member (and without any recourse by any Member): (A) the provisions of </w:t>
      </w:r>
      <w:r>
        <w:rPr>
          <w:rFonts w:ascii="Times New Roman" w:cs="Times New Roman" w:eastAsia="Times New Roman" w:hAnsi="Times New Roman"/>
          <w:sz w:val="21"/>
          <w:szCs w:val="21"/>
          <w:u w:val="single" w:color="auto"/>
          <w:color w:val="auto"/>
        </w:rPr>
        <w:t>Section 6.13(a)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6.13(d)</w:t>
      </w:r>
      <w:r>
        <w:rPr>
          <w:rFonts w:ascii="Times New Roman" w:cs="Times New Roman" w:eastAsia="Times New Roman" w:hAnsi="Times New Roman"/>
          <w:sz w:val="21"/>
          <w:szCs w:val="21"/>
          <w:color w:val="auto"/>
        </w:rPr>
        <w:t xml:space="preserve"> will be suspended and cease to apply for such time as any amount of the Subsequent SoftBank Commitment is due and payable but remains unpaid, (B) the Class A-1 Preferred Return will cease to accrue on each Class A-1 Preferred Share (with, subject to the immediately following proviso, no catch-up right or right to be made whole if the Subsequent SoftBank Commitment is later paid in full; provided, that if the Subsequent SoftBank Commitment is paid in full within fifteen (15) days of the final day of the Payment Period (such fifteen (15) day period,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xml:space="preserve">”), each Class A-1 Preferred Share will be entitled to the Class A-1 Preferred Return accrued during the period beginning on the final day of the Payment Period and ending on the date that the Subsequent SoftBank Commitment is fully paid), and (C) in the event that the Subsequent SoftBank Commitment is not paid in full by the end of the Cure Period, the amendments to this Agreement contemplated by </w:t>
      </w:r>
      <w:r>
        <w:rPr>
          <w:rFonts w:ascii="Times New Roman" w:cs="Times New Roman" w:eastAsia="Times New Roman" w:hAnsi="Times New Roman"/>
          <w:sz w:val="21"/>
          <w:szCs w:val="21"/>
          <w:u w:val="single" w:color="auto"/>
          <w:color w:val="auto"/>
        </w:rPr>
        <w:t>Sections 2.02(d)(i)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Section 2.02(d)(ii)</w:t>
      </w:r>
      <w:r>
        <w:rPr>
          <w:rFonts w:ascii="Times New Roman" w:cs="Times New Roman" w:eastAsia="Times New Roman" w:hAnsi="Times New Roman"/>
          <w:sz w:val="21"/>
          <w:szCs w:val="21"/>
          <w:color w:val="auto"/>
        </w:rPr>
        <w:t xml:space="preserve"> will apply and become effective from and after the final day of the Cure Period.</w:t>
      </w:r>
    </w:p>
    <w:p>
      <w:pPr>
        <w:spacing w:after="0" w:line="188" w:lineRule="exact"/>
        <w:rPr>
          <w:sz w:val="20"/>
          <w:szCs w:val="20"/>
          <w:color w:val="auto"/>
        </w:rPr>
      </w:pPr>
    </w:p>
    <w:p>
      <w:pPr>
        <w:jc w:val="both"/>
        <w:ind w:firstLine="1942"/>
        <w:spacing w:after="0" w:line="224" w:lineRule="auto"/>
        <w:tabs>
          <w:tab w:leader="none" w:pos="2486" w:val="left"/>
        </w:tabs>
        <w:numPr>
          <w:ilvl w:val="1"/>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remedies provided for in </w:t>
      </w:r>
      <w:r>
        <w:rPr>
          <w:rFonts w:ascii="Times New Roman" w:cs="Times New Roman" w:eastAsia="Times New Roman" w:hAnsi="Times New Roman"/>
          <w:sz w:val="21"/>
          <w:szCs w:val="21"/>
          <w:u w:val="single" w:color="auto"/>
          <w:color w:val="auto"/>
        </w:rPr>
        <w:t>Section 2.02(c)(ii)</w:t>
      </w:r>
      <w:r>
        <w:rPr>
          <w:rFonts w:ascii="Times New Roman" w:cs="Times New Roman" w:eastAsia="Times New Roman" w:hAnsi="Times New Roman"/>
          <w:sz w:val="21"/>
          <w:szCs w:val="21"/>
          <w:color w:val="auto"/>
        </w:rPr>
        <w:t xml:space="preserve"> are in addition to, and not in limitation of, any other right of the Company or any other Member provided by law, this Agreement or any other agreement entered into by or among any one or more of the Members (or their Affiliates) or the Company (including any rights arising as a result of or in connection with a breach by SoftBank of its obligations under Section 5.1 of the SoftBank Purchase Agreement). Each Member further acknowledges that any actions taken or not taken by the Company pursuant to </w:t>
      </w:r>
      <w:r>
        <w:rPr>
          <w:rFonts w:ascii="Times New Roman" w:cs="Times New Roman" w:eastAsia="Times New Roman" w:hAnsi="Times New Roman"/>
          <w:sz w:val="21"/>
          <w:szCs w:val="21"/>
          <w:u w:val="single" w:color="auto"/>
          <w:color w:val="auto"/>
        </w:rPr>
        <w:t>Section 2.02(c)(ii)</w:t>
      </w:r>
      <w:r>
        <w:rPr>
          <w:rFonts w:ascii="Times New Roman" w:cs="Times New Roman" w:eastAsia="Times New Roman" w:hAnsi="Times New Roman"/>
          <w:sz w:val="21"/>
          <w:szCs w:val="21"/>
          <w:color w:val="auto"/>
        </w:rPr>
        <w:t xml:space="preserve"> shall not constitute a breach of this Agreement or any other duty stated or implied in law or equity to any Member.</w:t>
      </w:r>
    </w:p>
    <w:p>
      <w:pPr>
        <w:spacing w:after="0" w:line="152"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783"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SoftBank CFIUS Condition has not been satisfied prior to the occurrence of Commercial Deployment, then (without prejudice to the rights of GM or the Company arising as a result of or in connection with any breach by SoftBank of its obligations under Section 5.1 of the SoftBank Purchase Agreement) upon the occurrence of Commercial Deployment, automatically and without any further action by the Company or any Member (and without any recourse by any Member):</w:t>
      </w:r>
    </w:p>
    <w:p>
      <w:pPr>
        <w:spacing w:after="0" w:line="153" w:lineRule="exact"/>
        <w:rPr>
          <w:rFonts w:ascii="Times New Roman" w:cs="Times New Roman" w:eastAsia="Times New Roman" w:hAnsi="Times New Roman"/>
          <w:sz w:val="21"/>
          <w:szCs w:val="21"/>
          <w:color w:val="010000"/>
        </w:rPr>
      </w:pPr>
    </w:p>
    <w:p>
      <w:pPr>
        <w:ind w:firstLine="1942"/>
        <w:spacing w:after="0" w:line="251" w:lineRule="auto"/>
        <w:tabs>
          <w:tab w:leader="none" w:pos="2420" w:val="left"/>
        </w:tabs>
        <w:numPr>
          <w:ilvl w:val="1"/>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Class A-1 Preferred Return will (effective on and after the date of Commercial Deployment) be permanently reduced from a rate of seven percent (7%) per annum to a rate of three and a half percent (3.5%) per annum;</w:t>
      </w:r>
    </w:p>
    <w:p>
      <w:pPr>
        <w:spacing w:after="0" w:line="137" w:lineRule="exact"/>
        <w:rPr>
          <w:sz w:val="20"/>
          <w:szCs w:val="20"/>
          <w:color w:val="auto"/>
        </w:rPr>
      </w:pPr>
    </w:p>
    <w:p>
      <w:pPr>
        <w:ind w:left="2520" w:hanging="578"/>
        <w:spacing w:after="0"/>
        <w:tabs>
          <w:tab w:leader="none" w:pos="2520"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denominator in the definition of A-1-A Preferred Share Conversion Ratio will be permanently</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increased from $10 to $16;</w:t>
      </w:r>
    </w:p>
    <w:p>
      <w:pPr>
        <w:spacing w:after="0" w:line="161" w:lineRule="exact"/>
        <w:rPr>
          <w:rFonts w:ascii="Times New Roman" w:cs="Times New Roman" w:eastAsia="Times New Roman" w:hAnsi="Times New Roman"/>
          <w:sz w:val="21"/>
          <w:szCs w:val="21"/>
          <w:color w:val="010000"/>
        </w:rPr>
      </w:pPr>
    </w:p>
    <w:p>
      <w:pPr>
        <w:ind w:left="2540" w:hanging="598"/>
        <w:spacing w:after="0"/>
        <w:tabs>
          <w:tab w:leader="none" w:pos="2540"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conversion ratio for the Class A-2 Preferred Shares pursuant to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9.07(a)</w:t>
      </w:r>
    </w:p>
    <w:p>
      <w:pPr>
        <w:jc w:val="both"/>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9.10(a)</w:t>
      </w:r>
      <w:r>
        <w:rPr>
          <w:rFonts w:ascii="Times New Roman" w:cs="Times New Roman" w:eastAsia="Times New Roman" w:hAnsi="Times New Roman"/>
          <w:sz w:val="21"/>
          <w:szCs w:val="21"/>
          <w:color w:val="auto"/>
        </w:rPr>
        <w:t>, clause (ii) of the definition of “Control Period”, the definition of “SoftBank Floor Amount”, clause (i) of the definition of “Optional SoftBank Conversion Share Price”, the definition of “Per Class A-1 Preferred Share FMV” and clause (i) of the definition of “Preemptive Proportion” shall be adjusted from a 1:1 ratio to 0.625 of a Class C Common Share per one Class A-2 Preferred Share (as adjusted, as necessary, to reflect appropriate and proportional adjustments to take into account any subdivision, reorganization, reclassification, recapitalization, stock split, reverse stock split, combination of shares or similar event); and</w:t>
      </w:r>
    </w:p>
    <w:p>
      <w:pPr>
        <w:spacing w:after="0" w:line="273" w:lineRule="exact"/>
        <w:rPr>
          <w:rFonts w:ascii="Times New Roman" w:cs="Times New Roman" w:eastAsia="Times New Roman" w:hAnsi="Times New Roman"/>
          <w:sz w:val="21"/>
          <w:szCs w:val="21"/>
          <w:color w:val="010000"/>
        </w:rPr>
      </w:pPr>
    </w:p>
    <w:p>
      <w:pPr>
        <w:ind w:left="2460" w:hanging="518"/>
        <w:spacing w:after="0"/>
        <w:tabs>
          <w:tab w:leader="none" w:pos="2460"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6.13(c)</w:t>
      </w:r>
      <w:r>
        <w:rPr>
          <w:rFonts w:ascii="Times New Roman" w:cs="Times New Roman" w:eastAsia="Times New Roman" w:hAnsi="Times New Roman"/>
          <w:sz w:val="21"/>
          <w:szCs w:val="21"/>
          <w:color w:val="auto"/>
        </w:rPr>
        <w:t xml:space="preserve"> will be amended to read, in its entirety, as follows:</w:t>
      </w:r>
    </w:p>
    <w:p>
      <w:pPr>
        <w:spacing w:after="0" w:line="188" w:lineRule="exact"/>
        <w:rPr>
          <w:sz w:val="20"/>
          <w:szCs w:val="20"/>
          <w:color w:val="auto"/>
        </w:rPr>
      </w:pPr>
    </w:p>
    <w:p>
      <w:pPr>
        <w:jc w:val="both"/>
        <w:ind w:left="660" w:right="640"/>
        <w:spacing w:after="0" w:line="226" w:lineRule="auto"/>
        <w:rPr>
          <w:sz w:val="20"/>
          <w:szCs w:val="20"/>
          <w:color w:val="auto"/>
        </w:rPr>
      </w:pPr>
      <w:r>
        <w:rPr>
          <w:rFonts w:ascii="Times New Roman" w:cs="Times New Roman" w:eastAsia="Times New Roman" w:hAnsi="Times New Roman"/>
          <w:sz w:val="21"/>
          <w:szCs w:val="21"/>
          <w:color w:val="auto"/>
        </w:rPr>
        <w:t xml:space="preserve">“issue any Equity Securities that have rights, preferences or privileges with respect to Distributions, senior to the rights of the Class A-1 Preferred Shares in </w:t>
      </w:r>
      <w:r>
        <w:rPr>
          <w:rFonts w:ascii="Times New Roman" w:cs="Times New Roman" w:eastAsia="Times New Roman" w:hAnsi="Times New Roman"/>
          <w:sz w:val="21"/>
          <w:szCs w:val="21"/>
          <w:u w:val="single" w:color="auto"/>
          <w:color w:val="auto"/>
        </w:rPr>
        <w:t>Sections 3.01(b)(i)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3.02(a)(i)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Senior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6.13(c)</w:t>
      </w:r>
      <w:r>
        <w:rPr>
          <w:rFonts w:ascii="Times New Roman" w:cs="Times New Roman" w:eastAsia="Times New Roman" w:hAnsi="Times New Roman"/>
          <w:sz w:val="21"/>
          <w:szCs w:val="21"/>
          <w:color w:val="auto"/>
        </w:rPr>
        <w:t xml:space="preserve"> will not apply to the first $1,350,000,000 of new Senior Securities issued after the occurrence of Commercial Deployment (with such amount being calculated based on the consideration paid by the recipient(s) of such Senior Securities).”</w:t>
      </w:r>
    </w:p>
    <w:p>
      <w:pPr>
        <w:spacing w:after="0" w:line="153" w:lineRule="exact"/>
        <w:rPr>
          <w:sz w:val="20"/>
          <w:szCs w:val="20"/>
          <w:color w:val="auto"/>
        </w:rPr>
      </w:pPr>
    </w:p>
    <w:p>
      <w:pPr>
        <w:jc w:val="both"/>
        <w:ind w:firstLine="1297"/>
        <w:spacing w:after="0" w:line="224" w:lineRule="auto"/>
        <w:tabs>
          <w:tab w:leader="none" w:pos="1743" w:val="left"/>
        </w:tabs>
        <w:numPr>
          <w:ilvl w:val="0"/>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Pursuant to the SoftBank Purchase Agreement and the IPMA, and subject to the terms and conditions thereof, on the Original Closing Date, GM (i) made, (A) a Capital Contribution totaling $1,100,000,000 in the aggregate and (B) a contribution of the Transferred Entities (as defined in the SoftBank Purchase Agreement) pursuant to the Restructuring (as defined in the SoftBank Purchase Agreement) and (ii) granted certain rights to the Company under the IPMA (together with the contributions in clause (i), the “</w:t>
      </w:r>
      <w:r>
        <w:rPr>
          <w:rFonts w:ascii="Times New Roman" w:cs="Times New Roman" w:eastAsia="Times New Roman" w:hAnsi="Times New Roman"/>
          <w:sz w:val="21"/>
          <w:szCs w:val="21"/>
          <w:b w:val="1"/>
          <w:bCs w:val="1"/>
          <w:color w:val="auto"/>
        </w:rPr>
        <w:t>GM Commitment</w:t>
      </w:r>
      <w:r>
        <w:rPr>
          <w:rFonts w:ascii="Times New Roman" w:cs="Times New Roman" w:eastAsia="Times New Roman" w:hAnsi="Times New Roman"/>
          <w:sz w:val="21"/>
          <w:szCs w:val="21"/>
          <w:color w:val="auto"/>
        </w:rPr>
        <w:t>”), in exchange for which the Company issued to GM 1,100,000 Class A-2 Preferred Shares and 5,500,000 Class C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9" w:right="339" w:bottom="1440" w:gutter="0" w:footer="0" w:header="0"/>
        </w:sectPr>
      </w:pPr>
    </w:p>
    <w:bookmarkStart w:id="64" w:name="page65"/>
    <w:bookmarkEnd w:id="64"/>
    <w:p>
      <w:pPr>
        <w:ind w:firstLine="1297"/>
        <w:spacing w:after="0" w:line="251" w:lineRule="auto"/>
        <w:tabs>
          <w:tab w:leader="none" w:pos="2042" w:val="left"/>
        </w:tabs>
        <w:numPr>
          <w:ilvl w:val="0"/>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promptly as reasonably practicable following the consummation of the Subsequent SoftBank Commitment, the Company shall deliver to Honda an updated Members Schedule.</w:t>
      </w:r>
    </w:p>
    <w:p>
      <w:pPr>
        <w:spacing w:after="0" w:line="13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2.03</w:t>
      </w:r>
      <w:r>
        <w:rPr>
          <w:sz w:val="20"/>
          <w:szCs w:val="20"/>
          <w:color w:val="auto"/>
        </w:rPr>
        <w:tab/>
      </w:r>
      <w:r>
        <w:rPr>
          <w:rFonts w:ascii="Times New Roman" w:cs="Times New Roman" w:eastAsia="Times New Roman" w:hAnsi="Times New Roman"/>
          <w:sz w:val="21"/>
          <w:szCs w:val="21"/>
          <w:b w:val="1"/>
          <w:bCs w:val="1"/>
          <w:u w:val="single" w:color="auto"/>
          <w:color w:val="auto"/>
        </w:rPr>
        <w:t>Class B Common Shares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firstLine="1297"/>
        <w:spacing w:after="0" w:line="227" w:lineRule="auto"/>
        <w:tabs>
          <w:tab w:leader="none" w:pos="1905"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Awards of Class B Common Shares (“</w:t>
      </w:r>
      <w:r>
        <w:rPr>
          <w:rFonts w:ascii="Times New Roman" w:cs="Times New Roman" w:eastAsia="Times New Roman" w:hAnsi="Times New Roman"/>
          <w:sz w:val="21"/>
          <w:szCs w:val="21"/>
          <w:b w:val="1"/>
          <w:bCs w:val="1"/>
          <w:color w:val="auto"/>
        </w:rPr>
        <w:t>Share Awards</w:t>
      </w:r>
      <w:r>
        <w:rPr>
          <w:rFonts w:ascii="Times New Roman" w:cs="Times New Roman" w:eastAsia="Times New Roman" w:hAnsi="Times New Roman"/>
          <w:sz w:val="21"/>
          <w:szCs w:val="21"/>
          <w:color w:val="auto"/>
        </w:rPr>
        <w:t>”), options to purchase Class B Common Shares (“</w:t>
      </w: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 and restricted stock units in respect of Class B Common Shares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and collectively with Share Awards and Options, “</w:t>
      </w:r>
      <w:r>
        <w:rPr>
          <w:rFonts w:ascii="Times New Roman" w:cs="Times New Roman" w:eastAsia="Times New Roman" w:hAnsi="Times New Roman"/>
          <w:sz w:val="21"/>
          <w:szCs w:val="21"/>
          <w:b w:val="1"/>
          <w:bCs w:val="1"/>
          <w:color w:val="auto"/>
        </w:rPr>
        <w:t>Equity Awards</w:t>
      </w:r>
      <w:r>
        <w:rPr>
          <w:rFonts w:ascii="Times New Roman" w:cs="Times New Roman" w:eastAsia="Times New Roman" w:hAnsi="Times New Roman"/>
          <w:sz w:val="21"/>
          <w:szCs w:val="21"/>
          <w:color w:val="auto"/>
        </w:rPr>
        <w:t>”, and the Class B Common Shares that are issued in respect of Equity Awards, the “</w:t>
      </w:r>
      <w:r>
        <w:rPr>
          <w:rFonts w:ascii="Times New Roman" w:cs="Times New Roman" w:eastAsia="Times New Roman" w:hAnsi="Times New Roman"/>
          <w:sz w:val="21"/>
          <w:szCs w:val="21"/>
          <w:b w:val="1"/>
          <w:bCs w:val="1"/>
          <w:color w:val="auto"/>
        </w:rPr>
        <w:t>EIP Class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may be granted or issued, as applicable, to Participants (as defined ) and/or Employee Members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of an Award Agreement and in accordance with the 2018 Incentive Plan or any successor employee incentive plan.</w:t>
      </w:r>
    </w:p>
    <w:p>
      <w:pPr>
        <w:spacing w:after="0" w:line="151" w:lineRule="exact"/>
        <w:rPr>
          <w:rFonts w:ascii="Times New Roman" w:cs="Times New Roman" w:eastAsia="Times New Roman" w:hAnsi="Times New Roman"/>
          <w:sz w:val="21"/>
          <w:szCs w:val="21"/>
          <w:color w:val="010000"/>
        </w:rPr>
      </w:pPr>
    </w:p>
    <w:p>
      <w:pPr>
        <w:jc w:val="both"/>
        <w:ind w:right="20" w:firstLine="1297"/>
        <w:spacing w:after="0" w:line="229" w:lineRule="auto"/>
        <w:tabs>
          <w:tab w:leader="none" w:pos="1917"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 respect to Fiscal Years 2021 and 2022, the Company may grant or issue to Employee Members (pursuant to Award Agreements) Equity Awards that may be issued, exercised or settled into, in the aggregate, up to that maximum number of Class B Common Shares set forth in the 2018 Incentive Plan. After Fiscal Year 2022, the Company (acting upon the approval of the Board of Directors ) may issue additional Equity Awards to Employee Members.</w:t>
      </w:r>
    </w:p>
    <w:p>
      <w:pPr>
        <w:spacing w:after="0" w:line="153"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932"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Board of Directors shall have the authority to determine the terms and conditions of the Award Agreement to be executed by any Participant and/or Employee Member in connection with the grant of Equity Awards to such Participant and/or Employee Member (including terms and conditions relating to vesting, forfeiture, options to purchase and/or sell Class B Common Shares upon termination of employment, and purchase prices and terms of any purchase and/or sale with respect thereto).</w:t>
      </w:r>
    </w:p>
    <w:p>
      <w:pPr>
        <w:spacing w:after="0" w:line="152"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796"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the issuance of any Class B Common Shares in respect of an Equity Award to any Participant who is not already an Employee Member, such Participant shall be automatically admitted to the Company as an Employee Member in respect of such Class B Common Shares. Execution of an Award Agreement by a Participant in connection with any grant of Equity Awards shall be deemed to constitute an agreement by such Participant to be bound by the terms and conditions of this Agreement upon the issuance of Class B Common Shares to such Participant.</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2.04</w:t>
      </w:r>
      <w:r>
        <w:rPr>
          <w:sz w:val="20"/>
          <w:szCs w:val="20"/>
          <w:color w:val="auto"/>
        </w:rPr>
        <w:tab/>
      </w:r>
      <w:r>
        <w:rPr>
          <w:rFonts w:ascii="Times New Roman" w:cs="Times New Roman" w:eastAsia="Times New Roman" w:hAnsi="Times New Roman"/>
          <w:sz w:val="21"/>
          <w:szCs w:val="21"/>
          <w:b w:val="1"/>
          <w:bCs w:val="1"/>
          <w:u w:val="single" w:color="auto"/>
          <w:color w:val="auto"/>
        </w:rPr>
        <w:t>Additional Classes of Shares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35" w:lineRule="auto"/>
        <w:tabs>
          <w:tab w:leader="none" w:pos="1743"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Class E Common Shares</w:t>
      </w:r>
      <w:r>
        <w:rPr>
          <w:rFonts w:ascii="Times New Roman" w:cs="Times New Roman" w:eastAsia="Times New Roman" w:hAnsi="Times New Roman"/>
          <w:sz w:val="21"/>
          <w:szCs w:val="21"/>
          <w:color w:val="auto"/>
        </w:rPr>
        <w:t>. Pursuant to the Honda Purchase Agreement, and subject to the terms and conditions thereof, Honda made Capital Contributions totaling $750,000,000 in the aggregate (the “</w:t>
      </w:r>
      <w:r>
        <w:rPr>
          <w:rFonts w:ascii="Times New Roman" w:cs="Times New Roman" w:eastAsia="Times New Roman" w:hAnsi="Times New Roman"/>
          <w:sz w:val="21"/>
          <w:szCs w:val="21"/>
          <w:b w:val="1"/>
          <w:bCs w:val="1"/>
          <w:color w:val="auto"/>
        </w:rPr>
        <w:t>Honda Commitment</w:t>
      </w:r>
      <w:r>
        <w:rPr>
          <w:rFonts w:ascii="Times New Roman" w:cs="Times New Roman" w:eastAsia="Times New Roman" w:hAnsi="Times New Roman"/>
          <w:sz w:val="21"/>
          <w:szCs w:val="21"/>
          <w:color w:val="auto"/>
        </w:rPr>
        <w:t>”), pursuant to which the Company has issued to Honda 495,000 Class E Common Shares.</w:t>
      </w:r>
    </w:p>
    <w:p>
      <w:pPr>
        <w:spacing w:after="0" w:line="150" w:lineRule="exact"/>
        <w:rPr>
          <w:rFonts w:ascii="Times New Roman" w:cs="Times New Roman" w:eastAsia="Times New Roman" w:hAnsi="Times New Roman"/>
          <w:sz w:val="21"/>
          <w:szCs w:val="21"/>
          <w:color w:val="010000"/>
        </w:rPr>
      </w:pPr>
    </w:p>
    <w:p>
      <w:pPr>
        <w:jc w:val="both"/>
        <w:ind w:firstLine="1297"/>
        <w:spacing w:after="0"/>
        <w:tabs>
          <w:tab w:leader="none" w:pos="1930"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Class F Preferred Shares</w:t>
      </w:r>
      <w:r>
        <w:rPr>
          <w:rFonts w:ascii="Times New Roman" w:cs="Times New Roman" w:eastAsia="Times New Roman" w:hAnsi="Times New Roman"/>
          <w:sz w:val="21"/>
          <w:szCs w:val="21"/>
          <w:color w:val="auto"/>
        </w:rPr>
        <w:t xml:space="preserve">. Pursuant to the Class F Purchase Agreement, and subject to the terms and conditions thereof, each Class F New Member, SoftBank, Honda and GM made the Capital Contributions shown against the name of such Class F Preferred Member on </w:t>
      </w:r>
      <w:r>
        <w:rPr>
          <w:rFonts w:ascii="Times New Roman" w:cs="Times New Roman" w:eastAsia="Times New Roman" w:hAnsi="Times New Roman"/>
          <w:sz w:val="21"/>
          <w:szCs w:val="21"/>
          <w:b w:val="1"/>
          <w:bCs w:val="1"/>
          <w:u w:val="single" w:color="auto"/>
          <w:color w:val="auto"/>
        </w:rPr>
        <w:t>Exhibit III</w:t>
      </w:r>
      <w:r>
        <w:rPr>
          <w:rFonts w:ascii="Times New Roman" w:cs="Times New Roman" w:eastAsia="Times New Roman" w:hAnsi="Times New Roman"/>
          <w:sz w:val="21"/>
          <w:szCs w:val="21"/>
          <w:color w:val="auto"/>
        </w:rPr>
        <w:t>, totaling $1,150,000,025 in the aggregate (the “</w:t>
      </w:r>
      <w:r>
        <w:rPr>
          <w:rFonts w:ascii="Times New Roman" w:cs="Times New Roman" w:eastAsia="Times New Roman" w:hAnsi="Times New Roman"/>
          <w:sz w:val="21"/>
          <w:szCs w:val="21"/>
          <w:b w:val="1"/>
          <w:bCs w:val="1"/>
          <w:color w:val="auto"/>
        </w:rPr>
        <w:t>Class F Commitment</w:t>
      </w:r>
      <w:r>
        <w:rPr>
          <w:rFonts w:ascii="Times New Roman" w:cs="Times New Roman" w:eastAsia="Times New Roman" w:hAnsi="Times New Roman"/>
          <w:sz w:val="21"/>
          <w:szCs w:val="21"/>
          <w:color w:val="auto"/>
        </w:rPr>
        <w:t xml:space="preserve">”), pursuant to which the Company issued to such Class F Preferred Members the Class F Preferred Shares shown against the name of such Class F Preferred Member on </w:t>
      </w:r>
      <w:r>
        <w:rPr>
          <w:rFonts w:ascii="Times New Roman" w:cs="Times New Roman" w:eastAsia="Times New Roman" w:hAnsi="Times New Roman"/>
          <w:sz w:val="21"/>
          <w:szCs w:val="21"/>
          <w:b w:val="1"/>
          <w:bCs w:val="1"/>
          <w:u w:val="single" w:color="auto"/>
          <w:color w:val="auto"/>
        </w:rPr>
        <w:t>Exhibit III</w:t>
      </w:r>
      <w:r>
        <w:rPr>
          <w:rFonts w:ascii="Times New Roman" w:cs="Times New Roman" w:eastAsia="Times New Roman" w:hAnsi="Times New Roman"/>
          <w:sz w:val="21"/>
          <w:szCs w:val="21"/>
          <w:color w:val="auto"/>
        </w:rPr>
        <w:t>, which includes the Deferred Shares (as defined in the Class F Purchase Agreement) issued to SoftBank.</w:t>
      </w:r>
    </w:p>
    <w:p>
      <w:pPr>
        <w:spacing w:after="0" w:line="297"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905"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Class G Preferred Shares</w:t>
      </w:r>
      <w:r>
        <w:rPr>
          <w:rFonts w:ascii="Times New Roman" w:cs="Times New Roman" w:eastAsia="Times New Roman" w:hAnsi="Times New Roman"/>
          <w:sz w:val="21"/>
          <w:szCs w:val="21"/>
          <w:color w:val="auto"/>
        </w:rPr>
        <w:t>. Pursuant to the Class G Purchase Agreement, and subject to the terms and conditions thereof, certain existing Members and the Class G New Members made the Capital Contributions shown against the name of such Class G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9" w:right="339" w:bottom="1440" w:gutter="0" w:footer="0" w:header="0"/>
        </w:sectPr>
      </w:pPr>
    </w:p>
    <w:bookmarkStart w:id="65" w:name="page66"/>
    <w:bookmarkEnd w:id="65"/>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Member on </w:t>
      </w:r>
      <w:r>
        <w:rPr>
          <w:rFonts w:ascii="Times New Roman" w:cs="Times New Roman" w:eastAsia="Times New Roman" w:hAnsi="Times New Roman"/>
          <w:sz w:val="21"/>
          <w:szCs w:val="21"/>
          <w:b w:val="1"/>
          <w:bCs w:val="1"/>
          <w:u w:val="single" w:color="auto"/>
          <w:color w:val="auto"/>
        </w:rPr>
        <w:t>Exhibit EXHIBIT</w:t>
      </w:r>
      <w:r>
        <w:rPr>
          <w:rFonts w:ascii="Times New Roman" w:cs="Times New Roman" w:eastAsia="Times New Roman" w:hAnsi="Times New Roman"/>
          <w:sz w:val="21"/>
          <w:szCs w:val="21"/>
          <w:color w:val="auto"/>
        </w:rPr>
        <w:t xml:space="preserve"> V, in an aggregate amount of up to $3,000,000,000 (the “</w:t>
      </w:r>
      <w:r>
        <w:rPr>
          <w:rFonts w:ascii="Times New Roman" w:cs="Times New Roman" w:eastAsia="Times New Roman" w:hAnsi="Times New Roman"/>
          <w:sz w:val="21"/>
          <w:szCs w:val="21"/>
          <w:b w:val="1"/>
          <w:bCs w:val="1"/>
          <w:color w:val="auto"/>
        </w:rPr>
        <w:t>Class G Commitment</w:t>
      </w:r>
      <w:r>
        <w:rPr>
          <w:rFonts w:ascii="Times New Roman" w:cs="Times New Roman" w:eastAsia="Times New Roman" w:hAnsi="Times New Roman"/>
          <w:sz w:val="21"/>
          <w:szCs w:val="21"/>
          <w:color w:val="auto"/>
        </w:rPr>
        <w:t xml:space="preserve">”), pursuant to which the Company issued to such Class G Preferred Members the Class G Preferred Shares shown against the name of such Class G Preferred Member on </w:t>
      </w:r>
      <w:r>
        <w:rPr>
          <w:rFonts w:ascii="Times New Roman" w:cs="Times New Roman" w:eastAsia="Times New Roman" w:hAnsi="Times New Roman"/>
          <w:sz w:val="21"/>
          <w:szCs w:val="21"/>
          <w:b w:val="1"/>
          <w:bCs w:val="1"/>
          <w:u w:val="single" w:color="auto"/>
          <w:color w:val="auto"/>
        </w:rPr>
        <w:t>Exhibit EXHIBIT</w:t>
      </w:r>
      <w:r>
        <w:rPr>
          <w:rFonts w:ascii="Times New Roman" w:cs="Times New Roman" w:eastAsia="Times New Roman" w:hAnsi="Times New Roman"/>
          <w:sz w:val="21"/>
          <w:szCs w:val="21"/>
          <w:color w:val="auto"/>
        </w:rPr>
        <w:t xml:space="preserve"> V.</w:t>
      </w:r>
    </w:p>
    <w:p>
      <w:pPr>
        <w:spacing w:after="0" w:line="152" w:lineRule="exact"/>
        <w:rPr>
          <w:sz w:val="20"/>
          <w:szCs w:val="20"/>
          <w:color w:val="auto"/>
        </w:rPr>
      </w:pPr>
    </w:p>
    <w:p>
      <w:pPr>
        <w:jc w:val="both"/>
        <w:ind w:firstLine="1297"/>
        <w:spacing w:after="0"/>
        <w:tabs>
          <w:tab w:leader="none" w:pos="1877"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Class H Common Shares</w:t>
      </w:r>
      <w:r>
        <w:rPr>
          <w:rFonts w:ascii="Times New Roman" w:cs="Times New Roman" w:eastAsia="Times New Roman" w:hAnsi="Times New Roman"/>
          <w:sz w:val="21"/>
          <w:szCs w:val="21"/>
          <w:color w:val="auto"/>
        </w:rPr>
        <w:t xml:space="preserve">. In accordance with, and subject to the terms and conditions hereof (including </w:t>
      </w:r>
      <w:r>
        <w:rPr>
          <w:rFonts w:ascii="Times New Roman" w:cs="Times New Roman" w:eastAsia="Times New Roman" w:hAnsi="Times New Roman"/>
          <w:sz w:val="21"/>
          <w:szCs w:val="21"/>
          <w:u w:val="single" w:color="auto"/>
          <w:color w:val="auto"/>
        </w:rPr>
        <w:t>Sections 2.06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2.07(h)(vi)</w:t>
      </w:r>
      <w:r>
        <w:rPr>
          <w:rFonts w:ascii="Times New Roman" w:cs="Times New Roman" w:eastAsia="Times New Roman" w:hAnsi="Times New Roman"/>
          <w:sz w:val="21"/>
          <w:szCs w:val="21"/>
          <w:color w:val="auto"/>
        </w:rPr>
        <w:t xml:space="preserve">) and pursuant to the applicable definitive agreement(s), the Company is authorized to issue, in connection with M&amp;A Transactions, Class H Common Shares to Class H Members shown against the name of such Class H Member on </w:t>
      </w:r>
      <w:r>
        <w:rPr>
          <w:rFonts w:ascii="Times New Roman" w:cs="Times New Roman" w:eastAsia="Times New Roman" w:hAnsi="Times New Roman"/>
          <w:sz w:val="21"/>
          <w:szCs w:val="21"/>
          <w:b w:val="1"/>
          <w:bCs w:val="1"/>
          <w:color w:val="auto"/>
        </w:rPr>
        <w:t>Exhibit 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issuances of Class H Common Shares in connection with M&amp;A Transactions shall not exceed an aggregate of $250,000,000 with respect to any individual calendar year without the prior written consent of the GM Investor.</w:t>
      </w:r>
    </w:p>
    <w:p>
      <w:pPr>
        <w:spacing w:after="0" w:line="293" w:lineRule="exact"/>
        <w:rPr>
          <w:sz w:val="20"/>
          <w:szCs w:val="20"/>
          <w:color w:val="auto"/>
        </w:rPr>
      </w:pPr>
    </w:p>
    <w:p>
      <w:pPr>
        <w:jc w:val="both"/>
        <w:ind w:firstLine="645"/>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2.05 </w:t>
      </w:r>
      <w:r>
        <w:rPr>
          <w:rFonts w:ascii="Times New Roman" w:cs="Times New Roman" w:eastAsia="Times New Roman" w:hAnsi="Times New Roman"/>
          <w:sz w:val="21"/>
          <w:szCs w:val="21"/>
          <w:b w:val="1"/>
          <w:bCs w:val="1"/>
          <w:u w:val="single" w:color="auto"/>
          <w:color w:val="auto"/>
        </w:rPr>
        <w:t>Other Contributions</w:t>
      </w:r>
      <w:r>
        <w:rPr>
          <w:rFonts w:ascii="Times New Roman" w:cs="Times New Roman" w:eastAsia="Times New Roman" w:hAnsi="Times New Roman"/>
          <w:sz w:val="21"/>
          <w:szCs w:val="21"/>
          <w:color w:val="auto"/>
        </w:rPr>
        <w:t>. No Member shall be required to make any contributions to the Company other than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Capital Contributions as provided in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or as otherwise expressly set forth in this Agreement. Subject to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the Company shall not accept any Capital Contributions, other than Capital Contributions in respect of the Commitments, from a Member or any other Person unless the terms and conditions of any such Capital Contribution and related issuance of Shares have been approved by the Board of Directors.</w:t>
      </w:r>
    </w:p>
    <w:p>
      <w:pPr>
        <w:spacing w:after="0" w:line="148" w:lineRule="exact"/>
        <w:rPr>
          <w:sz w:val="20"/>
          <w:szCs w:val="20"/>
          <w:color w:val="auto"/>
        </w:rPr>
      </w:pPr>
    </w:p>
    <w:p>
      <w:pPr>
        <w:jc w:val="both"/>
        <w:ind w:firstLine="645"/>
        <w:spacing w:after="0"/>
        <w:rPr>
          <w:sz w:val="20"/>
          <w:szCs w:val="20"/>
          <w:color w:val="auto"/>
        </w:rPr>
      </w:pPr>
      <w:r>
        <w:rPr>
          <w:rFonts w:ascii="Times New Roman" w:cs="Times New Roman" w:eastAsia="Times New Roman" w:hAnsi="Times New Roman"/>
          <w:sz w:val="21"/>
          <w:szCs w:val="21"/>
          <w:b w:val="1"/>
          <w:bCs w:val="1"/>
          <w:color w:val="auto"/>
        </w:rPr>
        <w:t xml:space="preserve">2.06 </w:t>
      </w:r>
      <w:r>
        <w:rPr>
          <w:rFonts w:ascii="Times New Roman" w:cs="Times New Roman" w:eastAsia="Times New Roman" w:hAnsi="Times New Roman"/>
          <w:sz w:val="21"/>
          <w:szCs w:val="21"/>
          <w:b w:val="1"/>
          <w:bCs w:val="1"/>
          <w:u w:val="single" w:color="auto"/>
          <w:color w:val="auto"/>
        </w:rPr>
        <w:t>Issuances of Shares</w:t>
      </w:r>
      <w:r>
        <w:rPr>
          <w:rFonts w:ascii="Times New Roman" w:cs="Times New Roman" w:eastAsia="Times New Roman" w:hAnsi="Times New Roman"/>
          <w:sz w:val="21"/>
          <w:szCs w:val="21"/>
          <w:color w:val="auto"/>
        </w:rPr>
        <w:t>. Subject to the limitations set forth in this Agreement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the Board of Directors shall have sole and complete discretion in determining whether to issue any Equity Securities, the number and type of Equity Securities to be issued (including the creation of new series or classes of Shares) at any particular time and all other terms and conditions governing any such Equity Securities (including the issuance thereof); provided, that (a) the parties hereto acknowledge and agree that the Subsequent SoftBank Commitment shall be on the terms set forth in this Agreement and shall not require any additional approval of the Board of Directors and (b) except for Class B Common Shares issued in accordance with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the Company shall not issue any Equity Securities (whether denominated as Shares or otherwise) to any Person unless such Person shall have agreed to be bound by this Agreement and shall have executed such documents or instruments as the Board of Directors determines to be necessary or appropriate to effect such Person’s admission as a Member.</w:t>
      </w:r>
    </w:p>
    <w:p>
      <w:pPr>
        <w:spacing w:after="0" w:line="19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2.07</w:t>
      </w:r>
      <w:r>
        <w:rPr>
          <w:sz w:val="20"/>
          <w:szCs w:val="20"/>
          <w:color w:val="auto"/>
        </w:rPr>
        <w:tab/>
      </w:r>
      <w:r>
        <w:rPr>
          <w:rFonts w:ascii="Times New Roman" w:cs="Times New Roman" w:eastAsia="Times New Roman" w:hAnsi="Times New Roman"/>
          <w:sz w:val="21"/>
          <w:szCs w:val="21"/>
          <w:b w:val="1"/>
          <w:bCs w:val="1"/>
          <w:u w:val="single" w:color="auto"/>
          <w:color w:val="auto"/>
        </w:rPr>
        <w:t>Preemptive Rights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35" w:lineRule="auto"/>
        <w:tabs>
          <w:tab w:leader="none" w:pos="1905"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2.07(g)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2.07(h)</w:t>
      </w:r>
      <w:r>
        <w:rPr>
          <w:rFonts w:ascii="Times New Roman" w:cs="Times New Roman" w:eastAsia="Times New Roman" w:hAnsi="Times New Roman"/>
          <w:sz w:val="21"/>
          <w:szCs w:val="21"/>
          <w:color w:val="auto"/>
        </w:rPr>
        <w:t>, if the Company wishes to issue any Equity Securities to any Person or Persons (all such Equity Securities, collectively, the “</w:t>
      </w:r>
      <w:r>
        <w:rPr>
          <w:rFonts w:ascii="Times New Roman" w:cs="Times New Roman" w:eastAsia="Times New Roman" w:hAnsi="Times New Roman"/>
          <w:sz w:val="21"/>
          <w:szCs w:val="21"/>
          <w:b w:val="1"/>
          <w:bCs w:val="1"/>
          <w:color w:val="auto"/>
        </w:rPr>
        <w:t>New Securities</w:t>
      </w:r>
      <w:r>
        <w:rPr>
          <w:rFonts w:ascii="Times New Roman" w:cs="Times New Roman" w:eastAsia="Times New Roman" w:hAnsi="Times New Roman"/>
          <w:sz w:val="21"/>
          <w:szCs w:val="21"/>
          <w:color w:val="auto"/>
        </w:rPr>
        <w:t>”), then the Company shall promptly deliver a written notice of intention to sell (the “</w:t>
      </w:r>
      <w:r>
        <w:rPr>
          <w:rFonts w:ascii="Times New Roman" w:cs="Times New Roman" w:eastAsia="Times New Roman" w:hAnsi="Times New Roman"/>
          <w:sz w:val="21"/>
          <w:szCs w:val="21"/>
          <w:b w:val="1"/>
          <w:bCs w:val="1"/>
          <w:color w:val="auto"/>
        </w:rPr>
        <w:t>Preemptive Rights Notice</w:t>
      </w:r>
      <w:r>
        <w:rPr>
          <w:rFonts w:ascii="Times New Roman" w:cs="Times New Roman" w:eastAsia="Times New Roman" w:hAnsi="Times New Roman"/>
          <w:sz w:val="21"/>
          <w:szCs w:val="21"/>
          <w:color w:val="auto"/>
        </w:rPr>
        <w:t xml:space="preserve">”) to each holder of Preemptive Shares setting forth a description of the New Securities to be sold, the proposed purchase price, the aggregate number of New Securities to be sold and the terms and conditions of sale. Upon receipt of the Preemptive Rights Notice, each holder of Preemptive Shares shall have the right, during the Acceptance Period, to elect to purchase, at the price and on the terms and conditions stated in the Preemptive Rights Notice, up to the number of New Securities equal to the product of (i) such holder’s Preemptive Proportion, multiplied by (ii) the aggregate number of New Securities to be issued; provided, that if the New Securities consist of more than one class, series or type of Equity Securities, then any holder of Preemptive Shares who elects to purchase such New Securities pursuant to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must purchase the same proportionate mix of all of such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New Securities are issued in connection with any debt financing undertaken by the Company or any of its Subsidiaries and to which preemptive rights otherwise apply pursuant to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then any Class A-1 Member, Class D Member, Class E Member, Class F Preferred Member, or Class G Preferred Member who elects to purchase such New Securities pursuant to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must, to be eligible to receive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5" w:right="339" w:bottom="1440" w:gutter="0" w:footer="0" w:header="0"/>
        </w:sectPr>
      </w:pPr>
    </w:p>
    <w:bookmarkStart w:id="66" w:name="page67"/>
    <w:bookmarkEnd w:id="66"/>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New Securities, participate in the underlying debt instrument for such financing (A) with and on the same terms as the other lenders thereunder and (B) in the same percentage as their Preemptive Proportion of New Securities that such Member wishes to purchase pursuant to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1297"/>
        <w:spacing w:after="0"/>
        <w:tabs>
          <w:tab w:leader="none" w:pos="1783"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one or more holders of Preemptive Shares do not elect to purchase their entire share of the New Securities (such aggregate portion of New Securities that has not been so elected, the “</w:t>
      </w:r>
      <w:r>
        <w:rPr>
          <w:rFonts w:ascii="Times New Roman" w:cs="Times New Roman" w:eastAsia="Times New Roman" w:hAnsi="Times New Roman"/>
          <w:sz w:val="21"/>
          <w:szCs w:val="21"/>
          <w:b w:val="1"/>
          <w:bCs w:val="1"/>
          <w:color w:val="auto"/>
        </w:rPr>
        <w:t>Excess New Securities</w:t>
      </w:r>
      <w:r>
        <w:rPr>
          <w:rFonts w:ascii="Times New Roman" w:cs="Times New Roman" w:eastAsia="Times New Roman" w:hAnsi="Times New Roman"/>
          <w:sz w:val="21"/>
          <w:szCs w:val="21"/>
          <w:color w:val="auto"/>
        </w:rPr>
        <w:t>”), then the Company will offer, by written notice (the “</w:t>
      </w:r>
      <w:r>
        <w:rPr>
          <w:rFonts w:ascii="Times New Roman" w:cs="Times New Roman" w:eastAsia="Times New Roman" w:hAnsi="Times New Roman"/>
          <w:sz w:val="21"/>
          <w:szCs w:val="21"/>
          <w:b w:val="1"/>
          <w:bCs w:val="1"/>
          <w:color w:val="auto"/>
        </w:rPr>
        <w:t>Supplemental Preemptive Rights Notice</w:t>
      </w:r>
      <w:r>
        <w:rPr>
          <w:rFonts w:ascii="Times New Roman" w:cs="Times New Roman" w:eastAsia="Times New Roman" w:hAnsi="Times New Roman"/>
          <w:sz w:val="21"/>
          <w:szCs w:val="21"/>
          <w:color w:val="auto"/>
        </w:rPr>
        <w:t xml:space="preserve">”), to each holder of Preemptive Shares who has elected to purchase his, her or its entire proportion of the New Securities allocated to such holder pursuant to </w:t>
      </w:r>
      <w:r>
        <w:rPr>
          <w:rFonts w:ascii="Times New Roman" w:cs="Times New Roman" w:eastAsia="Times New Roman" w:hAnsi="Times New Roman"/>
          <w:sz w:val="21"/>
          <w:szCs w:val="21"/>
          <w:u w:val="single" w:color="auto"/>
          <w:color w:val="auto"/>
        </w:rPr>
        <w:t>Section 2.07(a)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Overallotment Investors</w:t>
      </w:r>
      <w:r>
        <w:rPr>
          <w:rFonts w:ascii="Times New Roman" w:cs="Times New Roman" w:eastAsia="Times New Roman" w:hAnsi="Times New Roman"/>
          <w:sz w:val="21"/>
          <w:szCs w:val="21"/>
          <w:color w:val="auto"/>
        </w:rPr>
        <w:t>”) the right to elect to purchase, at the price and on the terms and conditions stated in the Preemptive Rights Notice:</w:t>
      </w:r>
    </w:p>
    <w:p>
      <w:pPr>
        <w:spacing w:after="0" w:line="297" w:lineRule="exact"/>
        <w:rPr>
          <w:rFonts w:ascii="Times New Roman" w:cs="Times New Roman" w:eastAsia="Times New Roman" w:hAnsi="Times New Roman"/>
          <w:sz w:val="21"/>
          <w:szCs w:val="21"/>
          <w:color w:val="010000"/>
        </w:rPr>
      </w:pPr>
    </w:p>
    <w:p>
      <w:pPr>
        <w:ind w:firstLine="1942"/>
        <w:spacing w:after="0" w:line="251" w:lineRule="auto"/>
        <w:tabs>
          <w:tab w:leader="none" w:pos="2353" w:val="left"/>
        </w:tabs>
        <w:numPr>
          <w:ilvl w:val="1"/>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 to such Overallotment Investor’s Second Preemptive Proportion of such Excess New Securities (the “</w:t>
      </w:r>
      <w:r>
        <w:rPr>
          <w:rFonts w:ascii="Times New Roman" w:cs="Times New Roman" w:eastAsia="Times New Roman" w:hAnsi="Times New Roman"/>
          <w:sz w:val="21"/>
          <w:szCs w:val="21"/>
          <w:b w:val="1"/>
          <w:bCs w:val="1"/>
          <w:color w:val="auto"/>
        </w:rPr>
        <w:t>First Overallotment Process</w:t>
      </w:r>
      <w:r>
        <w:rPr>
          <w:rFonts w:ascii="Times New Roman" w:cs="Times New Roman" w:eastAsia="Times New Roman" w:hAnsi="Times New Roman"/>
          <w:sz w:val="21"/>
          <w:szCs w:val="21"/>
          <w:color w:val="auto"/>
        </w:rPr>
        <w:t>”); and</w:t>
      </w:r>
    </w:p>
    <w:p>
      <w:pPr>
        <w:spacing w:after="0" w:line="139"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614" w:val="left"/>
        </w:tabs>
        <w:numPr>
          <w:ilvl w:val="1"/>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following completion of the First Overallotment Process, up to such Overallotment Investor’s Remaining Preemptive Proportion of such Excess New Securities that remain available for purchase following the First Overallotment Process.</w:t>
      </w:r>
    </w:p>
    <w:p>
      <w:pPr>
        <w:spacing w:after="0" w:line="150" w:lineRule="exact"/>
        <w:rPr>
          <w:rFonts w:ascii="Times New Roman" w:cs="Times New Roman" w:eastAsia="Times New Roman" w:hAnsi="Times New Roman"/>
          <w:sz w:val="21"/>
          <w:szCs w:val="21"/>
          <w:color w:val="010000"/>
        </w:rPr>
      </w:pPr>
    </w:p>
    <w:p>
      <w:pPr>
        <w:jc w:val="both"/>
        <w:ind w:firstLine="1297"/>
        <w:spacing w:after="0"/>
        <w:tabs>
          <w:tab w:leader="none" w:pos="1851"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All elections under </w:t>
      </w:r>
      <w:r>
        <w:rPr>
          <w:rFonts w:ascii="Times New Roman" w:cs="Times New Roman" w:eastAsia="Times New Roman" w:hAnsi="Times New Roman"/>
          <w:sz w:val="21"/>
          <w:szCs w:val="21"/>
          <w:u w:val="single" w:color="auto"/>
          <w:color w:val="auto"/>
        </w:rPr>
        <w:t>Section 2.07(a)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2.07(b)</w:t>
      </w:r>
      <w:r>
        <w:rPr>
          <w:rFonts w:ascii="Times New Roman" w:cs="Times New Roman" w:eastAsia="Times New Roman" w:hAnsi="Times New Roman"/>
          <w:sz w:val="21"/>
          <w:szCs w:val="21"/>
          <w:color w:val="auto"/>
        </w:rPr>
        <w:t xml:space="preserve"> must be made by written notice to the Company within fifteen (15) days (or such later date determined by the Board of Directors) after receipt by such holder of Preemptive Shares of (as applicable) the Preemptive Rights Notice or the Supplemental Preemptive Rights Notice (the “</w:t>
      </w:r>
      <w:r>
        <w:rPr>
          <w:rFonts w:ascii="Times New Roman" w:cs="Times New Roman" w:eastAsia="Times New Roman" w:hAnsi="Times New Roman"/>
          <w:sz w:val="21"/>
          <w:szCs w:val="21"/>
          <w:b w:val="1"/>
          <w:bCs w:val="1"/>
          <w:color w:val="auto"/>
        </w:rPr>
        <w:t>Acceptance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w:t>
      </w:r>
    </w:p>
    <w:p>
      <w:pPr>
        <w:spacing w:after="0" w:line="350" w:lineRule="exact"/>
        <w:rPr>
          <w:rFonts w:ascii="Times New Roman" w:cs="Times New Roman" w:eastAsia="Times New Roman" w:hAnsi="Times New Roman"/>
          <w:sz w:val="21"/>
          <w:szCs w:val="21"/>
          <w:color w:val="010000"/>
        </w:rPr>
      </w:pPr>
    </w:p>
    <w:p>
      <w:pPr>
        <w:jc w:val="both"/>
        <w:ind w:firstLine="1297"/>
        <w:spacing w:after="0" w:line="224" w:lineRule="auto"/>
        <w:tabs>
          <w:tab w:leader="none" w:pos="1850"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holders of Preemptive Shares have not elected to purchase all of the New Securities described in a Preemptive Rights Notice, then the Company may, at its election, during the period of ninety (90) days immediately following the expiration of the Acceptance Period therefor (or the expiration of the Acceptance Period relating to the Supplemental Preemptive Rights Notice, if the same is issued), sell and issue any of the New Securities not elected for purchase pursuant to </w:t>
      </w:r>
      <w:r>
        <w:rPr>
          <w:rFonts w:ascii="Times New Roman" w:cs="Times New Roman" w:eastAsia="Times New Roman" w:hAnsi="Times New Roman"/>
          <w:sz w:val="21"/>
          <w:szCs w:val="21"/>
          <w:u w:val="single" w:color="auto"/>
          <w:color w:val="auto"/>
        </w:rPr>
        <w:t>Section 2.07(a)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2.07(b)</w:t>
      </w:r>
      <w:r>
        <w:rPr>
          <w:rFonts w:ascii="Times New Roman" w:cs="Times New Roman" w:eastAsia="Times New Roman" w:hAnsi="Times New Roman"/>
          <w:sz w:val="21"/>
          <w:szCs w:val="21"/>
          <w:color w:val="auto"/>
        </w:rPr>
        <w:t xml:space="preserve"> to any Person(s) at a price and upon terms and conditions no more favorable, in the aggregate, to such Person(s) than those stated in the Preemptive Rights Notice.</w:t>
      </w:r>
    </w:p>
    <w:p>
      <w:pPr>
        <w:spacing w:after="0" w:line="152"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43"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the event the Company has not sold the New Securities to be issued within such ninety (90) day period, the Company shall not thereafter issue or sell any such New Securities without once again offering such securities to each holder of Preemptive Shares in the manner provided in </w:t>
      </w:r>
      <w:r>
        <w:rPr>
          <w:rFonts w:ascii="Times New Roman" w:cs="Times New Roman" w:eastAsia="Times New Roman" w:hAnsi="Times New Roman"/>
          <w:sz w:val="21"/>
          <w:szCs w:val="21"/>
          <w:u w:val="single" w:color="auto"/>
          <w:color w:val="auto"/>
        </w:rPr>
        <w:t>Section 2.07(a)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2.07(b)</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010000"/>
        </w:rPr>
      </w:pPr>
    </w:p>
    <w:p>
      <w:pPr>
        <w:jc w:val="both"/>
        <w:ind w:firstLine="1297"/>
        <w:spacing w:after="0" w:line="224" w:lineRule="auto"/>
        <w:tabs>
          <w:tab w:leader="none" w:pos="1720"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a holder of Preemptive Shares elects to purchase any of the New Securities, payment therefor shall be made by wire transfer against delivery of such New Securities at the principal office of the Company within fifteen (15) days of such election unless a later date is mutually agreed between the Company and such holder of Preemptive Shares; provided, that if SoftBank elects to purchase any of the New Securities, to the extent necessary in order to accommodate the time required to call capital to purchase the Preemptive Shares, payment therefor shall be made by wire transfer against delivery of such New Securities at the principal office of the Company within thirty five (35) days of such election by SoftBank.</w:t>
      </w:r>
    </w:p>
    <w:p>
      <w:pPr>
        <w:spacing w:after="0" w:line="152"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783"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this Agreement, (i) no holder of Preemptive Shares shall have a right to purchase New Securities pursuant to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if such purchase will, in the good faith determination of the Board of Directors, violate any applicable laws (whether or not such violation may be cured by a filing of a registration statement or any other special disclosure) and (ii) in lieu of offering any New Securities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88" w:right="339" w:bottom="1440" w:gutter="0" w:footer="0" w:header="0"/>
        </w:sectPr>
      </w:pPr>
    </w:p>
    <w:bookmarkStart w:id="67" w:name="page68"/>
    <w:bookmarkEnd w:id="67"/>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holder of Preemptive Shares prior to the time such New Securities are offered or sold to any other Person or Persons, the Company may comply with the provisions of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by first issuing New Securities to such other Person or Persons, and promptly after such issuance (or acceptance) (and, in any event, within thirty (30) days thereafter) making an offer to sell (or causing such other Person or Persons to offer to sell), to the holders of Preemptive Shares, New Securities in such a manner so as to enable such holders of Preemptive Shares to effectively exercise their respective rights pursuant to </w:t>
      </w:r>
      <w:r>
        <w:rPr>
          <w:rFonts w:ascii="Times New Roman" w:cs="Times New Roman" w:eastAsia="Times New Roman" w:hAnsi="Times New Roman"/>
          <w:sz w:val="21"/>
          <w:szCs w:val="21"/>
          <w:u w:val="single" w:color="auto"/>
          <w:color w:val="auto"/>
        </w:rPr>
        <w:t>Section 2.07(a)</w:t>
      </w:r>
      <w:r>
        <w:rPr>
          <w:rFonts w:ascii="Times New Roman" w:cs="Times New Roman" w:eastAsia="Times New Roman" w:hAnsi="Times New Roman"/>
          <w:sz w:val="21"/>
          <w:szCs w:val="21"/>
          <w:color w:val="auto"/>
        </w:rPr>
        <w:t xml:space="preserve"> and/or </w:t>
      </w:r>
      <w:r>
        <w:rPr>
          <w:rFonts w:ascii="Times New Roman" w:cs="Times New Roman" w:eastAsia="Times New Roman" w:hAnsi="Times New Roman"/>
          <w:sz w:val="21"/>
          <w:szCs w:val="21"/>
          <w:u w:val="single" w:color="auto"/>
          <w:color w:val="auto"/>
        </w:rPr>
        <w:t>Section 2.07(b)</w:t>
      </w:r>
      <w:r>
        <w:rPr>
          <w:rFonts w:ascii="Times New Roman" w:cs="Times New Roman" w:eastAsia="Times New Roman" w:hAnsi="Times New Roman"/>
          <w:sz w:val="21"/>
          <w:szCs w:val="21"/>
          <w:color w:val="auto"/>
        </w:rPr>
        <w:t xml:space="preserve"> with respect to their purchase, for cash, of such New Securities as they would have been entitled to purchase pursuant to </w:t>
      </w:r>
      <w:r>
        <w:rPr>
          <w:rFonts w:ascii="Times New Roman" w:cs="Times New Roman" w:eastAsia="Times New Roman" w:hAnsi="Times New Roman"/>
          <w:sz w:val="21"/>
          <w:szCs w:val="21"/>
          <w:u w:val="single" w:color="auto"/>
          <w:color w:val="auto"/>
        </w:rPr>
        <w:t>Section 2.07(a)</w:t>
      </w:r>
      <w:r>
        <w:rPr>
          <w:rFonts w:ascii="Times New Roman" w:cs="Times New Roman" w:eastAsia="Times New Roman" w:hAnsi="Times New Roman"/>
          <w:sz w:val="21"/>
          <w:szCs w:val="21"/>
          <w:color w:val="auto"/>
        </w:rPr>
        <w:t xml:space="preserve"> and/or </w:t>
      </w:r>
      <w:r>
        <w:rPr>
          <w:rFonts w:ascii="Times New Roman" w:cs="Times New Roman" w:eastAsia="Times New Roman" w:hAnsi="Times New Roman"/>
          <w:sz w:val="21"/>
          <w:szCs w:val="21"/>
          <w:u w:val="single" w:color="auto"/>
          <w:color w:val="auto"/>
        </w:rPr>
        <w:t>Section 2.07(b)</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firstLine="1297"/>
        <w:spacing w:after="0" w:line="251" w:lineRule="auto"/>
        <w:tabs>
          <w:tab w:leader="none" w:pos="1930"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the preemptive rights contained in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shall not apply to:</w:t>
      </w:r>
    </w:p>
    <w:p>
      <w:pPr>
        <w:spacing w:after="0" w:line="139" w:lineRule="exact"/>
        <w:rPr>
          <w:rFonts w:ascii="Times New Roman" w:cs="Times New Roman" w:eastAsia="Times New Roman" w:hAnsi="Times New Roman"/>
          <w:sz w:val="21"/>
          <w:szCs w:val="21"/>
          <w:color w:val="010000"/>
        </w:rPr>
      </w:pPr>
    </w:p>
    <w:p>
      <w:pPr>
        <w:ind w:firstLine="1942"/>
        <w:spacing w:after="0" w:line="251" w:lineRule="auto"/>
        <w:tabs>
          <w:tab w:leader="none" w:pos="2581" w:val="left"/>
        </w:tabs>
        <w:numPr>
          <w:ilvl w:val="1"/>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Equity Securities issued pursuant to the funding of the GM Commitment, the SoftBank Commitment and the Subsequent SoftBank Commitment;</w:t>
      </w:r>
    </w:p>
    <w:p>
      <w:pPr>
        <w:spacing w:after="0" w:line="139" w:lineRule="exact"/>
        <w:rPr>
          <w:rFonts w:ascii="Times New Roman" w:cs="Times New Roman" w:eastAsia="Times New Roman" w:hAnsi="Times New Roman"/>
          <w:sz w:val="21"/>
          <w:szCs w:val="21"/>
          <w:color w:val="010000"/>
        </w:rPr>
      </w:pPr>
    </w:p>
    <w:p>
      <w:pPr>
        <w:ind w:left="2420" w:hanging="478"/>
        <w:spacing w:after="0"/>
        <w:tabs>
          <w:tab w:leader="none" w:pos="2420" w:val="left"/>
        </w:tabs>
        <w:numPr>
          <w:ilvl w:val="1"/>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Equity Securities issued pursuant to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2.11</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010000"/>
        </w:rPr>
      </w:pPr>
    </w:p>
    <w:p>
      <w:pPr>
        <w:ind w:firstLine="1942"/>
        <w:spacing w:after="0" w:line="251" w:lineRule="auto"/>
        <w:tabs>
          <w:tab w:leader="none" w:pos="2472" w:val="left"/>
        </w:tabs>
        <w:numPr>
          <w:ilvl w:val="1"/>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Class B Common Shares that may be issued to Participants and/or Employee Members, including upon the exercise or settlement of any Equity Award;</w:t>
      </w:r>
    </w:p>
    <w:p>
      <w:pPr>
        <w:spacing w:after="0" w:line="139" w:lineRule="exact"/>
        <w:rPr>
          <w:rFonts w:ascii="Times New Roman" w:cs="Times New Roman" w:eastAsia="Times New Roman" w:hAnsi="Times New Roman"/>
          <w:sz w:val="21"/>
          <w:szCs w:val="21"/>
          <w:color w:val="010000"/>
        </w:rPr>
      </w:pPr>
    </w:p>
    <w:p>
      <w:pPr>
        <w:ind w:left="2460" w:hanging="518"/>
        <w:spacing w:after="0"/>
        <w:tabs>
          <w:tab w:leader="none" w:pos="2460" w:val="left"/>
        </w:tabs>
        <w:numPr>
          <w:ilvl w:val="1"/>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Equity Securities issued in connection with an IPO (including pursuant to </w:t>
      </w:r>
      <w:r>
        <w:rPr>
          <w:rFonts w:ascii="Times New Roman" w:cs="Times New Roman" w:eastAsia="Times New Roman" w:hAnsi="Times New Roman"/>
          <w:sz w:val="21"/>
          <w:szCs w:val="21"/>
          <w:u w:val="single" w:color="auto"/>
          <w:color w:val="auto"/>
        </w:rPr>
        <w:t>Section 9.10(c)</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010000"/>
        </w:rPr>
      </w:pPr>
    </w:p>
    <w:p>
      <w:pPr>
        <w:ind w:firstLine="1942"/>
        <w:spacing w:after="0" w:line="251" w:lineRule="auto"/>
        <w:tabs>
          <w:tab w:leader="none" w:pos="2401" w:val="left"/>
        </w:tabs>
        <w:numPr>
          <w:ilvl w:val="1"/>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Equity Securities issued upon any subdivision, split, recapitalization, reclassification, combination or similar reorganization; and</w:t>
      </w:r>
    </w:p>
    <w:p>
      <w:pPr>
        <w:spacing w:after="0" w:line="139" w:lineRule="exact"/>
        <w:rPr>
          <w:rFonts w:ascii="Times New Roman" w:cs="Times New Roman" w:eastAsia="Times New Roman" w:hAnsi="Times New Roman"/>
          <w:sz w:val="21"/>
          <w:szCs w:val="21"/>
          <w:color w:val="010000"/>
        </w:rPr>
      </w:pPr>
    </w:p>
    <w:p>
      <w:pPr>
        <w:jc w:val="both"/>
        <w:ind w:firstLine="1942"/>
        <w:spacing w:after="0" w:line="221" w:lineRule="auto"/>
        <w:tabs>
          <w:tab w:leader="none" w:pos="2460" w:val="left"/>
        </w:tabs>
        <w:numPr>
          <w:ilvl w:val="1"/>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Equity Securities (including any Class H Common Shares) issued in connection with any merger, consolidation, acquisition for stock, business combination, purchase of assets or business(es) of, or any similar extraordinary transaction with a third party (each, an “</w:t>
      </w:r>
      <w:r>
        <w:rPr>
          <w:rFonts w:ascii="Times New Roman" w:cs="Times New Roman" w:eastAsia="Times New Roman" w:hAnsi="Times New Roman"/>
          <w:sz w:val="21"/>
          <w:szCs w:val="21"/>
          <w:b w:val="1"/>
          <w:bCs w:val="1"/>
          <w:color w:val="auto"/>
        </w:rPr>
        <w:t>M&amp;A Transaction</w:t>
      </w:r>
      <w:r>
        <w:rPr>
          <w:rFonts w:ascii="Times New Roman" w:cs="Times New Roman" w:eastAsia="Times New Roman" w:hAnsi="Times New Roman"/>
          <w:sz w:val="21"/>
          <w:szCs w:val="21"/>
          <w:color w:val="auto"/>
        </w:rPr>
        <w:t xml:space="preserve">”); provided that the value (measured as of the date of issuance) of such Equity Securities issued by the Company pursuant to the exemption set forth in this </w:t>
      </w:r>
      <w:r>
        <w:rPr>
          <w:rFonts w:ascii="Times New Roman" w:cs="Times New Roman" w:eastAsia="Times New Roman" w:hAnsi="Times New Roman"/>
          <w:sz w:val="21"/>
          <w:szCs w:val="21"/>
          <w:u w:val="single" w:color="auto"/>
          <w:color w:val="auto"/>
        </w:rPr>
        <w:t>Section 2.07(h)(iv)</w:t>
      </w:r>
      <w:r>
        <w:rPr>
          <w:rFonts w:ascii="Times New Roman" w:cs="Times New Roman" w:eastAsia="Times New Roman" w:hAnsi="Times New Roman"/>
          <w:sz w:val="21"/>
          <w:szCs w:val="21"/>
          <w:color w:val="auto"/>
        </w:rPr>
        <w:t xml:space="preserve"> does not exceed an aggregate of $250,000,000 with respect to any individual calendar year (it being understood that in the event such $250,000,000 cap is exceeded in any given calendar year, the preemptive rights contained in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will apply (subject to the other limitations set forth in this Agreement) solely with respect to that portion of Equity Securities issued in excess of such cap in such calendar year).</w:t>
      </w:r>
    </w:p>
    <w:p>
      <w:pPr>
        <w:spacing w:after="0" w:line="152" w:lineRule="exact"/>
        <w:rPr>
          <w:sz w:val="20"/>
          <w:szCs w:val="20"/>
          <w:color w:val="auto"/>
        </w:rPr>
      </w:pPr>
    </w:p>
    <w:p>
      <w:pPr>
        <w:ind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2.08 </w:t>
      </w:r>
      <w:r>
        <w:rPr>
          <w:rFonts w:ascii="Times New Roman" w:cs="Times New Roman" w:eastAsia="Times New Roman" w:hAnsi="Times New Roman"/>
          <w:sz w:val="21"/>
          <w:szCs w:val="21"/>
          <w:b w:val="1"/>
          <w:bCs w:val="1"/>
          <w:u w:val="single" w:color="auto"/>
          <w:color w:val="auto"/>
        </w:rPr>
        <w:t>Certificates</w:t>
      </w:r>
      <w:r>
        <w:rPr>
          <w:rFonts w:ascii="Times New Roman" w:cs="Times New Roman" w:eastAsia="Times New Roman" w:hAnsi="Times New Roman"/>
          <w:sz w:val="21"/>
          <w:szCs w:val="21"/>
          <w:color w:val="auto"/>
        </w:rPr>
        <w:t>. The Company may, but shall not be required to, issue certificates representing Shares (“</w:t>
      </w:r>
      <w:r>
        <w:rPr>
          <w:rFonts w:ascii="Times New Roman" w:cs="Times New Roman" w:eastAsia="Times New Roman" w:hAnsi="Times New Roman"/>
          <w:sz w:val="21"/>
          <w:szCs w:val="21"/>
          <w:b w:val="1"/>
          <w:bCs w:val="1"/>
          <w:color w:val="auto"/>
        </w:rPr>
        <w:t>Certificated Shares</w:t>
      </w:r>
      <w:r>
        <w:rPr>
          <w:rFonts w:ascii="Times New Roman" w:cs="Times New Roman" w:eastAsia="Times New Roman" w:hAnsi="Times New Roman"/>
          <w:sz w:val="21"/>
          <w:szCs w:val="21"/>
          <w:color w:val="auto"/>
        </w:rPr>
        <w:t>”).</w:t>
      </w:r>
    </w:p>
    <w:p>
      <w:pPr>
        <w:spacing w:after="0" w:line="13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2.09</w:t>
      </w:r>
      <w:r>
        <w:rPr>
          <w:sz w:val="20"/>
          <w:szCs w:val="20"/>
          <w:color w:val="auto"/>
        </w:rPr>
        <w:tab/>
      </w:r>
      <w:r>
        <w:rPr>
          <w:rFonts w:ascii="Times New Roman" w:cs="Times New Roman" w:eastAsia="Times New Roman" w:hAnsi="Times New Roman"/>
          <w:sz w:val="21"/>
          <w:szCs w:val="21"/>
          <w:b w:val="1"/>
          <w:bCs w:val="1"/>
          <w:u w:val="single" w:color="auto"/>
          <w:color w:val="auto"/>
        </w:rPr>
        <w:t>Repurchase Rights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2" w:lineRule="auto"/>
        <w:tabs>
          <w:tab w:leader="none" w:pos="1905"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an Employee Member ceases to be employed by or provide services to the Company or any of its Subsidiaries for any reason, then the Company shall have the right (but not the obligation) to repurchase all or any portion of the Class B Common Shares held by such Employee Member and his or her Permitted Transferees and not otherwise forfeited (pursuant to this Agreement, the relevant employee incentive plan in place at the time or the applicable Award Agreement or other agreement (or agreements) with the Company) at a price per Class B Common Share specified by, on the timeline provided by, and otherwise on the terms and conditions contained within, the 2018 Incentive Plan, an Award Agreement or other agreement (or agreements) between an Employee Member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9" w:right="339" w:bottom="1440" w:gutter="0" w:footer="0" w:header="0"/>
        </w:sectPr>
      </w:pPr>
    </w:p>
    <w:bookmarkStart w:id="68" w:name="page69"/>
    <w:bookmarkEnd w:id="68"/>
    <w:p>
      <w:pPr>
        <w:jc w:val="both"/>
        <w:ind w:firstLine="1297"/>
        <w:spacing w:after="0" w:line="229" w:lineRule="auto"/>
        <w:tabs>
          <w:tab w:leader="none" w:pos="1783"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Class B Common Share that is withheld, repurchased or otherwise acquired by the Company (including by virtue of a net exercise of an Equity Award and/or to satisfy tax withholding) shall be terminated and cease to be outstanding and shall not be available for subsequent reissuance and such number of shares shall not again become available for issuance under the 2018 Incentive Plan.</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2.10</w:t>
      </w:r>
      <w:r>
        <w:rPr>
          <w:sz w:val="20"/>
          <w:szCs w:val="20"/>
          <w:color w:val="auto"/>
        </w:rPr>
        <w:tab/>
      </w:r>
      <w:r>
        <w:rPr>
          <w:rFonts w:ascii="Times New Roman" w:cs="Times New Roman" w:eastAsia="Times New Roman" w:hAnsi="Times New Roman"/>
          <w:sz w:val="21"/>
          <w:szCs w:val="21"/>
          <w:b w:val="1"/>
          <w:bCs w:val="1"/>
          <w:u w:val="single" w:color="auto"/>
          <w:color w:val="auto"/>
        </w:rPr>
        <w:t>Optional A-1 Conversion</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tabs>
          <w:tab w:leader="none" w:pos="1743"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Class A-1 Preferred Member shall have the right, at such Member’s option, at any time and from time to time to convert all or any portion of the Class A-1 Preferred Shares held by such Member into Class D Common Shares by providing the Company with written notice of such conversion. A conversion of Class A-1 Preferred Shares pursuant to this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xml:space="preserve"> shall be effective as of the close of business on the first (1st) Business Day after the Company’s receipt of the conversion notice.</w:t>
      </w:r>
    </w:p>
    <w:p>
      <w:pPr>
        <w:spacing w:after="0" w:line="323"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83"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connection with any conversion pursuant to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(i) each Class A-1-A Preferred Share will be converted into Class D Common Shares at the A-1-A Preferred Share Conversion Ratio and (ii) each Class A-1-B Preferred Share will be converted into Class D Common Shares at the A-1-B Preferred Share Conversion Ratio.</w:t>
      </w:r>
    </w:p>
    <w:p>
      <w:pPr>
        <w:spacing w:after="0" w:line="150" w:lineRule="exact"/>
        <w:rPr>
          <w:rFonts w:ascii="Times New Roman" w:cs="Times New Roman" w:eastAsia="Times New Roman" w:hAnsi="Times New Roman"/>
          <w:sz w:val="21"/>
          <w:szCs w:val="21"/>
          <w:color w:val="010000"/>
        </w:rPr>
      </w:pPr>
    </w:p>
    <w:p>
      <w:pPr>
        <w:jc w:val="both"/>
        <w:ind w:firstLine="1297"/>
        <w:spacing w:after="0"/>
        <w:tabs>
          <w:tab w:leader="none" w:pos="1824"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in this Agreement to the contrary, each Class A-1 Preferred Share that has been converted into a Class D Common Share under this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shall cease to have the rights, preferences and privileges provided under this Agreement for the Class A-1 Preferred Shares and shall thereafter be treated as a Class D Common Share for all purposes.</w:t>
      </w:r>
    </w:p>
    <w:p>
      <w:pPr>
        <w:spacing w:after="0" w:line="34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2.11</w:t>
      </w:r>
      <w:r>
        <w:rPr>
          <w:sz w:val="20"/>
          <w:szCs w:val="20"/>
          <w:color w:val="auto"/>
        </w:rPr>
        <w:tab/>
      </w:r>
      <w:r>
        <w:rPr>
          <w:rFonts w:ascii="Times New Roman" w:cs="Times New Roman" w:eastAsia="Times New Roman" w:hAnsi="Times New Roman"/>
          <w:sz w:val="21"/>
          <w:szCs w:val="21"/>
          <w:b w:val="1"/>
          <w:bCs w:val="1"/>
          <w:u w:val="single" w:color="auto"/>
          <w:color w:val="auto"/>
        </w:rPr>
        <w:t>Optional A-2 Conversion</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4" w:lineRule="auto"/>
        <w:tabs>
          <w:tab w:leader="none" w:pos="1743"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Class A-2 Preferred Member shall have the right, at such Member’s option, at any time and from time to time, to convert all or any portion of the Class A-2 Preferred Shares held by such Member into Class C Common Shares, at a 1:1 ratio (as adjusted to reflect appropriate and proportional adjustments to take into account any subdivision, reorganization, reclassification, recapitalization, stock split, reverse stock split, combination of shares or similar event) by providing the Company with written notice of such conversion. A conversion of Class A-2 Preferred Shares pursuant to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shall be effective as of the close of business on the first (1st) Business Day after the Company’s receipt of the conversion notice.</w:t>
      </w:r>
    </w:p>
    <w:p>
      <w:pPr>
        <w:spacing w:after="0" w:line="152" w:lineRule="exact"/>
        <w:rPr>
          <w:rFonts w:ascii="Times New Roman" w:cs="Times New Roman" w:eastAsia="Times New Roman" w:hAnsi="Times New Roman"/>
          <w:sz w:val="21"/>
          <w:szCs w:val="21"/>
          <w:color w:val="010000"/>
        </w:rPr>
      </w:pPr>
    </w:p>
    <w:p>
      <w:pPr>
        <w:jc w:val="both"/>
        <w:ind w:firstLine="1297"/>
        <w:spacing w:after="0"/>
        <w:tabs>
          <w:tab w:leader="none" w:pos="1823"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in this Agreement to the contrary, each Class A-2 Preferred Share that has been converted into a Class C Common Share under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shall cease to have the rights, preferences and privileges provided under this Agreement for the Class A-2 Preferred Shares and shall thereafter be treated as a Class C Common Share for all purposes.</w:t>
      </w:r>
    </w:p>
    <w:p>
      <w:pPr>
        <w:spacing w:after="0" w:line="3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III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DISTRIBUTIONS</w:t>
      </w:r>
    </w:p>
    <w:p>
      <w:pPr>
        <w:spacing w:after="0" w:line="16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3.01</w:t>
      </w:r>
      <w:r>
        <w:rPr>
          <w:sz w:val="20"/>
          <w:szCs w:val="20"/>
          <w:color w:val="auto"/>
        </w:rPr>
        <w:tab/>
      </w:r>
      <w:r>
        <w:rPr>
          <w:rFonts w:ascii="Times New Roman" w:cs="Times New Roman" w:eastAsia="Times New Roman" w:hAnsi="Times New Roman"/>
          <w:sz w:val="21"/>
          <w:szCs w:val="21"/>
          <w:b w:val="1"/>
          <w:bCs w:val="1"/>
          <w:u w:val="single" w:color="auto"/>
          <w:color w:val="auto"/>
        </w:rPr>
        <w:t>Distributions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ind w:firstLine="1297"/>
        <w:spacing w:after="0" w:line="251" w:lineRule="auto"/>
        <w:tabs>
          <w:tab w:leader="none" w:pos="1743"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otherwise expressly contemplated by this Agreement, all Distributions shall be made to the Persons who are the holders of Shares at the time such Distributions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8" w:right="339" w:bottom="1440" w:gutter="0" w:footer="0" w:header="0"/>
        </w:sectPr>
      </w:pPr>
    </w:p>
    <w:bookmarkStart w:id="69" w:name="page70"/>
    <w:bookmarkEnd w:id="69"/>
    <w:p>
      <w:pPr>
        <w:ind w:firstLine="1297"/>
        <w:spacing w:after="0" w:line="251" w:lineRule="auto"/>
        <w:tabs>
          <w:tab w:leader="none" w:pos="1783"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and in accordance with the provisions of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Distributions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shall be made Quarterly in arrears (on the final day of each Quarter) in the following order of priority:</w:t>
      </w:r>
    </w:p>
    <w:p>
      <w:pPr>
        <w:spacing w:after="0" w:line="139" w:lineRule="exact"/>
        <w:rPr>
          <w:rFonts w:ascii="Times New Roman" w:cs="Times New Roman" w:eastAsia="Times New Roman" w:hAnsi="Times New Roman"/>
          <w:sz w:val="21"/>
          <w:szCs w:val="21"/>
          <w:color w:val="010000"/>
        </w:rPr>
      </w:pPr>
    </w:p>
    <w:p>
      <w:pPr>
        <w:jc w:val="both"/>
        <w:ind w:firstLine="1942"/>
        <w:spacing w:after="0"/>
        <w:tabs>
          <w:tab w:leader="none" w:pos="2433"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Distributions shall be made to the Class A-1 Preferred Members in respect of their Class A-1 Preferred Shares (ratably among such Members based upon, for the relevant Quarter, the aggregate Class A-1 Preferred Return with respect to the Class A-1 Preferred Shares held by each such Member immediately prior to such Distribution) until each Class A-1 Preferred Member has received Distributions in respect of such Member’s Class A-1 Preferred Shares in an amount equal to the aggregate Class A-1 Preferred Return for such Quarter (and not, for clarity, the full Class A-1 Preferred Unpaid Return) with respect to the Class A-1 Preferred Shares held by such Class A-1 Preferred Member immediately prior to such Distribution. The Company may, at its option, with respect to all or any portion of the Distributions on the Class A-1-A Preferred Shares and Class A-1-B Preferred Shares pursuant to this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for any Quarter, elect to pay such Distribution in (A) cash or (B) by the accretion (with respect to such Quarter) of the Class A-1 Preferred Return on such Shares (which such accretion in the Class A-1 Preferred Return, and resultant increase in the Class A-1 Preferred Unpaid Return for such Shares, shall constitute a Distribution hereunder).</w:t>
      </w:r>
    </w:p>
    <w:p>
      <w:pPr>
        <w:spacing w:after="0" w:line="165" w:lineRule="exact"/>
        <w:rPr>
          <w:rFonts w:ascii="Times New Roman" w:cs="Times New Roman" w:eastAsia="Times New Roman" w:hAnsi="Times New Roman"/>
          <w:sz w:val="21"/>
          <w:szCs w:val="21"/>
          <w:color w:val="010000"/>
        </w:rPr>
      </w:pPr>
    </w:p>
    <w:p>
      <w:pPr>
        <w:jc w:val="both"/>
        <w:ind w:firstLine="1942"/>
        <w:spacing w:after="0" w:line="219" w:lineRule="auto"/>
        <w:tabs>
          <w:tab w:leader="none" w:pos="2413"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Distributions shall be made to the Non-A-1 Members until the cumulative amount received in cash by each of the Members pursuant to this </w:t>
      </w:r>
      <w:r>
        <w:rPr>
          <w:rFonts w:ascii="Times New Roman" w:cs="Times New Roman" w:eastAsia="Times New Roman" w:hAnsi="Times New Roman"/>
          <w:sz w:val="21"/>
          <w:szCs w:val="21"/>
          <w:u w:val="single" w:color="auto"/>
          <w:color w:val="auto"/>
        </w:rPr>
        <w:t>Section 3.01(b)(ii)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with respect to all such Distributions made after June 28, 2018 to the relevant calculation date (including, for clarity, any Distributions made in such applicable Quarter pursuant to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equals the amount such Member would have received if all such Distributions had been distributed ratably on an as-converted basis among such Members based upon the number of Non-A-1 Interests held by each such Non-A-1 Member and the number of Class A-1 Preferred Shares held by each such Class A-1 Preferred Member, in each case, immediately prior to such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this </w:t>
      </w:r>
      <w:r>
        <w:rPr>
          <w:rFonts w:ascii="Times New Roman" w:cs="Times New Roman" w:eastAsia="Times New Roman" w:hAnsi="Times New Roman"/>
          <w:sz w:val="21"/>
          <w:szCs w:val="21"/>
          <w:u w:val="single" w:color="auto"/>
          <w:color w:val="auto"/>
        </w:rPr>
        <w:t>Section 3.01(b)(ii)</w:t>
      </w:r>
      <w:r>
        <w:rPr>
          <w:rFonts w:ascii="Times New Roman" w:cs="Times New Roman" w:eastAsia="Times New Roman" w:hAnsi="Times New Roman"/>
          <w:sz w:val="21"/>
          <w:szCs w:val="21"/>
          <w:color w:val="auto"/>
        </w:rPr>
        <w:t xml:space="preserve">, (A) Class A-1 Preferred Shares shall be deemed converted to Class D Common Shares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and (B) issued and outstanding Non-A-1 Interests shall be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For the avoidance of doubt, the Class A-1 Preferred Shares shall not be entitled to any Distributions pursuant to this </w:t>
      </w:r>
      <w:r>
        <w:rPr>
          <w:rFonts w:ascii="Times New Roman" w:cs="Times New Roman" w:eastAsia="Times New Roman" w:hAnsi="Times New Roman"/>
          <w:sz w:val="21"/>
          <w:szCs w:val="21"/>
          <w:u w:val="single" w:color="auto"/>
          <w:color w:val="auto"/>
        </w:rPr>
        <w:t>Section 3.01(b)(ii)</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010000"/>
        </w:rPr>
      </w:pPr>
    </w:p>
    <w:p>
      <w:pPr>
        <w:jc w:val="both"/>
        <w:ind w:firstLine="1942"/>
        <w:spacing w:after="0" w:line="220" w:lineRule="auto"/>
        <w:tabs>
          <w:tab w:leader="none" w:pos="2580" w:val="left"/>
        </w:tabs>
        <w:numPr>
          <w:ilvl w:val="1"/>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all further Distributions shall be made to each Non-A-1 Member and Class A-1 Preferred Member ratably on an as-converted basis among such Members based upon the number of Non-A-1 Interests held by each such Non-A-1 Member and the number of Class A-1 Preferred Shares held by each such Class A-1 Preferred Member, in each case, immediately prior to such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purposes of this </w:t>
      </w:r>
      <w:r>
        <w:rPr>
          <w:rFonts w:ascii="Times New Roman" w:cs="Times New Roman" w:eastAsia="Times New Roman" w:hAnsi="Times New Roman"/>
          <w:sz w:val="21"/>
          <w:szCs w:val="21"/>
          <w:u w:val="single" w:color="auto"/>
          <w:color w:val="auto"/>
        </w:rPr>
        <w:t>Section 3.01(b)(iii)</w:t>
      </w:r>
      <w:r>
        <w:rPr>
          <w:rFonts w:ascii="Times New Roman" w:cs="Times New Roman" w:eastAsia="Times New Roman" w:hAnsi="Times New Roman"/>
          <w:sz w:val="21"/>
          <w:szCs w:val="21"/>
          <w:color w:val="auto"/>
        </w:rPr>
        <w:t xml:space="preserve">, the (A) Class A-1 Preferred Shares shall be deemed converted to Class D Common Shares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without (for the purposes of calculating such conversion) any reduction in the Class A-1-A Preferred Unpaid Return or Class A-1-B Preferred Unpaid Return due to Distributions for such Quarter made pursuant to this </w:t>
      </w:r>
      <w:r>
        <w:rPr>
          <w:rFonts w:ascii="Times New Roman" w:cs="Times New Roman" w:eastAsia="Times New Roman" w:hAnsi="Times New Roman"/>
          <w:sz w:val="21"/>
          <w:szCs w:val="21"/>
          <w:u w:val="single" w:color="auto"/>
          <w:color w:val="auto"/>
        </w:rPr>
        <w:t>Section 3.01(b)(iii)</w:t>
      </w:r>
      <w:r>
        <w:rPr>
          <w:rFonts w:ascii="Times New Roman" w:cs="Times New Roman" w:eastAsia="Times New Roman" w:hAnsi="Times New Roman"/>
          <w:sz w:val="21"/>
          <w:szCs w:val="21"/>
          <w:color w:val="auto"/>
        </w:rPr>
        <w:t xml:space="preserve"> and (B) issued and outstanding Non-A-1 Interests shall be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w:t>
      </w:r>
    </w:p>
    <w:p>
      <w:pPr>
        <w:spacing w:after="0" w:line="151"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43"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 later than five (5) Business Days prior to the end of each Quarter, the Company will send written notice to each Class A-1 Preferred Member stating whether the Distribution pursuant to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for such Quarter will be paid in cash. If the Company fails to timely send such written notice then, with respect to such Quarter, the Company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9" w:right="339" w:bottom="1440" w:gutter="0" w:footer="0" w:header="0"/>
        </w:sectPr>
      </w:pPr>
    </w:p>
    <w:bookmarkStart w:id="70" w:name="page71"/>
    <w:bookmarkEnd w:id="70"/>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deemed to have irrevocably elected to pay the Distribution pursuant to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by the accretion of the Class A-1 Preferred Return. For clarity, (i) the Company may elect, independently as to each class, to pay cash Distributions with respect to a Quarter on either, or both, of the Class A-1-A Preferred Shares and Class A-1-B Preferred Shares and (ii) so long as the full Distribution has been made on each Class A-1 Preferred Share pursuant to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the Company may (but shall not be required to) make Distributions pursuant to </w:t>
      </w:r>
      <w:r>
        <w:rPr>
          <w:rFonts w:ascii="Times New Roman" w:cs="Times New Roman" w:eastAsia="Times New Roman" w:hAnsi="Times New Roman"/>
          <w:sz w:val="21"/>
          <w:szCs w:val="21"/>
          <w:u w:val="single" w:color="auto"/>
          <w:color w:val="auto"/>
        </w:rPr>
        <w:t>Section 3.01(b)(ii)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3.01(b)(iii)</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1297"/>
        <w:spacing w:after="0" w:line="235" w:lineRule="auto"/>
        <w:tabs>
          <w:tab w:leader="none" w:pos="1836"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reference in this agreement to a Distribution to a Substituted Member shall include any Distributions previously made to the predecessor Member on account of the interest of such predecessor Member transferred to such Substituted Member.</w:t>
      </w:r>
    </w:p>
    <w:p>
      <w:pPr>
        <w:spacing w:after="0" w:line="150" w:lineRule="exact"/>
        <w:rPr>
          <w:rFonts w:ascii="Times New Roman" w:cs="Times New Roman" w:eastAsia="Times New Roman" w:hAnsi="Times New Roman"/>
          <w:sz w:val="21"/>
          <w:szCs w:val="21"/>
          <w:color w:val="010000"/>
        </w:rPr>
      </w:pPr>
    </w:p>
    <w:p>
      <w:pPr>
        <w:ind w:firstLine="1297"/>
        <w:spacing w:after="0" w:line="251" w:lineRule="auto"/>
        <w:tabs>
          <w:tab w:leader="none" w:pos="1770"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provision to the contrary contained in this Agreement the Company shall not make any Distribution to Members if such Distribution would violate Section 18-607 of the Act or other applicable law.</w:t>
      </w:r>
    </w:p>
    <w:p>
      <w:pPr>
        <w:spacing w:after="0" w:line="13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3.02</w:t>
      </w:r>
      <w:r>
        <w:rPr>
          <w:sz w:val="20"/>
          <w:szCs w:val="20"/>
          <w:color w:val="auto"/>
        </w:rPr>
        <w:tab/>
      </w:r>
      <w:r>
        <w:rPr>
          <w:rFonts w:ascii="Times New Roman" w:cs="Times New Roman" w:eastAsia="Times New Roman" w:hAnsi="Times New Roman"/>
          <w:sz w:val="21"/>
          <w:szCs w:val="21"/>
          <w:b w:val="1"/>
          <w:bCs w:val="1"/>
          <w:u w:val="single" w:color="auto"/>
          <w:color w:val="auto"/>
        </w:rPr>
        <w:t>Distributions Upon Liquidation or a Deemed Liquidation Event</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35" w:lineRule="auto"/>
        <w:tabs>
          <w:tab w:leader="none" w:pos="1757" w:val="left"/>
        </w:tabs>
        <w:numPr>
          <w:ilvl w:val="1"/>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upon a liquidation (pursuant to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or a Deemed Liquidation Event, the Company shall distribute the net proceeds or assets available for distribution, whether in cash or in other property, to the Members as follows:</w:t>
      </w:r>
    </w:p>
    <w:p>
      <w:pPr>
        <w:spacing w:after="0" w:line="150" w:lineRule="exact"/>
        <w:rPr>
          <w:rFonts w:ascii="Times New Roman" w:cs="Times New Roman" w:eastAsia="Times New Roman" w:hAnsi="Times New Roman"/>
          <w:sz w:val="21"/>
          <w:szCs w:val="21"/>
          <w:color w:val="010000"/>
        </w:rPr>
      </w:pPr>
    </w:p>
    <w:p>
      <w:pPr>
        <w:jc w:val="both"/>
        <w:ind w:firstLine="1942"/>
        <w:spacing w:after="0" w:line="217" w:lineRule="auto"/>
        <w:tabs>
          <w:tab w:leader="none" w:pos="2353" w:val="left"/>
        </w:tabs>
        <w:numPr>
          <w:ilvl w:val="2"/>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Class A-1 Preferred Members, Class F Preferred Members, and Class G Preferred Members shall receive,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(proportional to their share of the aggregate (A) Class A-1 Liquidation Preference Amount for all Class A-1 Preferred Shares,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Class F Liquidation Preference Amount for all Class F Preferred Shares,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(C) Class G Liquidation Preference Amount for all Class G Preferred Shares) for each Class A-1 Preferred Share, Class F Preferred Share, and Class G Preferred Share, as applicable, the greater of (1) (x) for each Class A-1 Preferred Share held by such Class A-1 Preferred Member, the applicable Class A-1 Liquidation Preference Amount, (y) for each Class F Preferred Share held by such Class F Preferred Member, the Class F Liquidation Preference Amount, and (z) for each Class G Preferred Share held by such Class G Preferred Member, the Class G Liquidation Preference Amount, and (2) the amount distributable pursuant to </w:t>
      </w:r>
      <w:r>
        <w:rPr>
          <w:rFonts w:ascii="Times New Roman" w:cs="Times New Roman" w:eastAsia="Times New Roman" w:hAnsi="Times New Roman"/>
          <w:sz w:val="21"/>
          <w:szCs w:val="21"/>
          <w:u w:val="single" w:color="auto"/>
          <w:color w:val="auto"/>
        </w:rPr>
        <w:t>Section 3.02(a)(iii)</w:t>
      </w:r>
      <w:r>
        <w:rPr>
          <w:rFonts w:ascii="Times New Roman" w:cs="Times New Roman" w:eastAsia="Times New Roman" w:hAnsi="Times New Roman"/>
          <w:sz w:val="21"/>
          <w:szCs w:val="21"/>
          <w:color w:val="auto"/>
        </w:rPr>
        <w:t xml:space="preserve"> with respect to such Class A-1 Preferred Share, as if such Share had converted into a Class D Common Share (pursuant to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and with respect to such Class F Preferred Share and Class G Preferred Share, as if such Share had converted into a Class D Common Share on a 1:1 basis (as adjusted, as necessary, to reflect appropriate and proportional adjustments to take into account any subdivision, reorganization, reclassification, recapitalization, stock split, reverse stock split, combination of shares or similar event), in each case immediately prior to the event giving rise to a Distribution pursuant to this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If upon any such liquidation or Deemed Liquidation Event, the net proceeds or assets available for distribution to the Members shall be insufficient to pay the holders of Class A-1 Preferred Shares, Class F Preferred Shares, and Class G Preferred Shares the full amount to which they shall be entitled under this </w:t>
      </w:r>
      <w:r>
        <w:rPr>
          <w:rFonts w:ascii="Times New Roman" w:cs="Times New Roman" w:eastAsia="Times New Roman" w:hAnsi="Times New Roman"/>
          <w:sz w:val="21"/>
          <w:szCs w:val="21"/>
          <w:u w:val="single" w:color="auto"/>
          <w:color w:val="auto"/>
        </w:rPr>
        <w:t>Section 3.02(a)(i)</w:t>
      </w:r>
      <w:r>
        <w:rPr>
          <w:rFonts w:ascii="Times New Roman" w:cs="Times New Roman" w:eastAsia="Times New Roman" w:hAnsi="Times New Roman"/>
          <w:sz w:val="21"/>
          <w:szCs w:val="21"/>
          <w:color w:val="auto"/>
        </w:rPr>
        <w:t xml:space="preserve">, the holders of Class A-1 Preferred Shares, Class F Preferred Shares, and Class G Preferred Shares shall share ratably in any distribution of the assets available for distribution in proportion to the respective amounts which would otherwise be payable in respect of such shares held by them upon such distribution if all amounts payable on or with respect to such shares were paid in full pursuant to this </w:t>
      </w:r>
      <w:r>
        <w:rPr>
          <w:rFonts w:ascii="Times New Roman" w:cs="Times New Roman" w:eastAsia="Times New Roman" w:hAnsi="Times New Roman"/>
          <w:sz w:val="21"/>
          <w:szCs w:val="21"/>
          <w:u w:val="single" w:color="auto"/>
          <w:color w:val="auto"/>
        </w:rPr>
        <w:t>Section 3.02(a)(i)</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010000"/>
        </w:rPr>
      </w:pPr>
    </w:p>
    <w:p>
      <w:pPr>
        <w:ind w:left="2420" w:hanging="478"/>
        <w:spacing w:after="0"/>
        <w:tabs>
          <w:tab w:leader="none" w:pos="2420" w:val="left"/>
        </w:tabs>
        <w:numPr>
          <w:ilvl w:val="2"/>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Class A-2 Preferred Members shall receive, for each Class A-2 Preferred Share, the greater of</w:t>
      </w:r>
    </w:p>
    <w:p>
      <w:pPr>
        <w:ind w:firstLine="7"/>
        <w:spacing w:after="0" w:line="233" w:lineRule="auto"/>
        <w:tabs>
          <w:tab w:leader="none" w:pos="35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Class A-2 Liquidation Preference Amount and (B) the amount distributable pursuant to </w:t>
      </w:r>
      <w:r>
        <w:rPr>
          <w:rFonts w:ascii="Times New Roman" w:cs="Times New Roman" w:eastAsia="Times New Roman" w:hAnsi="Times New Roman"/>
          <w:sz w:val="21"/>
          <w:szCs w:val="21"/>
          <w:u w:val="single" w:color="auto"/>
          <w:color w:val="auto"/>
        </w:rPr>
        <w:t>Section 3.02(a)(iii)</w:t>
      </w:r>
      <w:r>
        <w:rPr>
          <w:rFonts w:ascii="Times New Roman" w:cs="Times New Roman" w:eastAsia="Times New Roman" w:hAnsi="Times New Roman"/>
          <w:sz w:val="21"/>
          <w:szCs w:val="21"/>
          <w:color w:val="auto"/>
        </w:rPr>
        <w:t xml:space="preserve"> with respect to such Class A-2 Preferred Share as if such Share had converted into a Class C Common Share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immediately prior to the event giving rise to a Distribution pursuant to this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firstLine="1942"/>
        <w:spacing w:after="0" w:line="235" w:lineRule="auto"/>
        <w:tabs>
          <w:tab w:leader="none" w:pos="2647" w:val="left"/>
        </w:tabs>
        <w:numPr>
          <w:ilvl w:val="1"/>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Non-A-1 Members (other than the Class A-2 Preferred Members, Class F Preferred Members, and Class G Preferred Members), ratably among such Members based upon the number of Non-A-1 Interests held by each such Non-A-1 Member (other than Class A-2 Preferred Shares, Class F Preferred Shares, and Class G Preferred Shares).</w:t>
      </w:r>
    </w:p>
    <w:p>
      <w:pPr>
        <w:spacing w:after="0" w:line="146" w:lineRule="exact"/>
        <w:rPr>
          <w:rFonts w:ascii="Times New Roman" w:cs="Times New Roman" w:eastAsia="Times New Roman" w:hAnsi="Times New Roman"/>
          <w:sz w:val="21"/>
          <w:szCs w:val="21"/>
          <w:color w:val="010000"/>
        </w:rPr>
      </w:pPr>
    </w:p>
    <w:p>
      <w:pPr>
        <w:ind w:left="1840" w:hanging="543"/>
        <w:spacing w:after="0"/>
        <w:tabs>
          <w:tab w:leader="none" w:pos="1840"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color w:val="auto"/>
        </w:rPr>
        <w:t>Deemed Liquidation Event</w:t>
      </w:r>
      <w:r>
        <w:rPr>
          <w:rFonts w:ascii="Times New Roman" w:cs="Times New Roman" w:eastAsia="Times New Roman" w:hAnsi="Times New Roman"/>
          <w:sz w:val="21"/>
          <w:szCs w:val="21"/>
          <w:color w:val="auto"/>
        </w:rPr>
        <w:t>” shall occur upon either of a Sale of the Company or a Drag-Along Sale</w:t>
      </w:r>
    </w:p>
    <w:p>
      <w:pPr>
        <w:spacing w:after="0" w:line="1"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Transaction.</w:t>
      </w:r>
    </w:p>
    <w:p>
      <w:pPr>
        <w:spacing w:after="0" w:line="160" w:lineRule="exact"/>
        <w:rPr>
          <w:sz w:val="20"/>
          <w:szCs w:val="20"/>
          <w:color w:val="auto"/>
        </w:rPr>
      </w:pPr>
    </w:p>
    <w:p>
      <w:pPr>
        <w:jc w:val="both"/>
        <w:ind w:firstLine="645"/>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3.03 </w:t>
      </w:r>
      <w:r>
        <w:rPr>
          <w:rFonts w:ascii="Times New Roman" w:cs="Times New Roman" w:eastAsia="Times New Roman" w:hAnsi="Times New Roman"/>
          <w:sz w:val="21"/>
          <w:szCs w:val="21"/>
          <w:b w:val="1"/>
          <w:bCs w:val="1"/>
          <w:u w:val="single" w:color="auto"/>
          <w:color w:val="auto"/>
        </w:rPr>
        <w:t>Distributions In-Kind</w:t>
      </w:r>
      <w:r>
        <w:rPr>
          <w:rFonts w:ascii="Times New Roman" w:cs="Times New Roman" w:eastAsia="Times New Roman" w:hAnsi="Times New Roman"/>
          <w:sz w:val="21"/>
          <w:szCs w:val="21"/>
          <w:color w:val="auto"/>
        </w:rPr>
        <w:t>. Distributions of property other than cash, including securities (but, for the avoidance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doubt, Distributions in respect of the Class A-1 Preferred Shares pursuant to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shall not include stock or securities issued by the Company and may only be made in cash or accretion pursuant to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may be made under this Agreement with the approval of the Board of Directors. Distributions of property other than cash shall be valued at Fair Market Value. Except as otherwise required by the Act or this Agreement, and subject in all respects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no Member shall be entitled to Distributions of property other than cash and the Board of Directors may make a determination to distribute property to one Member or group of Members and cash to the remaining Members so long as no Member is adversely affected in a manner which is disproportionate to the other Members as a result of such determination. The Company shall not make any in-kind distributions in respect of (a) the Class F Preferred Shares of property that is not an equity security or debt security of an entity classified as a corporation for U.S. federal income tax purposes without the consent of the Class F Preferred Members to whom such distribution is to be made, and (b) the Class G Preferred Shares of property that is not an equity security or debt security of an entity classified as a corporation for U.S. federal income tax purposes without the consent of the Class G Preferred Members to whom such distribution is to be made.</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IV</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TAX MATTERS</w:t>
      </w:r>
    </w:p>
    <w:p>
      <w:pPr>
        <w:spacing w:after="0" w:line="160" w:lineRule="exact"/>
        <w:rPr>
          <w:sz w:val="20"/>
          <w:szCs w:val="20"/>
          <w:color w:val="auto"/>
        </w:rPr>
      </w:pPr>
    </w:p>
    <w:p>
      <w:pPr>
        <w:jc w:val="both"/>
        <w:ind w:firstLine="645"/>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4.01 </w:t>
      </w:r>
      <w:r>
        <w:rPr>
          <w:rFonts w:ascii="Times New Roman" w:cs="Times New Roman" w:eastAsia="Times New Roman" w:hAnsi="Times New Roman"/>
          <w:sz w:val="21"/>
          <w:szCs w:val="21"/>
          <w:b w:val="1"/>
          <w:bCs w:val="1"/>
          <w:u w:val="single" w:color="auto"/>
          <w:color w:val="auto"/>
        </w:rPr>
        <w:t>Corporate Status</w:t>
      </w:r>
      <w:r>
        <w:rPr>
          <w:rFonts w:ascii="Times New Roman" w:cs="Times New Roman" w:eastAsia="Times New Roman" w:hAnsi="Times New Roman"/>
          <w:sz w:val="21"/>
          <w:szCs w:val="21"/>
          <w:color w:val="auto"/>
        </w:rPr>
        <w:t>. The Members intend that the Company be treated as a corporation for U.S. federal, and,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state and local, income tax purposes, and neither the Company nor any of the Members shall take any reporting position inconsistent with such treatment. In furtherance of the foregoing, the Company has elected, pursuant to Treasury Regulations Section 301.7701-3(c), to be treated as an association taxable as a corporation, effective as of May 23, 2018. The Company will not make any other entity classification elections with respect to the Company without the prior written consent of all Members; provided that, if the Entity is eligible to make an entity classification election, it shall elect to be treated as an association taxable as a corporation, unless the prior written consent of all Members has been obtained.</w:t>
      </w:r>
    </w:p>
    <w:p>
      <w:pPr>
        <w:spacing w:after="0" w:line="149" w:lineRule="exact"/>
        <w:rPr>
          <w:sz w:val="20"/>
          <w:szCs w:val="20"/>
          <w:color w:val="auto"/>
        </w:rPr>
      </w:pPr>
    </w:p>
    <w:p>
      <w:pPr>
        <w:jc w:val="both"/>
        <w:ind w:firstLine="645"/>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4.02 </w:t>
      </w:r>
      <w:r>
        <w:rPr>
          <w:rFonts w:ascii="Times New Roman" w:cs="Times New Roman" w:eastAsia="Times New Roman" w:hAnsi="Times New Roman"/>
          <w:sz w:val="21"/>
          <w:szCs w:val="21"/>
          <w:b w:val="1"/>
          <w:bCs w:val="1"/>
          <w:u w:val="single" w:color="auto"/>
          <w:color w:val="auto"/>
        </w:rPr>
        <w:t>Withholding</w:t>
      </w:r>
      <w:r>
        <w:rPr>
          <w:rFonts w:ascii="Times New Roman" w:cs="Times New Roman" w:eastAsia="Times New Roman" w:hAnsi="Times New Roman"/>
          <w:sz w:val="21"/>
          <w:szCs w:val="21"/>
          <w:color w:val="auto"/>
        </w:rPr>
        <w:t>. The Company is authorized to withhold from any payment made to a Member any amounts required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withheld by the Company under applicable law and, if so required, remit any such amounts to the applicable governmental authority. To the extent that any amounts are so withheld, such withheld amounts shall be treated as having been paid to the Member in respect of which such withholding was made. Upon request by the Company in writing, each Member shall provide the Company with a properly completed and duly executed Internal Revenue Service (“</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Form W-9 or applicable IRS Form W-8, or any other information, form or certificate reasonably necessary to determine whether and the extent to which any such withholding is required. If the Company, or the Board of Directors or any Affiliate of the Company, becomes liable as a result of a failure to withhold and remit taxes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88" w:right="339" w:bottom="1440" w:gutter="0" w:footer="0" w:header="0"/>
        </w:sectPr>
      </w:pPr>
    </w:p>
    <w:bookmarkStart w:id="72" w:name="page73"/>
    <w:bookmarkEnd w:id="72"/>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respect of any Member and such failure was attributable to such Member’s failure to timely provide the Company with the appropriate information requested in writing by the Company regarding such Member’s tax status or tax payment obligations, then such Member shall indemnify and hold harmless the Company, or the Board of Directors or any Affiliate of the Company, as the case may be, in respect of any such tax that should have been withheld and remitted (including any interest or penalties assessed or imposed thereon and any expenses incurred in any examination, determination, resolution and payment of such tax) but was not so withheld and remitted as a result of such Member’s failure to timely provide the Company with such information. The provisions contained in this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shall survive the termination of the Company and the withdrawal of any Member.</w:t>
      </w:r>
    </w:p>
    <w:p>
      <w:pPr>
        <w:spacing w:after="0" w:line="15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4.03</w:t>
      </w:r>
      <w:r>
        <w:rPr>
          <w:sz w:val="20"/>
          <w:szCs w:val="20"/>
          <w:color w:val="auto"/>
        </w:rPr>
        <w:tab/>
      </w:r>
      <w:r>
        <w:rPr>
          <w:rFonts w:ascii="Times New Roman" w:cs="Times New Roman" w:eastAsia="Times New Roman" w:hAnsi="Times New Roman"/>
          <w:sz w:val="21"/>
          <w:szCs w:val="21"/>
          <w:b w:val="1"/>
          <w:bCs w:val="1"/>
          <w:u w:val="single" w:color="auto"/>
          <w:color w:val="auto"/>
        </w:rPr>
        <w:t>Tax Sharing</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tabs>
          <w:tab w:leader="none" w:pos="1757"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GM Consolidated Group</w:t>
      </w:r>
      <w:r>
        <w:rPr>
          <w:rFonts w:ascii="Times New Roman" w:cs="Times New Roman" w:eastAsia="Times New Roman" w:hAnsi="Times New Roman"/>
          <w:sz w:val="21"/>
          <w:szCs w:val="21"/>
          <w:color w:val="auto"/>
        </w:rPr>
        <w:t xml:space="preserve">. For the 2018 Tax Period of the GM Consolidated Group, the Company shall timely deliver to GM Parent a properly completed and duly executed IRS Form 1122 (Authorization and Consent of Subsidiary Corporation To Be Included in a Consolidated Income Tax Return) and any similar or corresponding forms required for state or local income or franchise tax purposes. The Company acknowledges and agrees that GM Parent shall act as sole agent (within the meaning of Treasury Regulations Section 1.1502-77) for the Company with respect to any Tax Period for which the Company joins one or more members of the GM Consolidated Group in filing a GM Consolidated Return,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GM Investor shall cause GM Parent to not take any action with respect to any tax matters, including any action in its role as sole agent (within the meaning of Treasury Regulation Section 1.1502-77) that has a material and disproportionate adverse impact on the Company or SoftBank, without the Company’s or SoftBank’s consent, as applicable, not to be unreasonably withheld, conditioned or delayed.</w:t>
      </w:r>
    </w:p>
    <w:p>
      <w:pPr>
        <w:spacing w:after="0" w:line="191" w:lineRule="exact"/>
        <w:rPr>
          <w:rFonts w:ascii="Times New Roman" w:cs="Times New Roman" w:eastAsia="Times New Roman" w:hAnsi="Times New Roman"/>
          <w:sz w:val="21"/>
          <w:szCs w:val="21"/>
          <w:color w:val="010000"/>
        </w:rPr>
      </w:pPr>
    </w:p>
    <w:p>
      <w:pPr>
        <w:ind w:left="1760" w:hanging="463"/>
        <w:spacing w:after="0"/>
        <w:tabs>
          <w:tab w:leader="none" w:pos="1760"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Payment from the GM Investor to the Company for Use of Company NOLs and Tax Credits</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010000"/>
        </w:rPr>
      </w:pPr>
    </w:p>
    <w:p>
      <w:pPr>
        <w:jc w:val="both"/>
        <w:ind w:firstLine="1942"/>
        <w:spacing w:after="0"/>
        <w:tabs>
          <w:tab w:leader="none" w:pos="2420"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upon a Deconsolidation the NOL Deficit Amount exceeds zero, the GM Investor shall pay to the Company, with respect to each Tax Period of the Company, the Excess NOL Tax Increase with respect to such Tax Period. The GM Investor shall pay the Excess NOL Tax Increase with respect to each such Tax Period no later than ten (10) Business Days following delivery of written notice by the Company to the GM Investor of the amount of Excess NOL Tax Increase for such Tax Period.</w:t>
      </w:r>
    </w:p>
    <w:p>
      <w:pPr>
        <w:spacing w:after="0" w:line="323" w:lineRule="exact"/>
        <w:rPr>
          <w:rFonts w:ascii="Times New Roman" w:cs="Times New Roman" w:eastAsia="Times New Roman" w:hAnsi="Times New Roman"/>
          <w:sz w:val="21"/>
          <w:szCs w:val="21"/>
          <w:color w:val="010000"/>
        </w:rPr>
      </w:pPr>
    </w:p>
    <w:p>
      <w:pPr>
        <w:jc w:val="both"/>
        <w:ind w:firstLine="1942"/>
        <w:spacing w:after="0" w:line="218" w:lineRule="auto"/>
        <w:tabs>
          <w:tab w:leader="none" w:pos="2493"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addition to the payments described in </w:t>
      </w:r>
      <w:r>
        <w:rPr>
          <w:rFonts w:ascii="Times New Roman" w:cs="Times New Roman" w:eastAsia="Times New Roman" w:hAnsi="Times New Roman"/>
          <w:sz w:val="21"/>
          <w:szCs w:val="21"/>
          <w:u w:val="single" w:color="auto"/>
          <w:color w:val="auto"/>
        </w:rPr>
        <w:t>Section 4.03(b)(i)</w:t>
      </w:r>
      <w:r>
        <w:rPr>
          <w:rFonts w:ascii="Times New Roman" w:cs="Times New Roman" w:eastAsia="Times New Roman" w:hAnsi="Times New Roman"/>
          <w:sz w:val="21"/>
          <w:szCs w:val="21"/>
          <w:color w:val="auto"/>
        </w:rPr>
        <w:t xml:space="preserve"> above (and without duplication of such payments or any other payments required to be made by the GM Investor hereunder), the GM Investor shall make payments to the Company with respect to any R&amp;D Tax Credits or Other Tax Credits generated by the Company or any of its Subsidiaries in the same manner and using the same principles as described in </w:t>
      </w:r>
      <w:r>
        <w:rPr>
          <w:rFonts w:ascii="Times New Roman" w:cs="Times New Roman" w:eastAsia="Times New Roman" w:hAnsi="Times New Roman"/>
          <w:sz w:val="21"/>
          <w:szCs w:val="21"/>
          <w:u w:val="single" w:color="auto"/>
          <w:color w:val="auto"/>
        </w:rPr>
        <w:t>Section 4.03(b)(i)</w:t>
      </w:r>
      <w:r>
        <w:rPr>
          <w:rFonts w:ascii="Times New Roman" w:cs="Times New Roman" w:eastAsia="Times New Roman" w:hAnsi="Times New Roman"/>
          <w:sz w:val="21"/>
          <w:szCs w:val="21"/>
          <w:color w:val="auto"/>
        </w:rPr>
        <w:t xml:space="preserve"> and in the definitions of NOL Deficit Amount and Hypothetical Deconsolidated Company NOL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applying such principles, (A) clause (ii) of the definition of NOL Deficit Amount shall not apply and (B) in applying the Company standalone concept of the Hypothetical Deconsolidated Company NOL Amount, the Company and its Subsidiaries shall be assumed to utilize the same tax accounting methods, elections, conventions, practices, policies and principles regarding the R&amp;D Tax Credits or Other Tax Credits actually utilized by the GM Consolidated Group and the Company and its Subsidiaries shall otherwise be assumed to take into account the GM Consolidated Group’s history in its use of R&amp;D Tax Credits or Other Tax Credits;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 such payment with respect to Other Tax Credits will be required unless and until such Other Tax Credits generated by the Company and its Subsidiaries exceed, in the aggregate, taking into account any Other Tax Credits referenced in </w:t>
      </w:r>
      <w:r>
        <w:rPr>
          <w:rFonts w:ascii="Times New Roman" w:cs="Times New Roman" w:eastAsia="Times New Roman" w:hAnsi="Times New Roman"/>
          <w:sz w:val="21"/>
          <w:szCs w:val="21"/>
          <w:u w:val="single" w:color="auto"/>
          <w:color w:val="auto"/>
        </w:rPr>
        <w:t>Section 4.03(e)</w:t>
      </w:r>
      <w:r>
        <w:rPr>
          <w:rFonts w:ascii="Times New Roman" w:cs="Times New Roman" w:eastAsia="Times New Roman" w:hAnsi="Times New Roman"/>
          <w:sz w:val="21"/>
          <w:szCs w:val="21"/>
          <w:color w:val="auto"/>
        </w:rPr>
        <w:t>, $12,000,000 with respect to any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9" w:right="339" w:bottom="1440" w:gutter="0" w:footer="0" w:header="0"/>
        </w:sectPr>
      </w:pPr>
    </w:p>
    <w:bookmarkStart w:id="73" w:name="page74"/>
    <w:bookmarkEnd w:id="73"/>
    <w:p>
      <w:pPr>
        <w:jc w:val="both"/>
        <w:ind w:firstLine="1942"/>
        <w:spacing w:after="0" w:line="222" w:lineRule="auto"/>
        <w:tabs>
          <w:tab w:leader="none" w:pos="2499" w:val="left"/>
        </w:tabs>
        <w:numPr>
          <w:ilvl w:val="1"/>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GM Investor and its advisors shall calculate the NOL Deficit Amount and the deficit amount in respect of R&amp;D Tax Credits and Other Tax Credits upon a Deconsolidation and shall deliver such calculations, certified by the chief tax officer of GM Parent, to the Company and, subject to </w:t>
      </w:r>
      <w:r>
        <w:rPr>
          <w:rFonts w:ascii="Times New Roman" w:cs="Times New Roman" w:eastAsia="Times New Roman" w:hAnsi="Times New Roman"/>
          <w:sz w:val="21"/>
          <w:szCs w:val="21"/>
          <w:u w:val="single" w:color="auto"/>
          <w:color w:val="auto"/>
        </w:rPr>
        <w:t>Section 4.03(f)</w:t>
      </w:r>
      <w:r>
        <w:rPr>
          <w:rFonts w:ascii="Times New Roman" w:cs="Times New Roman" w:eastAsia="Times New Roman" w:hAnsi="Times New Roman"/>
          <w:sz w:val="21"/>
          <w:szCs w:val="21"/>
          <w:color w:val="auto"/>
        </w:rPr>
        <w:t xml:space="preserve">, such calculations shall be conclusive, binding and final for all purposes. The Company shall calculate the Excess NOL Tax Increase and the tax increase in respect of R&amp;D Tax Credits and Other Tax Credits in each Tax Period and shall deliver such calculations, certified by the chief tax officer of the Company, along with reasonably detailed supporting documentation, to the GM Investor and, subject to </w:t>
      </w:r>
      <w:r>
        <w:rPr>
          <w:rFonts w:ascii="Times New Roman" w:cs="Times New Roman" w:eastAsia="Times New Roman" w:hAnsi="Times New Roman"/>
          <w:sz w:val="21"/>
          <w:szCs w:val="21"/>
          <w:u w:val="single" w:color="auto"/>
          <w:color w:val="auto"/>
        </w:rPr>
        <w:t>Section 4.03(f)</w:t>
      </w:r>
      <w:r>
        <w:rPr>
          <w:rFonts w:ascii="Times New Roman" w:cs="Times New Roman" w:eastAsia="Times New Roman" w:hAnsi="Times New Roman"/>
          <w:sz w:val="21"/>
          <w:szCs w:val="21"/>
          <w:color w:val="auto"/>
        </w:rPr>
        <w:t>, such calculation shall be conclusive, binding and final for all purposes.</w:t>
      </w:r>
    </w:p>
    <w:p>
      <w:pPr>
        <w:spacing w:after="0" w:line="156" w:lineRule="exact"/>
        <w:rPr>
          <w:rFonts w:ascii="Times New Roman" w:cs="Times New Roman" w:eastAsia="Times New Roman" w:hAnsi="Times New Roman"/>
          <w:sz w:val="21"/>
          <w:szCs w:val="21"/>
          <w:color w:val="010000"/>
        </w:rPr>
      </w:pPr>
    </w:p>
    <w:p>
      <w:pPr>
        <w:ind w:left="1760" w:hanging="463"/>
        <w:spacing w:after="0"/>
        <w:tabs>
          <w:tab w:leader="none" w:pos="1760"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Payment from the Company to the GM Investor for Inclusion of Company Income</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635"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Following the filing of the final GM Consolidated Return for each Tax Period prior to a Deconsolidation, the Company shall calculate the Aggregate Company Hypothetical Pre-Deconsolidation Tax Amount with respect to such Tax Period.</w:t>
      </w:r>
    </w:p>
    <w:p>
      <w:pPr>
        <w:spacing w:after="0" w:line="151" w:lineRule="exact"/>
        <w:rPr>
          <w:sz w:val="20"/>
          <w:szCs w:val="20"/>
          <w:color w:val="auto"/>
        </w:rPr>
      </w:pPr>
    </w:p>
    <w:p>
      <w:pPr>
        <w:jc w:val="both"/>
        <w:ind w:firstLine="1942"/>
        <w:spacing w:after="0" w:line="226" w:lineRule="auto"/>
        <w:tabs>
          <w:tab w:leader="none" w:pos="2560" w:val="left"/>
        </w:tabs>
        <w:numPr>
          <w:ilvl w:val="2"/>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Following the filing of the final GM Consolidated Return for each Tax Period ending after the Original Closing Date, the GM Investor shall calculate the Incremental GM Tax Amount. The GM Investor shall deliver to the Company a certification by the chief tax officer of GM Parent with respect to such amount and such calculation shall be conclusive, binding and final for all purposes. No certification shall be required in any year in which the GM Investor has determined that the Incremental GM Tax Amount is zero.</w:t>
      </w:r>
    </w:p>
    <w:p>
      <w:pPr>
        <w:spacing w:after="0" w:line="152" w:lineRule="exact"/>
        <w:rPr>
          <w:rFonts w:ascii="Times New Roman" w:cs="Times New Roman" w:eastAsia="Times New Roman" w:hAnsi="Times New Roman"/>
          <w:sz w:val="21"/>
          <w:szCs w:val="21"/>
          <w:color w:val="010000"/>
        </w:rPr>
      </w:pPr>
    </w:p>
    <w:p>
      <w:pPr>
        <w:jc w:val="both"/>
        <w:ind w:firstLine="1942"/>
        <w:spacing w:after="0" w:line="226" w:lineRule="auto"/>
        <w:tabs>
          <w:tab w:leader="none" w:pos="2553" w:val="left"/>
        </w:tabs>
        <w:numPr>
          <w:ilvl w:val="2"/>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 respect to each Tax Period of the GM Consolidated Group ending after the Original Closing Date, the Company shall make a payment to the GM Investor equal to the excess, if any, of (A) the lesser of (1) the Aggregate Company Hypothetical Pre-Deconsolidation Tax Amount with respect to such Tax Period and (2) the Incremental GM Tax Amount with respect to such Tax Period over (B) the aggregate net payment made by the Company to the GM Investor pursuant to this </w:t>
      </w:r>
      <w:r>
        <w:rPr>
          <w:rFonts w:ascii="Times New Roman" w:cs="Times New Roman" w:eastAsia="Times New Roman" w:hAnsi="Times New Roman"/>
          <w:sz w:val="21"/>
          <w:szCs w:val="21"/>
          <w:u w:val="single" w:color="auto"/>
          <w:color w:val="auto"/>
        </w:rPr>
        <w:t>Section 4.03(c)(iii)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4.03(c)(iv)</w:t>
      </w:r>
      <w:r>
        <w:rPr>
          <w:rFonts w:ascii="Times New Roman" w:cs="Times New Roman" w:eastAsia="Times New Roman" w:hAnsi="Times New Roman"/>
          <w:sz w:val="21"/>
          <w:szCs w:val="21"/>
          <w:color w:val="auto"/>
        </w:rPr>
        <w:t xml:space="preserve"> for prior Tax Periods.</w:t>
      </w:r>
    </w:p>
    <w:p>
      <w:pPr>
        <w:spacing w:after="0" w:line="152" w:lineRule="exact"/>
        <w:rPr>
          <w:rFonts w:ascii="Times New Roman" w:cs="Times New Roman" w:eastAsia="Times New Roman" w:hAnsi="Times New Roman"/>
          <w:sz w:val="21"/>
          <w:szCs w:val="21"/>
          <w:color w:val="010000"/>
        </w:rPr>
      </w:pPr>
    </w:p>
    <w:p>
      <w:pPr>
        <w:jc w:val="both"/>
        <w:ind w:firstLine="1942"/>
        <w:spacing w:after="0" w:line="226" w:lineRule="auto"/>
        <w:tabs>
          <w:tab w:leader="none" w:pos="2541" w:val="left"/>
        </w:tabs>
        <w:numPr>
          <w:ilvl w:val="2"/>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 respect to each Tax Period of the GM Consolidated Group ending after the Original Closing Date, the GM Investor shall make a payment to the Company equal to the excess, if any, of (A) the aggregate net payment made by the Company to the GM Investor pursuant to </w:t>
      </w:r>
      <w:r>
        <w:rPr>
          <w:rFonts w:ascii="Times New Roman" w:cs="Times New Roman" w:eastAsia="Times New Roman" w:hAnsi="Times New Roman"/>
          <w:sz w:val="21"/>
          <w:szCs w:val="21"/>
          <w:u w:val="single" w:color="auto"/>
          <w:color w:val="auto"/>
        </w:rPr>
        <w:t>Section 4.03(c)(iii)</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4.03(c)(iv)</w:t>
      </w:r>
      <w:r>
        <w:rPr>
          <w:rFonts w:ascii="Times New Roman" w:cs="Times New Roman" w:eastAsia="Times New Roman" w:hAnsi="Times New Roman"/>
          <w:sz w:val="21"/>
          <w:szCs w:val="21"/>
          <w:color w:val="auto"/>
        </w:rPr>
        <w:t xml:space="preserve"> for prior Tax Periods over (B) the lesser of (1) the Aggregate Company Hypothetical Pre-Deconsolidation Tax Amount with respect to such Tax Period and (2) the Incremental GM Tax Amount with respect to such Tax Period;</w:t>
      </w:r>
    </w:p>
    <w:p>
      <w:pPr>
        <w:spacing w:after="0" w:line="152"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944"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Payments between GM Investor and the Company if a Section 59(e) Election is Made</w:t>
      </w:r>
      <w:r>
        <w:rPr>
          <w:rFonts w:ascii="Times New Roman" w:cs="Times New Roman" w:eastAsia="Times New Roman" w:hAnsi="Times New Roman"/>
          <w:sz w:val="21"/>
          <w:szCs w:val="21"/>
          <w:color w:val="auto"/>
        </w:rPr>
        <w:t>. If prior to a Deconsolidation, GM makes one or more elections under Section 59(e) of the Code (a “</w:t>
      </w:r>
      <w:r>
        <w:rPr>
          <w:rFonts w:ascii="Times New Roman" w:cs="Times New Roman" w:eastAsia="Times New Roman" w:hAnsi="Times New Roman"/>
          <w:sz w:val="21"/>
          <w:szCs w:val="21"/>
          <w:b w:val="1"/>
          <w:bCs w:val="1"/>
          <w:color w:val="auto"/>
        </w:rPr>
        <w:t>Section 59(e) Election</w:t>
      </w:r>
      <w:r>
        <w:rPr>
          <w:rFonts w:ascii="Times New Roman" w:cs="Times New Roman" w:eastAsia="Times New Roman" w:hAnsi="Times New Roman"/>
          <w:sz w:val="21"/>
          <w:szCs w:val="21"/>
          <w:color w:val="auto"/>
        </w:rPr>
        <w:t>”) with respect to the Company and/or its Subsidiaries, then:</w:t>
      </w:r>
    </w:p>
    <w:p>
      <w:pPr>
        <w:spacing w:after="0" w:line="150" w:lineRule="exact"/>
        <w:rPr>
          <w:rFonts w:ascii="Times New Roman" w:cs="Times New Roman" w:eastAsia="Times New Roman" w:hAnsi="Times New Roman"/>
          <w:sz w:val="21"/>
          <w:szCs w:val="21"/>
          <w:color w:val="010000"/>
        </w:rPr>
      </w:pPr>
    </w:p>
    <w:p>
      <w:pPr>
        <w:jc w:val="both"/>
        <w:ind w:firstLine="1942"/>
        <w:spacing w:after="0" w:line="225" w:lineRule="auto"/>
        <w:tabs>
          <w:tab w:leader="none" w:pos="2407" w:val="left"/>
        </w:tabs>
        <w:numPr>
          <w:ilvl w:val="2"/>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 respect to each Tax Period for which a Section 59(e) Election is made, and any subsequent Tax Period, any payment otherwise required to be made by the Company to the GM Investor pursuant to </w:t>
      </w:r>
      <w:r>
        <w:rPr>
          <w:rFonts w:ascii="Times New Roman" w:cs="Times New Roman" w:eastAsia="Times New Roman" w:hAnsi="Times New Roman"/>
          <w:sz w:val="21"/>
          <w:szCs w:val="21"/>
          <w:u w:val="single" w:color="auto"/>
          <w:color w:val="auto"/>
        </w:rPr>
        <w:t>Section 4.03(c)</w:t>
      </w:r>
      <w:r>
        <w:rPr>
          <w:rFonts w:ascii="Times New Roman" w:cs="Times New Roman" w:eastAsia="Times New Roman" w:hAnsi="Times New Roman"/>
          <w:sz w:val="21"/>
          <w:szCs w:val="21"/>
          <w:color w:val="auto"/>
        </w:rPr>
        <w:t xml:space="preserve"> shall be</w:t>
      </w:r>
    </w:p>
    <w:p>
      <w:pPr>
        <w:spacing w:after="0" w:line="1" w:lineRule="exact"/>
        <w:rPr>
          <w:rFonts w:ascii="Times New Roman" w:cs="Times New Roman" w:eastAsia="Times New Roman" w:hAnsi="Times New Roman"/>
          <w:sz w:val="21"/>
          <w:szCs w:val="21"/>
          <w:color w:val="010000"/>
        </w:rPr>
      </w:pPr>
    </w:p>
    <w:p>
      <w:pPr>
        <w:jc w:val="both"/>
        <w:ind w:firstLine="7"/>
        <w:spacing w:after="0" w:line="221" w:lineRule="auto"/>
        <w:tabs>
          <w:tab w:leader="none" w:pos="38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reduced (but not below zero) by the Section 59(e) Detriment Amount with respect to such Tax Period and (B) shall be increased by the Section 59(e) Benefit Amount with respect to such Tax Period; provided, any adjustment pursuant to this </w:t>
      </w:r>
      <w:r>
        <w:rPr>
          <w:rFonts w:ascii="Times New Roman" w:cs="Times New Roman" w:eastAsia="Times New Roman" w:hAnsi="Times New Roman"/>
          <w:sz w:val="21"/>
          <w:szCs w:val="21"/>
          <w:u w:val="single" w:color="auto"/>
          <w:color w:val="auto"/>
        </w:rPr>
        <w:t>Section 4.03(d)(i)(B)</w:t>
      </w:r>
      <w:r>
        <w:rPr>
          <w:rFonts w:ascii="Times New Roman" w:cs="Times New Roman" w:eastAsia="Times New Roman" w:hAnsi="Times New Roman"/>
          <w:sz w:val="21"/>
          <w:szCs w:val="21"/>
          <w:color w:val="auto"/>
        </w:rPr>
        <w:t xml:space="preserve"> shall be deferred and shall only be made when and to the extent that, immediately prior to giving effect to such adjustment, the aggregate adjustments under </w:t>
      </w:r>
      <w:r>
        <w:rPr>
          <w:rFonts w:ascii="Times New Roman" w:cs="Times New Roman" w:eastAsia="Times New Roman" w:hAnsi="Times New Roman"/>
          <w:sz w:val="21"/>
          <w:szCs w:val="21"/>
          <w:u w:val="single" w:color="auto"/>
          <w:color w:val="auto"/>
        </w:rPr>
        <w:t>Section 4.03(d)(i)(A)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4.03(d)(ii)(A)</w:t>
      </w:r>
      <w:r>
        <w:rPr>
          <w:rFonts w:ascii="Times New Roman" w:cs="Times New Roman" w:eastAsia="Times New Roman" w:hAnsi="Times New Roman"/>
          <w:sz w:val="21"/>
          <w:szCs w:val="21"/>
          <w:color w:val="auto"/>
        </w:rPr>
        <w:t xml:space="preserve"> exceed the aggregate adjustments under this </w:t>
      </w:r>
      <w:r>
        <w:rPr>
          <w:rFonts w:ascii="Times New Roman" w:cs="Times New Roman" w:eastAsia="Times New Roman" w:hAnsi="Times New Roman"/>
          <w:sz w:val="21"/>
          <w:szCs w:val="21"/>
          <w:u w:val="single" w:color="auto"/>
          <w:color w:val="auto"/>
        </w:rPr>
        <w:t>Section 4.03(d)(i)(B)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4.03(d)(ii)(B)</w:t>
      </w:r>
      <w:r>
        <w:rPr>
          <w:rFonts w:ascii="Times New Roman" w:cs="Times New Roman" w:eastAsia="Times New Roman" w:hAnsi="Times New Roman"/>
          <w:sz w:val="21"/>
          <w:szCs w:val="21"/>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89" w:right="339" w:bottom="1440" w:gutter="0" w:footer="0" w:header="0"/>
        </w:sectPr>
      </w:pPr>
    </w:p>
    <w:bookmarkStart w:id="74" w:name="page75"/>
    <w:bookmarkEnd w:id="74"/>
    <w:p>
      <w:pPr>
        <w:jc w:val="both"/>
        <w:ind w:firstLine="1942"/>
        <w:spacing w:after="0" w:line="225" w:lineRule="auto"/>
        <w:tabs>
          <w:tab w:leader="none" w:pos="2453" w:val="left"/>
        </w:tabs>
        <w:numPr>
          <w:ilvl w:val="1"/>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 respect to each Tax Period for which a Section 59(e) Election is made, and any subsequent Tax Period, any payment otherwise required to be made by the GM Investor to the Company pursuant to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 xml:space="preserve"> shall be</w:t>
      </w:r>
    </w:p>
    <w:p>
      <w:pPr>
        <w:spacing w:after="0" w:line="1" w:lineRule="exact"/>
        <w:rPr>
          <w:rFonts w:ascii="Times New Roman" w:cs="Times New Roman" w:eastAsia="Times New Roman" w:hAnsi="Times New Roman"/>
          <w:sz w:val="21"/>
          <w:szCs w:val="21"/>
          <w:color w:val="010000"/>
        </w:rPr>
      </w:pPr>
    </w:p>
    <w:p>
      <w:pPr>
        <w:jc w:val="both"/>
        <w:ind w:firstLine="7"/>
        <w:spacing w:after="0" w:line="221" w:lineRule="auto"/>
        <w:tabs>
          <w:tab w:leader="none" w:pos="37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increased by the Section 59(e) Detriment Amount with respect to such Tax Period and shall be (B) reduced (but not below zero) by the Section 59(e) Benefit Amount with respect to such Tax Period; provided, any adjustment pursuant to this </w:t>
      </w:r>
      <w:r>
        <w:rPr>
          <w:rFonts w:ascii="Times New Roman" w:cs="Times New Roman" w:eastAsia="Times New Roman" w:hAnsi="Times New Roman"/>
          <w:sz w:val="21"/>
          <w:szCs w:val="21"/>
          <w:u w:val="single" w:color="auto"/>
          <w:color w:val="auto"/>
        </w:rPr>
        <w:t>Section 4.03(d)(ii)(B)</w:t>
      </w:r>
      <w:r>
        <w:rPr>
          <w:rFonts w:ascii="Times New Roman" w:cs="Times New Roman" w:eastAsia="Times New Roman" w:hAnsi="Times New Roman"/>
          <w:sz w:val="21"/>
          <w:szCs w:val="21"/>
          <w:color w:val="auto"/>
        </w:rPr>
        <w:t xml:space="preserve"> shall be deferred and shall only be made when and to the extent that, immediately prior to giving effect to such adjustment, the aggregate adjustments under </w:t>
      </w:r>
      <w:r>
        <w:rPr>
          <w:rFonts w:ascii="Times New Roman" w:cs="Times New Roman" w:eastAsia="Times New Roman" w:hAnsi="Times New Roman"/>
          <w:sz w:val="21"/>
          <w:szCs w:val="21"/>
          <w:u w:val="single" w:color="auto"/>
          <w:color w:val="auto"/>
        </w:rPr>
        <w:t>Section 4.03(d)(i)(A)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4.03(d)(ii)(A)</w:t>
      </w:r>
      <w:r>
        <w:rPr>
          <w:rFonts w:ascii="Times New Roman" w:cs="Times New Roman" w:eastAsia="Times New Roman" w:hAnsi="Times New Roman"/>
          <w:sz w:val="21"/>
          <w:szCs w:val="21"/>
          <w:color w:val="auto"/>
        </w:rPr>
        <w:t xml:space="preserve"> exceed the aggregate adjustments under </w:t>
      </w:r>
      <w:r>
        <w:rPr>
          <w:rFonts w:ascii="Times New Roman" w:cs="Times New Roman" w:eastAsia="Times New Roman" w:hAnsi="Times New Roman"/>
          <w:sz w:val="21"/>
          <w:szCs w:val="21"/>
          <w:u w:val="single" w:color="auto"/>
          <w:color w:val="auto"/>
        </w:rPr>
        <w:t>Section 4.03(d)(i)(B)</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4.03(d)(ii)(B)</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 xml:space="preserve">For the avoidance of doubt, for purposes of </w:t>
      </w:r>
      <w:r>
        <w:rPr>
          <w:rFonts w:ascii="Times New Roman" w:cs="Times New Roman" w:eastAsia="Times New Roman" w:hAnsi="Times New Roman"/>
          <w:sz w:val="21"/>
          <w:szCs w:val="21"/>
          <w:u w:val="single" w:color="auto"/>
          <w:color w:val="auto"/>
        </w:rPr>
        <w:t>Sections 4.03(d)(i)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 required payment of $0 under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4.03(c)</w:t>
      </w:r>
      <w:r>
        <w:rPr>
          <w:rFonts w:ascii="Times New Roman" w:cs="Times New Roman" w:eastAsia="Times New Roman" w:hAnsi="Times New Roman"/>
          <w:sz w:val="21"/>
          <w:szCs w:val="21"/>
          <w:color w:val="auto"/>
        </w:rPr>
        <w:t xml:space="preserve"> for any Tax Period constitutes a “payment otherwise required to be made”.</w:t>
      </w:r>
    </w:p>
    <w:p>
      <w:pPr>
        <w:spacing w:after="0" w:line="140" w:lineRule="exact"/>
        <w:rPr>
          <w:sz w:val="20"/>
          <w:szCs w:val="20"/>
          <w:color w:val="auto"/>
        </w:rPr>
      </w:pPr>
    </w:p>
    <w:p>
      <w:pPr>
        <w:jc w:val="both"/>
        <w:ind w:firstLine="1297"/>
        <w:spacing w:after="0" w:line="222" w:lineRule="auto"/>
        <w:tabs>
          <w:tab w:leader="none" w:pos="1743" w:val="left"/>
        </w:tabs>
        <w:numPr>
          <w:ilvl w:val="0"/>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State and Local Income and Franchise Taxes</w:t>
      </w:r>
      <w:r>
        <w:rPr>
          <w:rFonts w:ascii="Times New Roman" w:cs="Times New Roman" w:eastAsia="Times New Roman" w:hAnsi="Times New Roman"/>
          <w:sz w:val="21"/>
          <w:szCs w:val="21"/>
          <w:color w:val="auto"/>
        </w:rPr>
        <w:t xml:space="preserve">. With respect to state and local income and franchise tax benefits and detriments in any jurisdictions that have consolidated, combined or unitary tax regimes, the GM Investor and the Company shall have similar payment obligations to each other, under the same principles, as the payment obligations for U.S. federal income tax benefits and detriments described in paragraphs (b), (c) and (d) of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provided, that no such payment with respect to Other Tax Credits will be required unless and until such Other Tax Credits generated by the Company and its Subsidiaries exceed, in the aggregate, taking into account any Other Tax Credits referenced in </w:t>
      </w:r>
      <w:r>
        <w:rPr>
          <w:rFonts w:ascii="Times New Roman" w:cs="Times New Roman" w:eastAsia="Times New Roman" w:hAnsi="Times New Roman"/>
          <w:sz w:val="21"/>
          <w:szCs w:val="21"/>
          <w:u w:val="single" w:color="auto"/>
          <w:color w:val="auto"/>
        </w:rPr>
        <w:t>Section 4.03(b)(ii)</w:t>
      </w:r>
      <w:r>
        <w:rPr>
          <w:rFonts w:ascii="Times New Roman" w:cs="Times New Roman" w:eastAsia="Times New Roman" w:hAnsi="Times New Roman"/>
          <w:sz w:val="21"/>
          <w:szCs w:val="21"/>
          <w:color w:val="auto"/>
        </w:rPr>
        <w:t>, $12,000,000 with respect to any calendar year.</w:t>
      </w:r>
    </w:p>
    <w:p>
      <w:pPr>
        <w:spacing w:after="0" w:line="156" w:lineRule="exact"/>
        <w:rPr>
          <w:rFonts w:ascii="Times New Roman" w:cs="Times New Roman" w:eastAsia="Times New Roman" w:hAnsi="Times New Roman"/>
          <w:sz w:val="21"/>
          <w:szCs w:val="21"/>
          <w:color w:val="010000"/>
        </w:rPr>
      </w:pPr>
    </w:p>
    <w:p>
      <w:pPr>
        <w:jc w:val="both"/>
        <w:ind w:firstLine="1297"/>
        <w:spacing w:after="0" w:line="220" w:lineRule="auto"/>
        <w:tabs>
          <w:tab w:leader="none" w:pos="1733" w:val="left"/>
        </w:tabs>
        <w:numPr>
          <w:ilvl w:val="0"/>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xml:space="preserve">. In the event of any dispute between the GM Investor and the Company as to any amount payable under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the GM Investor and the Company shall attempt in good faith to resolve such dispute. If the GM Investor and the Company are unable to resolve such dispute within thirty (30) days, they shall jointly retain a mutually agreed upon nationally recognized independent accounting firm (the “</w:t>
      </w:r>
      <w:r>
        <w:rPr>
          <w:rFonts w:ascii="Times New Roman" w:cs="Times New Roman" w:eastAsia="Times New Roman" w:hAnsi="Times New Roman"/>
          <w:sz w:val="21"/>
          <w:szCs w:val="21"/>
          <w:b w:val="1"/>
          <w:bCs w:val="1"/>
          <w:color w:val="auto"/>
        </w:rPr>
        <w:t>Accounting Firm</w:t>
      </w:r>
      <w:r>
        <w:rPr>
          <w:rFonts w:ascii="Times New Roman" w:cs="Times New Roman" w:eastAsia="Times New Roman" w:hAnsi="Times New Roman"/>
          <w:sz w:val="21"/>
          <w:szCs w:val="21"/>
          <w:color w:val="auto"/>
        </w:rPr>
        <w:t xml:space="preserve">”) to resolve the dispute. The GM Investor and the Company may make written submissions to the Accounting Firm, and the Accounting Firm’s resolution shall be based solely upon the actual terms of this Agreement, the written submissions of the GM Investor and the Company, and the application of federal income tax law (or, in the case of any payment obligation </w:t>
      </w:r>
      <w:r>
        <w:rPr>
          <w:rFonts w:ascii="Times New Roman" w:cs="Times New Roman" w:eastAsia="Times New Roman" w:hAnsi="Times New Roman"/>
          <w:sz w:val="21"/>
          <w:szCs w:val="21"/>
          <w:u w:val="single" w:color="auto"/>
          <w:color w:val="auto"/>
        </w:rPr>
        <w:t>Section 4.03(e)</w:t>
      </w:r>
      <w:r>
        <w:rPr>
          <w:rFonts w:ascii="Times New Roman" w:cs="Times New Roman" w:eastAsia="Times New Roman" w:hAnsi="Times New Roman"/>
          <w:sz w:val="21"/>
          <w:szCs w:val="21"/>
          <w:color w:val="auto"/>
        </w:rPr>
        <w:t>, applicable state or local income tax law). Each of the GM Investor and the Company shall be bound by the determination of the Accounting Firm and shall bear one-half of the fees and expenses of the Accounting Firm.</w:t>
      </w:r>
    </w:p>
    <w:p>
      <w:pPr>
        <w:spacing w:after="0" w:line="157" w:lineRule="exact"/>
        <w:rPr>
          <w:rFonts w:ascii="Times New Roman" w:cs="Times New Roman" w:eastAsia="Times New Roman" w:hAnsi="Times New Roman"/>
          <w:sz w:val="21"/>
          <w:szCs w:val="21"/>
          <w:color w:val="010000"/>
        </w:rPr>
      </w:pPr>
    </w:p>
    <w:p>
      <w:pPr>
        <w:jc w:val="both"/>
        <w:ind w:firstLine="1297"/>
        <w:spacing w:after="0"/>
        <w:tabs>
          <w:tab w:leader="none" w:pos="1903" w:val="left"/>
        </w:tabs>
        <w:numPr>
          <w:ilvl w:val="0"/>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Indemnification for Taxes</w:t>
      </w:r>
      <w:r>
        <w:rPr>
          <w:rFonts w:ascii="Times New Roman" w:cs="Times New Roman" w:eastAsia="Times New Roman" w:hAnsi="Times New Roman"/>
          <w:sz w:val="21"/>
          <w:szCs w:val="21"/>
          <w:color w:val="auto"/>
        </w:rPr>
        <w:t>. Other than payments required under this Agreement, the GM Investor shall indemnify and hold harmless the Company and any of its Subsidiaries from any Taxes (as such term is defined in the Purchase Agreement) imposed on the Company or any of its Subsidiaries pursuant to Treasury Regulations Section 1.1502-6 (or any analogous or similar provision of U.S. state or local, or non-U.S. law) as a result of being a member of (i) the GM Consolidated Group or (ii) any other affiliated, consolidated, combined or unitary group of which (A) the GM Investor, (B) the GM Parent, (C) any Affiliate or direct or indirect Subsidiary of the GM Parent (other than the Company or any of its Subsidiaries) or (D) any member of the GM Consolidated Group (other than the Company or any of its Subsidiaries) was a member prior to a Deconsolidation.</w:t>
      </w:r>
    </w:p>
    <w:p>
      <w:pPr>
        <w:spacing w:after="0" w:line="244"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823" w:val="left"/>
        </w:tabs>
        <w:numPr>
          <w:ilvl w:val="0"/>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Net Payments</w:t>
      </w:r>
      <w:r>
        <w:rPr>
          <w:rFonts w:ascii="Times New Roman" w:cs="Times New Roman" w:eastAsia="Times New Roman" w:hAnsi="Times New Roman"/>
          <w:sz w:val="21"/>
          <w:szCs w:val="21"/>
          <w:color w:val="auto"/>
        </w:rPr>
        <w:t xml:space="preserve">. Without limiting any other provision in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if as of any date each of the GM Investor and the Company is obligated to make a payment to the other under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then the amount of such payments shall be netted, the offsetting amounts shall be treated as having been paid by the applicable payors for all purposes of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and the party having the net payment obligation shall make such pay such net amount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88" w:right="339" w:bottom="1440" w:gutter="0" w:footer="0" w:header="0"/>
        </w:sectPr>
      </w:pPr>
    </w:p>
    <w:bookmarkStart w:id="75" w:name="page76"/>
    <w:bookmarkEnd w:id="75"/>
    <w:p>
      <w:pPr>
        <w:jc w:val="both"/>
        <w:ind w:firstLine="1297"/>
        <w:spacing w:after="0" w:line="226" w:lineRule="auto"/>
        <w:tabs>
          <w:tab w:leader="none" w:pos="2003"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Intended Tax Treatment</w:t>
      </w:r>
      <w:r>
        <w:rPr>
          <w:rFonts w:ascii="Times New Roman" w:cs="Times New Roman" w:eastAsia="Times New Roman" w:hAnsi="Times New Roman"/>
          <w:sz w:val="21"/>
          <w:szCs w:val="21"/>
          <w:color w:val="auto"/>
        </w:rPr>
        <w:t xml:space="preserve">. Any payments made by the GM Investor to the Company following a Deconsolidation pursuant to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shall be treated as a Capital Contribution for all applicable tax purposes, unless otherwise required by applicable law. Any payments made by the Company to the GM Investor following a Deconsolidation pursuant to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shall be treated as distribution under Section 301 of the Code for all applicable tax purposes, unless otherwise required by applicable law.</w:t>
      </w:r>
    </w:p>
    <w:p>
      <w:pPr>
        <w:spacing w:after="0" w:line="152"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815"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Examples</w:t>
      </w:r>
      <w:r>
        <w:rPr>
          <w:rFonts w:ascii="Times New Roman" w:cs="Times New Roman" w:eastAsia="Times New Roman" w:hAnsi="Times New Roman"/>
          <w:sz w:val="21"/>
          <w:szCs w:val="21"/>
          <w:color w:val="auto"/>
        </w:rPr>
        <w:t xml:space="preserve">. Any ambiguity in the provisions of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shall be resolved (where possible) by reference to the examples delivered by the GM Investor and acknowledged by SoftBank and the Company pursuant to that certain letter provided to SoftBank UK prior to the execution of the SoftBank Purchase Agreement (and subsequently acknowledged and agreed to by SoftBank) and acknowledged by Honda pursuant to that certain letter provided to Honda prior to the execution of the Honda Purchase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event of a conflict with such letter,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shall control.</w:t>
      </w:r>
    </w:p>
    <w:p>
      <w:pPr>
        <w:spacing w:after="0" w:line="152" w:lineRule="exact"/>
        <w:rPr>
          <w:rFonts w:ascii="Times New Roman" w:cs="Times New Roman" w:eastAsia="Times New Roman" w:hAnsi="Times New Roman"/>
          <w:sz w:val="21"/>
          <w:szCs w:val="21"/>
          <w:color w:val="010000"/>
        </w:rPr>
      </w:pPr>
    </w:p>
    <w:p>
      <w:pPr>
        <w:ind w:left="1760" w:hanging="463"/>
        <w:spacing w:after="0"/>
        <w:tabs>
          <w:tab w:leader="none" w:pos="1760"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Consistent Reporting Covenant</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010000"/>
        </w:rPr>
      </w:pPr>
    </w:p>
    <w:p>
      <w:pPr>
        <w:jc w:val="both"/>
        <w:ind w:firstLine="1942"/>
        <w:spacing w:after="0" w:line="222" w:lineRule="auto"/>
        <w:tabs>
          <w:tab w:leader="none" w:pos="2541"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contained herein, the Class A-1 Preferred Shares are intended to be treated as common stock for all purposes of the Code (and not as preferred stock within the meaning of Treasury Regulations Section 1.305-5). Absent a relevant change in law or administrative, regulatory or judicial authority or guidance, unless otherwise required pursuant to a “determination” within the meaning of Section 1313 of the Code, neither the Company nor any of the Members shall report any Distribution with respect to the Class A-1 Preferred Shares that is paid by accretion of the Class A-1 Preferred Return on such Shares (in accordance with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hereof) as a taxable distribution pursuant to Section 305(b)(2) of the Code or take any position inconsistent with the intended tax treatment described in this </w:t>
      </w:r>
      <w:r>
        <w:rPr>
          <w:rFonts w:ascii="Times New Roman" w:cs="Times New Roman" w:eastAsia="Times New Roman" w:hAnsi="Times New Roman"/>
          <w:sz w:val="21"/>
          <w:szCs w:val="21"/>
          <w:u w:val="single" w:color="auto"/>
          <w:color w:val="auto"/>
        </w:rPr>
        <w:t>Section 4.03(k)</w:t>
      </w:r>
      <w:r>
        <w:rPr>
          <w:rFonts w:ascii="Times New Roman" w:cs="Times New Roman" w:eastAsia="Times New Roman" w:hAnsi="Times New Roman"/>
          <w:sz w:val="21"/>
          <w:szCs w:val="21"/>
          <w:color w:val="auto"/>
        </w:rPr>
        <w:t>.</w:t>
      </w:r>
    </w:p>
    <w:p>
      <w:pPr>
        <w:spacing w:after="0" w:line="156" w:lineRule="exact"/>
        <w:rPr>
          <w:rFonts w:ascii="Times New Roman" w:cs="Times New Roman" w:eastAsia="Times New Roman" w:hAnsi="Times New Roman"/>
          <w:sz w:val="21"/>
          <w:szCs w:val="21"/>
          <w:color w:val="010000"/>
        </w:rPr>
      </w:pPr>
    </w:p>
    <w:p>
      <w:pPr>
        <w:ind w:right="20" w:firstLine="1942"/>
        <w:spacing w:after="0" w:line="251" w:lineRule="auto"/>
        <w:tabs>
          <w:tab w:leader="none" w:pos="2439"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to the contrary contained herein, the Class A-2 Preferred Shares, the Class F Preferred Shares, and Class G Preferred Shares are intended to be treated as common stock for all purposes of the Code.</w:t>
      </w:r>
    </w:p>
    <w:p>
      <w:pPr>
        <w:spacing w:after="0" w:line="139"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708"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Audit Adjustments</w:t>
      </w:r>
      <w:r>
        <w:rPr>
          <w:rFonts w:ascii="Times New Roman" w:cs="Times New Roman" w:eastAsia="Times New Roman" w:hAnsi="Times New Roman"/>
          <w:sz w:val="21"/>
          <w:szCs w:val="21"/>
          <w:color w:val="auto"/>
        </w:rPr>
        <w:t xml:space="preserve">. Notwithstanding anything to the contrary herein, in the event there is an adjustment to any GM Consolidated Return or any Company tax return for any Tax Period as a result of an audit, the computations described in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will be adjusted to reflect the results of such audit and any amounts payable hereunder shall be increased or decreased to reflect the revised computations.</w:t>
      </w:r>
    </w:p>
    <w:p>
      <w:pPr>
        <w:spacing w:after="0" w:line="153"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829"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Tax Materials</w:t>
      </w:r>
      <w:r>
        <w:rPr>
          <w:rFonts w:ascii="Times New Roman" w:cs="Times New Roman" w:eastAsia="Times New Roman" w:hAnsi="Times New Roman"/>
          <w:sz w:val="21"/>
          <w:szCs w:val="21"/>
          <w:color w:val="auto"/>
        </w:rPr>
        <w:t>. For the avoidance of doubt, neither the Company nor any other Member shall be permitted to review any of the GM Investor’s tax returns, workpapers or other tax information (“</w:t>
      </w:r>
      <w:r>
        <w:rPr>
          <w:rFonts w:ascii="Times New Roman" w:cs="Times New Roman" w:eastAsia="Times New Roman" w:hAnsi="Times New Roman"/>
          <w:sz w:val="21"/>
          <w:szCs w:val="21"/>
          <w:b w:val="1"/>
          <w:bCs w:val="1"/>
          <w:color w:val="auto"/>
        </w:rPr>
        <w:t>Tax Materials</w:t>
      </w:r>
      <w:r>
        <w:rPr>
          <w:rFonts w:ascii="Times New Roman" w:cs="Times New Roman" w:eastAsia="Times New Roman" w:hAnsi="Times New Roman"/>
          <w:sz w:val="21"/>
          <w:szCs w:val="21"/>
          <w:color w:val="auto"/>
        </w:rPr>
        <w:t>”), or any Tax Materials of or related to the GM Consolidated Group.</w:t>
      </w:r>
    </w:p>
    <w:p>
      <w:pPr>
        <w:spacing w:after="0" w:line="150" w:lineRule="exact"/>
        <w:rPr>
          <w:rFonts w:ascii="Times New Roman" w:cs="Times New Roman" w:eastAsia="Times New Roman" w:hAnsi="Times New Roman"/>
          <w:sz w:val="21"/>
          <w:szCs w:val="21"/>
          <w:color w:val="010000"/>
        </w:rPr>
      </w:pPr>
    </w:p>
    <w:p>
      <w:pPr>
        <w:ind w:left="1760" w:hanging="463"/>
        <w:spacing w:after="0"/>
        <w:tabs>
          <w:tab w:leader="none" w:pos="1760"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the following terms shall be defined as follows:</w:t>
      </w:r>
    </w:p>
    <w:p>
      <w:pPr>
        <w:spacing w:after="0" w:line="184" w:lineRule="exact"/>
        <w:rPr>
          <w:rFonts w:ascii="Times New Roman" w:cs="Times New Roman" w:eastAsia="Times New Roman" w:hAnsi="Times New Roman"/>
          <w:sz w:val="21"/>
          <w:szCs w:val="21"/>
          <w:color w:val="010000"/>
        </w:rPr>
      </w:pPr>
    </w:p>
    <w:p>
      <w:pPr>
        <w:jc w:val="both"/>
        <w:ind w:firstLine="1942"/>
        <w:spacing w:after="0"/>
        <w:tabs>
          <w:tab w:leader="none" w:pos="2433"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Aggregate Company Hypothetical Pre-Deconsolidation Tax Amount</w:t>
      </w:r>
      <w:r>
        <w:rPr>
          <w:rFonts w:ascii="Times New Roman" w:cs="Times New Roman" w:eastAsia="Times New Roman" w:hAnsi="Times New Roman"/>
          <w:sz w:val="21"/>
          <w:szCs w:val="21"/>
          <w:color w:val="auto"/>
        </w:rPr>
        <w:t>” means, with respect to a Tax Period, the sum of the Company Hypothetical Pre-Deconsolidation Tax Amount for such Tax Period and all prior Tax Periods.</w:t>
      </w:r>
    </w:p>
    <w:p>
      <w:pPr>
        <w:spacing w:after="0" w:line="376" w:lineRule="exact"/>
        <w:rPr>
          <w:rFonts w:ascii="Times New Roman" w:cs="Times New Roman" w:eastAsia="Times New Roman" w:hAnsi="Times New Roman"/>
          <w:sz w:val="21"/>
          <w:szCs w:val="21"/>
          <w:color w:val="010000"/>
        </w:rPr>
      </w:pPr>
    </w:p>
    <w:p>
      <w:pPr>
        <w:jc w:val="both"/>
        <w:ind w:firstLine="1942"/>
        <w:spacing w:after="0" w:line="236" w:lineRule="auto"/>
        <w:tabs>
          <w:tab w:leader="none" w:pos="2480"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Hypothetical Pre-Deconsolidation Tax Amount</w:t>
      </w:r>
      <w:r>
        <w:rPr>
          <w:rFonts w:ascii="Times New Roman" w:cs="Times New Roman" w:eastAsia="Times New Roman" w:hAnsi="Times New Roman"/>
          <w:sz w:val="21"/>
          <w:szCs w:val="21"/>
          <w:color w:val="auto"/>
        </w:rPr>
        <w:t>” means, with respect to a Tax Period prior to a Deconsolidation, the amount of U.S. federal income tax that would have been owed by the Company and its Subsidiaries if the Company and its Subsidiaries had not been members of the GM Consolidated Group and instead were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88" w:right="339" w:bottom="1440" w:gutter="0" w:footer="0" w:header="0"/>
        </w:sectPr>
      </w:pPr>
    </w:p>
    <w:bookmarkStart w:id="76" w:name="page77"/>
    <w:bookmarkEnd w:id="76"/>
    <w:p>
      <w:pPr>
        <w:ind w:right="20"/>
        <w:spacing w:after="0" w:line="251" w:lineRule="auto"/>
        <w:rPr>
          <w:sz w:val="20"/>
          <w:szCs w:val="20"/>
          <w:color w:val="auto"/>
        </w:rPr>
      </w:pPr>
      <w:r>
        <w:rPr>
          <w:rFonts w:ascii="Times New Roman" w:cs="Times New Roman" w:eastAsia="Times New Roman" w:hAnsi="Times New Roman"/>
          <w:sz w:val="21"/>
          <w:szCs w:val="21"/>
          <w:color w:val="auto"/>
        </w:rPr>
        <w:t>separate U.S. consolidated group (but had utilized the same tax accounting methods, elections, conventions, practices, policies and principles actually utilized by the GM Consolidated Group).</w:t>
      </w:r>
    </w:p>
    <w:p>
      <w:pPr>
        <w:spacing w:after="0" w:line="136" w:lineRule="exact"/>
        <w:rPr>
          <w:sz w:val="20"/>
          <w:szCs w:val="20"/>
          <w:color w:val="auto"/>
        </w:rPr>
      </w:pPr>
    </w:p>
    <w:p>
      <w:pPr>
        <w:ind w:left="2480" w:hanging="538"/>
        <w:spacing w:after="0"/>
        <w:tabs>
          <w:tab w:leader="none" w:pos="2480"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Deconsolidation</w:t>
      </w:r>
      <w:r>
        <w:rPr>
          <w:rFonts w:ascii="Times New Roman" w:cs="Times New Roman" w:eastAsia="Times New Roman" w:hAnsi="Times New Roman"/>
          <w:sz w:val="21"/>
          <w:szCs w:val="21"/>
          <w:color w:val="auto"/>
        </w:rPr>
        <w:t>” means any event pursuant to which the Company ceases to be included in the GM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Consolidated Group.</w:t>
      </w:r>
    </w:p>
    <w:p>
      <w:pPr>
        <w:spacing w:after="0" w:line="160" w:lineRule="exact"/>
        <w:rPr>
          <w:sz w:val="20"/>
          <w:szCs w:val="20"/>
          <w:color w:val="auto"/>
        </w:rPr>
      </w:pPr>
    </w:p>
    <w:p>
      <w:pPr>
        <w:jc w:val="both"/>
        <w:ind w:firstLine="1942"/>
        <w:spacing w:after="0" w:line="227" w:lineRule="auto"/>
        <w:tabs>
          <w:tab w:leader="none" w:pos="2621"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Excess NOL Tax Increase</w:t>
      </w:r>
      <w:r>
        <w:rPr>
          <w:rFonts w:ascii="Times New Roman" w:cs="Times New Roman" w:eastAsia="Times New Roman" w:hAnsi="Times New Roman"/>
          <w:sz w:val="21"/>
          <w:szCs w:val="21"/>
          <w:color w:val="auto"/>
        </w:rPr>
        <w:t>” means, with respect to each Tax Period of the Company after a Deconsolidation, an amount equal to the excess, if any, of (A) the actual U.S. federal income tax payable by the Company and its Subsidiaries in respect of such Tax Period over (B) the U.S. federal income tax that would have been payable by the Company and its Subsidiaries in respect of such Tax Period if upon a Deconsolidation the Company had an amount of net operating losses, as defined in Section 172(c) of the Code, equal to the NOL Deficit Amount.</w:t>
      </w:r>
    </w:p>
    <w:p>
      <w:pPr>
        <w:spacing w:after="0" w:line="147" w:lineRule="exact"/>
        <w:rPr>
          <w:rFonts w:ascii="Times New Roman" w:cs="Times New Roman" w:eastAsia="Times New Roman" w:hAnsi="Times New Roman"/>
          <w:sz w:val="21"/>
          <w:szCs w:val="21"/>
          <w:color w:val="010000"/>
        </w:rPr>
      </w:pPr>
    </w:p>
    <w:p>
      <w:pPr>
        <w:ind w:firstLine="1942"/>
        <w:spacing w:after="0" w:line="255" w:lineRule="auto"/>
        <w:tabs>
          <w:tab w:leader="none" w:pos="2401"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GM Consolidated Group</w:t>
      </w:r>
      <w:r>
        <w:rPr>
          <w:rFonts w:ascii="Times New Roman" w:cs="Times New Roman" w:eastAsia="Times New Roman" w:hAnsi="Times New Roman"/>
          <w:sz w:val="21"/>
          <w:szCs w:val="21"/>
          <w:color w:val="auto"/>
        </w:rPr>
        <w:t>” means the consolidated group of corporations of which GM Parent is the “common parent” within the meaning of Treasury Regulations Section 1.1502-1(h).</w:t>
      </w:r>
    </w:p>
    <w:p>
      <w:pPr>
        <w:spacing w:after="0" w:line="131" w:lineRule="exact"/>
        <w:rPr>
          <w:rFonts w:ascii="Times New Roman" w:cs="Times New Roman" w:eastAsia="Times New Roman" w:hAnsi="Times New Roman"/>
          <w:sz w:val="21"/>
          <w:szCs w:val="21"/>
          <w:color w:val="010000"/>
        </w:rPr>
      </w:pPr>
    </w:p>
    <w:p>
      <w:pPr>
        <w:ind w:firstLine="1942"/>
        <w:spacing w:after="0" w:line="255" w:lineRule="auto"/>
        <w:tabs>
          <w:tab w:leader="none" w:pos="2527"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GM Consolidated Return</w:t>
      </w:r>
      <w:r>
        <w:rPr>
          <w:rFonts w:ascii="Times New Roman" w:cs="Times New Roman" w:eastAsia="Times New Roman" w:hAnsi="Times New Roman"/>
          <w:sz w:val="21"/>
          <w:szCs w:val="21"/>
          <w:color w:val="auto"/>
        </w:rPr>
        <w:t>” means the consolidated U.S. federal income tax return of GM Parent filed pursuant to Section 1501 of the Code.</w:t>
      </w:r>
    </w:p>
    <w:p>
      <w:pPr>
        <w:spacing w:after="0" w:line="131" w:lineRule="exact"/>
        <w:rPr>
          <w:rFonts w:ascii="Times New Roman" w:cs="Times New Roman" w:eastAsia="Times New Roman" w:hAnsi="Times New Roman"/>
          <w:sz w:val="21"/>
          <w:szCs w:val="21"/>
          <w:color w:val="010000"/>
        </w:rPr>
      </w:pPr>
    </w:p>
    <w:p>
      <w:pPr>
        <w:jc w:val="both"/>
        <w:ind w:firstLine="1942"/>
        <w:spacing w:after="0" w:line="223" w:lineRule="auto"/>
        <w:tabs>
          <w:tab w:leader="none" w:pos="2574"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Hypothetical Deconsolidated Company NOL Amount</w:t>
      </w:r>
      <w:r>
        <w:rPr>
          <w:rFonts w:ascii="Times New Roman" w:cs="Times New Roman" w:eastAsia="Times New Roman" w:hAnsi="Times New Roman"/>
          <w:sz w:val="21"/>
          <w:szCs w:val="21"/>
          <w:color w:val="auto"/>
        </w:rPr>
        <w:t>” shall mean the amount of net operating losses, as defined in Section 172(c) of the Code, that the Company and its Subsidiaries would have had upon a Deconsolidation had the Company and its Subsidiaries never been members of the GM Consolidated Group (but had utilized the same tax accounting methods, elections, conventions, practices, policies and principles actually utilized by the GM Consolidated Group and had closed its Tax Period as of the date of a Deconsolidation), provided that Hypothetical Deconsolidated Company NOL Amount shall be reduced by the amount of any such net operating losses that were previously included in the computation of Incremental GM Tax Amount and resulted in a reduction in the Incremental GM Tax Amount.</w:t>
      </w:r>
    </w:p>
    <w:p>
      <w:pPr>
        <w:spacing w:after="0" w:line="149" w:lineRule="exact"/>
        <w:rPr>
          <w:rFonts w:ascii="Times New Roman" w:cs="Times New Roman" w:eastAsia="Times New Roman" w:hAnsi="Times New Roman"/>
          <w:sz w:val="21"/>
          <w:szCs w:val="21"/>
          <w:color w:val="010000"/>
        </w:rPr>
      </w:pPr>
    </w:p>
    <w:p>
      <w:pPr>
        <w:jc w:val="both"/>
        <w:ind w:firstLine="1942"/>
        <w:spacing w:after="0" w:line="221" w:lineRule="auto"/>
        <w:tabs>
          <w:tab w:leader="none" w:pos="2593"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GM Tax Amount</w:t>
      </w:r>
      <w:r>
        <w:rPr>
          <w:rFonts w:ascii="Times New Roman" w:cs="Times New Roman" w:eastAsia="Times New Roman" w:hAnsi="Times New Roman"/>
          <w:sz w:val="21"/>
          <w:szCs w:val="21"/>
          <w:color w:val="auto"/>
        </w:rPr>
        <w:t xml:space="preserve">” means with respect to a Tax Period, the excess, if any, of (A) the total U.S. federal income tax actually owed by the GM Consolidated Group for such Tax Period and all prior Tax Periods ending after the Original Closing Date, over (B) the total U.S. federal income tax that would have been owed by the GM Consolidated Group for such Tax Period and all prior Tax Periods ending after the Original Closing Date had the Company and its Subsidiaries never been members of the GM Consolidated Group, determined on a with and without basis and ignoring any state apportionment differences resulting from the inclusion of the Company and its Subsidiaries in the GM Consolidated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the amount in clause (A) shall be determined assuming any net operating losses for which the Company has been compensated for pursuant to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 xml:space="preserve"> were not available to the GM Consolidated Group (determined by assuming that such net operating losses are the last losses that would have otherwise been taken into account in clause (A)).</w:t>
      </w:r>
    </w:p>
    <w:p>
      <w:pPr>
        <w:spacing w:after="0" w:line="148" w:lineRule="exact"/>
        <w:rPr>
          <w:rFonts w:ascii="Times New Roman" w:cs="Times New Roman" w:eastAsia="Times New Roman" w:hAnsi="Times New Roman"/>
          <w:sz w:val="21"/>
          <w:szCs w:val="21"/>
          <w:color w:val="010000"/>
        </w:rPr>
      </w:pPr>
    </w:p>
    <w:p>
      <w:pPr>
        <w:ind w:right="20" w:firstLine="1942"/>
        <w:spacing w:after="0" w:line="255" w:lineRule="auto"/>
        <w:tabs>
          <w:tab w:leader="none" w:pos="2514"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NOL Deficit Amount</w:t>
      </w:r>
      <w:r>
        <w:rPr>
          <w:rFonts w:ascii="Times New Roman" w:cs="Times New Roman" w:eastAsia="Times New Roman" w:hAnsi="Times New Roman"/>
          <w:sz w:val="21"/>
          <w:szCs w:val="21"/>
          <w:color w:val="auto"/>
        </w:rPr>
        <w:t>” shall mean an amount equal to the excess, if any, of (A) the Hypothetical Deconsolidated Company NOL Amount over (B) $1,300,000,000.</w:t>
      </w:r>
    </w:p>
    <w:p>
      <w:pPr>
        <w:spacing w:after="0" w:line="131" w:lineRule="exact"/>
        <w:rPr>
          <w:rFonts w:ascii="Times New Roman" w:cs="Times New Roman" w:eastAsia="Times New Roman" w:hAnsi="Times New Roman"/>
          <w:sz w:val="21"/>
          <w:szCs w:val="21"/>
          <w:color w:val="010000"/>
        </w:rPr>
      </w:pPr>
    </w:p>
    <w:p>
      <w:pPr>
        <w:ind w:firstLine="1942"/>
        <w:spacing w:after="0" w:line="255" w:lineRule="auto"/>
        <w:tabs>
          <w:tab w:leader="none" w:pos="2428"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Tax Credits</w:t>
      </w:r>
      <w:r>
        <w:rPr>
          <w:rFonts w:ascii="Times New Roman" w:cs="Times New Roman" w:eastAsia="Times New Roman" w:hAnsi="Times New Roman"/>
          <w:sz w:val="21"/>
          <w:szCs w:val="21"/>
          <w:color w:val="auto"/>
        </w:rPr>
        <w:t>” shall mean any U.S. federal, state or local income or franchise tax credits other than R&amp;D Tax Credits as defined herein.</w:t>
      </w:r>
    </w:p>
    <w:p>
      <w:pPr>
        <w:spacing w:after="0" w:line="131" w:lineRule="exact"/>
        <w:rPr>
          <w:rFonts w:ascii="Times New Roman" w:cs="Times New Roman" w:eastAsia="Times New Roman" w:hAnsi="Times New Roman"/>
          <w:sz w:val="21"/>
          <w:szCs w:val="21"/>
          <w:color w:val="010000"/>
        </w:rPr>
      </w:pPr>
    </w:p>
    <w:p>
      <w:pPr>
        <w:ind w:firstLine="1942"/>
        <w:spacing w:after="0" w:line="255" w:lineRule="auto"/>
        <w:tabs>
          <w:tab w:leader="none" w:pos="2554"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R&amp;D Tax Credits</w:t>
      </w:r>
      <w:r>
        <w:rPr>
          <w:rFonts w:ascii="Times New Roman" w:cs="Times New Roman" w:eastAsia="Times New Roman" w:hAnsi="Times New Roman"/>
          <w:sz w:val="21"/>
          <w:szCs w:val="21"/>
          <w:color w:val="auto"/>
        </w:rPr>
        <w:t>” shall mean any U.S. federal income tax credits for research activities under Section 41 of the Code, and, for the purpose of applying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88" w:right="339" w:bottom="1440" w:gutter="0" w:footer="0" w:header="0"/>
        </w:sectPr>
      </w:pPr>
    </w:p>
    <w:bookmarkStart w:id="77" w:name="page78"/>
    <w:bookmarkEnd w:id="77"/>
    <w:p>
      <w:pPr>
        <w:spacing w:after="0" w:line="251" w:lineRule="auto"/>
        <w:rPr>
          <w:sz w:val="20"/>
          <w:szCs w:val="20"/>
          <w:color w:val="auto"/>
        </w:rPr>
      </w:pPr>
      <w:r>
        <w:rPr>
          <w:rFonts w:ascii="Times New Roman" w:cs="Times New Roman" w:eastAsia="Times New Roman" w:hAnsi="Times New Roman"/>
          <w:sz w:val="21"/>
          <w:szCs w:val="21"/>
          <w:u w:val="single" w:color="auto"/>
          <w:color w:val="auto"/>
        </w:rPr>
        <w:t>Section 4.03(e)</w:t>
      </w:r>
      <w:r>
        <w:rPr>
          <w:rFonts w:ascii="Times New Roman" w:cs="Times New Roman" w:eastAsia="Times New Roman" w:hAnsi="Times New Roman"/>
          <w:sz w:val="21"/>
          <w:szCs w:val="21"/>
          <w:color w:val="auto"/>
        </w:rPr>
        <w:t>, any state or local income or franchise tax credits that are directly analogous to tax credits for research activities under Section 41 of the Code.</w:t>
      </w:r>
    </w:p>
    <w:p>
      <w:pPr>
        <w:spacing w:after="0" w:line="136" w:lineRule="exact"/>
        <w:rPr>
          <w:sz w:val="20"/>
          <w:szCs w:val="20"/>
          <w:color w:val="auto"/>
        </w:rPr>
      </w:pPr>
    </w:p>
    <w:p>
      <w:pPr>
        <w:jc w:val="both"/>
        <w:ind w:firstLine="1942"/>
        <w:spacing w:after="0" w:line="223" w:lineRule="auto"/>
        <w:tabs>
          <w:tab w:leader="none" w:pos="2641"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59(e) Benefit Amount</w:t>
      </w:r>
      <w:r>
        <w:rPr>
          <w:rFonts w:ascii="Times New Roman" w:cs="Times New Roman" w:eastAsia="Times New Roman" w:hAnsi="Times New Roman"/>
          <w:sz w:val="21"/>
          <w:szCs w:val="21"/>
          <w:color w:val="auto"/>
        </w:rPr>
        <w:t xml:space="preserve">” with respect to a Tax Period means the amount by which the payment (A) required by the Company to GM under </w:t>
      </w:r>
      <w:r>
        <w:rPr>
          <w:rFonts w:ascii="Times New Roman" w:cs="Times New Roman" w:eastAsia="Times New Roman" w:hAnsi="Times New Roman"/>
          <w:sz w:val="21"/>
          <w:szCs w:val="21"/>
          <w:u w:val="single" w:color="auto"/>
          <w:color w:val="auto"/>
        </w:rPr>
        <w:t>Section 4.03(c)</w:t>
      </w:r>
      <w:r>
        <w:rPr>
          <w:rFonts w:ascii="Times New Roman" w:cs="Times New Roman" w:eastAsia="Times New Roman" w:hAnsi="Times New Roman"/>
          <w:sz w:val="21"/>
          <w:szCs w:val="21"/>
          <w:color w:val="auto"/>
        </w:rPr>
        <w:t xml:space="preserve"> for such Tax Period would have been more or (B) by GM to the Company under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 xml:space="preserve"> would have been less, in each case, had no Section 59(e) Election been made; provided, for purposes of determining such difference under (A) or (B) with respect to any Section 59(e) Benefit Amount that corresponds to a prior correlative Section 59(e) Detriment Amount (using the earliest Section 59(e) Detriment first), such Section 59(e) Benefit Amount shall be determined assuming that the U.S. federal income tax rates applicable at the time of such Section 59(e) Detriment were still in effect.</w:t>
      </w:r>
    </w:p>
    <w:p>
      <w:pPr>
        <w:spacing w:after="0" w:line="149" w:lineRule="exact"/>
        <w:rPr>
          <w:rFonts w:ascii="Times New Roman" w:cs="Times New Roman" w:eastAsia="Times New Roman" w:hAnsi="Times New Roman"/>
          <w:sz w:val="21"/>
          <w:szCs w:val="21"/>
          <w:color w:val="010000"/>
        </w:rPr>
      </w:pPr>
    </w:p>
    <w:p>
      <w:pPr>
        <w:jc w:val="both"/>
        <w:ind w:firstLine="1942"/>
        <w:spacing w:after="0" w:line="236" w:lineRule="auto"/>
        <w:tabs>
          <w:tab w:leader="none" w:pos="2620"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59(e) Detriment Amount</w:t>
      </w:r>
      <w:r>
        <w:rPr>
          <w:rFonts w:ascii="Times New Roman" w:cs="Times New Roman" w:eastAsia="Times New Roman" w:hAnsi="Times New Roman"/>
          <w:sz w:val="21"/>
          <w:szCs w:val="21"/>
          <w:color w:val="auto"/>
        </w:rPr>
        <w:t xml:space="preserve">” with respect to a Tax Period means the amount by which the payment (A) required by the Company to GM under </w:t>
      </w:r>
      <w:r>
        <w:rPr>
          <w:rFonts w:ascii="Times New Roman" w:cs="Times New Roman" w:eastAsia="Times New Roman" w:hAnsi="Times New Roman"/>
          <w:sz w:val="21"/>
          <w:szCs w:val="21"/>
          <w:u w:val="single" w:color="auto"/>
          <w:color w:val="auto"/>
        </w:rPr>
        <w:t>Section 4.03(c)</w:t>
      </w:r>
      <w:r>
        <w:rPr>
          <w:rFonts w:ascii="Times New Roman" w:cs="Times New Roman" w:eastAsia="Times New Roman" w:hAnsi="Times New Roman"/>
          <w:sz w:val="21"/>
          <w:szCs w:val="21"/>
          <w:color w:val="auto"/>
        </w:rPr>
        <w:t xml:space="preserve"> for such Tax Period would have been less or (B) by GM to the Company under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 xml:space="preserve"> would have been more, in each case, had no Section 59(e) Election been made.</w:t>
      </w:r>
    </w:p>
    <w:p>
      <w:pPr>
        <w:spacing w:after="0" w:line="147" w:lineRule="exact"/>
        <w:rPr>
          <w:rFonts w:ascii="Times New Roman" w:cs="Times New Roman" w:eastAsia="Times New Roman" w:hAnsi="Times New Roman"/>
          <w:sz w:val="21"/>
          <w:szCs w:val="21"/>
          <w:color w:val="010000"/>
        </w:rPr>
      </w:pPr>
    </w:p>
    <w:p>
      <w:pPr>
        <w:ind w:left="2580" w:hanging="638"/>
        <w:spacing w:after="0"/>
        <w:tabs>
          <w:tab w:leader="none" w:pos="2580"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 Period</w:t>
      </w:r>
      <w:r>
        <w:rPr>
          <w:rFonts w:ascii="Times New Roman" w:cs="Times New Roman" w:eastAsia="Times New Roman" w:hAnsi="Times New Roman"/>
          <w:sz w:val="21"/>
          <w:szCs w:val="21"/>
          <w:color w:val="auto"/>
        </w:rPr>
        <w:t>” means a taxable year as defined in Section 441(b) of the Code.</w:t>
      </w:r>
    </w:p>
    <w:p>
      <w:pPr>
        <w:spacing w:after="0" w:line="188" w:lineRule="exact"/>
        <w:rPr>
          <w:sz w:val="20"/>
          <w:szCs w:val="20"/>
          <w:color w:val="auto"/>
        </w:rPr>
      </w:pPr>
    </w:p>
    <w:p>
      <w:pPr>
        <w:jc w:val="both"/>
        <w:ind w:firstLine="645"/>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4.04 </w:t>
      </w:r>
      <w:r>
        <w:rPr>
          <w:rFonts w:ascii="Times New Roman" w:cs="Times New Roman" w:eastAsia="Times New Roman" w:hAnsi="Times New Roman"/>
          <w:sz w:val="21"/>
          <w:szCs w:val="21"/>
          <w:b w:val="1"/>
          <w:bCs w:val="1"/>
          <w:u w:val="single" w:color="auto"/>
          <w:color w:val="auto"/>
        </w:rPr>
        <w:t>Transfer Taxes</w:t>
      </w:r>
      <w:r>
        <w:rPr>
          <w:rFonts w:ascii="Times New Roman" w:cs="Times New Roman" w:eastAsia="Times New Roman" w:hAnsi="Times New Roman"/>
          <w:sz w:val="21"/>
          <w:szCs w:val="21"/>
          <w:color w:val="auto"/>
        </w:rPr>
        <w:t>. Any Transfer Taxes (as defined in the SoftBank Purchase Agreement) incurred in connection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issuance of any Equity Securities to SoftBank, SoftBank UK or any of their Affiliates or Permitted Transferees pursuant to this Agreement or the SoftBank Purchase Agreement or in relation to the issuance of any Class F Preferred Shares or Class G Preferred Shares shall, in each case, be paid by SoftBank when due. Any Transfer Taxes (as defined in the Honda Purchase Agreement) incurred in connection with any issuance of any Equity Securities to Honda or any of its Affiliates or Permitted Transferees pursuant to this Agreement or the Honda Purchase Agreement or in relation to the issuance of any Class F Preferred Shares or Class G Preferred Shares shall be paid by Honda when due. Any Transfer Taxes (as defined in the Class F Purchase Agreement) incurred in connection with any issuance of Class F Preferred Shares to a Class F Preferred Member or any of their Affiliates or Permitted Transferees pursuant to this Agreement, the Class F Purchase Agreement, or any subscription agreement shall be paid by such Class F Preferred Members when due. Any Transfer Taxes (as defined in the Class G Purchase Agreement) incurred in connection with any issuance of Class G Preferred Shares to a Class G Preferred Member or any of their Affiliates or Permitted Transferees pursuant to this Agreement, the Class G Purchase Agreement, or any subscription agreement shall be paid by such Class G Preferred Members when due. The Company shall file all necessary tax returns and other documentation with respect to all Transfer Taxes and, if required by applicable law, the GM Investor, SoftBank, Honda, the Class F New Members, and the Class G New Members (as applicable) will, and will cause their Affiliates, to join in the execution of any such tax returns and other documentation.</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 provisions contained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and any payments required to be made pursuant hereto, shall survive the termination of the Company and the withdrawal of any Member.</w:t>
      </w:r>
    </w:p>
    <w:p>
      <w:pPr>
        <w:spacing w:after="0" w:line="1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V</w:t>
      </w:r>
    </w:p>
    <w:p>
      <w:pPr>
        <w:spacing w:after="0" w:line="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b w:val="1"/>
          <w:bCs w:val="1"/>
          <w:u w:val="single" w:color="auto"/>
          <w:color w:val="auto"/>
        </w:rPr>
        <w:t>MEMBERS</w:t>
      </w:r>
    </w:p>
    <w:p>
      <w:pPr>
        <w:spacing w:after="0" w:line="16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5.01</w:t>
      </w:r>
      <w:r>
        <w:rPr>
          <w:sz w:val="20"/>
          <w:szCs w:val="20"/>
          <w:color w:val="auto"/>
        </w:rPr>
        <w:tab/>
      </w:r>
      <w:r>
        <w:rPr>
          <w:rFonts w:ascii="Times New Roman" w:cs="Times New Roman" w:eastAsia="Times New Roman" w:hAnsi="Times New Roman"/>
          <w:sz w:val="21"/>
          <w:szCs w:val="21"/>
          <w:b w:val="1"/>
          <w:bCs w:val="1"/>
          <w:u w:val="single" w:color="auto"/>
          <w:color w:val="auto"/>
        </w:rPr>
        <w:t>Voting Rights of Members</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ind w:firstLine="1297"/>
        <w:spacing w:after="0" w:line="251" w:lineRule="auto"/>
        <w:tabs>
          <w:tab w:leader="none" w:pos="1770" w:val="left"/>
        </w:tabs>
        <w:numPr>
          <w:ilvl w:val="0"/>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A-1 Preferred Member shall be entitled to ten (10) votes for each Class A-1 Preferred Share held by such Member on any matter which is submitted to the Members for a vote or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88" w:right="339" w:bottom="1440" w:gutter="0" w:footer="0" w:header="0"/>
        </w:sectPr>
      </w:pPr>
    </w:p>
    <w:bookmarkStart w:id="78" w:name="page79"/>
    <w:bookmarkEnd w:id="78"/>
    <w:p>
      <w:pPr>
        <w:ind w:firstLine="1297"/>
        <w:spacing w:after="0" w:line="251" w:lineRule="auto"/>
        <w:tabs>
          <w:tab w:leader="none" w:pos="1783"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A-2 Preferred Member shall be entitled to ten (10) votes for each Class A-2 Preferred Share held by such Member on any matter which is submitted to the Members for a vote or consent.</w:t>
      </w:r>
    </w:p>
    <w:p>
      <w:pPr>
        <w:spacing w:after="0" w:line="139" w:lineRule="exact"/>
        <w:rPr>
          <w:rFonts w:ascii="Times New Roman" w:cs="Times New Roman" w:eastAsia="Times New Roman" w:hAnsi="Times New Roman"/>
          <w:sz w:val="21"/>
          <w:szCs w:val="21"/>
          <w:color w:val="010000"/>
        </w:rPr>
      </w:pPr>
    </w:p>
    <w:p>
      <w:pPr>
        <w:ind w:firstLine="1297"/>
        <w:spacing w:after="0" w:line="251" w:lineRule="auto"/>
        <w:tabs>
          <w:tab w:leader="none" w:pos="1743"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B Member shall be entitled to one (1) vote for each Class B Common Share held by such Member on any matter which is submitted to the Members for a vote or consent.</w:t>
      </w:r>
    </w:p>
    <w:p>
      <w:pPr>
        <w:spacing w:after="0" w:line="139" w:lineRule="exact"/>
        <w:rPr>
          <w:rFonts w:ascii="Times New Roman" w:cs="Times New Roman" w:eastAsia="Times New Roman" w:hAnsi="Times New Roman"/>
          <w:sz w:val="21"/>
          <w:szCs w:val="21"/>
          <w:color w:val="010000"/>
        </w:rPr>
      </w:pPr>
    </w:p>
    <w:p>
      <w:pPr>
        <w:ind w:right="20" w:firstLine="1297"/>
        <w:spacing w:after="0" w:line="251" w:lineRule="auto"/>
        <w:tabs>
          <w:tab w:leader="none" w:pos="1863"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C Member shall be entitled to ten (10) votes for each Class C Common Share held by such Member on any matter which is submitted to the Members for a vote or consent.</w:t>
      </w:r>
    </w:p>
    <w:p>
      <w:pPr>
        <w:spacing w:after="0" w:line="139" w:lineRule="exact"/>
        <w:rPr>
          <w:rFonts w:ascii="Times New Roman" w:cs="Times New Roman" w:eastAsia="Times New Roman" w:hAnsi="Times New Roman"/>
          <w:sz w:val="21"/>
          <w:szCs w:val="21"/>
          <w:color w:val="010000"/>
        </w:rPr>
      </w:pPr>
    </w:p>
    <w:p>
      <w:pPr>
        <w:ind w:firstLine="1297"/>
        <w:spacing w:after="0" w:line="251" w:lineRule="auto"/>
        <w:tabs>
          <w:tab w:leader="none" w:pos="1743"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D Member shall be entitled to one (1) vote for each Class D Common Share held by such Member on any matter which is submitted to the Members for a vote or consent.</w:t>
      </w:r>
    </w:p>
    <w:p>
      <w:pPr>
        <w:spacing w:after="0" w:line="139" w:lineRule="exact"/>
        <w:rPr>
          <w:rFonts w:ascii="Times New Roman" w:cs="Times New Roman" w:eastAsia="Times New Roman" w:hAnsi="Times New Roman"/>
          <w:sz w:val="21"/>
          <w:szCs w:val="21"/>
          <w:color w:val="010000"/>
        </w:rPr>
      </w:pPr>
    </w:p>
    <w:p>
      <w:pPr>
        <w:ind w:right="20" w:firstLine="1297"/>
        <w:spacing w:after="0" w:line="251" w:lineRule="auto"/>
        <w:tabs>
          <w:tab w:leader="none" w:pos="1733"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E Member shall be entitled to one (1) vote for each Class E Common Share held by such Member on any matter which is submitted to the Members for a vote or consent.</w:t>
      </w:r>
    </w:p>
    <w:p>
      <w:pPr>
        <w:spacing w:after="0" w:line="139" w:lineRule="exact"/>
        <w:rPr>
          <w:rFonts w:ascii="Times New Roman" w:cs="Times New Roman" w:eastAsia="Times New Roman" w:hAnsi="Times New Roman"/>
          <w:sz w:val="21"/>
          <w:szCs w:val="21"/>
          <w:color w:val="010000"/>
        </w:rPr>
      </w:pPr>
    </w:p>
    <w:p>
      <w:pPr>
        <w:ind w:firstLine="1297"/>
        <w:spacing w:after="0" w:line="251" w:lineRule="auto"/>
        <w:tabs>
          <w:tab w:leader="none" w:pos="1756"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F Preferred Member shall be entitled to one (1) vote for each Class F Preferred Share held by such Member on any matter which is submitted to the Members for a vote or consent.</w:t>
      </w:r>
    </w:p>
    <w:p>
      <w:pPr>
        <w:spacing w:after="0" w:line="139" w:lineRule="exact"/>
        <w:rPr>
          <w:rFonts w:ascii="Times New Roman" w:cs="Times New Roman" w:eastAsia="Times New Roman" w:hAnsi="Times New Roman"/>
          <w:sz w:val="21"/>
          <w:szCs w:val="21"/>
          <w:color w:val="010000"/>
        </w:rPr>
      </w:pPr>
    </w:p>
    <w:p>
      <w:pPr>
        <w:ind w:firstLine="1297"/>
        <w:spacing w:after="0" w:line="251" w:lineRule="auto"/>
        <w:tabs>
          <w:tab w:leader="none" w:pos="1809"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G Preferred Member shall be entitled to one (1) vote for each Class G Preferred Share held by such Member on any matter which is submitted to the Members for a vote or consent.</w:t>
      </w:r>
    </w:p>
    <w:p>
      <w:pPr>
        <w:spacing w:after="0" w:line="139" w:lineRule="exact"/>
        <w:rPr>
          <w:rFonts w:ascii="Times New Roman" w:cs="Times New Roman" w:eastAsia="Times New Roman" w:hAnsi="Times New Roman"/>
          <w:sz w:val="21"/>
          <w:szCs w:val="21"/>
          <w:color w:val="010000"/>
        </w:rPr>
      </w:pPr>
    </w:p>
    <w:p>
      <w:pPr>
        <w:ind w:firstLine="1297"/>
        <w:spacing w:after="0" w:line="251" w:lineRule="auto"/>
        <w:tabs>
          <w:tab w:leader="none" w:pos="1708"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H Member shall be entitled to one (1) vote for each Class H Common Share held by such Member on any matter which is submitted to the Members for a vote or consent.</w:t>
      </w:r>
    </w:p>
    <w:p>
      <w:pPr>
        <w:spacing w:after="0" w:line="139" w:lineRule="exact"/>
        <w:rPr>
          <w:rFonts w:ascii="Times New Roman" w:cs="Times New Roman" w:eastAsia="Times New Roman" w:hAnsi="Times New Roman"/>
          <w:sz w:val="21"/>
          <w:szCs w:val="21"/>
          <w:color w:val="010000"/>
        </w:rPr>
      </w:pPr>
    </w:p>
    <w:p>
      <w:pPr>
        <w:ind w:firstLine="1297"/>
        <w:spacing w:after="0" w:line="251" w:lineRule="auto"/>
        <w:tabs>
          <w:tab w:leader="none" w:pos="1762"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other class or series of Shares shall be entitled to such votes as the Board of Directors shall determine with respect to such class or series on any matter which is submitted to the Members for a vote or consent.</w:t>
      </w:r>
    </w:p>
    <w:p>
      <w:pPr>
        <w:spacing w:after="0" w:line="14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 xml:space="preserve">For the avoidance of doubt, the provisions and rights with respect to voting set forth in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are intended to provide GM with “control” of the Company as defined in Section 368(c) of the Code and the Treasury Regulations thereunder, and shall be interpreted consistent therewith. Neither the Company nor any of the Members shall take any reporting position inconsistent with the intended tax treatment described in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645"/>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5.02 </w:t>
      </w:r>
      <w:r>
        <w:rPr>
          <w:rFonts w:ascii="Times New Roman" w:cs="Times New Roman" w:eastAsia="Times New Roman" w:hAnsi="Times New Roman"/>
          <w:sz w:val="21"/>
          <w:szCs w:val="21"/>
          <w:b w:val="1"/>
          <w:bCs w:val="1"/>
          <w:u w:val="single" w:color="auto"/>
          <w:color w:val="auto"/>
        </w:rPr>
        <w:t>Quorum; Voting</w:t>
      </w:r>
      <w:r>
        <w:rPr>
          <w:rFonts w:ascii="Times New Roman" w:cs="Times New Roman" w:eastAsia="Times New Roman" w:hAnsi="Times New Roman"/>
          <w:sz w:val="21"/>
          <w:szCs w:val="21"/>
          <w:color w:val="auto"/>
        </w:rPr>
        <w:t>. A quorum shall be present with respect to a meeting of the Members if a Majority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Members are represented in person or by proxy at such meeting. Once a quorum is present at a meeting of the Members, the subsequent withdrawal from the meeting of any Member (other than the GM Investor, whose withdrawal from the meeting shall cause a quorum to no longer be present) prior to the meeting’s adjournment or the refusal of any Member to vote on any matter that is open to vote by the Members at the meeting shall not affect the presence of a quorum at the meeting. Each of the Members hereby consents and agrees that one or more Members may participate in a meeting of the Members by means of conference telephone or similar communications equipment by which all Persons participating in the meeting can hear each other at the same time, and such participation shall constitute presence in person at the meeting. If a quorum is present, except as otherwise expressly provided herein,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88" w:right="339" w:bottom="1440" w:gutter="0" w:footer="0" w:header="0"/>
        </w:sectPr>
      </w:pPr>
    </w:p>
    <w:bookmarkStart w:id="79" w:name="page80"/>
    <w:bookmarkEnd w:id="79"/>
    <w:p>
      <w:pPr>
        <w:jc w:val="both"/>
        <w:ind w:right="20"/>
        <w:spacing w:after="0" w:line="251" w:lineRule="auto"/>
        <w:rPr>
          <w:sz w:val="20"/>
          <w:szCs w:val="20"/>
          <w:color w:val="auto"/>
        </w:rPr>
      </w:pPr>
      <w:r>
        <w:rPr>
          <w:rFonts w:ascii="Times New Roman" w:cs="Times New Roman" w:eastAsia="Times New Roman" w:hAnsi="Times New Roman"/>
          <w:sz w:val="21"/>
          <w:szCs w:val="21"/>
          <w:color w:val="auto"/>
        </w:rPr>
        <w:t>affirmative vote of the Members representing a Majority of the Members represented at the meeting and entitled to vote on the subject matter shall be the act of the Members.</w:t>
      </w:r>
    </w:p>
    <w:p>
      <w:pPr>
        <w:spacing w:after="0" w:line="136" w:lineRule="exact"/>
        <w:rPr>
          <w:sz w:val="20"/>
          <w:szCs w:val="20"/>
          <w:color w:val="auto"/>
        </w:rPr>
      </w:pPr>
    </w:p>
    <w:p>
      <w:pPr>
        <w:jc w:val="both"/>
        <w:ind w:firstLine="645"/>
        <w:spacing w:after="0" w:line="225" w:lineRule="auto"/>
        <w:rPr>
          <w:sz w:val="20"/>
          <w:szCs w:val="20"/>
          <w:color w:val="auto"/>
        </w:rPr>
      </w:pPr>
      <w:r>
        <w:rPr>
          <w:rFonts w:ascii="Times New Roman" w:cs="Times New Roman" w:eastAsia="Times New Roman" w:hAnsi="Times New Roman"/>
          <w:sz w:val="21"/>
          <w:szCs w:val="21"/>
          <w:b w:val="1"/>
          <w:bCs w:val="1"/>
          <w:color w:val="auto"/>
        </w:rPr>
        <w:t xml:space="preserve">5.03 </w:t>
      </w:r>
      <w:r>
        <w:rPr>
          <w:rFonts w:ascii="Times New Roman" w:cs="Times New Roman" w:eastAsia="Times New Roman" w:hAnsi="Times New Roman"/>
          <w:sz w:val="21"/>
          <w:szCs w:val="21"/>
          <w:b w:val="1"/>
          <w:bCs w:val="1"/>
          <w:u w:val="single" w:color="auto"/>
          <w:color w:val="auto"/>
        </w:rPr>
        <w:t>Written Consent</w:t>
      </w:r>
      <w:r>
        <w:rPr>
          <w:rFonts w:ascii="Times New Roman" w:cs="Times New Roman" w:eastAsia="Times New Roman" w:hAnsi="Times New Roman"/>
          <w:sz w:val="21"/>
          <w:szCs w:val="21"/>
          <w:color w:val="auto"/>
        </w:rPr>
        <w:t>. Any action required or permitted to be taken at a meeting of the Members may be taken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 meeting if the action is evidenced by a written consent describing the action taken signed by a Majority of the Members. Action taken under this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is effective when a Majority of the Members have signed the consent, unless the consent specifies a different effective date. Promptly following the effectiveness of any action taken by written consent by a Majority of the Members, the Company shall provide written notice of such action to any Member who was otherwise entitled to vote on such matter or action and whose consent was not solicited in connection therewith.</w:t>
      </w:r>
    </w:p>
    <w:p>
      <w:pPr>
        <w:spacing w:after="0" w:line="14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5.04</w:t>
      </w:r>
      <w:r>
        <w:rPr>
          <w:sz w:val="20"/>
          <w:szCs w:val="20"/>
          <w:color w:val="auto"/>
        </w:rPr>
        <w:tab/>
      </w:r>
      <w:r>
        <w:rPr>
          <w:rFonts w:ascii="Times New Roman" w:cs="Times New Roman" w:eastAsia="Times New Roman" w:hAnsi="Times New Roman"/>
          <w:sz w:val="21"/>
          <w:szCs w:val="21"/>
          <w:b w:val="1"/>
          <w:bCs w:val="1"/>
          <w:u w:val="single" w:color="auto"/>
          <w:color w:val="auto"/>
        </w:rPr>
        <w:t>Meetings</w:t>
      </w:r>
      <w:r>
        <w:rPr>
          <w:rFonts w:ascii="Times New Roman" w:cs="Times New Roman" w:eastAsia="Times New Roman" w:hAnsi="Times New Roman"/>
          <w:sz w:val="21"/>
          <w:szCs w:val="21"/>
          <w:color w:val="auto"/>
        </w:rPr>
        <w:t>. Meetings of the Members may be called by (a) the Board of Directors or (b) a Majority of the Members.</w:t>
      </w:r>
    </w:p>
    <w:p>
      <w:pPr>
        <w:spacing w:after="0" w:line="188" w:lineRule="exact"/>
        <w:rPr>
          <w:sz w:val="20"/>
          <w:szCs w:val="20"/>
          <w:color w:val="auto"/>
        </w:rPr>
      </w:pPr>
    </w:p>
    <w:p>
      <w:pPr>
        <w:jc w:val="both"/>
        <w:ind w:firstLine="645"/>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5.05 </w:t>
      </w:r>
      <w:r>
        <w:rPr>
          <w:rFonts w:ascii="Times New Roman" w:cs="Times New Roman" w:eastAsia="Times New Roman" w:hAnsi="Times New Roman"/>
          <w:sz w:val="21"/>
          <w:szCs w:val="21"/>
          <w:b w:val="1"/>
          <w:bCs w:val="1"/>
          <w:u w:val="single" w:color="auto"/>
          <w:color w:val="auto"/>
        </w:rPr>
        <w:t>Place of Meeting</w:t>
      </w:r>
      <w:r>
        <w:rPr>
          <w:rFonts w:ascii="Times New Roman" w:cs="Times New Roman" w:eastAsia="Times New Roman" w:hAnsi="Times New Roman"/>
          <w:sz w:val="21"/>
          <w:szCs w:val="21"/>
          <w:color w:val="auto"/>
        </w:rPr>
        <w:t>. The Board of Directors may designate the place of meeting for any annual meeting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Person(s) calling a special meeting pursuant to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may designate the place for such special meeting. If no designation is made, the place of meeting shall be the principal office of the Company.</w:t>
      </w:r>
    </w:p>
    <w:p>
      <w:pPr>
        <w:spacing w:after="0" w:line="148" w:lineRule="exact"/>
        <w:rPr>
          <w:sz w:val="20"/>
          <w:szCs w:val="20"/>
          <w:color w:val="auto"/>
        </w:rPr>
      </w:pPr>
    </w:p>
    <w:p>
      <w:pPr>
        <w:jc w:val="both"/>
        <w:ind w:firstLine="645"/>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5.06 </w:t>
      </w:r>
      <w:r>
        <w:rPr>
          <w:rFonts w:ascii="Times New Roman" w:cs="Times New Roman" w:eastAsia="Times New Roman" w:hAnsi="Times New Roman"/>
          <w:sz w:val="21"/>
          <w:szCs w:val="21"/>
          <w:b w:val="1"/>
          <w:bCs w:val="1"/>
          <w:u w:val="single" w:color="auto"/>
          <w:color w:val="auto"/>
        </w:rPr>
        <w:t>Notice of Meeting</w:t>
      </w:r>
      <w:r>
        <w:rPr>
          <w:rFonts w:ascii="Times New Roman" w:cs="Times New Roman" w:eastAsia="Times New Roman" w:hAnsi="Times New Roman"/>
          <w:sz w:val="21"/>
          <w:szCs w:val="21"/>
          <w:color w:val="auto"/>
        </w:rPr>
        <w:t>. Written notice stating the place, day and hour of the meeting and, in case of a special meeting,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purpose or purposes for which the meeting is called, shall be provided to each Member not less than three (3) Business Days prior to the date of the applicable meeting and otherwise in accordance with </w:t>
      </w:r>
      <w:r>
        <w:rPr>
          <w:rFonts w:ascii="Times New Roman" w:cs="Times New Roman" w:eastAsia="Times New Roman" w:hAnsi="Times New Roman"/>
          <w:sz w:val="21"/>
          <w:szCs w:val="21"/>
          <w:u w:val="single" w:color="auto"/>
          <w:color w:val="auto"/>
        </w:rPr>
        <w:t>Section 12.06</w:t>
      </w:r>
      <w:r>
        <w:rPr>
          <w:rFonts w:ascii="Times New Roman" w:cs="Times New Roman" w:eastAsia="Times New Roman" w:hAnsi="Times New Roman"/>
          <w:sz w:val="21"/>
          <w:szCs w:val="21"/>
          <w:color w:val="auto"/>
        </w:rPr>
        <w:t>. Any Member may waive notice of any meeting. The attendance of a Member at a meeting shall constitute a waiver of notice of such meeting except where a Member attends a meeting for the express purpose of objecting to the transaction of any business because the meeting is not lawfully called or convened. Neither the business to be transacted at nor the purpose of any regular meeting of Members need be specified in the notice or waiver of notice of such meeting.</w:t>
      </w:r>
    </w:p>
    <w:p>
      <w:pPr>
        <w:spacing w:after="0" w:line="149" w:lineRule="exact"/>
        <w:rPr>
          <w:sz w:val="20"/>
          <w:szCs w:val="20"/>
          <w:color w:val="auto"/>
        </w:rPr>
      </w:pPr>
    </w:p>
    <w:p>
      <w:pPr>
        <w:jc w:val="both"/>
        <w:ind w:firstLine="645"/>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5.07 </w:t>
      </w:r>
      <w:r>
        <w:rPr>
          <w:rFonts w:ascii="Times New Roman" w:cs="Times New Roman" w:eastAsia="Times New Roman" w:hAnsi="Times New Roman"/>
          <w:sz w:val="21"/>
          <w:szCs w:val="21"/>
          <w:b w:val="1"/>
          <w:bCs w:val="1"/>
          <w:u w:val="single" w:color="auto"/>
          <w:color w:val="auto"/>
        </w:rPr>
        <w:t>Withdrawal; Partition</w:t>
      </w:r>
      <w:r>
        <w:rPr>
          <w:rFonts w:ascii="Times New Roman" w:cs="Times New Roman" w:eastAsia="Times New Roman" w:hAnsi="Times New Roman"/>
          <w:sz w:val="21"/>
          <w:szCs w:val="21"/>
          <w:color w:val="auto"/>
        </w:rPr>
        <w:t>. No Member shall have the right to resign or withdraw as a member of the Company.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 shall have the right to seek or obtain partition by court decree or operation of law of any Company property, or the right to own or use particular or individual assets of the Company, except as may be expressly set forth in the Commercial Agreements, the Honda Commercial Agreements or any other written agreement between such Member and the Company.</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5.08</w:t>
      </w:r>
      <w:r>
        <w:rPr>
          <w:sz w:val="20"/>
          <w:szCs w:val="20"/>
          <w:color w:val="auto"/>
        </w:rPr>
        <w:tab/>
      </w:r>
      <w:r>
        <w:rPr>
          <w:rFonts w:ascii="Times New Roman" w:cs="Times New Roman" w:eastAsia="Times New Roman" w:hAnsi="Times New Roman"/>
          <w:sz w:val="21"/>
          <w:szCs w:val="21"/>
          <w:b w:val="1"/>
          <w:bCs w:val="1"/>
          <w:u w:val="single" w:color="auto"/>
          <w:color w:val="auto"/>
        </w:rPr>
        <w:t>Business Opportunities; Performance of Duties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19" w:lineRule="auto"/>
        <w:tabs>
          <w:tab w:leader="none" w:pos="1824" w:val="left"/>
        </w:tabs>
        <w:numPr>
          <w:ilvl w:val="0"/>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any agreement entered into with any Participant and/or Employee Member and any restriction on any Class E Member in any written agreement entered into by the Company with a Class E Member, each Member and its Affiliates and its and their respective officers, directors, equityholders, partners, members, managers, agents, employees and investment advisers (and other funds and accounts advised or sub-advised by such investment advisers) (the “</w:t>
      </w:r>
      <w:r>
        <w:rPr>
          <w:rFonts w:ascii="Times New Roman" w:cs="Times New Roman" w:eastAsia="Times New Roman" w:hAnsi="Times New Roman"/>
          <w:sz w:val="21"/>
          <w:szCs w:val="21"/>
          <w:b w:val="1"/>
          <w:bCs w:val="1"/>
          <w:color w:val="auto"/>
        </w:rPr>
        <w:t>Member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Group Persons</w:t>
      </w:r>
      <w:r>
        <w:rPr>
          <w:rFonts w:ascii="Times New Roman" w:cs="Times New Roman" w:eastAsia="Times New Roman" w:hAnsi="Times New Roman"/>
          <w:sz w:val="21"/>
          <w:szCs w:val="21"/>
          <w:color w:val="auto"/>
        </w:rPr>
        <w:t>”) (i) is permitted to have, and may presently or in the future have, investments or other business relationships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entities engaged in other, complementary or competing lines of business other than through the Company and its Subsidiaries (an “</w:t>
      </w:r>
      <w:r>
        <w:rPr>
          <w:rFonts w:ascii="Times New Roman" w:cs="Times New Roman" w:eastAsia="Times New Roman" w:hAnsi="Times New Roman"/>
          <w:sz w:val="21"/>
          <w:szCs w:val="21"/>
          <w:b w:val="1"/>
          <w:bCs w:val="1"/>
          <w:color w:val="auto"/>
        </w:rPr>
        <w:t>Other Business</w:t>
      </w:r>
      <w:r>
        <w:rPr>
          <w:rFonts w:ascii="Times New Roman" w:cs="Times New Roman" w:eastAsia="Times New Roman" w:hAnsi="Times New Roman"/>
          <w:sz w:val="21"/>
          <w:szCs w:val="21"/>
          <w:color w:val="auto"/>
        </w:rPr>
        <w:t xml:space="preserve">”), (ii) may have or may develop a strategic relationship with businesses that are and may be competitive or complementary with the Company and its Subsidiaries, (iii) is not prohibited by virtue of their investment in the Company or any of its Subsidiaries or, if applicable, their service on the Board of Directors or the board of directors (or similar governing body) of any of the Company’s Subsidiaries from pursuing and engaging in any such activities and (iv) is not obligated to inform the Company or any of its Subsidiaries of any such opportunity, relationship or investment. Subject to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and 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88" w:right="339" w:bottom="1440" w:gutter="0" w:footer="0" w:header="0"/>
        </w:sectPr>
      </w:pPr>
    </w:p>
    <w:bookmarkStart w:id="80" w:name="page81"/>
    <w:bookmarkEnd w:id="80"/>
    <w:p>
      <w:pPr>
        <w:spacing w:after="0" w:line="251" w:lineRule="auto"/>
        <w:rPr>
          <w:sz w:val="20"/>
          <w:szCs w:val="20"/>
          <w:color w:val="auto"/>
        </w:rPr>
      </w:pPr>
      <w:r>
        <w:rPr>
          <w:rFonts w:ascii="Times New Roman" w:cs="Times New Roman" w:eastAsia="Times New Roman" w:hAnsi="Times New Roman"/>
          <w:sz w:val="21"/>
          <w:szCs w:val="21"/>
          <w:color w:val="auto"/>
        </w:rPr>
        <w:t>entered into with any Participant and/or Employee Member, the involvement of any Member Group Person in any Other Business will not constitute a conflict of interest by such Persons with respect to the Company or its Members or any of its Subsidiaries.</w:t>
      </w:r>
    </w:p>
    <w:p>
      <w:pPr>
        <w:spacing w:after="0" w:line="140" w:lineRule="exact"/>
        <w:rPr>
          <w:sz w:val="20"/>
          <w:szCs w:val="20"/>
          <w:color w:val="auto"/>
        </w:rPr>
      </w:pPr>
    </w:p>
    <w:p>
      <w:pPr>
        <w:jc w:val="both"/>
        <w:ind w:firstLine="1297"/>
        <w:spacing w:after="0" w:line="235" w:lineRule="auto"/>
        <w:tabs>
          <w:tab w:leader="none" w:pos="1783"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prejudice to </w:t>
      </w:r>
      <w:r>
        <w:rPr>
          <w:rFonts w:ascii="Times New Roman" w:cs="Times New Roman" w:eastAsia="Times New Roman" w:hAnsi="Times New Roman"/>
          <w:sz w:val="21"/>
          <w:szCs w:val="21"/>
          <w:u w:val="single" w:color="auto"/>
          <w:color w:val="auto"/>
        </w:rPr>
        <w:t>Section 5.08(a)</w:t>
      </w:r>
      <w:r>
        <w:rPr>
          <w:rFonts w:ascii="Times New Roman" w:cs="Times New Roman" w:eastAsia="Times New Roman" w:hAnsi="Times New Roman"/>
          <w:sz w:val="21"/>
          <w:szCs w:val="21"/>
          <w:color w:val="auto"/>
        </w:rPr>
        <w:t xml:space="preserve">, each Director shall, in his or her capacity as a Director, and not in any other capacity, have the same fiduciary duties to the Company and the Members as a director of a Delaware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the foregoing:</w:t>
      </w:r>
    </w:p>
    <w:p>
      <w:pPr>
        <w:spacing w:after="0" w:line="150" w:lineRule="exact"/>
        <w:rPr>
          <w:rFonts w:ascii="Times New Roman" w:cs="Times New Roman" w:eastAsia="Times New Roman" w:hAnsi="Times New Roman"/>
          <w:sz w:val="21"/>
          <w:szCs w:val="21"/>
          <w:color w:val="010000"/>
        </w:rPr>
      </w:pPr>
    </w:p>
    <w:p>
      <w:pPr>
        <w:jc w:val="both"/>
        <w:ind w:firstLine="1942"/>
        <w:spacing w:after="0" w:line="221" w:lineRule="auto"/>
        <w:tabs>
          <w:tab w:leader="none" w:pos="2407"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Directors shall not have, or be deemed to have, any duties or implied duties (including fiduciary duties) to the Company or its Subsidiaries, any Member or any other Person (and each Director may act in and consider the best interests of the Member who designated such Director and shall not be required to act in or consider the best interests of the Company and its Subsidiaries or the other Members) and any duties or implied duties (including fiduciary duties) of a Director to any other Member or the Company or its Subsidiaries that would otherwise apply at law or in equity are hereby disclaimed and eliminated to the fullest extent permitted under the Act and any other applicable law, and each Member hereby disclaims and waives all rights to, and releases each other Member and each Director from, any such duties, in each case with respect to or in connection with any of the following circumstances:</w:t>
      </w:r>
    </w:p>
    <w:p>
      <w:pPr>
        <w:spacing w:after="0" w:line="155" w:lineRule="exact"/>
        <w:rPr>
          <w:rFonts w:ascii="Times New Roman" w:cs="Times New Roman" w:eastAsia="Times New Roman" w:hAnsi="Times New Roman"/>
          <w:sz w:val="21"/>
          <w:szCs w:val="21"/>
          <w:color w:val="010000"/>
        </w:rPr>
      </w:pPr>
    </w:p>
    <w:p>
      <w:pPr>
        <w:jc w:val="both"/>
        <w:ind w:right="20" w:firstLine="2587"/>
        <w:spacing w:after="0" w:line="235" w:lineRule="auto"/>
        <w:tabs>
          <w:tab w:leader="none" w:pos="3214" w:val="left"/>
        </w:tabs>
        <w:numPr>
          <w:ilvl w:val="2"/>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transaction or arrangement, or any proposed transaction or arrangement, between the Company or its Subsidiaries, on the one hand, and SoftBank or any SoftBank Party, on the other hand, including the decision to engage, or not to engage in, such transaction or arrangement; and</w:t>
      </w:r>
    </w:p>
    <w:p>
      <w:pPr>
        <w:spacing w:after="0" w:line="150" w:lineRule="exact"/>
        <w:rPr>
          <w:rFonts w:ascii="Times New Roman" w:cs="Times New Roman" w:eastAsia="Times New Roman" w:hAnsi="Times New Roman"/>
          <w:sz w:val="21"/>
          <w:szCs w:val="21"/>
          <w:color w:val="010000"/>
        </w:rPr>
      </w:pPr>
    </w:p>
    <w:p>
      <w:pPr>
        <w:jc w:val="both"/>
        <w:ind w:firstLine="2587"/>
        <w:spacing w:after="0" w:line="229" w:lineRule="auto"/>
        <w:tabs>
          <w:tab w:leader="none" w:pos="3135" w:val="left"/>
        </w:tabs>
        <w:numPr>
          <w:ilvl w:val="2"/>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decision to engage or not to engage in any transaction or arrangement, or any proposed transaction or arrangement contemplated by the Transaction Documents or the Commercial Agreements (as may be amended from time to time in accordance with the provisions thereof), or which is otherwise on terms consistent with the Commercial Agreements; and</w:t>
      </w:r>
    </w:p>
    <w:p>
      <w:pPr>
        <w:spacing w:after="0" w:line="150" w:lineRule="exact"/>
        <w:rPr>
          <w:rFonts w:ascii="Times New Roman" w:cs="Times New Roman" w:eastAsia="Times New Roman" w:hAnsi="Times New Roman"/>
          <w:sz w:val="21"/>
          <w:szCs w:val="21"/>
          <w:color w:val="010000"/>
        </w:rPr>
      </w:pPr>
    </w:p>
    <w:p>
      <w:pPr>
        <w:ind w:left="3220" w:hanging="633"/>
        <w:spacing w:after="0"/>
        <w:tabs>
          <w:tab w:leader="none" w:pos="3220" w:val="left"/>
        </w:tabs>
        <w:numPr>
          <w:ilvl w:val="2"/>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issuance of Equity Securities to the GM Investor or any of its Affiliates pursuant to</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010000"/>
        </w:rPr>
      </w:pPr>
    </w:p>
    <w:p>
      <w:pPr>
        <w:jc w:val="both"/>
        <w:ind w:firstLine="1942"/>
        <w:spacing w:after="0" w:line="224" w:lineRule="auto"/>
        <w:tabs>
          <w:tab w:leader="none" w:pos="2668"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limiting the requirements of </w:t>
      </w:r>
      <w:r>
        <w:rPr>
          <w:rFonts w:ascii="Times New Roman" w:cs="Times New Roman" w:eastAsia="Times New Roman" w:hAnsi="Times New Roman"/>
          <w:sz w:val="21"/>
          <w:szCs w:val="21"/>
          <w:u w:val="single" w:color="auto"/>
          <w:color w:val="auto"/>
        </w:rPr>
        <w:t>Section 6.13(b)</w:t>
      </w:r>
      <w:r>
        <w:rPr>
          <w:rFonts w:ascii="Times New Roman" w:cs="Times New Roman" w:eastAsia="Times New Roman" w:hAnsi="Times New Roman"/>
          <w:sz w:val="21"/>
          <w:szCs w:val="21"/>
          <w:color w:val="auto"/>
        </w:rPr>
        <w:t>, in connection with any transaction or arrangement, or any proposed transaction or arrangement, between the Company or any of its Subsidiaries, on the one hand, and GM or any of its Affiliates, on the other hand, (A) there will be no requirement for any non-Independent Director to approve such a transaction or for any independent or non-Board of Director review process, and (B) such transaction or arrangement and decision of the Board of Directors in connection therewith shall not be subject to any heightened standard of review or approval (including any review under an “entire fairness” standard); and</w:t>
      </w:r>
    </w:p>
    <w:p>
      <w:pPr>
        <w:spacing w:after="0" w:line="152" w:lineRule="exact"/>
        <w:rPr>
          <w:rFonts w:ascii="Times New Roman" w:cs="Times New Roman" w:eastAsia="Times New Roman" w:hAnsi="Times New Roman"/>
          <w:sz w:val="21"/>
          <w:szCs w:val="21"/>
          <w:color w:val="010000"/>
        </w:rPr>
      </w:pPr>
    </w:p>
    <w:p>
      <w:pPr>
        <w:jc w:val="both"/>
        <w:ind w:firstLine="1942"/>
        <w:spacing w:after="0" w:line="221" w:lineRule="auto"/>
        <w:tabs>
          <w:tab w:leader="none" w:pos="2499"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Security Director shall discharge his or her duties in a manner that he or she reasonably believes in good faith to be, in descending order: first, in the national security interest of the United States of America; and second, where not inconsistent with the national security interest of the United States of America, in the best interests of the Company. The Security Director shall not have, or be deemed to have, any duties or implied duties (other than as set forth in the preceding sentence and the NSA) to the Company or its Subsidiaries. Subject to the foregoing, in no event shall the Security Director have, or be deemed to have, any duties or implied duties (including fiduciary duties) to any Member or Person and the Security Director shall not be required to act in or consider the best interests of any Member or Person and any duties or implied duties (including fiduciary duties) of the Security Director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88" w:right="339" w:bottom="1440" w:gutter="0" w:footer="0" w:header="0"/>
        </w:sectPr>
      </w:pPr>
    </w:p>
    <w:bookmarkStart w:id="81" w:name="page82"/>
    <w:bookmarkEnd w:id="81"/>
    <w:p>
      <w:pPr>
        <w:jc w:val="both"/>
        <w:spacing w:after="0" w:line="235" w:lineRule="auto"/>
        <w:rPr>
          <w:sz w:val="20"/>
          <w:szCs w:val="20"/>
          <w:color w:val="auto"/>
        </w:rPr>
      </w:pPr>
      <w:r>
        <w:rPr>
          <w:rFonts w:ascii="Times New Roman" w:cs="Times New Roman" w:eastAsia="Times New Roman" w:hAnsi="Times New Roman"/>
          <w:sz w:val="21"/>
          <w:szCs w:val="21"/>
          <w:color w:val="auto"/>
        </w:rPr>
        <w:t>Member or Person that would otherwise apply at law or in equity are hereby disclaimed and eliminated to the fullest extent permitted under the Act and any other applicable law, and each Member hereby disclaims and waives all rights to, and releases the Security Director from, any such duties.</w:t>
      </w:r>
    </w:p>
    <w:p>
      <w:pPr>
        <w:spacing w:after="0" w:line="151" w:lineRule="exact"/>
        <w:rPr>
          <w:sz w:val="20"/>
          <w:szCs w:val="20"/>
          <w:color w:val="auto"/>
        </w:rPr>
      </w:pPr>
    </w:p>
    <w:p>
      <w:pPr>
        <w:jc w:val="both"/>
        <w:ind w:firstLine="1297"/>
        <w:spacing w:after="0" w:line="220" w:lineRule="auto"/>
        <w:tabs>
          <w:tab w:leader="none" w:pos="1743" w:val="left"/>
        </w:tabs>
        <w:numPr>
          <w:ilvl w:val="0"/>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To the maximum extent permitted by law, no Member Group Person (other than any Director in their capacity as the same to the extent expressly provided in this Agreement) shall owe any fiduciary or similar duties or obligations to the Company or its Subsidiaries, the Members or any Person, and any such duties (fiduciary or otherwise) of such Member Group Person are intended to be modified and limited to those expressly set forth in this Agreement, and no implied covenants, functions, responsibilities, duties, obligations or liabilities shall be read into this Agreement or exist against any such Member Group Person. For purposes of clarification and the avoidance of doubt and notwithstanding the foregoing, nothing contained in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or elsewhere in this Agreement shall, nor shall it be deemed to, eliminate (i) the obligation of the Members to act in compliance with the express terms of any written agreement between such Member, on the one hand, and the Company and/or any other Member, on the other hand, including this Agreement, any Transaction Document, any Commercial Agreement or any Honda Commercial Agreement, or (ii) the implied contractual covenant of good faith and fair dealing of the Members.</w:t>
      </w:r>
    </w:p>
    <w:p>
      <w:pPr>
        <w:spacing w:after="0" w:line="151" w:lineRule="exact"/>
        <w:rPr>
          <w:rFonts w:ascii="Times New Roman" w:cs="Times New Roman" w:eastAsia="Times New Roman" w:hAnsi="Times New Roman"/>
          <w:sz w:val="21"/>
          <w:szCs w:val="21"/>
          <w:color w:val="010000"/>
        </w:rPr>
      </w:pPr>
    </w:p>
    <w:p>
      <w:pPr>
        <w:jc w:val="both"/>
        <w:ind w:firstLine="1297"/>
        <w:spacing w:after="0" w:line="236" w:lineRule="auto"/>
        <w:tabs>
          <w:tab w:leader="none" w:pos="1809" w:val="left"/>
        </w:tabs>
        <w:numPr>
          <w:ilvl w:val="0"/>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performing its, his or her duties, each of the Members, Directors and Officers shall be entitled to rely in good faith on the provisions of this Agreement and on information, opinions, reports or statements (including financial statements and information, opinions, reports or statements as to the value or amount of the assets, liabilities, profits or losses of the Company and its Subsidiaries), of the following other Persons or groups: (i) (A) in relation to such Member, one or more officers or employees of such Member or by the Company or any of its Subsidiaries, or (B) in relation to an Officer or Director, one or more Officers or employees of the Company or its Subsidiaries, (ii) (A) in relation to such Member, any attorney, independent accountant, investment adviser or other Person employed or engaged by such Member or by the Company or any of its Subsidiaries, or (B) in relation to an Officer or Director, any attorney, independent accountant or other Person employed or engaged by the Company or any of its Subsidiaries, or (iii) any other Person who has been selected with reasonable care by or on behalf of such Member (in relation to a Member only) or by or on behalf of the Company or any of its Subsidiaries, in each case, as to matters which such relying Person reasonably believes to be within such other Person’s professional or expert competence. The preceding sentence shall in no way limit any Person’s right to rely on information to the extent provided in Section 18-406 of the Act.</w:t>
      </w:r>
    </w:p>
    <w:p>
      <w:pPr>
        <w:spacing w:after="0" w:line="156" w:lineRule="exact"/>
        <w:rPr>
          <w:sz w:val="20"/>
          <w:szCs w:val="20"/>
          <w:color w:val="auto"/>
        </w:rPr>
      </w:pPr>
    </w:p>
    <w:p>
      <w:pPr>
        <w:jc w:val="both"/>
        <w:ind w:firstLine="645"/>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5.09 </w:t>
      </w:r>
      <w:r>
        <w:rPr>
          <w:rFonts w:ascii="Times New Roman" w:cs="Times New Roman" w:eastAsia="Times New Roman" w:hAnsi="Times New Roman"/>
          <w:sz w:val="21"/>
          <w:szCs w:val="21"/>
          <w:b w:val="1"/>
          <w:bCs w:val="1"/>
          <w:u w:val="single" w:color="auto"/>
          <w:color w:val="auto"/>
        </w:rPr>
        <w:t>Limitation of Liability</w:t>
      </w:r>
      <w:r>
        <w:rPr>
          <w:rFonts w:ascii="Times New Roman" w:cs="Times New Roman" w:eastAsia="Times New Roman" w:hAnsi="Times New Roman"/>
          <w:sz w:val="21"/>
          <w:szCs w:val="21"/>
          <w:color w:val="auto"/>
        </w:rPr>
        <w:t>. Except as otherwise required by applicable law or as expressly set forth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 Member shall have any personal liability whatsoever in such Member’s capacity as a Member, whether to the Company, to any of the other Members, to the creditors of the Company or to any other Person for the debts, obligations and liabilities of the Company, whether arising in contract, tort or otherwise (including those arising as a Member or an equityholder, an owner or a shareholder of another Person). Each Member shall be liable only to make such Member’s Capital Contribution to the Company, if applicable, and the other payments provided for expressly herein, in each case, in accordance with the applicable terms of this Agreement and any Transaction Document (and, in the case of Honda, the Honda Purchase Agreement) to which it is a party.</w:t>
      </w:r>
    </w:p>
    <w:p>
      <w:pPr>
        <w:spacing w:after="0" w:line="14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5.10 </w:t>
      </w:r>
      <w:r>
        <w:rPr>
          <w:rFonts w:ascii="Times New Roman" w:cs="Times New Roman" w:eastAsia="Times New Roman" w:hAnsi="Times New Roman"/>
          <w:sz w:val="21"/>
          <w:szCs w:val="21"/>
          <w:b w:val="1"/>
          <w:bCs w:val="1"/>
          <w:u w:val="single" w:color="auto"/>
          <w:color w:val="auto"/>
        </w:rPr>
        <w:t>Authority</w:t>
      </w:r>
      <w:r>
        <w:rPr>
          <w:rFonts w:ascii="Times New Roman" w:cs="Times New Roman" w:eastAsia="Times New Roman" w:hAnsi="Times New Roman"/>
          <w:sz w:val="21"/>
          <w:szCs w:val="21"/>
          <w:color w:val="auto"/>
        </w:rPr>
        <w:t>. Except as otherwise expressly set forth in this Agreement, no Member, in its capacity as a Member,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have the power to act for or on behalf of, or to bind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88" w:right="339" w:bottom="1440" w:gutter="0" w:footer="0" w:header="0"/>
        </w:sectPr>
      </w:pPr>
    </w:p>
    <w:bookmarkStart w:id="82" w:name="page83"/>
    <w:bookmarkEnd w:id="82"/>
    <w:p>
      <w:pPr>
        <w:jc w:val="both"/>
        <w:ind w:firstLine="645"/>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5.11 </w:t>
      </w:r>
      <w:r>
        <w:rPr>
          <w:rFonts w:ascii="Times New Roman" w:cs="Times New Roman" w:eastAsia="Times New Roman" w:hAnsi="Times New Roman"/>
          <w:sz w:val="21"/>
          <w:szCs w:val="21"/>
          <w:b w:val="1"/>
          <w:bCs w:val="1"/>
          <w:u w:val="single" w:color="auto"/>
          <w:color w:val="auto"/>
        </w:rPr>
        <w:t>Sale of the Company; IPO</w:t>
      </w:r>
      <w:r>
        <w:rPr>
          <w:rFonts w:ascii="Times New Roman" w:cs="Times New Roman" w:eastAsia="Times New Roman" w:hAnsi="Times New Roman"/>
          <w:sz w:val="21"/>
          <w:szCs w:val="21"/>
          <w:color w:val="auto"/>
        </w:rPr>
        <w:t>. Notwithstanding anything to the contrary in this Agreement, the prior written consent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GM Investor (acting in its sole discretion and in its capacity as a Member) will be required prior to entering into or consummating any Sale of the Company or any IPO.</w:t>
      </w:r>
    </w:p>
    <w:p>
      <w:pPr>
        <w:spacing w:after="0" w:line="148" w:lineRule="exact"/>
        <w:rPr>
          <w:sz w:val="20"/>
          <w:szCs w:val="20"/>
          <w:color w:val="auto"/>
        </w:rPr>
      </w:pPr>
    </w:p>
    <w:p>
      <w:pPr>
        <w:jc w:val="both"/>
        <w:ind w:firstLine="645"/>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5.12 </w:t>
      </w:r>
      <w:r>
        <w:rPr>
          <w:rFonts w:ascii="Times New Roman" w:cs="Times New Roman" w:eastAsia="Times New Roman" w:hAnsi="Times New Roman"/>
          <w:sz w:val="21"/>
          <w:szCs w:val="21"/>
          <w:b w:val="1"/>
          <w:bCs w:val="1"/>
          <w:u w:val="single" w:color="auto"/>
          <w:color w:val="auto"/>
        </w:rPr>
        <w:t>Honda Minority Consent Right</w:t>
      </w:r>
      <w:r>
        <w:rPr>
          <w:rFonts w:ascii="Times New Roman" w:cs="Times New Roman" w:eastAsia="Times New Roman" w:hAnsi="Times New Roman"/>
          <w:sz w:val="21"/>
          <w:szCs w:val="21"/>
          <w:color w:val="auto"/>
        </w:rPr>
        <w:t>. Without Honda’s prior written consent, for so long as Honda owns the Honda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Floor Amount, the Company shall not make any alteration or amendment or waiver to this Agreement that would have a material and disproportionate adverse effect on the terms of the Class E Common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have a material and disproportionate effect on the terms of the Class E Common Shares (except as contemplated by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or (iii) to correct any typographical or similar ministerial errors. In determining whether an amendment has a material and disproportionate adverse effect on the terms of the Class E Common Shares, only the terms related thereto shall be considered, and any other relationship(s) the Class E Members may have with the Company, any of its Subsidiaries or the other Members shall not be considered and no characteristic of the Class E Members other than the terms of the Class E Common Shares shall be considered.</w:t>
      </w:r>
    </w:p>
    <w:p>
      <w:pPr>
        <w:spacing w:after="0" w:line="154" w:lineRule="exact"/>
        <w:rPr>
          <w:sz w:val="20"/>
          <w:szCs w:val="20"/>
          <w:color w:val="auto"/>
        </w:rPr>
      </w:pPr>
    </w:p>
    <w:p>
      <w:pPr>
        <w:jc w:val="both"/>
        <w:ind w:firstLine="645"/>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5.13 </w:t>
      </w:r>
      <w:r>
        <w:rPr>
          <w:rFonts w:ascii="Times New Roman" w:cs="Times New Roman" w:eastAsia="Times New Roman" w:hAnsi="Times New Roman"/>
          <w:sz w:val="21"/>
          <w:szCs w:val="21"/>
          <w:b w:val="1"/>
          <w:bCs w:val="1"/>
          <w:u w:val="single" w:color="auto"/>
          <w:color w:val="auto"/>
        </w:rPr>
        <w:t>Class F Minority Consent Right</w:t>
      </w:r>
      <w:r>
        <w:rPr>
          <w:rFonts w:ascii="Times New Roman" w:cs="Times New Roman" w:eastAsia="Times New Roman" w:hAnsi="Times New Roman"/>
          <w:sz w:val="21"/>
          <w:szCs w:val="21"/>
          <w:color w:val="auto"/>
        </w:rPr>
        <w:t>. Without the prior written consent of a Majority of the Class F Preferred,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Company shall not make any alteration or amendment or waiver to this Agreement that would (a) have a material and disproportionate adverse effect on the terms of the Class F Preferred Shares, (b) alter the definitions of Class F Liquidation Preference Amount or Class F Preferred Capital Value, (c) alter the definitions of Deemed Liquidation Event, Sale of the Company or Drag-Along Sale Transaction in a manner that would adversely affect in any material respect the rights of the Class F Preferred Shares, or (d) result in the net proceeds or assets available for distribution upon a liquidation or Deemed Liquidation Event not being applied in accordance with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(as may be amended from time to time, pursuant to the terms and conditions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w:t>
      </w:r>
    </w:p>
    <w:p>
      <w:pPr>
        <w:spacing w:after="0" w:line="12" w:lineRule="exact"/>
        <w:rPr>
          <w:sz w:val="20"/>
          <w:szCs w:val="20"/>
          <w:color w:val="auto"/>
        </w:rPr>
      </w:pPr>
    </w:p>
    <w:p>
      <w:pPr>
        <w:jc w:val="both"/>
        <w:ind w:firstLine="7"/>
        <w:spacing w:after="0" w:line="219" w:lineRule="auto"/>
        <w:tabs>
          <w:tab w:leader="none" w:pos="33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amendment(s) to this Agreement in connection with the preparation for or consummation of an IPO that do not have a material and disproportionate effect on the terms of the Class F Preferred Shares (except as contemplated by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or (iii) to correct any typographical or similar ministerial errors. In determining whether an amendment has a material and disproportionate adverse effect on the terms of the Class F Preferred Shares, only the terms related thereto shall be considered, and any other relationship(s) the Class F Preferred Members may have with the Company, any of its Subsidiaries or the other Members shall not be considered and no characteristic of the Class F Preferred Members other than the terms of the Class F Preferred Shares shall be considered.</w:t>
      </w:r>
    </w:p>
    <w:p>
      <w:pPr>
        <w:spacing w:after="0" w:line="149" w:lineRule="exact"/>
        <w:rPr>
          <w:sz w:val="20"/>
          <w:szCs w:val="20"/>
          <w:color w:val="auto"/>
        </w:rPr>
      </w:pPr>
    </w:p>
    <w:p>
      <w:pPr>
        <w:jc w:val="both"/>
        <w:ind w:firstLine="645"/>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5.14 </w:t>
      </w:r>
      <w:r>
        <w:rPr>
          <w:rFonts w:ascii="Times New Roman" w:cs="Times New Roman" w:eastAsia="Times New Roman" w:hAnsi="Times New Roman"/>
          <w:sz w:val="21"/>
          <w:szCs w:val="21"/>
          <w:b w:val="1"/>
          <w:bCs w:val="1"/>
          <w:u w:val="single" w:color="auto"/>
          <w:color w:val="auto"/>
        </w:rPr>
        <w:t>Class G Minority Consent Right</w:t>
      </w:r>
      <w:r>
        <w:rPr>
          <w:rFonts w:ascii="Times New Roman" w:cs="Times New Roman" w:eastAsia="Times New Roman" w:hAnsi="Times New Roman"/>
          <w:sz w:val="21"/>
          <w:szCs w:val="21"/>
          <w:color w:val="auto"/>
        </w:rPr>
        <w:t>. Without the prior written consent of a majority of the Class G Preferred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then held by Class G New Members, the Company shall not make any alteration or amendment or waiver to this Agreement that would (a)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84" w:right="339" w:bottom="1440" w:gutter="0" w:footer="0" w:header="0"/>
        </w:sectPr>
      </w:pPr>
    </w:p>
    <w:bookmarkStart w:id="83" w:name="page84"/>
    <w:bookmarkEnd w:id="83"/>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material and disproportionate adverse effect on the terms of the Class G Preferred Shares, (b) alter the definitions of Class G Liquidation Preference Amount or Class G Preferred Capital Value, (c) alter the definitions of Deemed Liquidation Event, Sale of the Company or Drag-Along Sale Transaction in a manner that would adversely affect in any material respect the rights of the Class G Preferred Shares, (d) result in the net proceeds or assets available for distribution upon a liquidation or Deemed Liquidation Event not being applied in accordance with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(as may be amended from time to time, pursuant to the terms and conditions hereof), or (e) amend this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color w:val="auto"/>
        </w:rPr>
        <w:t xml:space="preserve">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have a material and disproportionate effect on the terms of the Class G Preferred Shares (except as contemplated by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or (iii) to correct any typographical or similar ministerial errors. In determining whether an amendment has a material and disproportionate adverse effect on the terms of the Class G Preferred Shares, only the terms related thereto shall be considered, and any other relationship(s) the Class G Preferred Members may have with the Company, any of its Subsidiaries or the other Members shall not be considered and no characteristic of the Class G Preferred Members other than the terms of the Class G Preferred Shares shall be considered.</w:t>
      </w:r>
    </w:p>
    <w:p>
      <w:pPr>
        <w:spacing w:after="0" w:line="1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VI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MANAGEMENT</w:t>
      </w:r>
    </w:p>
    <w:p>
      <w:pPr>
        <w:spacing w:after="0" w:line="16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6.01</w:t>
      </w:r>
      <w:r>
        <w:rPr>
          <w:sz w:val="20"/>
          <w:szCs w:val="20"/>
          <w:color w:val="auto"/>
        </w:rPr>
        <w:tab/>
      </w:r>
      <w:r>
        <w:rPr>
          <w:rFonts w:ascii="Times New Roman" w:cs="Times New Roman" w:eastAsia="Times New Roman" w:hAnsi="Times New Roman"/>
          <w:sz w:val="21"/>
          <w:szCs w:val="21"/>
          <w:b w:val="1"/>
          <w:bCs w:val="1"/>
          <w:u w:val="single" w:color="auto"/>
          <w:color w:val="auto"/>
        </w:rPr>
        <w:t>Management</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1" w:lineRule="auto"/>
        <w:tabs>
          <w:tab w:leader="none" w:pos="1864"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prejudice to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to the fullest extent permitted by law, the business and affairs of the Company shall be managed by a board of directors (the “</w:t>
      </w:r>
      <w:r>
        <w:rPr>
          <w:rFonts w:ascii="Times New Roman" w:cs="Times New Roman" w:eastAsia="Times New Roman" w:hAnsi="Times New Roman"/>
          <w:sz w:val="21"/>
          <w:szCs w:val="21"/>
          <w:b w:val="1"/>
          <w:bCs w:val="1"/>
          <w:color w:val="auto"/>
        </w:rPr>
        <w:t>Board of Directors</w:t>
      </w:r>
      <w:r>
        <w:rPr>
          <w:rFonts w:ascii="Times New Roman" w:cs="Times New Roman" w:eastAsia="Times New Roman" w:hAnsi="Times New Roman"/>
          <w:sz w:val="21"/>
          <w:szCs w:val="21"/>
          <w:color w:val="auto"/>
        </w:rPr>
        <w:t>”), which shall direct, manage and control the business of the Company. Except as otherwise expressly set forth herein (or if required by a non-waivable provision of the Act), no Member shall have the right to manage the Company or to reject, override, overturn, veto or otherwise approve or pass judgement upon any action taken by the Board of Directors or an authorized Officer of the Company. Except as otherwise expressly set forth herein, the Board of Directors shall have full and complete authority, power and discretion to manage and control the business, affairs and properties of the Company and make any and all decisions and to take any and all actions which the Board of Directors deems necessary or desirable for that purpose.</w:t>
      </w:r>
    </w:p>
    <w:p>
      <w:pPr>
        <w:spacing w:after="0" w:line="155" w:lineRule="exact"/>
        <w:rPr>
          <w:rFonts w:ascii="Times New Roman" w:cs="Times New Roman" w:eastAsia="Times New Roman" w:hAnsi="Times New Roman"/>
          <w:sz w:val="21"/>
          <w:szCs w:val="21"/>
          <w:color w:val="010000"/>
        </w:rPr>
      </w:pPr>
    </w:p>
    <w:p>
      <w:pPr>
        <w:ind w:firstLine="1297"/>
        <w:spacing w:after="0" w:line="251" w:lineRule="auto"/>
        <w:tabs>
          <w:tab w:leader="none" w:pos="1796"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Director shall constitute a “manager” within the meaning of the Act. However, no individual Director, in his or her capacity as such, shall have the authority to bind the Company.</w:t>
      </w:r>
    </w:p>
    <w:p>
      <w:pPr>
        <w:spacing w:after="0" w:line="136" w:lineRule="exact"/>
        <w:rPr>
          <w:sz w:val="20"/>
          <w:szCs w:val="20"/>
          <w:color w:val="auto"/>
        </w:rPr>
      </w:pPr>
    </w:p>
    <w:p>
      <w:pPr>
        <w:jc w:val="both"/>
        <w:ind w:firstLine="645"/>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6.02 </w:t>
      </w:r>
      <w:r>
        <w:rPr>
          <w:rFonts w:ascii="Times New Roman" w:cs="Times New Roman" w:eastAsia="Times New Roman" w:hAnsi="Times New Roman"/>
          <w:sz w:val="21"/>
          <w:szCs w:val="21"/>
          <w:b w:val="1"/>
          <w:bCs w:val="1"/>
          <w:u w:val="single" w:color="auto"/>
          <w:color w:val="auto"/>
        </w:rPr>
        <w:t>Number of Directors</w:t>
      </w:r>
      <w:r>
        <w:rPr>
          <w:rFonts w:ascii="Times New Roman" w:cs="Times New Roman" w:eastAsia="Times New Roman" w:hAnsi="Times New Roman"/>
          <w:sz w:val="21"/>
          <w:szCs w:val="21"/>
          <w:color w:val="auto"/>
        </w:rPr>
        <w:t>. At the date of this Agreement, the Board of Directors shall consist of nine (9) Directors.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Board of Directors may, from time to time following the date of this Agreement, determine the size of the Board of Directors;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shall notify the CFIUS Monitoring Agency concerning any such change to the size of the Board of Directors and the size of the Board of Directors shall not be decreased to less than six (6)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88" w:right="339" w:bottom="1440" w:gutter="0" w:footer="0" w:header="0"/>
        </w:sectPr>
      </w:pPr>
    </w:p>
    <w:bookmarkStart w:id="84" w:name="page85"/>
    <w:bookmarkEnd w:id="84"/>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6.03</w:t>
      </w:r>
      <w:r>
        <w:rPr>
          <w:sz w:val="20"/>
          <w:szCs w:val="20"/>
          <w:color w:val="auto"/>
        </w:rPr>
        <w:tab/>
      </w:r>
      <w:r>
        <w:rPr>
          <w:rFonts w:ascii="Times New Roman" w:cs="Times New Roman" w:eastAsia="Times New Roman" w:hAnsi="Times New Roman"/>
          <w:sz w:val="21"/>
          <w:szCs w:val="21"/>
          <w:b w:val="1"/>
          <w:bCs w:val="1"/>
          <w:u w:val="single" w:color="auto"/>
          <w:color w:val="auto"/>
        </w:rPr>
        <w:t>Board Designation Rights and Composition; Proxies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3" w:lineRule="auto"/>
        <w:tabs>
          <w:tab w:leader="none" w:pos="1878" w:val="left"/>
        </w:tabs>
        <w:numPr>
          <w:ilvl w:val="0"/>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 The Class A-2 Preferred Members shall, by vote of a Majority of the Class A-2 Preferred, have the exclusive right to designate, appoint, remove and replace all Directors (including any Director vacancies created by virtue of an increase in the size of the Board of Directors pursuant to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other than the Security Director, the SoftBank Director (if applicable), and the Common Director (the “</w:t>
      </w:r>
      <w:r>
        <w:rPr>
          <w:rFonts w:ascii="Times New Roman" w:cs="Times New Roman" w:eastAsia="Times New Roman" w:hAnsi="Times New Roman"/>
          <w:sz w:val="21"/>
          <w:szCs w:val="21"/>
          <w:b w:val="1"/>
          <w:bCs w:val="1"/>
          <w:color w:val="auto"/>
        </w:rPr>
        <w:t>A-2 Preferred Directors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there are no Class A-2 Preferred Shares outstanding, the A-2 Preferred Directors will be appointed by a Majority of the Class C Common, (ii) the Members holding Common Shares, Class F Preferred Shares, and Class G Preferred Shares shall, by vote of a Majority of the Common Shares, have the exclusive right to designate, appoint, remove and replace one (1) Director (the “</w:t>
      </w:r>
      <w:r>
        <w:rPr>
          <w:rFonts w:ascii="Times New Roman" w:cs="Times New Roman" w:eastAsia="Times New Roman" w:hAnsi="Times New Roman"/>
          <w:sz w:val="21"/>
          <w:szCs w:val="21"/>
          <w:b w:val="1"/>
          <w:bCs w:val="1"/>
          <w:color w:val="auto"/>
        </w:rPr>
        <w:t>Common Director</w:t>
      </w:r>
      <w:r>
        <w:rPr>
          <w:rFonts w:ascii="Times New Roman" w:cs="Times New Roman" w:eastAsia="Times New Roman" w:hAnsi="Times New Roman"/>
          <w:sz w:val="21"/>
          <w:szCs w:val="21"/>
          <w:color w:val="auto"/>
        </w:rPr>
        <w:t xml:space="preserve">”), (iii) the Security Director shall be designated, appointed, removed, and replaced in accordance with the terms set forth in the NSA and in </w:t>
      </w:r>
      <w:r>
        <w:rPr>
          <w:rFonts w:ascii="Times New Roman" w:cs="Times New Roman" w:eastAsia="Times New Roman" w:hAnsi="Times New Roman"/>
          <w:sz w:val="21"/>
          <w:szCs w:val="21"/>
          <w:u w:val="single" w:color="auto"/>
          <w:color w:val="auto"/>
        </w:rPr>
        <w:t>Section 6.03(e)</w:t>
      </w:r>
      <w:r>
        <w:rPr>
          <w:rFonts w:ascii="Times New Roman" w:cs="Times New Roman" w:eastAsia="Times New Roman" w:hAnsi="Times New Roman"/>
          <w:sz w:val="21"/>
          <w:szCs w:val="21"/>
          <w:color w:val="auto"/>
        </w:rPr>
        <w:t xml:space="preserve"> and (iv) following the receipt of SoftBank CFIUS Approval and subject to </w:t>
      </w: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color w:val="auto"/>
        </w:rPr>
        <w:t xml:space="preserve"> and the requirements set forth in the NSA, SoftBank shall have the exclusive right (exercisable by written notification to the Company and the GM Investor), for so long as SoftBank owns the SoftBank Floor Amount, to designate, appoint, remove and replace one (1) Director (the “</w:t>
      </w:r>
      <w:r>
        <w:rPr>
          <w:rFonts w:ascii="Times New Roman" w:cs="Times New Roman" w:eastAsia="Times New Roman" w:hAnsi="Times New Roman"/>
          <w:sz w:val="21"/>
          <w:szCs w:val="21"/>
          <w:b w:val="1"/>
          <w:bCs w:val="1"/>
          <w:color w:val="auto"/>
        </w:rPr>
        <w:t>SoftBank Director</w:t>
      </w:r>
      <w:r>
        <w:rPr>
          <w:rFonts w:ascii="Times New Roman" w:cs="Times New Roman" w:eastAsia="Times New Roman" w:hAnsi="Times New Roman"/>
          <w:sz w:val="21"/>
          <w:szCs w:val="21"/>
          <w:color w:val="auto"/>
        </w:rPr>
        <w:t xml:space="preserve">”). The initial A-2 Preferred Directors are such five (5) natural Persons as were notified in writing to the Company and SoftBank by GM and the initial Common Director is such one (1) natural Person as was notified in writing to the Company and SoftBank by GM. Subject to </w:t>
      </w:r>
      <w:r>
        <w:rPr>
          <w:rFonts w:ascii="Times New Roman" w:cs="Times New Roman" w:eastAsia="Times New Roman" w:hAnsi="Times New Roman"/>
          <w:sz w:val="21"/>
          <w:szCs w:val="21"/>
          <w:u w:val="single" w:color="auto"/>
          <w:color w:val="auto"/>
        </w:rPr>
        <w:t>Section 6.03(e)</w:t>
      </w:r>
      <w:r>
        <w:rPr>
          <w:rFonts w:ascii="Times New Roman" w:cs="Times New Roman" w:eastAsia="Times New Roman" w:hAnsi="Times New Roman"/>
          <w:sz w:val="21"/>
          <w:szCs w:val="21"/>
          <w:color w:val="auto"/>
        </w:rPr>
        <w:t xml:space="preserve">, if at any time any Director ceases to serve on the Board of Directors (whether due to resignation, removal or otherwise), the Member(s) entitled to designate and appoint such Director pursuant to this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shall designate and appoint a replacement for such Director by written notice to the Board of Directors (it being further understood and agreed that the failure by any party to designate and appoint a representative to fill a vacant Director position pursuant to this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xml:space="preserve"> shall not give rights to, or otherwise entitle, the Board of Directors or any other Member (other than the Member(s) entitled to designate and appoint such Director pursuant to this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xml:space="preserve">, including the penultimate sentence hereof) to fill such vacant position without the prior written consent of the Member(s) originally entitled to designate and appoint such Director pursuant to this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xml:space="preserve">). Except as otherwise expressly stated herein, only the Member(s) entitled to designate and appoint a specific Director may remove such Director, at any time and from time to time, with or without cause (subject to applicable law), in such Member(s) sole discretion, and such Member(s) shall give written notice of such removal to the Board of Directors. Notwithstanding the foregoing, upon such time as SoftBank owns less than the SoftBank Floor Amount, the SoftBank Director shall be immediately and automatically removed, and the right of SoftBank to designate, appoint, remove and replace a Director shall be null and void and, for clarity, Class A-2 Preferred Members shall, by vote of a Majority of the Class A-2 Preferred (or a Majority of the Class C Common, if no Class A-2 Preferred Shares are outstanding), have the exclusive right to fill such vacant Director position (and, thereafter, designate, appoint, remove and replace such Director). Except as otherwise expressly stated herein, this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is the exclusive means by which Directors may be removed or replaced.</w:t>
      </w:r>
    </w:p>
    <w:p>
      <w:pPr>
        <w:spacing w:after="0" w:line="157" w:lineRule="exact"/>
        <w:rPr>
          <w:rFonts w:ascii="Times New Roman" w:cs="Times New Roman" w:eastAsia="Times New Roman" w:hAnsi="Times New Roman"/>
          <w:sz w:val="21"/>
          <w:szCs w:val="21"/>
          <w:color w:val="010000"/>
        </w:rPr>
      </w:pPr>
    </w:p>
    <w:p>
      <w:pPr>
        <w:jc w:val="both"/>
        <w:ind w:firstLine="1297"/>
        <w:spacing w:after="0" w:line="224" w:lineRule="auto"/>
        <w:tabs>
          <w:tab w:leader="none" w:pos="1809" w:val="left"/>
        </w:tabs>
        <w:numPr>
          <w:ilvl w:val="0"/>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GM Investor may elect any one (1) of the Directors to be the Chairman of the Board of Directors (the “</w:t>
      </w:r>
      <w:r>
        <w:rPr>
          <w:rFonts w:ascii="Times New Roman" w:cs="Times New Roman" w:eastAsia="Times New Roman" w:hAnsi="Times New Roman"/>
          <w:sz w:val="21"/>
          <w:szCs w:val="21"/>
          <w:b w:val="1"/>
          <w:bCs w:val="1"/>
          <w:color w:val="auto"/>
        </w:rPr>
        <w:t>Chairman</w:t>
      </w:r>
      <w:r>
        <w:rPr>
          <w:rFonts w:ascii="Times New Roman" w:cs="Times New Roman" w:eastAsia="Times New Roman" w:hAnsi="Times New Roman"/>
          <w:sz w:val="21"/>
          <w:szCs w:val="21"/>
          <w:color w:val="auto"/>
        </w:rPr>
        <w:t>”). The Chairman, if any, may be removed from his or her position as Chairman at any time by the GM Investor. The Chairman, in his or her capacity as the Chairman, shall not have any of the rights or powers of an Officer. The Chairman shall preside at all meetings of the Board of Directors and at all meetings of the Members at which he or she shall be present. The Chairman may be the chief executive officer, or have another officer position, at GM (or any of its Affiliates) or the Company (or any of its Subsidiaries).</w:t>
      </w:r>
    </w:p>
    <w:p>
      <w:pPr>
        <w:spacing w:after="0" w:line="152" w:lineRule="exact"/>
        <w:rPr>
          <w:rFonts w:ascii="Times New Roman" w:cs="Times New Roman" w:eastAsia="Times New Roman" w:hAnsi="Times New Roman"/>
          <w:sz w:val="21"/>
          <w:szCs w:val="21"/>
          <w:color w:val="010000"/>
        </w:rPr>
      </w:pPr>
    </w:p>
    <w:p>
      <w:pPr>
        <w:ind w:firstLine="1297"/>
        <w:spacing w:after="0" w:line="251" w:lineRule="auto"/>
        <w:tabs>
          <w:tab w:leader="none" w:pos="1743" w:val="left"/>
        </w:tabs>
        <w:numPr>
          <w:ilvl w:val="0"/>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extent permitted by law, each Member shall vote all voting securities of the Company over which such Member has voting control, and shall take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84" w:right="339" w:bottom="1440" w:gutter="0" w:footer="0" w:header="0"/>
        </w:sectPr>
      </w:pPr>
    </w:p>
    <w:bookmarkStart w:id="85" w:name="page86"/>
    <w:bookmarkEnd w:id="85"/>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necessary or desirable actions within such Member’s control (whether in such Member’s capacity as a Member, Director, member of a board committee or Officer of the Company or otherwise, and including attendance at meetings in person or by proxy for purposes of obtaining a quorum and execution of written consents in lieu of meetings), and the Company shall take all necessary and desirable actions within its control (including calling special Board of Directors or member meetings), so that the provisions of this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are promptly complied with and that the composition of the Board of Directors is consistent with the terms and conditions of this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1297"/>
        <w:spacing w:after="0" w:line="229" w:lineRule="auto"/>
        <w:tabs>
          <w:tab w:leader="none" w:pos="1756" w:val="left"/>
        </w:tabs>
        <w:numPr>
          <w:ilvl w:val="0"/>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A-2 Preferred Director or Common Director may authorize any other Director to act for such Director by proxy on any matter brought before the Board of Directors for a vote, which proxy may be granted orally or in writing by the applicable Director. Any such proxy shall be revocable at the pleasure of the Director granting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right to revocation shall not invalidate or otherwise affect actions taken under such proxy prior to such revocation.</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010000"/>
        </w:rPr>
        <w:t>(e)</w:t>
      </w:r>
    </w:p>
    <w:p>
      <w:pPr>
        <w:spacing w:after="0" w:line="188" w:lineRule="exact"/>
        <w:rPr>
          <w:sz w:val="20"/>
          <w:szCs w:val="20"/>
          <w:color w:val="auto"/>
        </w:rPr>
      </w:pPr>
    </w:p>
    <w:p>
      <w:pPr>
        <w:jc w:val="both"/>
        <w:ind w:firstLine="1942"/>
        <w:spacing w:after="0"/>
        <w:tabs>
          <w:tab w:leader="none" w:pos="2366" w:val="left"/>
        </w:tabs>
        <w:numPr>
          <w:ilvl w:val="0"/>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accordance with the NSA, solely with respect to any vacancy for the Security Director position, the Board of Directors shall nominate a candidate for the Security Director position and the Company shall seek the consent of both SoftBank and GM concerning such candidate. Any candidate so nominated by the Board of Directors shall satisfy the requirements set forth in the NSA, unless exempted or otherwise approved by the CFIUS Monitoring Agency. Subject to the prior consent of both SoftBank and GM concerning such candidate, the Company shall notify the CFIUS Monitoring Agency concerning such candidate in accordance with the NSA, and shall seek any exemptions or other approvals to the extent such candidate fails to meet all of the requirements set forth in the NSA. Without prejudice to any other rights set forth in the NSA, subject to the approval by the CFIUS Monitoring Agency or the deemed approval by the CFIUS Monitoring Agency for failing to object within the deadline set forth in the NSA, concerning such candidate, and only after following the nomination process set forth above, the GM Investor shall be entitled to designate and appoint such candidate as the Security Director by written notice to the Board of Directors.</w:t>
      </w:r>
    </w:p>
    <w:p>
      <w:pPr>
        <w:spacing w:after="0" w:line="165" w:lineRule="exact"/>
        <w:rPr>
          <w:rFonts w:ascii="Times New Roman" w:cs="Times New Roman" w:eastAsia="Times New Roman" w:hAnsi="Times New Roman"/>
          <w:sz w:val="21"/>
          <w:szCs w:val="21"/>
          <w:color w:val="010000"/>
        </w:rPr>
      </w:pPr>
    </w:p>
    <w:p>
      <w:pPr>
        <w:jc w:val="both"/>
        <w:ind w:firstLine="1942"/>
        <w:spacing w:after="0"/>
        <w:tabs>
          <w:tab w:leader="none" w:pos="2426" w:val="left"/>
        </w:tabs>
        <w:numPr>
          <w:ilvl w:val="0"/>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accordance with the NSA, solely with respect to the removal of the Security Director, the Majority of the Members or the Board of Directors (including the Directors employed by Cruise) shall each be entitled to remove the Security Director, at any time and from time to time, with or without cause (subject to applicable law), in their respective sole discretion, and, in the case of the Majority of the Members, the GM Investor shall give written notice of such removal to the Board of Directors.</w:t>
      </w:r>
    </w:p>
    <w:p>
      <w:pPr>
        <w:spacing w:after="0" w:line="320" w:lineRule="exact"/>
        <w:rPr>
          <w:sz w:val="20"/>
          <w:szCs w:val="20"/>
          <w:color w:val="auto"/>
        </w:rPr>
      </w:pPr>
    </w:p>
    <w:p>
      <w:pPr>
        <w:jc w:val="both"/>
        <w:ind w:firstLine="645"/>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6.04 </w:t>
      </w:r>
      <w:r>
        <w:rPr>
          <w:rFonts w:ascii="Times New Roman" w:cs="Times New Roman" w:eastAsia="Times New Roman" w:hAnsi="Times New Roman"/>
          <w:sz w:val="21"/>
          <w:szCs w:val="21"/>
          <w:b w:val="1"/>
          <w:bCs w:val="1"/>
          <w:u w:val="single" w:color="auto"/>
          <w:color w:val="auto"/>
        </w:rPr>
        <w:t>Board Observers</w:t>
      </w:r>
      <w:r>
        <w:rPr>
          <w:rFonts w:ascii="Times New Roman" w:cs="Times New Roman" w:eastAsia="Times New Roman" w:hAnsi="Times New Roman"/>
          <w:sz w:val="21"/>
          <w:szCs w:val="21"/>
          <w:color w:val="auto"/>
        </w:rPr>
        <w:t>. Following the receipt of SoftBank CFIUS Approval and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set forth in the NSA, SoftBank shall have the exclusive right, for so long as SoftBank owns the SoftBank Floor Amount, to designate one natural person to attend all meetings of the Board of Directors in a non-voting observer capacity (the “</w:t>
      </w:r>
      <w:r>
        <w:rPr>
          <w:rFonts w:ascii="Times New Roman" w:cs="Times New Roman" w:eastAsia="Times New Roman" w:hAnsi="Times New Roman"/>
          <w:sz w:val="21"/>
          <w:szCs w:val="21"/>
          <w:b w:val="1"/>
          <w:bCs w:val="1"/>
          <w:color w:val="auto"/>
        </w:rPr>
        <w:t>SoftBank Board Observer</w:t>
      </w:r>
      <w:r>
        <w:rPr>
          <w:rFonts w:ascii="Times New Roman" w:cs="Times New Roman" w:eastAsia="Times New Roman" w:hAnsi="Times New Roman"/>
          <w:sz w:val="21"/>
          <w:szCs w:val="21"/>
          <w:color w:val="auto"/>
        </w:rPr>
        <w:t xml:space="preserve">”). Following the receipt of Honda CFIUS Approval and subject to </w:t>
      </w: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color w:val="auto"/>
        </w:rPr>
        <w:t>, Honda shall have the exclusive right, for so long as Honda owns the Honda Floor Amount, to designate one natural person to attend all meetings of the Board of Directors in a non-voting observer capacity (the “</w:t>
      </w:r>
      <w:r>
        <w:rPr>
          <w:rFonts w:ascii="Times New Roman" w:cs="Times New Roman" w:eastAsia="Times New Roman" w:hAnsi="Times New Roman"/>
          <w:sz w:val="21"/>
          <w:szCs w:val="21"/>
          <w:b w:val="1"/>
          <w:bCs w:val="1"/>
          <w:color w:val="auto"/>
        </w:rPr>
        <w:t>Honda Board Observer</w:t>
      </w:r>
      <w:r>
        <w:rPr>
          <w:rFonts w:ascii="Times New Roman" w:cs="Times New Roman" w:eastAsia="Times New Roman" w:hAnsi="Times New Roman"/>
          <w:sz w:val="21"/>
          <w:szCs w:val="21"/>
          <w:color w:val="auto"/>
        </w:rPr>
        <w:t>”). Microsoft shall have the exclusive right, for so long as Microsoft owns the Microsoft Floor Amount, to designate one natural person, who must be a full-time employee of Microsoft, to attend all meetings of the Board of Directors in a non-voting observer capacity (the “</w:t>
      </w:r>
      <w:r>
        <w:rPr>
          <w:rFonts w:ascii="Times New Roman" w:cs="Times New Roman" w:eastAsia="Times New Roman" w:hAnsi="Times New Roman"/>
          <w:sz w:val="21"/>
          <w:szCs w:val="21"/>
          <w:b w:val="1"/>
          <w:bCs w:val="1"/>
          <w:color w:val="auto"/>
        </w:rPr>
        <w:t>Microsoft Board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Observer</w:t>
      </w:r>
      <w:r>
        <w:rPr>
          <w:rFonts w:ascii="Times New Roman" w:cs="Times New Roman" w:eastAsia="Times New Roman" w:hAnsi="Times New Roman"/>
          <w:sz w:val="21"/>
          <w:szCs w:val="21"/>
          <w:color w:val="auto"/>
        </w:rPr>
        <w:t>”, and together with the SoftBank Board Observer and Honda Board Observer, the “</w:t>
      </w:r>
      <w:r>
        <w:rPr>
          <w:rFonts w:ascii="Times New Roman" w:cs="Times New Roman" w:eastAsia="Times New Roman" w:hAnsi="Times New Roman"/>
          <w:sz w:val="21"/>
          <w:szCs w:val="21"/>
          <w:b w:val="1"/>
          <w:bCs w:val="1"/>
          <w:color w:val="auto"/>
        </w:rPr>
        <w:t>Board Observers</w:t>
      </w:r>
      <w:r>
        <w:rPr>
          <w:rFonts w:ascii="Times New Roman" w:cs="Times New Roman" w:eastAsia="Times New Roman" w:hAnsi="Times New Roman"/>
          <w:sz w:val="21"/>
          <w:szCs w:val="21"/>
          <w:color w:val="auto"/>
        </w:rPr>
        <w:t>”). The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will apply to the Board Observers: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88" w:right="339" w:bottom="1440" w:gutter="0" w:footer="0" w:header="0"/>
        </w:sectPr>
      </w:pPr>
    </w:p>
    <w:bookmarkStart w:id="86" w:name="page87"/>
    <w:bookmarkEnd w:id="86"/>
    <w:p>
      <w:pPr>
        <w:jc w:val="both"/>
        <w:ind w:firstLine="1297"/>
        <w:spacing w:after="0" w:line="220" w:lineRule="auto"/>
        <w:tabs>
          <w:tab w:leader="none" w:pos="1891" w:val="left"/>
        </w:tabs>
        <w:numPr>
          <w:ilvl w:val="1"/>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shall deliver to (i) the SoftBank Board Observer copies of all reports, notices, minutes, consents, actions taken or proposed to be taken without a meeting and other materials in each case (and to the extent) that the Company provides the same to the SoftBank Director, each such delivery to be made concurrently with the delivery of such materials to the SoftBank Director, (ii) the Honda Board Observer copies of all reports, notices, minutes, consents, actions taken or proposed to be taken without a meeting and other materials in each case (and to the extent) that the Company provides the same to the Board of Directors, and (iii) the Microsoft Board Observer copies of all reports, notices, minutes, consents, actions taken or proposed to be taken without a meeting and other materials in each case (and to the extent) that the Company provides the same to the Board of Directors, subject to the restrictions set forth in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each such delivery to be made concurrently with the delivery of such materials to the Board of Directors;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failure to deliver any such notice or materials to any Board Observer shall not impair the validity of any action taken by the Board of Directors;</w:t>
      </w:r>
    </w:p>
    <w:p>
      <w:pPr>
        <w:spacing w:after="0" w:line="151" w:lineRule="exact"/>
        <w:rPr>
          <w:rFonts w:ascii="Times New Roman" w:cs="Times New Roman" w:eastAsia="Times New Roman" w:hAnsi="Times New Roman"/>
          <w:sz w:val="21"/>
          <w:szCs w:val="21"/>
          <w:color w:val="010000"/>
        </w:rPr>
      </w:pPr>
    </w:p>
    <w:p>
      <w:pPr>
        <w:jc w:val="both"/>
        <w:ind w:firstLine="1297"/>
        <w:spacing w:after="0" w:line="221" w:lineRule="auto"/>
        <w:tabs>
          <w:tab w:leader="none" w:pos="1903" w:val="left"/>
        </w:tabs>
        <w:numPr>
          <w:ilvl w:val="1"/>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Board Observers shall be entitled to attend all meetings of the Board of Directors in person or by telephone, and the Company shall ensure that appropriate arrangements are made such that the Board Observers will be able to hear everyone during any meeting of the Board of Directors at which the Board Observers participate by telephone;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w:t>
      </w:r>
    </w:p>
    <w:p>
      <w:pPr>
        <w:spacing w:after="0" w:line="1" w:lineRule="exact"/>
        <w:rPr>
          <w:rFonts w:ascii="Times New Roman" w:cs="Times New Roman" w:eastAsia="Times New Roman" w:hAnsi="Times New Roman"/>
          <w:sz w:val="21"/>
          <w:szCs w:val="21"/>
          <w:color w:val="010000"/>
        </w:rPr>
      </w:pPr>
    </w:p>
    <w:p>
      <w:pPr>
        <w:jc w:val="both"/>
        <w:ind w:firstLine="7"/>
        <w:spacing w:after="0" w:line="220" w:lineRule="auto"/>
        <w:tabs>
          <w:tab w:leader="none" w:pos="26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SoftBank Board Observer may be excluded from access to any portion of any meeting to the same extent as the SoftBank Director (or, in the event the SoftBank Director is not appointed, as if the SoftBank Director were so appointed) would be so excluded (or recused) pursuant to the terms hereof, (ii) the Honda Board Observer may be excluded from access to any portion of any meeting to the extent that matters with respect to which Honda Competitively Sensitive Information is shared, presented or discussed, and (iii) the Microsoft Board Observer may be excluded from access to any portion of any meeting to the extent that matters with respect to which Microsoft Competitively Sensitive Information is shared, presented or discussed;</w:t>
      </w:r>
    </w:p>
    <w:p>
      <w:pPr>
        <w:spacing w:after="0" w:line="152" w:lineRule="exact"/>
        <w:rPr>
          <w:rFonts w:ascii="Times New Roman" w:cs="Times New Roman" w:eastAsia="Times New Roman" w:hAnsi="Times New Roman"/>
          <w:sz w:val="21"/>
          <w:szCs w:val="21"/>
          <w:color w:val="auto"/>
        </w:rPr>
      </w:pPr>
    </w:p>
    <w:p>
      <w:pPr>
        <w:jc w:val="both"/>
        <w:ind w:firstLine="1297"/>
        <w:spacing w:after="0" w:line="235" w:lineRule="auto"/>
        <w:tabs>
          <w:tab w:leader="none" w:pos="1770" w:val="left"/>
        </w:tabs>
        <w:numPr>
          <w:ilvl w:val="1"/>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Board Observers shall be observers only, shall not be actual members of the Board of Directors and shall not have any of the rights, duties or obligations of a Director (including that the Board Observers shall not have the right to vote on any matter that may come before the Board of Directors). The Board Observers shall not count towards any quorum;</w:t>
      </w:r>
    </w:p>
    <w:p>
      <w:pPr>
        <w:spacing w:after="0" w:line="150" w:lineRule="exact"/>
        <w:rPr>
          <w:rFonts w:ascii="Times New Roman" w:cs="Times New Roman" w:eastAsia="Times New Roman" w:hAnsi="Times New Roman"/>
          <w:sz w:val="21"/>
          <w:szCs w:val="21"/>
          <w:color w:val="010000"/>
        </w:rPr>
      </w:pPr>
    </w:p>
    <w:p>
      <w:pPr>
        <w:ind w:right="20" w:firstLine="1297"/>
        <w:spacing w:after="0" w:line="251" w:lineRule="auto"/>
        <w:tabs>
          <w:tab w:leader="none" w:pos="1823" w:val="left"/>
        </w:tabs>
        <w:numPr>
          <w:ilvl w:val="1"/>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6.04(g)</w:t>
      </w:r>
      <w:r>
        <w:rPr>
          <w:rFonts w:ascii="Times New Roman" w:cs="Times New Roman" w:eastAsia="Times New Roman" w:hAnsi="Times New Roman"/>
          <w:sz w:val="21"/>
          <w:szCs w:val="21"/>
          <w:color w:val="auto"/>
        </w:rPr>
        <w:t>, SoftBank has the right to remove and replace or substitute the SoftBank Board Observer from time to time by providing written notice to the Company;</w:t>
      </w:r>
    </w:p>
    <w:p>
      <w:pPr>
        <w:spacing w:after="0" w:line="139" w:lineRule="exact"/>
        <w:rPr>
          <w:rFonts w:ascii="Times New Roman" w:cs="Times New Roman" w:eastAsia="Times New Roman" w:hAnsi="Times New Roman"/>
          <w:sz w:val="21"/>
          <w:szCs w:val="21"/>
          <w:color w:val="010000"/>
        </w:rPr>
      </w:pPr>
    </w:p>
    <w:p>
      <w:pPr>
        <w:ind w:firstLine="1297"/>
        <w:spacing w:after="0" w:line="251" w:lineRule="auto"/>
        <w:tabs>
          <w:tab w:leader="none" w:pos="1743" w:val="left"/>
        </w:tabs>
        <w:numPr>
          <w:ilvl w:val="1"/>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6.04(h)</w:t>
      </w:r>
      <w:r>
        <w:rPr>
          <w:rFonts w:ascii="Times New Roman" w:cs="Times New Roman" w:eastAsia="Times New Roman" w:hAnsi="Times New Roman"/>
          <w:sz w:val="21"/>
          <w:szCs w:val="21"/>
          <w:color w:val="auto"/>
        </w:rPr>
        <w:t>, Honda has the right to remove and replace or substitute the Honda Board Observer from time to time by providing written notice to the Company;</w:t>
      </w:r>
    </w:p>
    <w:p>
      <w:pPr>
        <w:spacing w:after="0" w:line="139" w:lineRule="exact"/>
        <w:rPr>
          <w:rFonts w:ascii="Times New Roman" w:cs="Times New Roman" w:eastAsia="Times New Roman" w:hAnsi="Times New Roman"/>
          <w:sz w:val="21"/>
          <w:szCs w:val="21"/>
          <w:color w:val="010000"/>
        </w:rPr>
      </w:pPr>
    </w:p>
    <w:p>
      <w:pPr>
        <w:ind w:right="20" w:firstLine="1297"/>
        <w:spacing w:after="0" w:line="251" w:lineRule="auto"/>
        <w:tabs>
          <w:tab w:leader="none" w:pos="1800" w:val="left"/>
        </w:tabs>
        <w:numPr>
          <w:ilvl w:val="1"/>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6.04(i)</w:t>
      </w:r>
      <w:r>
        <w:rPr>
          <w:rFonts w:ascii="Times New Roman" w:cs="Times New Roman" w:eastAsia="Times New Roman" w:hAnsi="Times New Roman"/>
          <w:sz w:val="21"/>
          <w:szCs w:val="21"/>
          <w:color w:val="auto"/>
        </w:rPr>
        <w:t>, Microsoft has the right to remove and replace or substitute the Microsoft Board Observer from time to time by providing written notice to the Company;</w:t>
      </w:r>
    </w:p>
    <w:p>
      <w:pPr>
        <w:spacing w:after="0" w:line="139"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83" w:val="left"/>
        </w:tabs>
        <w:numPr>
          <w:ilvl w:val="1"/>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upon such time as SoftBank owns less than the SoftBank Floor Amount, the SoftBank Board Observer shall be automatically removed and shall cease to have any of the rights contemplated by this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and the right of SoftBank to designate, appoint, remove and replace the SoftBank Board Observer shall be null and void;</w:t>
      </w:r>
    </w:p>
    <w:p>
      <w:pPr>
        <w:spacing w:after="0" w:line="150"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877" w:val="left"/>
        </w:tabs>
        <w:numPr>
          <w:ilvl w:val="1"/>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upon such time as Honda owns less than the Honda Floor Amount, the Honda Board Observer shall be automatically removed and shall cease to have any of the rights contemplated by this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and the right of Honda to designate, appoint, remove and replace the Honda Board Observer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88" w:right="339" w:bottom="1440" w:gutter="0" w:footer="0" w:header="0"/>
        </w:sectPr>
      </w:pPr>
    </w:p>
    <w:bookmarkStart w:id="87" w:name="page88"/>
    <w:bookmarkEnd w:id="87"/>
    <w:p>
      <w:pPr>
        <w:jc w:val="both"/>
        <w:ind w:firstLine="1297"/>
        <w:spacing w:after="0" w:line="235" w:lineRule="auto"/>
        <w:tabs>
          <w:tab w:leader="none" w:pos="1721" w:val="left"/>
        </w:tabs>
        <w:numPr>
          <w:ilvl w:val="0"/>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upon such time as Microsoft owns less than the Microsoft Floor Amount, the Microsoft Board Observer shall be automatically removed and shall cease to have any of the rights contemplated by this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and the right of Microsoft to designate, appoint, remove and replace the Microsoft Board Observer shall be null and void; and</w:t>
      </w:r>
    </w:p>
    <w:p>
      <w:pPr>
        <w:spacing w:after="0" w:line="150" w:lineRule="exact"/>
        <w:rPr>
          <w:rFonts w:ascii="Times New Roman" w:cs="Times New Roman" w:eastAsia="Times New Roman" w:hAnsi="Times New Roman"/>
          <w:sz w:val="21"/>
          <w:szCs w:val="21"/>
          <w:color w:val="010000"/>
        </w:rPr>
      </w:pPr>
    </w:p>
    <w:p>
      <w:pPr>
        <w:ind w:firstLine="1297"/>
        <w:spacing w:after="0" w:line="251" w:lineRule="auto"/>
        <w:tabs>
          <w:tab w:leader="none" w:pos="1721" w:val="left"/>
        </w:tabs>
        <w:numPr>
          <w:ilvl w:val="0"/>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prior to appointment, the Board Observers will each enter into a confidentiality agreement with the Company, on terms mutually acceptable to the Board of Directors and the Board Observers.</w:t>
      </w:r>
    </w:p>
    <w:p>
      <w:pPr>
        <w:spacing w:after="0" w:line="13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6.05</w:t>
      </w:r>
      <w:r>
        <w:rPr>
          <w:sz w:val="20"/>
          <w:szCs w:val="20"/>
          <w:color w:val="auto"/>
        </w:rPr>
        <w:tab/>
      </w:r>
      <w:r>
        <w:rPr>
          <w:rFonts w:ascii="Times New Roman" w:cs="Times New Roman" w:eastAsia="Times New Roman" w:hAnsi="Times New Roman"/>
          <w:sz w:val="21"/>
          <w:szCs w:val="21"/>
          <w:b w:val="1"/>
          <w:bCs w:val="1"/>
          <w:u w:val="single" w:color="auto"/>
          <w:color w:val="auto"/>
        </w:rPr>
        <w:t>Director Appointee Screening</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2" w:lineRule="auto"/>
        <w:tabs>
          <w:tab w:leader="none" w:pos="1864" w:val="left"/>
        </w:tabs>
        <w:numPr>
          <w:ilvl w:val="0"/>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Unless otherwise agreed in writing by SoftBank and the GM Investor, each Person selected pursuant to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from time to time to serve as the Softbank Director or Softbank Board Observer, as the case may be, (i) must be a U.S. citizen, (ii) must not be (A) an employee, director (or board observer), manager, officer or consultant of any Restricted Person or (B) a Person who has direct or indirect control, influence or management oversight of Persons who are employees, directors (or board observer), managers, officers or consultants of a Restricted Person and (iii) must not be a member of any investment committee (or similar body) of any Person whose other members include one or more Persons that are described in the immediately preceding clause (ii).</w:t>
      </w:r>
    </w:p>
    <w:p>
      <w:pPr>
        <w:spacing w:after="0" w:line="156"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783" w:val="left"/>
        </w:tabs>
        <w:numPr>
          <w:ilvl w:val="0"/>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Unless otherwise agreed in writing by Honda and the GM Investor, each Person selected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6.04</w:t>
      </w:r>
      <w:r>
        <w:rPr>
          <w:rFonts w:ascii="Times New Roman" w:cs="Times New Roman" w:eastAsia="Times New Roman" w:hAnsi="Times New Roman"/>
          <w:sz w:val="21"/>
          <w:szCs w:val="21"/>
          <w:color w:val="auto"/>
        </w:rPr>
        <w:t xml:space="preserve"> from time to time to serve as the Honda Board Observer (i) must be a U.S. or Japanese citizen and (ii) must not be (A) an employee of or a consultant of Honda R&amp;D Co., Ltd. (“</w:t>
      </w:r>
      <w:r>
        <w:rPr>
          <w:rFonts w:ascii="Times New Roman" w:cs="Times New Roman" w:eastAsia="Times New Roman" w:hAnsi="Times New Roman"/>
          <w:sz w:val="21"/>
          <w:szCs w:val="21"/>
          <w:b w:val="1"/>
          <w:bCs w:val="1"/>
          <w:color w:val="auto"/>
        </w:rPr>
        <w:t>Honda R&amp;D Co</w:t>
      </w:r>
      <w:r>
        <w:rPr>
          <w:rFonts w:ascii="Times New Roman" w:cs="Times New Roman" w:eastAsia="Times New Roman" w:hAnsi="Times New Roman"/>
          <w:sz w:val="21"/>
          <w:szCs w:val="21"/>
          <w:color w:val="auto"/>
        </w:rPr>
        <w:t>”) or any successor thereof or (B) have direct or indirect control, influence or management oversight of employees, directors, managers, officers or consultants of Honda R&amp;D Co or any successor thereof.</w:t>
      </w:r>
    </w:p>
    <w:p>
      <w:pPr>
        <w:spacing w:after="0" w:line="152"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864" w:val="left"/>
        </w:tabs>
        <w:numPr>
          <w:ilvl w:val="0"/>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Unless otherwise agreed in writing by Microsoft and the GM Investor, each Person selected pursuant to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from time to time to serve as the Microsoft Board Observer (i) must be a U.S. citizen and (ii) must not be (A) an employee, director (or board observer), manager, officer or consultant of any Restricted Person, or (B) a Person who has direct or indirect control, influence or management oversight of employees, directors, managers, officers or consultants of any Restricted Person or any successor thereof.</w:t>
      </w:r>
    </w:p>
    <w:p>
      <w:pPr>
        <w:spacing w:after="0" w:line="152"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83" w:val="left"/>
        </w:tabs>
        <w:numPr>
          <w:ilvl w:val="0"/>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Softbank Director or any Board Observer (i) must not (A) be a “bad actor” as defined in Rule 506(d)(1) of the Securities Act or (B) have been convicted of a felony (excluding driving under the influence) or any crime involving moral turpitude.</w:t>
      </w:r>
    </w:p>
    <w:p>
      <w:pPr>
        <w:spacing w:after="0" w:line="150" w:lineRule="exact"/>
        <w:rPr>
          <w:rFonts w:ascii="Times New Roman" w:cs="Times New Roman" w:eastAsia="Times New Roman" w:hAnsi="Times New Roman"/>
          <w:sz w:val="21"/>
          <w:szCs w:val="21"/>
          <w:color w:val="010000"/>
        </w:rPr>
      </w:pPr>
    </w:p>
    <w:p>
      <w:pPr>
        <w:jc w:val="both"/>
        <w:ind w:firstLine="1297"/>
        <w:spacing w:after="0" w:line="219" w:lineRule="auto"/>
        <w:tabs>
          <w:tab w:leader="none" w:pos="1757" w:val="left"/>
        </w:tabs>
        <w:numPr>
          <w:ilvl w:val="0"/>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nominee for the position of SoftBank Director or any of the Board Observers shall also be subject to the prior written approval of the Majority of the Class A-2 Preferred, and absent such approval such Person shall not be nominated or appointed as a Director or Board Observer, as applicable. If, at any time following the appointment of the SoftBank Director or any Board Observer, the Majority of the Class A-2 Preferred believes that such SoftBank Director or Board Observer no longer satisfies the applicable criteria described in this </w:t>
      </w: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color w:val="auto"/>
        </w:rPr>
        <w:t xml:space="preserve">, the Majority of the Class A-2 Preferred may deliver written notice thereof to (i) the Board of Directors and (ii) the Majority of the Class A-1 Preferred in the case of the SoftBank Director or SoftBank Board Observer, Honda, in the case of the Honda Board Observer, or Microsoft, in the case of the Microsoft Board Observer. If, following reasonable consultation with SoftBank, Honda, or Microsoft, as applicable, the Board of Directors determines that such criteria are not met, such SoftBank Director or Board Observer (as applicable) will be deemed automatically removed, without recourse, as a Director or Board Observer (as applicable) and SoftBank, Honda, or Microsoft, as applicable, shall have the right to fill the resulting vacancy as contemplated by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but subject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88" w:right="339" w:bottom="1440" w:gutter="0" w:footer="0" w:header="0"/>
        </w:sectPr>
      </w:pPr>
    </w:p>
    <w:bookmarkStart w:id="88" w:name="page89"/>
    <w:bookmarkEnd w:id="88"/>
    <w:p>
      <w:pPr>
        <w:jc w:val="both"/>
        <w:ind w:right="20"/>
        <w:spacing w:after="0" w:line="251" w:lineRule="auto"/>
        <w:rPr>
          <w:sz w:val="20"/>
          <w:szCs w:val="20"/>
          <w:color w:val="auto"/>
        </w:rPr>
      </w:pP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color w:val="auto"/>
        </w:rPr>
        <w:t xml:space="preserve">. If no Class A-2 Preferred Shares are outstanding, references in this </w:t>
      </w: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color w:val="auto"/>
        </w:rPr>
        <w:t xml:space="preserve"> to a Majority of the Class A-2 Preferred will be deemed to be to a Majority of the Class C Common.</w:t>
      </w:r>
    </w:p>
    <w:p>
      <w:pPr>
        <w:spacing w:after="0" w:line="136" w:lineRule="exact"/>
        <w:rPr>
          <w:sz w:val="20"/>
          <w:szCs w:val="20"/>
          <w:color w:val="auto"/>
        </w:rPr>
      </w:pPr>
    </w:p>
    <w:p>
      <w:pPr>
        <w:jc w:val="both"/>
        <w:ind w:right="20"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6.06 </w:t>
      </w:r>
      <w:r>
        <w:rPr>
          <w:rFonts w:ascii="Times New Roman" w:cs="Times New Roman" w:eastAsia="Times New Roman" w:hAnsi="Times New Roman"/>
          <w:sz w:val="21"/>
          <w:szCs w:val="21"/>
          <w:b w:val="1"/>
          <w:bCs w:val="1"/>
          <w:u w:val="single" w:color="auto"/>
          <w:color w:val="auto"/>
        </w:rPr>
        <w:t>Tenure of Directors</w:t>
      </w:r>
      <w:r>
        <w:rPr>
          <w:rFonts w:ascii="Times New Roman" w:cs="Times New Roman" w:eastAsia="Times New Roman" w:hAnsi="Times New Roman"/>
          <w:sz w:val="21"/>
          <w:szCs w:val="21"/>
          <w:color w:val="auto"/>
        </w:rPr>
        <w:t>. Each Director shall hold office until the earliest of such Person’s death, resignation, removal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replacement (or, in the case of the SoftBank Director, such time as SoftBank owns less than the SoftBank Floor Amount).</w:t>
      </w:r>
    </w:p>
    <w:p>
      <w:pPr>
        <w:spacing w:after="0" w:line="132" w:lineRule="exact"/>
        <w:rPr>
          <w:sz w:val="20"/>
          <w:szCs w:val="20"/>
          <w:color w:val="auto"/>
        </w:rPr>
      </w:pPr>
    </w:p>
    <w:p>
      <w:pPr>
        <w:jc w:val="both"/>
        <w:ind w:firstLine="645"/>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6.07 </w:t>
      </w:r>
      <w:r>
        <w:rPr>
          <w:rFonts w:ascii="Times New Roman" w:cs="Times New Roman" w:eastAsia="Times New Roman" w:hAnsi="Times New Roman"/>
          <w:sz w:val="21"/>
          <w:szCs w:val="21"/>
          <w:b w:val="1"/>
          <w:bCs w:val="1"/>
          <w:u w:val="single" w:color="auto"/>
          <w:color w:val="auto"/>
        </w:rPr>
        <w:t>Committees</w:t>
      </w:r>
      <w:r>
        <w:rPr>
          <w:rFonts w:ascii="Times New Roman" w:cs="Times New Roman" w:eastAsia="Times New Roman" w:hAnsi="Times New Roman"/>
          <w:sz w:val="21"/>
          <w:szCs w:val="21"/>
          <w:color w:val="auto"/>
        </w:rPr>
        <w:t>. The Board of Directors may establish one or more committees, each committee to consist of one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more of the Directors. Each Director serving on any such committee shall have one (1) vote. Any such committee, to the extent provided in the resolution of the Board of Directors, shall have and may exercise all the power and authority of the Board of Directors. The vote of a Majority of a Committee is required for any action or decision of a committee requiring the consent or approval of such committee, unless determined by the Board of Directors or the applicable committee (by vote of a Majority of a Committee). The procedures governing the meetings and actions of any committee shall be the same as those governing the Board of Directors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(including quorum, voting, notice and other similar requirements), unless otherwise determined by the Board of Directors or the applicable committee (by a vote of a Majority of a Committee).</w:t>
      </w:r>
    </w:p>
    <w:p>
      <w:pPr>
        <w:spacing w:after="0" w:line="148" w:lineRule="exact"/>
        <w:rPr>
          <w:sz w:val="20"/>
          <w:szCs w:val="20"/>
          <w:color w:val="auto"/>
        </w:rPr>
      </w:pPr>
    </w:p>
    <w:p>
      <w:pPr>
        <w:jc w:val="both"/>
        <w:ind w:firstLine="645"/>
        <w:spacing w:after="0"/>
        <w:rPr>
          <w:sz w:val="20"/>
          <w:szCs w:val="20"/>
          <w:color w:val="auto"/>
        </w:rPr>
      </w:pPr>
      <w:r>
        <w:rPr>
          <w:rFonts w:ascii="Times New Roman" w:cs="Times New Roman" w:eastAsia="Times New Roman" w:hAnsi="Times New Roman"/>
          <w:sz w:val="21"/>
          <w:szCs w:val="21"/>
          <w:b w:val="1"/>
          <w:bCs w:val="1"/>
          <w:color w:val="auto"/>
        </w:rPr>
        <w:t xml:space="preserve">6.08 </w:t>
      </w:r>
      <w:r>
        <w:rPr>
          <w:rFonts w:ascii="Times New Roman" w:cs="Times New Roman" w:eastAsia="Times New Roman" w:hAnsi="Times New Roman"/>
          <w:sz w:val="21"/>
          <w:szCs w:val="21"/>
          <w:b w:val="1"/>
          <w:bCs w:val="1"/>
          <w:u w:val="single" w:color="auto"/>
          <w:color w:val="auto"/>
        </w:rPr>
        <w:t>Director Compensation</w:t>
      </w:r>
      <w:r>
        <w:rPr>
          <w:rFonts w:ascii="Times New Roman" w:cs="Times New Roman" w:eastAsia="Times New Roman" w:hAnsi="Times New Roman"/>
          <w:sz w:val="21"/>
          <w:szCs w:val="21"/>
          <w:color w:val="auto"/>
        </w:rPr>
        <w:t>. Except for any compensation approved by the Board of Directors for the Security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Director, no Director shall be entitled to compensation for acting as a Director. However, the Company shall reimburse each Director for all reasonable out-of-pocket expenses which such Director shall incur in connection with the performance of such Person’s duties as a Director. Notwithstanding the foregoing, nothing contained in this Agreement shall be construed to preclude any Director from serving the Company or any of its Subsidiaries in any other capacity and receiving compensation for such service.</w:t>
      </w:r>
    </w:p>
    <w:p>
      <w:pPr>
        <w:spacing w:after="0" w:line="297" w:lineRule="exact"/>
        <w:rPr>
          <w:sz w:val="20"/>
          <w:szCs w:val="20"/>
          <w:color w:val="auto"/>
        </w:rPr>
      </w:pPr>
    </w:p>
    <w:p>
      <w:pPr>
        <w:jc w:val="both"/>
        <w:ind w:firstLine="645"/>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6.09 </w:t>
      </w:r>
      <w:r>
        <w:rPr>
          <w:rFonts w:ascii="Times New Roman" w:cs="Times New Roman" w:eastAsia="Times New Roman" w:hAnsi="Times New Roman"/>
          <w:sz w:val="21"/>
          <w:szCs w:val="21"/>
          <w:b w:val="1"/>
          <w:bCs w:val="1"/>
          <w:u w:val="single" w:color="auto"/>
          <w:color w:val="auto"/>
        </w:rPr>
        <w:t>Director Resignation</w:t>
      </w:r>
      <w:r>
        <w:rPr>
          <w:rFonts w:ascii="Times New Roman" w:cs="Times New Roman" w:eastAsia="Times New Roman" w:hAnsi="Times New Roman"/>
          <w:sz w:val="21"/>
          <w:szCs w:val="21"/>
          <w:color w:val="auto"/>
        </w:rPr>
        <w:t>. Any Director may resign at any time by giving written notice to the Board of Directors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secretary of the Company. The resignation of any Director shall take effect upon receipt of notice thereof or at such later time as shall be specified in such notice and, unless otherwise specified therein, the acceptance of such resignation shall not be necessary to make it effective. In the event of an actual or planned resignation by the Security Director, the CFIUS Monitoring Agency shall be notified in accordance with the NSA.</w:t>
      </w:r>
    </w:p>
    <w:p>
      <w:pPr>
        <w:spacing w:after="0" w:line="148" w:lineRule="exact"/>
        <w:rPr>
          <w:sz w:val="20"/>
          <w:szCs w:val="20"/>
          <w:color w:val="auto"/>
        </w:rPr>
      </w:pPr>
    </w:p>
    <w:p>
      <w:pPr>
        <w:jc w:val="both"/>
        <w:ind w:firstLine="645"/>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6.10 </w:t>
      </w:r>
      <w:r>
        <w:rPr>
          <w:rFonts w:ascii="Times New Roman" w:cs="Times New Roman" w:eastAsia="Times New Roman" w:hAnsi="Times New Roman"/>
          <w:sz w:val="21"/>
          <w:szCs w:val="21"/>
          <w:b w:val="1"/>
          <w:bCs w:val="1"/>
          <w:u w:val="single" w:color="auto"/>
          <w:color w:val="auto"/>
        </w:rPr>
        <w:t>Vacancies</w:t>
      </w:r>
      <w:r>
        <w:rPr>
          <w:rFonts w:ascii="Times New Roman" w:cs="Times New Roman" w:eastAsia="Times New Roman" w:hAnsi="Times New Roman"/>
          <w:sz w:val="21"/>
          <w:szCs w:val="21"/>
          <w:color w:val="auto"/>
        </w:rPr>
        <w:t>. When any Director shall resign or otherwise cease to serve as Director, such vacancy shall be filled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accordance with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Unless otherwise provided by the Member(s) entitled to designate such replacement Director, the replacement shall take effect when such resignation or cessation shall become effective. No vacancy on the Board of Directors shall prevent the operation and functioning of the Board of Directors subject to the terms and conditions hereof.</w:t>
      </w:r>
    </w:p>
    <w:p>
      <w:pPr>
        <w:spacing w:after="0" w:line="149" w:lineRule="exact"/>
        <w:rPr>
          <w:sz w:val="20"/>
          <w:szCs w:val="20"/>
          <w:color w:val="auto"/>
        </w:rPr>
      </w:pPr>
    </w:p>
    <w:p>
      <w:pPr>
        <w:jc w:val="both"/>
        <w:ind w:firstLine="645"/>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6.11 </w:t>
      </w:r>
      <w:r>
        <w:rPr>
          <w:rFonts w:ascii="Times New Roman" w:cs="Times New Roman" w:eastAsia="Times New Roman" w:hAnsi="Times New Roman"/>
          <w:sz w:val="21"/>
          <w:szCs w:val="21"/>
          <w:b w:val="1"/>
          <w:bCs w:val="1"/>
          <w:u w:val="single" w:color="auto"/>
          <w:color w:val="auto"/>
        </w:rPr>
        <w:t>Meetings</w:t>
      </w:r>
      <w:r>
        <w:rPr>
          <w:rFonts w:ascii="Times New Roman" w:cs="Times New Roman" w:eastAsia="Times New Roman" w:hAnsi="Times New Roman"/>
          <w:sz w:val="21"/>
          <w:szCs w:val="21"/>
          <w:color w:val="auto"/>
        </w:rPr>
        <w:t>. The Board of Directors shall meet at such times and at such places (either within or outside of the 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Delaware) as determined in accordance with this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Minutes of any formal meeting of the Board of Directors shall be kept and placed in the Company’s records. Notwithstanding anything to the contrary in this Agreement, any action which may be taken at a meeting of the Board of Directors may be taken without a meeting if written consent(s) setting forth the action so taken shall be signed by a Majority of the Board, such written consent(s) to be provided as promptly as reasonably practicable by the Company to the SoftBank Board Observer (only in the event that the SoftBank Director is not serving on the Board of Directors), the Honda Board Observer, and the Microsoft Board Observer. Meetings of the Board of Directors shall be held on the call of the Chairman, the Board of Directors or at the request of either the Majority of the Class A-2 Preferred or a Majority of the Class C Common upon at least three (3) Business Days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88" w:right="339" w:bottom="1440" w:gutter="0" w:footer="0" w:header="0"/>
        </w:sectPr>
      </w:pPr>
    </w:p>
    <w:bookmarkStart w:id="89" w:name="page90"/>
    <w:bookmarkEnd w:id="89"/>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Directors and the SoftBank Board Observer (only in the event that the SoftBank Director is not serving on the Board of Directors), the Honda Board Observer, and the Microsoft Board Observer (or upon such shorter notice as may be approved by all of the Directors) and such notice shall include the place, day and hour of such meeting, it being acknowledged and agreed that whether such meeting is to be held by telephone communications or video conference shall be determined by the Chairman;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the Board of Directors shall meet (whether in person or by any other means contemplated by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no less frequently than four (4) times per Fiscal Year (or less frequently as may be approved by all of the Directors). Meetings of the Directors or any committee designated by the Directors may be held without notice at any time that all Directors are present in person (each such meeting, an “</w:t>
      </w:r>
      <w:r>
        <w:rPr>
          <w:rFonts w:ascii="Times New Roman" w:cs="Times New Roman" w:eastAsia="Times New Roman" w:hAnsi="Times New Roman"/>
          <w:sz w:val="21"/>
          <w:szCs w:val="21"/>
          <w:b w:val="1"/>
          <w:bCs w:val="1"/>
          <w:color w:val="auto"/>
        </w:rPr>
        <w:t>Emergency Meeting</w:t>
      </w:r>
      <w:r>
        <w:rPr>
          <w:rFonts w:ascii="Times New Roman" w:cs="Times New Roman" w:eastAsia="Times New Roman" w:hAnsi="Times New Roman"/>
          <w:sz w:val="21"/>
          <w:szCs w:val="21"/>
          <w:color w:val="auto"/>
        </w:rPr>
        <w:t>”), and the presence of any Director at a meeting constitutes waiver of notice of such meeting except as otherwise provided by law. Any resolutions passed at an Emergency Meeting shall be provided as promptly as reasonably practicable by the Company to the SoftBank Board Observer (only in the event that the SoftBank Director is not serving on the Board of Directors), the Honda Board Observer, and the Microsoft Board Observer.</w:t>
      </w:r>
    </w:p>
    <w:p>
      <w:pPr>
        <w:spacing w:after="0" w:line="152" w:lineRule="exact"/>
        <w:rPr>
          <w:sz w:val="20"/>
          <w:szCs w:val="20"/>
          <w:color w:val="auto"/>
        </w:rPr>
      </w:pPr>
    </w:p>
    <w:p>
      <w:pPr>
        <w:jc w:val="both"/>
        <w:ind w:firstLine="645"/>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6.12 </w:t>
      </w:r>
      <w:r>
        <w:rPr>
          <w:rFonts w:ascii="Times New Roman" w:cs="Times New Roman" w:eastAsia="Times New Roman" w:hAnsi="Times New Roman"/>
          <w:sz w:val="21"/>
          <w:szCs w:val="21"/>
          <w:b w:val="1"/>
          <w:bCs w:val="1"/>
          <w:u w:val="single" w:color="auto"/>
          <w:color w:val="auto"/>
        </w:rPr>
        <w:t>Meetings by Telephone</w:t>
      </w:r>
      <w:r>
        <w:rPr>
          <w:rFonts w:ascii="Times New Roman" w:cs="Times New Roman" w:eastAsia="Times New Roman" w:hAnsi="Times New Roman"/>
          <w:sz w:val="21"/>
          <w:szCs w:val="21"/>
          <w:color w:val="auto"/>
        </w:rPr>
        <w:t>. Directors may participate in a meeting of the Board of Directors or a committee 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means of conference telephone, videoconference or similar communications equipment by which all Persons participating in the meeting can hear each other at the same time. Such participation shall constitute presence in person at the meeting.</w:t>
      </w:r>
    </w:p>
    <w:p>
      <w:pPr>
        <w:spacing w:after="0" w:line="148" w:lineRule="exact"/>
        <w:rPr>
          <w:sz w:val="20"/>
          <w:szCs w:val="20"/>
          <w:color w:val="auto"/>
        </w:rPr>
      </w:pPr>
    </w:p>
    <w:p>
      <w:pPr>
        <w:jc w:val="both"/>
        <w:ind w:firstLine="645"/>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6.13 </w:t>
      </w:r>
      <w:r>
        <w:rPr>
          <w:rFonts w:ascii="Times New Roman" w:cs="Times New Roman" w:eastAsia="Times New Roman" w:hAnsi="Times New Roman"/>
          <w:sz w:val="21"/>
          <w:szCs w:val="21"/>
          <w:b w:val="1"/>
          <w:bCs w:val="1"/>
          <w:u w:val="single" w:color="auto"/>
          <w:color w:val="auto"/>
        </w:rPr>
        <w:t>Quorum; Actions of Board of Directors; SoftBank Minority Consent Rights</w:t>
      </w:r>
      <w:r>
        <w:rPr>
          <w:rFonts w:ascii="Times New Roman" w:cs="Times New Roman" w:eastAsia="Times New Roman" w:hAnsi="Times New Roman"/>
          <w:sz w:val="21"/>
          <w:szCs w:val="21"/>
          <w:color w:val="auto"/>
        </w:rPr>
        <w:t>. A quorum at all meetings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Directors shall consist of members of the Board of Directors constituting a Majority of the Board (present in person or by proxy), but a smaller number may adjourn any such meeting from time to time without further notice until a quorum is secured. The quorum for the holding of a meeting of a committee of the Board of Directors shall be a Majority of a Committee of such committee. Except as otherwise set forth in </w:t>
      </w:r>
      <w:r>
        <w:rPr>
          <w:rFonts w:ascii="Times New Roman" w:cs="Times New Roman" w:eastAsia="Times New Roman" w:hAnsi="Times New Roman"/>
          <w:sz w:val="21"/>
          <w:szCs w:val="21"/>
          <w:u w:val="single" w:color="auto"/>
          <w:color w:val="auto"/>
        </w:rPr>
        <w:t>Section 6.16</w:t>
      </w:r>
      <w:r>
        <w:rPr>
          <w:rFonts w:ascii="Times New Roman" w:cs="Times New Roman" w:eastAsia="Times New Roman" w:hAnsi="Times New Roman"/>
          <w:sz w:val="21"/>
          <w:szCs w:val="21"/>
          <w:color w:val="auto"/>
        </w:rPr>
        <w:t xml:space="preserve">, each Director shall have one (1) vote on all matters submitted to the Board of Directors (whether the consideration of such matter is taken at a meeting, by written consent or otherwise). The vote of (or written consent signed by) a Majority of the Board shall be required for any action, decision or approval by the Board of Directors;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so long as SoftBank owns the SoftBank Floor Amount, the Company shall not, and shall not permit any Subsidiary of the Company to, take any of the following actions without the approval of a Majority of the Board which majority shall include the vote in favor of the SoftBank Director, or by written consent signed by the Majority of the Board which shall also include the signature of the SoftBank Director:</w:t>
      </w:r>
    </w:p>
    <w:p>
      <w:pPr>
        <w:spacing w:after="0" w:line="160" w:lineRule="exact"/>
        <w:rPr>
          <w:sz w:val="20"/>
          <w:szCs w:val="20"/>
          <w:color w:val="auto"/>
        </w:rPr>
      </w:pPr>
    </w:p>
    <w:p>
      <w:pPr>
        <w:jc w:val="both"/>
        <w:ind w:firstLine="1297"/>
        <w:spacing w:after="0" w:line="218" w:lineRule="auto"/>
        <w:tabs>
          <w:tab w:leader="none" w:pos="1864" w:val="left"/>
        </w:tabs>
        <w:numPr>
          <w:ilvl w:val="0"/>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make any alteration or amendment or waiver to this Agreement or the organizational documents of any Subsidiary of the Company in a manner that is adverse to rights of the Class A-1 Preferred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6.13(a)</w:t>
      </w:r>
      <w:r>
        <w:rPr>
          <w:rFonts w:ascii="Times New Roman" w:cs="Times New Roman" w:eastAsia="Times New Roman" w:hAnsi="Times New Roman"/>
          <w:sz w:val="21"/>
          <w:szCs w:val="21"/>
          <w:color w:val="auto"/>
        </w:rPr>
        <w:t xml:space="preserve">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adversely affect the Class A-1 Preferred Shares in a manner which is disproportionate to the other Shares (except as contemplated by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or (iii) to correct any typographical or similar ministerial errors. In determining whether an amendment adversely affects the rights of the Class A-1 Preferred Shares, only the rights related thereto shall be considered, and any other relationship(s) the Class A-1 Preferred Members may have with the Company, any of its Subsidiaries or the other Members shall not be considered and no characteristic of the Class A-1 Preferred Members other than the rights relating to the Class A-1 Preferred Shares shall be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88" w:right="339" w:bottom="1440" w:gutter="0" w:footer="0" w:header="0"/>
        </w:sectPr>
      </w:pPr>
    </w:p>
    <w:bookmarkStart w:id="90" w:name="page91"/>
    <w:bookmarkEnd w:id="90"/>
    <w:p>
      <w:pPr>
        <w:jc w:val="both"/>
        <w:ind w:firstLine="1297"/>
        <w:spacing w:after="0" w:line="236" w:lineRule="auto"/>
        <w:tabs>
          <w:tab w:leader="none" w:pos="1998" w:val="left"/>
        </w:tabs>
        <w:numPr>
          <w:ilvl w:val="0"/>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prejudice to Sections </w:t>
      </w:r>
      <w:r>
        <w:rPr>
          <w:rFonts w:ascii="Times New Roman" w:cs="Times New Roman" w:eastAsia="Times New Roman" w:hAnsi="Times New Roman"/>
          <w:sz w:val="21"/>
          <w:szCs w:val="21"/>
          <w:u w:val="single" w:color="auto"/>
          <w:color w:val="auto"/>
        </w:rPr>
        <w:t>5.08(b)(i)(B)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5.08(b)(i)(C)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5.08(b)(ii)</w:t>
      </w:r>
      <w:r>
        <w:rPr>
          <w:rFonts w:ascii="Times New Roman" w:cs="Times New Roman" w:eastAsia="Times New Roman" w:hAnsi="Times New Roman"/>
          <w:sz w:val="21"/>
          <w:szCs w:val="21"/>
          <w:color w:val="auto"/>
        </w:rPr>
        <w:t xml:space="preserve">, enter into any transaction, arrangement or agreement between the Company or any of its Subsidiaries, on the one hand, and GM or any of its Affiliates on the other hand, except in each case for any such transaction, arrangement or agreement, (i) on terms, as determined by the Board of Directors acting in good faith, that are no less favorable, in all material respects, than those the Company would agree to with any Person who is not GM or any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any such transaction, arrangement or agreement, the Board of Directors may (but shall not be obligated to) obtain (A) an opinion of an independent auditor or independent outside counsel that the requirements of subsection (i) have been satisfied or (B) approval of a majority of the Independent Directors (to the extent any are appointed), and such opinion or approval shall be conclusive evidence that the requirements of subsection (i) have been satisfied and shall be binding on the Members (it being understood that failure to obtain such opinion or approval shall not, in and of itself, be evidence that the requirements of subsection (i) have not been satisfied); (ii) contemplated by the Transaction Documents or the Commercial Agreements (as may be amended from time to time in accordance with the provisions thereof), or which is otherwise on terms consistent with the Commercial Agreements; or (iii) providing for the issuance of Equity Securities pursuant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010000"/>
        </w:rPr>
      </w:pPr>
    </w:p>
    <w:p>
      <w:pPr>
        <w:jc w:val="both"/>
        <w:ind w:firstLine="1297"/>
        <w:spacing w:after="0" w:line="221" w:lineRule="auto"/>
        <w:tabs>
          <w:tab w:leader="none" w:pos="1770" w:val="left"/>
        </w:tabs>
        <w:numPr>
          <w:ilvl w:val="0"/>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issue any Equity Securities that have rights, preferences or privileges with respect to Distributions, (i) senior to the rights of the Class A-1 Preferred Shares in </w:t>
      </w:r>
      <w:r>
        <w:rPr>
          <w:rFonts w:ascii="Times New Roman" w:cs="Times New Roman" w:eastAsia="Times New Roman" w:hAnsi="Times New Roman"/>
          <w:sz w:val="21"/>
          <w:szCs w:val="21"/>
          <w:u w:val="single" w:color="auto"/>
          <w:color w:val="auto"/>
        </w:rPr>
        <w:t>Sections 3.01(b)(i)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3.02(a)(i)</w:t>
      </w:r>
      <w:r>
        <w:rPr>
          <w:rFonts w:ascii="Times New Roman" w:cs="Times New Roman" w:eastAsia="Times New Roman" w:hAnsi="Times New Roman"/>
          <w:sz w:val="21"/>
          <w:szCs w:val="21"/>
          <w:color w:val="auto"/>
        </w:rPr>
        <w:t xml:space="preserve"> or (ii) at any time prior to the first (1st) anniversary of Commercial Deployment,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the rights of the Class A-1 Preferred Shares in </w:t>
      </w:r>
      <w:r>
        <w:rPr>
          <w:rFonts w:ascii="Times New Roman" w:cs="Times New Roman" w:eastAsia="Times New Roman" w:hAnsi="Times New Roman"/>
          <w:sz w:val="21"/>
          <w:szCs w:val="21"/>
          <w:u w:val="single" w:color="auto"/>
          <w:color w:val="auto"/>
        </w:rPr>
        <w:t>Sections 3.01(b)(i)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3.02(a)(i)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Par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subsection (ii) will not apply to (A) the Class F Preferred Shares issued to the Class F Preferred Members pursuant to the Class F Purchase Agreement and the Class G Preferred Shares issued to the Class G Preferred Members pursuant to the Class G Purchase Agreement and (B) the first $1,000,000,000 of new Par Securities issued in addition to the Class F Preferred Shares and Class G Preferred Shares (with such amount being calculated based on the consideration paid by the recipient(s) of such Par Securities); or</w:t>
      </w:r>
    </w:p>
    <w:p>
      <w:pPr>
        <w:spacing w:after="0" w:line="155"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796" w:val="left"/>
        </w:tabs>
        <w:numPr>
          <w:ilvl w:val="0"/>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consummate an IPO, prior to June 28, 2021, pursuant to which Class A-1 Preferred Members would receive IPO Shares that, at the time of the IPO, had (i) with respect to Class A-1-A Preferred Shares a per share market value less than the Class A-1-A Liquidation Preference Amount or (ii) with respect to Class A-1-B Preferred Shares a per share market value less than the Class A-1-B Liquidation Preference Amount (such aggregate shortfall for each Class A-1 Preferred Member, the “</w:t>
      </w:r>
      <w:r>
        <w:rPr>
          <w:rFonts w:ascii="Times New Roman" w:cs="Times New Roman" w:eastAsia="Times New Roman" w:hAnsi="Times New Roman"/>
          <w:sz w:val="21"/>
          <w:szCs w:val="21"/>
          <w:b w:val="1"/>
          <w:bCs w:val="1"/>
          <w:color w:val="auto"/>
        </w:rPr>
        <w:t>IPO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Shortfall</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6.13(d)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not apply if:</w:t>
      </w:r>
    </w:p>
    <w:p>
      <w:pPr>
        <w:spacing w:after="0" w:line="152" w:lineRule="exact"/>
        <w:rPr>
          <w:rFonts w:ascii="Times New Roman" w:cs="Times New Roman" w:eastAsia="Times New Roman" w:hAnsi="Times New Roman"/>
          <w:sz w:val="21"/>
          <w:szCs w:val="21"/>
          <w:color w:val="010000"/>
        </w:rPr>
      </w:pPr>
    </w:p>
    <w:p>
      <w:pPr>
        <w:jc w:val="both"/>
        <w:ind w:firstLine="1942"/>
        <w:spacing w:after="0" w:line="229" w:lineRule="auto"/>
        <w:tabs>
          <w:tab w:leader="none" w:pos="2420" w:val="left"/>
        </w:tabs>
        <w:numPr>
          <w:ilvl w:val="1"/>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Board of Directors, at or prior to the consummation of such an IPO (other than an IPO with no primary issuance or that constitutes a spin-off), causes the Company to make an irrevocable written commitment to each Class A-1 Preferred Member pursuant to which the Company will provide to such Class A-1 Preferred Member additional IPO Shares and/or cash equal to the aggregate IPO Shortfall that would be suffered by such Class A-1 Preferred Member; or</w:t>
      </w:r>
    </w:p>
    <w:p>
      <w:pPr>
        <w:spacing w:after="0" w:line="153" w:lineRule="exact"/>
        <w:rPr>
          <w:rFonts w:ascii="Times New Roman" w:cs="Times New Roman" w:eastAsia="Times New Roman" w:hAnsi="Times New Roman"/>
          <w:sz w:val="21"/>
          <w:szCs w:val="21"/>
          <w:color w:val="010000"/>
        </w:rPr>
      </w:pPr>
    </w:p>
    <w:p>
      <w:pPr>
        <w:jc w:val="both"/>
        <w:ind w:firstLine="1942"/>
        <w:spacing w:after="0"/>
        <w:tabs>
          <w:tab w:leader="none" w:pos="2466" w:val="left"/>
        </w:tabs>
        <w:numPr>
          <w:ilvl w:val="1"/>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such an IPO with no primary issuance or that constitutes a spin-off, at or prior to the consummation of such IPO the IPO’d entity enters into a binding agreement providing that, if based on the thirty (30)-day variable weighted average share price of the IPO’d entity immediately following such IPO there exists an IPO Shortfall, such entity will issue to the former Class A-1 Preferred Members additional IPO Shares and/or cash equal to the aggregate IPO Shortfall.</w:t>
      </w:r>
    </w:p>
    <w:p>
      <w:pPr>
        <w:spacing w:after="0" w:line="324"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21"/>
          <w:szCs w:val="21"/>
          <w:color w:val="auto"/>
        </w:rPr>
        <w:t>Notwithstanding anything to the contrary in this Agreement, if at any time the SoftBank Director has not been appointed to the Board of Directors or there is otherwise a vacancy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88" w:right="339" w:bottom="1440" w:gutter="0" w:footer="0" w:header="0"/>
        </w:sectPr>
      </w:pPr>
    </w:p>
    <w:bookmarkStart w:id="91" w:name="page92"/>
    <w:bookmarkEnd w:id="91"/>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respect to the SoftBank Director and, in each case, SoftBank continues to own the SoftBank Floor Amount, none of the foregoing actions in this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shall be taken without the approval of the Majority of the Class A-1 Preferred. For clarity, if the rights in this </w:t>
      </w:r>
      <w:r>
        <w:rPr>
          <w:rFonts w:ascii="Times New Roman" w:cs="Times New Roman" w:eastAsia="Times New Roman" w:hAnsi="Times New Roman"/>
          <w:sz w:val="21"/>
          <w:szCs w:val="21"/>
          <w:u w:val="single" w:color="auto"/>
          <w:color w:val="auto"/>
        </w:rPr>
        <w:t>Section 6.13(a)</w:t>
      </w:r>
      <w:r>
        <w:rPr>
          <w:rFonts w:ascii="Times New Roman" w:cs="Times New Roman" w:eastAsia="Times New Roman" w:hAnsi="Times New Roman"/>
          <w:sz w:val="21"/>
          <w:szCs w:val="21"/>
          <w:color w:val="auto"/>
        </w:rPr>
        <w:t xml:space="preserve"> through (d) are amended or cease to apply pursuant to </w:t>
      </w:r>
      <w:r>
        <w:rPr>
          <w:rFonts w:ascii="Times New Roman" w:cs="Times New Roman" w:eastAsia="Times New Roman" w:hAnsi="Times New Roman"/>
          <w:sz w:val="21"/>
          <w:szCs w:val="21"/>
          <w:u w:val="single" w:color="auto"/>
          <w:color w:val="auto"/>
        </w:rPr>
        <w:t>Sections 2.02(c)(ii)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2.02(d)</w:t>
      </w:r>
      <w:r>
        <w:rPr>
          <w:rFonts w:ascii="Times New Roman" w:cs="Times New Roman" w:eastAsia="Times New Roman" w:hAnsi="Times New Roman"/>
          <w:sz w:val="21"/>
          <w:szCs w:val="21"/>
          <w:color w:val="auto"/>
        </w:rPr>
        <w:t>, such rights will also be amended or cease to apply (as applicable) with respect to the Majority of the Class A-1 Preferred (to the extent rights were granted pursuant to the prior sentence).</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6.14</w:t>
      </w:r>
      <w:r>
        <w:rPr>
          <w:sz w:val="20"/>
          <w:szCs w:val="20"/>
          <w:color w:val="auto"/>
        </w:rPr>
        <w:tab/>
      </w:r>
      <w:r>
        <w:rPr>
          <w:rFonts w:ascii="Times New Roman" w:cs="Times New Roman" w:eastAsia="Times New Roman" w:hAnsi="Times New Roman"/>
          <w:sz w:val="21"/>
          <w:szCs w:val="21"/>
          <w:b w:val="1"/>
          <w:bCs w:val="1"/>
          <w:u w:val="single" w:color="auto"/>
          <w:color w:val="auto"/>
        </w:rPr>
        <w:t>Competitively Sensitive Information</w:t>
      </w:r>
      <w:r>
        <w:rPr>
          <w:rFonts w:ascii="Times New Roman" w:cs="Times New Roman" w:eastAsia="Times New Roman" w:hAnsi="Times New Roman"/>
          <w:sz w:val="21"/>
          <w:szCs w:val="21"/>
          <w:b w:val="1"/>
          <w:bCs w:val="1"/>
          <w:color w:val="auto"/>
        </w:rPr>
        <w:t>.</w:t>
      </w:r>
    </w:p>
    <w:p>
      <w:pPr>
        <w:spacing w:after="0" w:line="192" w:lineRule="exact"/>
        <w:rPr>
          <w:sz w:val="20"/>
          <w:szCs w:val="20"/>
          <w:color w:val="auto"/>
        </w:rPr>
      </w:pPr>
    </w:p>
    <w:p>
      <w:pPr>
        <w:jc w:val="both"/>
        <w:ind w:firstLine="1297"/>
        <w:spacing w:after="0" w:line="216" w:lineRule="auto"/>
        <w:tabs>
          <w:tab w:leader="none" w:pos="1824"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this Agreement (and subject further, and without prejudice, to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in the event that any written or oral materials that contain SoftBank Competitively Sensitive Information will be shared with or presented to the Board of Directors, the Company shall withhold any such materials such that the SoftBank Competitively Sensitive Information is only shared or discussed with, or presented for review only to, the A-2 Preferred Directors and the Common Director (and decisions relating thereto), and each other Director (and the SoftBank Board Observer) shall recuse himself or herself from the portion(s) of the meeting at which any such matters are shared, presented or discussed;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will (a) only redact that portion of any written materials which constitutes SoftBank Competitively Sensitive Information, provide the redacted document to the recused Directors and permit the recused Directors to participate in such portion of any meeting or discussion that relates solely to the unredacted sections of such materials, and (b) inform each Director that SoftBank Competitively Sensitive Information will be shared with or presented to the Board of Directors at least one</w:t>
      </w:r>
    </w:p>
    <w:p>
      <w:pPr>
        <w:ind w:left="320" w:hanging="313"/>
        <w:spacing w:after="0"/>
        <w:tabs>
          <w:tab w:leader="none" w:pos="3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 in advance of such materials being shared or presented.</w:t>
      </w:r>
    </w:p>
    <w:p>
      <w:pPr>
        <w:spacing w:after="0" w:line="164" w:lineRule="exact"/>
        <w:rPr>
          <w:rFonts w:ascii="Times New Roman" w:cs="Times New Roman" w:eastAsia="Times New Roman" w:hAnsi="Times New Roman"/>
          <w:sz w:val="21"/>
          <w:szCs w:val="21"/>
          <w:color w:val="auto"/>
        </w:rPr>
      </w:pPr>
    </w:p>
    <w:p>
      <w:pPr>
        <w:jc w:val="both"/>
        <w:ind w:firstLine="1297"/>
        <w:spacing w:after="0" w:line="219" w:lineRule="auto"/>
        <w:tabs>
          <w:tab w:leader="none" w:pos="1823" w:val="left"/>
        </w:tabs>
        <w:numPr>
          <w:ilvl w:val="1"/>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this Agreement (and subject further, and without prejudice, to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in the event that any written or oral materials that contain Honda Competitively Sensitive Information will be shared with or presented to the Board of Directors, the Company shall withhold any such materials such that the Honda Competitively Sensitive Information is only shared or discussed with, or presented for review only to, the Directors (and decisions relating thereto), and the Honda Board Observer shall recuse himself or herself from the portion(s) of the meeting at which any such matters are shared, presented or discussed;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will (a) only redact that portion of any written materials which constitutes Honda Competitively Sensitive Information, provide the redacted document to the recused Honda Board Observer and permit the recused Honda Board Observer to participate in such portion of any meeting or discussion that relates solely to the unredacted sections of such materials, and (b) inform each Director and the Honda Board Observer that Honda Competitively Sensitive Information will be shared with or presented to the Board of Directors at least one (1) Business Day in advance of such materials being shared or presented. Nothing in this </w:t>
      </w:r>
      <w:r>
        <w:rPr>
          <w:rFonts w:ascii="Times New Roman" w:cs="Times New Roman" w:eastAsia="Times New Roman" w:hAnsi="Times New Roman"/>
          <w:sz w:val="21"/>
          <w:szCs w:val="21"/>
          <w:u w:val="single" w:color="auto"/>
          <w:color w:val="auto"/>
        </w:rPr>
        <w:t>Section 6.14(b)</w:t>
      </w:r>
      <w:r>
        <w:rPr>
          <w:rFonts w:ascii="Times New Roman" w:cs="Times New Roman" w:eastAsia="Times New Roman" w:hAnsi="Times New Roman"/>
          <w:sz w:val="21"/>
          <w:szCs w:val="21"/>
          <w:color w:val="auto"/>
        </w:rPr>
        <w:t xml:space="preserve"> shall be deemed to override any of the limitations on sharing information as provided by </w:t>
      </w:r>
      <w:r>
        <w:rPr>
          <w:rFonts w:ascii="Times New Roman" w:cs="Times New Roman" w:eastAsia="Times New Roman" w:hAnsi="Times New Roman"/>
          <w:sz w:val="21"/>
          <w:szCs w:val="21"/>
          <w:u w:val="single" w:color="auto"/>
          <w:color w:val="auto"/>
        </w:rPr>
        <w:t>Sections 6.14(a)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6.14(c)</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010000"/>
        </w:rPr>
      </w:pPr>
    </w:p>
    <w:p>
      <w:pPr>
        <w:jc w:val="both"/>
        <w:ind w:firstLine="1297"/>
        <w:spacing w:after="0" w:line="220" w:lineRule="auto"/>
        <w:tabs>
          <w:tab w:leader="none" w:pos="1824" w:val="left"/>
        </w:tabs>
        <w:numPr>
          <w:ilvl w:val="1"/>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this Agreement (and subject further, and without prejudice, to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in the event that any written or oral materials that contain Microsoft Competitively Sensitive Information will be shared with or presented to the Board of Directors, the Company shall withhold any such materials such that the Microsoft Competitively Sensitive Information is only shared or discussed with, or presented for review only to, the Directors (and decisions relating thereto), and the Microsoft Board Observer shall recuse himself or herself from the portion(s) of the meeting at which any such matters are shared, presented or discussed;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will (a) only redact that portion of any written materials which constitutes Microsoft Competitively Sensitive Information, provide the redacted document to the recused Microsoft Board Observer and permit the recused Microsoft Board Observer to participate in such portion of any meeting or discussion that relates solely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88" w:right="339" w:bottom="1440" w:gutter="0" w:footer="0" w:header="0"/>
        </w:sectPr>
      </w:pPr>
    </w:p>
    <w:bookmarkStart w:id="92" w:name="page93"/>
    <w:bookmarkEnd w:id="92"/>
    <w:p>
      <w:pPr>
        <w:jc w:val="both"/>
        <w:ind w:right="20"/>
        <w:spacing w:after="0" w:line="229" w:lineRule="auto"/>
        <w:rPr>
          <w:sz w:val="20"/>
          <w:szCs w:val="20"/>
          <w:color w:val="auto"/>
        </w:rPr>
      </w:pPr>
      <w:r>
        <w:rPr>
          <w:rFonts w:ascii="Times New Roman" w:cs="Times New Roman" w:eastAsia="Times New Roman" w:hAnsi="Times New Roman"/>
          <w:sz w:val="21"/>
          <w:szCs w:val="21"/>
          <w:color w:val="auto"/>
        </w:rPr>
        <w:t xml:space="preserve">the unredacted sections of such materials, and (b) inform each Director and the Microsoft Board Observer that Microsoft Competitively Sensitive Information will be shared with or presented to the Board of Directors at least one (1) Business Day in advance of such materials being shared or presented. Nothing in this </w:t>
      </w:r>
      <w:r>
        <w:rPr>
          <w:rFonts w:ascii="Times New Roman" w:cs="Times New Roman" w:eastAsia="Times New Roman" w:hAnsi="Times New Roman"/>
          <w:sz w:val="21"/>
          <w:szCs w:val="21"/>
          <w:u w:val="single" w:color="auto"/>
          <w:color w:val="auto"/>
        </w:rPr>
        <w:t>Section 6.14(c)</w:t>
      </w:r>
      <w:r>
        <w:rPr>
          <w:rFonts w:ascii="Times New Roman" w:cs="Times New Roman" w:eastAsia="Times New Roman" w:hAnsi="Times New Roman"/>
          <w:sz w:val="21"/>
          <w:szCs w:val="21"/>
          <w:color w:val="auto"/>
        </w:rPr>
        <w:t xml:space="preserve"> shall be deemed to override any of the limitations on sharing information as provided by Sections </w:t>
      </w:r>
      <w:r>
        <w:rPr>
          <w:rFonts w:ascii="Times New Roman" w:cs="Times New Roman" w:eastAsia="Times New Roman" w:hAnsi="Times New Roman"/>
          <w:sz w:val="21"/>
          <w:szCs w:val="21"/>
          <w:u w:val="single" w:color="auto"/>
          <w:color w:val="auto"/>
        </w:rPr>
        <w:t>6.14(a)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6.14(b)</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645"/>
        <w:spacing w:after="0"/>
        <w:rPr>
          <w:sz w:val="20"/>
          <w:szCs w:val="20"/>
          <w:color w:val="auto"/>
        </w:rPr>
      </w:pPr>
      <w:r>
        <w:rPr>
          <w:rFonts w:ascii="Times New Roman" w:cs="Times New Roman" w:eastAsia="Times New Roman" w:hAnsi="Times New Roman"/>
          <w:sz w:val="21"/>
          <w:szCs w:val="21"/>
          <w:b w:val="1"/>
          <w:bCs w:val="1"/>
          <w:color w:val="auto"/>
        </w:rPr>
        <w:t xml:space="preserve">6.15 </w:t>
      </w:r>
      <w:r>
        <w:rPr>
          <w:rFonts w:ascii="Times New Roman" w:cs="Times New Roman" w:eastAsia="Times New Roman" w:hAnsi="Times New Roman"/>
          <w:sz w:val="21"/>
          <w:szCs w:val="21"/>
          <w:b w:val="1"/>
          <w:bCs w:val="1"/>
          <w:u w:val="single" w:color="auto"/>
          <w:color w:val="auto"/>
        </w:rPr>
        <w:t>Officers</w:t>
      </w:r>
      <w:r>
        <w:rPr>
          <w:rFonts w:ascii="Times New Roman" w:cs="Times New Roman" w:eastAsia="Times New Roman" w:hAnsi="Times New Roman"/>
          <w:sz w:val="21"/>
          <w:szCs w:val="21"/>
          <w:color w:val="auto"/>
        </w:rPr>
        <w:t>. The Board of Directors may from time to time appoint individuals as officers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Officers</w:t>
      </w:r>
      <w:r>
        <w:rPr>
          <w:rFonts w:ascii="Times New Roman" w:cs="Times New Roman" w:eastAsia="Times New Roman" w:hAnsi="Times New Roman"/>
          <w:sz w:val="21"/>
          <w:szCs w:val="21"/>
          <w:color w:val="auto"/>
        </w:rPr>
        <w:t>”). The Officers of the Company shall have such titles, duties, authority and compensation (if any) as shall be fixed by the Board of Directors from time to time. Any Officer may be removed, with or without cause, at any time by the Board of Directors.</w:t>
      </w:r>
    </w:p>
    <w:p>
      <w:pPr>
        <w:spacing w:after="0" w:line="350" w:lineRule="exact"/>
        <w:rPr>
          <w:sz w:val="20"/>
          <w:szCs w:val="20"/>
          <w:color w:val="auto"/>
        </w:rPr>
      </w:pPr>
    </w:p>
    <w:p>
      <w:pPr>
        <w:jc w:val="both"/>
        <w:ind w:firstLine="645"/>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6.16 </w:t>
      </w:r>
      <w:r>
        <w:rPr>
          <w:rFonts w:ascii="Times New Roman" w:cs="Times New Roman" w:eastAsia="Times New Roman" w:hAnsi="Times New Roman"/>
          <w:sz w:val="21"/>
          <w:szCs w:val="21"/>
          <w:b w:val="1"/>
          <w:bCs w:val="1"/>
          <w:u w:val="single" w:color="auto"/>
          <w:color w:val="auto"/>
        </w:rPr>
        <w:t>Enhanced Voting Rights</w:t>
      </w:r>
      <w:r>
        <w:rPr>
          <w:rFonts w:ascii="Times New Roman" w:cs="Times New Roman" w:eastAsia="Times New Roman" w:hAnsi="Times New Roman"/>
          <w:sz w:val="21"/>
          <w:szCs w:val="21"/>
          <w:color w:val="auto"/>
        </w:rPr>
        <w:t>. The Class A-2 Preferred Members, by vote of a Majority of the Class A-2 Preferred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if there are no Class A-2 Preferred Shares outstanding, the Class C Members, by vote of a Majority of the Class C Common), shall have the right to, upon written notice to the Company, designate up to two (2) of the A-2 Preferred Directors to have enhanced voting rights as Directors. Any A-2 Preferred Director so designated shall have two (2) votes on all matters submitted to the Board of Directors (whether the consideration of such matter is taken at a meeting, by written consent or otherwise). The Class A-2 Preferred Members, by vote of a Majority of the Class A-2 Preferred (or, if there are no Class A-2 Preferred Shares outstanding, the Class C Members, by vote of a Majority of the Class C Common), may, at any time upon written notice to the Company, designate an alternate A-2 Preferred Director to have the enhanced voting rights under this </w:t>
      </w:r>
      <w:r>
        <w:rPr>
          <w:rFonts w:ascii="Times New Roman" w:cs="Times New Roman" w:eastAsia="Times New Roman" w:hAnsi="Times New Roman"/>
          <w:sz w:val="21"/>
          <w:szCs w:val="21"/>
          <w:u w:val="single" w:color="auto"/>
          <w:color w:val="auto"/>
        </w:rPr>
        <w:t>Section 6.16</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VII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EXCULPATION AND INDEMNIFICATION</w:t>
      </w:r>
    </w:p>
    <w:p>
      <w:pPr>
        <w:spacing w:after="0" w:line="160" w:lineRule="exact"/>
        <w:rPr>
          <w:sz w:val="20"/>
          <w:szCs w:val="20"/>
          <w:color w:val="auto"/>
        </w:rPr>
      </w:pPr>
    </w:p>
    <w:p>
      <w:pPr>
        <w:jc w:val="both"/>
        <w:ind w:firstLine="645"/>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7.01 </w:t>
      </w:r>
      <w:r>
        <w:rPr>
          <w:rFonts w:ascii="Times New Roman" w:cs="Times New Roman" w:eastAsia="Times New Roman" w:hAnsi="Times New Roman"/>
          <w:sz w:val="21"/>
          <w:szCs w:val="21"/>
          <w:b w:val="1"/>
          <w:bCs w:val="1"/>
          <w:u w:val="single" w:color="auto"/>
          <w:color w:val="auto"/>
        </w:rPr>
        <w:t>Exculpation</w:t>
      </w:r>
      <w:r>
        <w:rPr>
          <w:rFonts w:ascii="Times New Roman" w:cs="Times New Roman" w:eastAsia="Times New Roman" w:hAnsi="Times New Roman"/>
          <w:sz w:val="21"/>
          <w:szCs w:val="21"/>
          <w:color w:val="auto"/>
        </w:rPr>
        <w:t>. No Officer shall be liable to any other Officer, the Company or any Member for any loss suffered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Company or any Member;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subject to the other limitations contained in this Agreement, this sentence shall not apply with respect to losses caused by such Person’s fraud, gross negligence, intentional misconduct or intentional breach of this Agreement or breach of any duty owed to the Company or to any other Member. Without limiting the foregoing, the Officers shall not be liable for any acts or omissions that do not constitute fraud, gross negligence, intentional misconduct or intentional breach of this Agreement or breach of any duty owed to the Company or to any other Member. No Director shall be liable to any other Director, the Company or any Member for any loss suffered by the Company or any Member to the maximum extent permitted pursuant to the DGCL (as the same exists or may hereafter be amended (but in the case of any amendment, only to the extent such amendment permits the Company to provide broader exculpation than the Company was permitted to provide prior to such amendment)) with respect to directors of corporations (assuming such corporation had in its certificate of incorporation a provision eliminating the liabilities of directors and officers to the maximum extent permitted by Section 102(b)(7) of the DGCL).</w:t>
      </w:r>
    </w:p>
    <w:p>
      <w:pPr>
        <w:spacing w:after="0" w:line="15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7.02</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2" w:lineRule="auto"/>
        <w:tabs>
          <w:tab w:leader="none" w:pos="1770" w:val="left"/>
        </w:tabs>
        <w:numPr>
          <w:ilvl w:val="0"/>
          <w:numId w:val="9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the limitations and conditions as provided in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each Covered Person who was or is made a party or is threatened to be made a party to or is involved in any threatened, pending or completed action, suit or proceeding, claim, dispute, litigation, complaint, charge, claim, grievance, hearing, audit, arbitration, or mediation, whether civil, criminal, administrative or arbitrative, at law or at equity, or any appeal therefrom, or any inquiry, or investigation that could lead to any of the foregoing (each of the foregoing, a “</w:t>
      </w:r>
      <w:r>
        <w:rPr>
          <w:rFonts w:ascii="Times New Roman" w:cs="Times New Roman" w:eastAsia="Times New Roman" w:hAnsi="Times New Roman"/>
          <w:sz w:val="21"/>
          <w:szCs w:val="21"/>
          <w:b w:val="1"/>
          <w:bCs w:val="1"/>
          <w:color w:val="auto"/>
        </w:rPr>
        <w:t>Proceeding</w:t>
      </w:r>
      <w:r>
        <w:rPr>
          <w:rFonts w:ascii="Times New Roman" w:cs="Times New Roman" w:eastAsia="Times New Roman" w:hAnsi="Times New Roman"/>
          <w:sz w:val="21"/>
          <w:szCs w:val="21"/>
          <w:color w:val="auto"/>
        </w:rPr>
        <w:t xml:space="preserve">”), by reason of the fact that he, she or it, or a Person of whom he or she is the legal representative, is or was a Member (in the case of a Member for all purposes of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solely by reason of such Member’s status as a Member and not with respect to any actions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88" w:right="339" w:bottom="1440" w:gutter="0" w:footer="0" w:header="0"/>
        </w:sectPr>
      </w:pPr>
    </w:p>
    <w:bookmarkStart w:id="93" w:name="page94"/>
    <w:bookmarkEnd w:id="93"/>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or the failure to take an action, by such Person as a Member) or other Covered Person, shall be indemnified by the Company to the fullest extent permitted by the Act or, in the case of Directors, to the fullest extent permitted by the DGCL for a director of a Delaware corporation (assuming such corporation had in its certificate of incorporation a provision eliminating the liabilities of directors and officers to the maximum extent permitted by Section 102(b)(7) of the DGCL), as (in the case of each of the DGCL and the Act)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attorneys’ fees) or any other amounts incurred by such Person in connection with such Proceeding, and indemnification under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shall continue as to a Covered Person who has ceased to serve in the capacity which initially entitled such Person to indemnity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to the extent a Person is entitled to or receives exculpation pursuant to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or as expressly provided for in any Applicable Agreement (as defined below), no Covered Person shall be indemnified for any judgments, penalties (including excise and similar taxes and punitive damages), fines, settlements or reasonable expenses (including attorneys’ fees) actually incurred by such Covered Person that are attributable to: (i) Proceedings initiated by such Covered Person or Proceedings by such Covered Person against the Company, (ii) economic losses or tax obligations incurred by a Covered Person as a result of owning Shares or (iii) Proceedings initiated by the Company or any of its Subsidiaries against any such Covered Person, including Proceedings to enforce any rights against such Covered Person under any Applicable Agreement. For purposes of the foregoing, "</w:t>
      </w:r>
      <w:r>
        <w:rPr>
          <w:rFonts w:ascii="Times New Roman" w:cs="Times New Roman" w:eastAsia="Times New Roman" w:hAnsi="Times New Roman"/>
          <w:sz w:val="21"/>
          <w:szCs w:val="21"/>
          <w:b w:val="1"/>
          <w:bCs w:val="1"/>
          <w:color w:val="auto"/>
        </w:rPr>
        <w:t>Applicable Agreement</w:t>
      </w:r>
      <w:r>
        <w:rPr>
          <w:rFonts w:ascii="Times New Roman" w:cs="Times New Roman" w:eastAsia="Times New Roman" w:hAnsi="Times New Roman"/>
          <w:sz w:val="21"/>
          <w:szCs w:val="21"/>
          <w:color w:val="auto"/>
        </w:rPr>
        <w:t>" means (i) in relation to any Covered Person, other than the GM Investor and its Affiliates, any employment, consulting, services, indemnification, commercial or other written agreement between any such Covered Person and/or its Affiliates, on the one hand, and the Company and/or its Affiliates, on the other hand, including this Agreement, any Transaction Document, any Commercial Agreement or any Honda Commercial Agreements or any purchase agreement relating to the sale and issuance of Shares, and (ii) in relation to the GM Investor or its Affiliates, the Transaction Documents and the Microsoft Commercial Agreement to which the GM Investor or its Affiliates are a party.</w:t>
      </w:r>
    </w:p>
    <w:p>
      <w:pPr>
        <w:spacing w:after="0" w:line="161" w:lineRule="exact"/>
        <w:rPr>
          <w:sz w:val="20"/>
          <w:szCs w:val="20"/>
          <w:color w:val="auto"/>
        </w:rPr>
      </w:pPr>
    </w:p>
    <w:p>
      <w:pPr>
        <w:jc w:val="both"/>
        <w:ind w:firstLine="1297"/>
        <w:spacing w:after="0" w:line="226" w:lineRule="auto"/>
        <w:tabs>
          <w:tab w:leader="none" w:pos="1971" w:val="left"/>
        </w:tabs>
        <w:numPr>
          <w:ilvl w:val="0"/>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Expenses (including attorneys’ fees) incurred by a Covered Person in defending any civil, criminal, administrative or investigative action, suit or proceeding with respect to a Designated Matter shall be paid by the Company in advance of the final disposition of such action, suit or proceeding upon receipt of an undertaking by or on behalf of such Covered Person to repay such amount to the extent it shall ultimately be determined that such Covered Person is not entitled to indemnity under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57" w:val="left"/>
        </w:tabs>
        <w:numPr>
          <w:ilvl w:val="0"/>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Recourse by a Covered Person for indemnity under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shall be only against the Company as an entity and no Member shall by reason of being a Member be liable for the Company’s obligations under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otherwise be required to make additional Capital Contributions to help satisfy such indemnity obligations of the Company.</w:t>
      </w:r>
    </w:p>
    <w:p>
      <w:pPr>
        <w:spacing w:after="0" w:line="150"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890" w:val="left"/>
        </w:tabs>
        <w:numPr>
          <w:ilvl w:val="0"/>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may enter into a separate agreement to indemnify any Covered Person as to any matter (whether or not a Designated Matter) to the extent such agreement is approved by the Board of Directors. Any such separate agreement shall be in addition to (and not in limitation of) the rights set forth in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elsewhere in this Agreement and shall not, unless expressly set forth in such separate agreement, be subject to any limitations or conditions set forth in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elsewhere in this Agreement.</w:t>
      </w:r>
    </w:p>
    <w:p>
      <w:pPr>
        <w:spacing w:after="0" w:line="152"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43" w:val="left"/>
        </w:tabs>
        <w:numPr>
          <w:ilvl w:val="0"/>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indemnification and advancement of expenses provided by, or granted pursuant to, the other provisions of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shall not be deemed to be exclusive of any other rights to which those seeking indemnification or advancement of expenses may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88" w:right="339" w:bottom="1440" w:gutter="0" w:footer="0" w:header="0"/>
        </w:sectPr>
      </w:pPr>
    </w:p>
    <w:bookmarkStart w:id="94" w:name="page95"/>
    <w:bookmarkEnd w:id="94"/>
    <w:p>
      <w:pPr>
        <w:jc w:val="both"/>
        <w:spacing w:after="0" w:line="229" w:lineRule="auto"/>
        <w:rPr>
          <w:sz w:val="20"/>
          <w:szCs w:val="20"/>
          <w:color w:val="auto"/>
        </w:rPr>
      </w:pPr>
      <w:r>
        <w:rPr>
          <w:rFonts w:ascii="Times New Roman" w:cs="Times New Roman" w:eastAsia="Times New Roman" w:hAnsi="Times New Roman"/>
          <w:sz w:val="21"/>
          <w:szCs w:val="21"/>
          <w:color w:val="auto"/>
        </w:rPr>
        <w:t>under any agreement, both as to action in his, her or its official capacity and as to action in another capacity while holding such position or related to the Company, and shall continue as to any Person who has ceased to be a Covered Person (or successor or assignee of a Covered Person) and shall inure to the benefit of the heirs, representatives, successors and assigns of such Covered Person.</w:t>
      </w:r>
    </w:p>
    <w:p>
      <w:pPr>
        <w:spacing w:after="0" w:line="153" w:lineRule="exact"/>
        <w:rPr>
          <w:sz w:val="20"/>
          <w:szCs w:val="20"/>
          <w:color w:val="auto"/>
        </w:rPr>
      </w:pPr>
    </w:p>
    <w:p>
      <w:pPr>
        <w:ind w:firstLine="1297"/>
        <w:spacing w:after="0" w:line="251" w:lineRule="auto"/>
        <w:tabs>
          <w:tab w:leader="none" w:pos="1720" w:val="left"/>
        </w:tabs>
        <w:numPr>
          <w:ilvl w:val="0"/>
          <w:numId w:val="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may purchase and maintain insurance for the benefit of any Covered Person with respect to any Designated Matter, whether or not the Company must or could indemnify such Covered Person under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796" w:val="left"/>
        </w:tabs>
        <w:numPr>
          <w:ilvl w:val="0"/>
          <w:numId w:val="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shall inure to the benefit of the Covered Persons and their heirs, representatives, successors and assigns, and it is the express intention of the parties hereto that the provisions of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for the indemnification and exculpation of the Covered Persons may be relied upon by such Covered Persons and may be enforced by such Covered Person against the Company pursuant to this Agreement or to a separate indemnification agreement, as if such Covered Persons were parties hereto.</w:t>
      </w:r>
    </w:p>
    <w:p>
      <w:pPr>
        <w:spacing w:after="0" w:line="149" w:lineRule="exact"/>
        <w:rPr>
          <w:sz w:val="20"/>
          <w:szCs w:val="20"/>
          <w:color w:val="auto"/>
        </w:rPr>
      </w:pPr>
    </w:p>
    <w:p>
      <w:pPr>
        <w:jc w:val="both"/>
        <w:ind w:firstLine="645"/>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7.03 </w:t>
      </w:r>
      <w:r>
        <w:rPr>
          <w:rFonts w:ascii="Times New Roman" w:cs="Times New Roman" w:eastAsia="Times New Roman" w:hAnsi="Times New Roman"/>
          <w:sz w:val="21"/>
          <w:szCs w:val="21"/>
          <w:b w:val="1"/>
          <w:bCs w:val="1"/>
          <w:u w:val="single" w:color="auto"/>
          <w:color w:val="auto"/>
        </w:rPr>
        <w:t>No Personal Liability</w:t>
      </w:r>
      <w:r>
        <w:rPr>
          <w:rFonts w:ascii="Times New Roman" w:cs="Times New Roman" w:eastAsia="Times New Roman" w:hAnsi="Times New Roman"/>
          <w:sz w:val="21"/>
          <w:szCs w:val="21"/>
          <w:color w:val="auto"/>
        </w:rPr>
        <w:t>. No individual who is a Director or an Officer, or any combination of the foregoing,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personally liable under any judgment of a court, or in any other manner, for any debt, obligation or liability of the Company, whether that liability or obligation arises in contract, tort or otherwise solely by reason of being a Director or an Officer or any combination of the foregoing.</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VIII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BOOKS AND RECORDS; INFORMATION; RELATED MATTERS; COMPLIANCE</w:t>
      </w:r>
    </w:p>
    <w:p>
      <w:pPr>
        <w:spacing w:after="0" w:line="160" w:lineRule="exact"/>
        <w:rPr>
          <w:sz w:val="20"/>
          <w:szCs w:val="20"/>
          <w:color w:val="auto"/>
        </w:rPr>
      </w:pPr>
    </w:p>
    <w:p>
      <w:pPr>
        <w:jc w:val="both"/>
        <w:ind w:firstLine="645"/>
        <w:spacing w:after="0" w:line="225" w:lineRule="auto"/>
        <w:rPr>
          <w:sz w:val="20"/>
          <w:szCs w:val="20"/>
          <w:color w:val="auto"/>
        </w:rPr>
      </w:pPr>
      <w:r>
        <w:rPr>
          <w:rFonts w:ascii="Times New Roman" w:cs="Times New Roman" w:eastAsia="Times New Roman" w:hAnsi="Times New Roman"/>
          <w:sz w:val="21"/>
          <w:szCs w:val="21"/>
          <w:b w:val="1"/>
          <w:bCs w:val="1"/>
          <w:color w:val="auto"/>
        </w:rPr>
        <w:t xml:space="preserve">8.01 </w:t>
      </w:r>
      <w:r>
        <w:rPr>
          <w:rFonts w:ascii="Times New Roman" w:cs="Times New Roman" w:eastAsia="Times New Roman" w:hAnsi="Times New Roman"/>
          <w:sz w:val="21"/>
          <w:szCs w:val="21"/>
          <w:b w:val="1"/>
          <w:bCs w:val="1"/>
          <w:u w:val="single" w:color="auto"/>
          <w:color w:val="auto"/>
        </w:rPr>
        <w:t>Generally</w:t>
      </w:r>
      <w:r>
        <w:rPr>
          <w:rFonts w:ascii="Times New Roman" w:cs="Times New Roman" w:eastAsia="Times New Roman" w:hAnsi="Times New Roman"/>
          <w:sz w:val="21"/>
          <w:szCs w:val="21"/>
          <w:color w:val="auto"/>
        </w:rPr>
        <w:t>. The Company shall (and shall cause it Subsidiaries to) maintain books and records of account in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full and correct entries shall be made of all of their business transactions pursuant to a system of accounting established and administered in accordance with GAAP. The Company shall (and shall cause its Subsidiaries to) implement financial controls reasonably designed to provide adequate assurance that payments will be made by or on behalf of the Company and its Subsidiaries only in accordance with the instructions of the Board of Directors or, as applicable, management to whom the Board of Directors has delegated such authority.</w:t>
      </w:r>
    </w:p>
    <w:p>
      <w:pPr>
        <w:spacing w:after="0" w:line="14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8.02</w:t>
      </w:r>
      <w:r>
        <w:rPr>
          <w:sz w:val="20"/>
          <w:szCs w:val="20"/>
          <w:color w:val="auto"/>
        </w:rPr>
        <w:tab/>
      </w:r>
      <w:r>
        <w:rPr>
          <w:rFonts w:ascii="Times New Roman" w:cs="Times New Roman" w:eastAsia="Times New Roman" w:hAnsi="Times New Roman"/>
          <w:sz w:val="21"/>
          <w:szCs w:val="21"/>
          <w:b w:val="1"/>
          <w:bCs w:val="1"/>
          <w:u w:val="single" w:color="auto"/>
          <w:color w:val="auto"/>
        </w:rPr>
        <w:t>Delivery of Financial Information</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tabs>
          <w:tab w:leader="none" w:pos="1811" w:val="left"/>
        </w:tabs>
        <w:numPr>
          <w:ilvl w:val="0"/>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shall deliver to (i) (A) SoftBank, for so long as SoftBank owns the SoftBank Floor Amount and (B) Honda, for so long as Honda owns the Honda Floor Amount, (C) to each Class F New Member, for so long as such Class F New Member owns its applicable General Floor Amount, (D) Microsoft, for so long as Microsoft owns the Microsoft Floor Amount, and (E) to each Class G New Member (other than Microsoft), for so long as such Class G New Member owns its applicable General Floor Amount, and, in each case of clauses (A),(B), (C), (D), and (E) subject to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and (ii) the GM Investor:</w:t>
      </w:r>
    </w:p>
    <w:p>
      <w:pPr>
        <w:spacing w:after="0" w:line="297" w:lineRule="exact"/>
        <w:rPr>
          <w:rFonts w:ascii="Times New Roman" w:cs="Times New Roman" w:eastAsia="Times New Roman" w:hAnsi="Times New Roman"/>
          <w:sz w:val="21"/>
          <w:szCs w:val="21"/>
          <w:color w:val="010000"/>
        </w:rPr>
      </w:pPr>
    </w:p>
    <w:p>
      <w:pPr>
        <w:jc w:val="both"/>
        <w:ind w:firstLine="1942"/>
        <w:spacing w:after="0" w:line="226" w:lineRule="auto"/>
        <w:tabs>
          <w:tab w:leader="none" w:pos="2380" w:val="left"/>
        </w:tabs>
        <w:numPr>
          <w:ilvl w:val="1"/>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soon as practicable, but in any event within one hundred twenty (120) days (or, with respect to the Fiscal Year ending December 31, 2018, one hundred fifty (150) days), following the end of each Fiscal Year beginning with the Fiscal Year ending December 31, 2018, audited annual financial statements (including balance sheet, income statement, statement of cash flow and statement of members’ equity) and accompanying notes of the Company and its Subsidiaries (on a consolidated basis), prepared in accordance with GAAP (except as may be indicated in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88" w:right="339" w:bottom="1440" w:gutter="0" w:footer="0" w:header="0"/>
        </w:sectPr>
      </w:pPr>
    </w:p>
    <w:bookmarkStart w:id="95" w:name="page96"/>
    <w:bookmarkEnd w:id="95"/>
    <w:p>
      <w:pPr>
        <w:jc w:val="both"/>
        <w:ind w:firstLine="1942"/>
        <w:spacing w:after="0"/>
        <w:tabs>
          <w:tab w:leader="none" w:pos="2453" w:val="left"/>
        </w:tabs>
        <w:numPr>
          <w:ilvl w:val="0"/>
          <w:numId w:val="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as soon as practicable, but in any event within forty-five (45) days, following the end of each of the first three fiscal quarters of each Fiscal Year of the Company beginning with the fiscal quarter ending September 30, 2018, unaudited financial statements (including balance sheet, income statement, statement of cash flow and statement of members’ equity) of the Company and its Subsidiaries (on a consolidated basis), prepared in accordance with GAAP (except as may be indicated in the notes thereto and subject to the absence of footnote disclosures, normal year-end adjustments and such other departures from GAAP as the Board of Directors may authorize);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quarterly information provided before delivery of the first annual audited financial statements is subject to revision as part of the implementation of standalone financial reporting capabilities;</w:t>
      </w:r>
    </w:p>
    <w:p>
      <w:pPr>
        <w:spacing w:after="0" w:line="244" w:lineRule="exact"/>
        <w:rPr>
          <w:rFonts w:ascii="Times New Roman" w:cs="Times New Roman" w:eastAsia="Times New Roman" w:hAnsi="Times New Roman"/>
          <w:sz w:val="21"/>
          <w:szCs w:val="21"/>
          <w:color w:val="010000"/>
        </w:rPr>
      </w:pPr>
    </w:p>
    <w:p>
      <w:pPr>
        <w:jc w:val="both"/>
        <w:ind w:firstLine="1942"/>
        <w:spacing w:after="0"/>
        <w:tabs>
          <w:tab w:leader="none" w:pos="2472" w:val="left"/>
        </w:tabs>
        <w:numPr>
          <w:ilvl w:val="0"/>
          <w:numId w:val="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as soon as practicable, but in any event within thirty (30) days after the end of each month, unaudited trial balances of the Company and its Subsidiaries (on a consolidated basis);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management accounts will only be required to be delivered to the extent they are otherwise prepared by management of the Company in the ordinary course of business (and in such case shall only be required to be in such form as so otherwise prepared) and, for the avoidance of doubt, any monthly financial information may not include all adjustments necessary to reflect the Company and its Subsidiaries (on a consolidated basis) on a standalone basis in accordance with GAAP and any monthly information provided before the delivery of the first annual audited financial statements is subject to revision as part of the implementation of standalone financial reporting capabilities;</w:t>
      </w:r>
    </w:p>
    <w:p>
      <w:pPr>
        <w:spacing w:after="0" w:line="244" w:lineRule="exact"/>
        <w:rPr>
          <w:rFonts w:ascii="Times New Roman" w:cs="Times New Roman" w:eastAsia="Times New Roman" w:hAnsi="Times New Roman"/>
          <w:sz w:val="21"/>
          <w:szCs w:val="21"/>
          <w:color w:val="010000"/>
        </w:rPr>
      </w:pPr>
    </w:p>
    <w:p>
      <w:pPr>
        <w:ind w:right="20" w:firstLine="1942"/>
        <w:spacing w:after="0" w:line="251" w:lineRule="auto"/>
        <w:tabs>
          <w:tab w:leader="none" w:pos="2487" w:val="left"/>
        </w:tabs>
        <w:numPr>
          <w:ilvl w:val="0"/>
          <w:numId w:val="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soon as practicable, but in any event within thirty (30) days after the end of each fiscal quarter of each Fiscal Year of the Company, the Members Schedule; and</w:t>
      </w:r>
    </w:p>
    <w:p>
      <w:pPr>
        <w:spacing w:after="0" w:line="139" w:lineRule="exact"/>
        <w:rPr>
          <w:rFonts w:ascii="Times New Roman" w:cs="Times New Roman" w:eastAsia="Times New Roman" w:hAnsi="Times New Roman"/>
          <w:sz w:val="21"/>
          <w:szCs w:val="21"/>
          <w:color w:val="010000"/>
        </w:rPr>
      </w:pPr>
    </w:p>
    <w:p>
      <w:pPr>
        <w:jc w:val="both"/>
        <w:ind w:firstLine="1942"/>
        <w:spacing w:after="0" w:line="229" w:lineRule="auto"/>
        <w:tabs>
          <w:tab w:leader="none" w:pos="2401" w:val="left"/>
        </w:tabs>
        <w:numPr>
          <w:ilvl w:val="0"/>
          <w:numId w:val="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as soon as reasonably practicable following the end of each Fiscal Year beginning with the Fiscal Year ending December 31, 2018, a budget and business plan for the Company for the then current Fiscal Year. Such budget and business plan will be the same as was shared with the Board of Directors and will include a level of detail reasonably customary for entities of a size and nature similar to the Company. For clarity, this </w:t>
      </w:r>
      <w:r>
        <w:rPr>
          <w:rFonts w:ascii="Times New Roman" w:cs="Times New Roman" w:eastAsia="Times New Roman" w:hAnsi="Times New Roman"/>
          <w:sz w:val="21"/>
          <w:szCs w:val="21"/>
          <w:u w:val="single" w:color="auto"/>
          <w:color w:val="auto"/>
        </w:rPr>
        <w:t>Section 8.02(a)(v)</w:t>
      </w:r>
      <w:r>
        <w:rPr>
          <w:rFonts w:ascii="Times New Roman" w:cs="Times New Roman" w:eastAsia="Times New Roman" w:hAnsi="Times New Roman"/>
          <w:sz w:val="21"/>
          <w:szCs w:val="21"/>
          <w:color w:val="auto"/>
        </w:rPr>
        <w:t xml:space="preserve"> will be subject to </w:t>
      </w:r>
      <w:r>
        <w:rPr>
          <w:rFonts w:ascii="Times New Roman" w:cs="Times New Roman" w:eastAsia="Times New Roman" w:hAnsi="Times New Roman"/>
          <w:sz w:val="21"/>
          <w:szCs w:val="21"/>
          <w:u w:val="single" w:color="auto"/>
          <w:color w:val="auto"/>
        </w:rPr>
        <w:t>Section 8.06</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645"/>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8.03 </w:t>
      </w:r>
      <w:r>
        <w:rPr>
          <w:rFonts w:ascii="Times New Roman" w:cs="Times New Roman" w:eastAsia="Times New Roman" w:hAnsi="Times New Roman"/>
          <w:sz w:val="21"/>
          <w:szCs w:val="21"/>
          <w:b w:val="1"/>
          <w:bCs w:val="1"/>
          <w:u w:val="single" w:color="auto"/>
          <w:color w:val="auto"/>
        </w:rPr>
        <w:t>Technical Information</w:t>
      </w:r>
      <w:r>
        <w:rPr>
          <w:rFonts w:ascii="Times New Roman" w:cs="Times New Roman" w:eastAsia="Times New Roman" w:hAnsi="Times New Roman"/>
          <w:sz w:val="21"/>
          <w:szCs w:val="21"/>
          <w:color w:val="auto"/>
        </w:rPr>
        <w:t>. Except to the extent required pursuant to the Honda Commercial Agreements, but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notwithstanding anything else to the contrary in this Agreement, the Company will not provide (and nothing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or otherwise in this Agreement will require the Company or any of its Directors or employees to provide) any Technical Information to any Class A-1 Preferred Member, Class D Member, Class E Member, Class H Member, Class F Preferred Members, Class G Preferred Members, the SoftBank Director, the Softbank Board Observer, or the Honda Board Observer. Notwithstanding the foregoing sentence, the Company may provide Technical Information to Microsoft and/or the Microsoft Board Observer, in connection with commercial agreement(s) with Microsoft and/or its Affiliates or otherwise deemed necessary or appropriate by the Company, in its sole discretion. For the avoidance of doubt, the foregoing shall not restrict the provision of Technical Information to the GM Member.</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8.04</w:t>
      </w:r>
      <w:r>
        <w:rPr>
          <w:sz w:val="20"/>
          <w:szCs w:val="20"/>
          <w:color w:val="auto"/>
        </w:rPr>
        <w:tab/>
      </w:r>
      <w:r>
        <w:rPr>
          <w:rFonts w:ascii="Times New Roman" w:cs="Times New Roman" w:eastAsia="Times New Roman" w:hAnsi="Times New Roman"/>
          <w:sz w:val="21"/>
          <w:szCs w:val="21"/>
          <w:b w:val="1"/>
          <w:bCs w:val="1"/>
          <w:u w:val="single" w:color="auto"/>
          <w:color w:val="auto"/>
        </w:rPr>
        <w:t>Applicable ABAC/AML/Trade Laws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35" w:lineRule="auto"/>
        <w:tabs>
          <w:tab w:leader="none" w:pos="1824"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covenants and agrees that the Company, any Subsidiaries it establishes and any Associated Person of either the Company or any of its Subsidiaries shall comply with all Applicable ABAC Laws, Applicable AML Laws and Applicable Trade Laws.</w:t>
      </w:r>
    </w:p>
    <w:p>
      <w:pPr>
        <w:spacing w:after="0" w:line="150"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836"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covenants and agrees that the Company, any Subsidiaries it establishes and any Associated Person of either the Company or any of its Subsidiaries shall not use any funds received from GM, SoftBank, Honda, any Class F New Member, or any Class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8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1"/>
          <w:szCs w:val="21"/>
          <w:color w:val="auto"/>
        </w:rPr>
        <w:t>New Member in violation of Applicable Trade Laws, including, directly or indirectly, for the benefit of any Blocked Person.</w:t>
      </w:r>
    </w:p>
    <w:p>
      <w:pPr>
        <w:spacing w:after="0" w:line="188" w:lineRule="exact"/>
        <w:rPr>
          <w:sz w:val="20"/>
          <w:szCs w:val="20"/>
          <w:color w:val="auto"/>
        </w:rPr>
      </w:pPr>
    </w:p>
    <w:p>
      <w:pPr>
        <w:jc w:val="both"/>
        <w:ind w:firstLine="1297"/>
        <w:spacing w:after="0" w:line="224" w:lineRule="auto"/>
        <w:tabs>
          <w:tab w:leader="none" w:pos="1743"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it has not already done so, the Company shall adopt and implement within forty-five (45) days of executing this Agreement policies and procedures designed to prevent the Company and its Affiliates as well as any Associated Person of either the Company or any of its Affiliates from engaging in any activity, practice or conduct that would violate any of the Applicable ABAC Laws, Applicable AML Laws or Applicable Trade Laws. Such policy and procedures shall be consistent with the guidance that has been provided by government authorities in the United Kingdom and United States of America having authority to administer and prosecute violations of such laws and regulations.</w:t>
      </w:r>
    </w:p>
    <w:p>
      <w:pPr>
        <w:spacing w:after="0" w:line="152"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96"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shall confirm in writing to SoftBank upon written request (which such request shall be made no more frequently than once each fiscal year) that it and any Subsidiaries it establishes have complied with the undertakings in this </w:t>
      </w:r>
      <w:r>
        <w:rPr>
          <w:rFonts w:ascii="Times New Roman" w:cs="Times New Roman" w:eastAsia="Times New Roman" w:hAnsi="Times New Roman"/>
          <w:sz w:val="21"/>
          <w:szCs w:val="21"/>
          <w:u w:val="single" w:color="auto"/>
          <w:color w:val="auto"/>
        </w:rPr>
        <w:t>Section 8.04</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010000"/>
        </w:rPr>
      </w:pPr>
    </w:p>
    <w:p>
      <w:pPr>
        <w:jc w:val="both"/>
        <w:ind w:firstLine="1297"/>
        <w:spacing w:after="0" w:line="224" w:lineRule="auto"/>
        <w:tabs>
          <w:tab w:leader="none" w:pos="1918"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Company or any Subsidiaries it establishes has knowledge or reasonable cause to believe after reasonable investigation that the Company, any of its Subsidiaries or any Associated Person of the Company or any of its Subsidiaries has materially violated any of the Applicable ABAC Laws, Applicable AML Laws and/or Applicable Trade Laws, it shall notify SoftBank promptly in writing of its suspicion or belief and keep SoftBank apprised of material developments concerning such violation; provided further, for the avoidance of doubt, that neither the Company nor any of the Company’s Subsidiaries shall be obligated to waive their attorney-client privilege to satisfy the foregoing obligation.</w:t>
      </w:r>
    </w:p>
    <w:p>
      <w:pPr>
        <w:spacing w:after="0" w:line="149" w:lineRule="exact"/>
        <w:rPr>
          <w:sz w:val="20"/>
          <w:szCs w:val="20"/>
          <w:color w:val="auto"/>
        </w:rPr>
      </w:pPr>
    </w:p>
    <w:p>
      <w:pPr>
        <w:jc w:val="both"/>
        <w:ind w:firstLine="645"/>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8.05 </w:t>
      </w:r>
      <w:r>
        <w:rPr>
          <w:rFonts w:ascii="Times New Roman" w:cs="Times New Roman" w:eastAsia="Times New Roman" w:hAnsi="Times New Roman"/>
          <w:sz w:val="21"/>
          <w:szCs w:val="21"/>
          <w:b w:val="1"/>
          <w:bCs w:val="1"/>
          <w:u w:val="single" w:color="auto"/>
          <w:color w:val="auto"/>
        </w:rPr>
        <w:t>Notice to Honda of an OEM Investment</w:t>
      </w:r>
      <w:r>
        <w:rPr>
          <w:rFonts w:ascii="Times New Roman" w:cs="Times New Roman" w:eastAsia="Times New Roman" w:hAnsi="Times New Roman"/>
          <w:sz w:val="21"/>
          <w:szCs w:val="21"/>
          <w:color w:val="auto"/>
        </w:rPr>
        <w:t>. The Company shall provide the Class E Member with written notice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OEM Investment through the Honda Board Observer prior to the execution of the definitive agreement with respect to the consummation of such OEM Investment.</w:t>
      </w:r>
    </w:p>
    <w:p>
      <w:pPr>
        <w:spacing w:after="0" w:line="148" w:lineRule="exact"/>
        <w:rPr>
          <w:sz w:val="20"/>
          <w:szCs w:val="20"/>
          <w:color w:val="auto"/>
        </w:rPr>
      </w:pPr>
    </w:p>
    <w:p>
      <w:pPr>
        <w:jc w:val="both"/>
        <w:ind w:firstLine="645"/>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8.06 </w:t>
      </w:r>
      <w:r>
        <w:rPr>
          <w:rFonts w:ascii="Times New Roman" w:cs="Times New Roman" w:eastAsia="Times New Roman" w:hAnsi="Times New Roman"/>
          <w:sz w:val="21"/>
          <w:szCs w:val="21"/>
          <w:b w:val="1"/>
          <w:bCs w:val="1"/>
          <w:u w:val="single" w:color="auto"/>
          <w:color w:val="auto"/>
        </w:rPr>
        <w:t>Material Non-Public Information</w:t>
      </w:r>
      <w:r>
        <w:rPr>
          <w:rFonts w:ascii="Times New Roman" w:cs="Times New Roman" w:eastAsia="Times New Roman" w:hAnsi="Times New Roman"/>
          <w:sz w:val="21"/>
          <w:szCs w:val="21"/>
          <w:color w:val="auto"/>
        </w:rPr>
        <w:t>. Notwithstanding anything to the contrary herein, (a) the Company will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provide any Class F New Member with any Material Non-Public Information, and (b) the Company shall not be deemed to be in breach of any obligation under this Agreement as a result of withholding Material Non-Public Information or failing to comply with any of its covenants or obligations herein as a result of the failure to provide Material Non-Public Information (including its obligations to provide a Preemptive Rights Notice, or any other notice, pursuant to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w:t>
      </w: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IX</w:t>
      </w:r>
    </w:p>
    <w:p>
      <w:pPr>
        <w:jc w:val="center"/>
        <w:spacing w:after="0" w:line="215" w:lineRule="auto"/>
        <w:rPr>
          <w:sz w:val="20"/>
          <w:szCs w:val="20"/>
          <w:color w:val="auto"/>
        </w:rPr>
      </w:pPr>
      <w:r>
        <w:rPr>
          <w:rFonts w:ascii="Times New Roman" w:cs="Times New Roman" w:eastAsia="Times New Roman" w:hAnsi="Times New Roman"/>
          <w:sz w:val="21"/>
          <w:szCs w:val="21"/>
          <w:b w:val="1"/>
          <w:bCs w:val="1"/>
          <w:u w:val="single" w:color="auto"/>
          <w:color w:val="auto"/>
        </w:rPr>
        <w:t>TRANSFERS OF COMPANY INTERESTS;</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ADMISSION OF NEW MEMBERS; GM CALL</w:t>
      </w:r>
    </w:p>
    <w:p>
      <w:pPr>
        <w:spacing w:after="0" w:line="16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9.01</w:t>
      </w:r>
      <w:r>
        <w:rPr>
          <w:sz w:val="20"/>
          <w:szCs w:val="20"/>
          <w:color w:val="auto"/>
        </w:rPr>
        <w:tab/>
      </w:r>
      <w:r>
        <w:rPr>
          <w:rFonts w:ascii="Times New Roman" w:cs="Times New Roman" w:eastAsia="Times New Roman" w:hAnsi="Times New Roman"/>
          <w:sz w:val="21"/>
          <w:szCs w:val="21"/>
          <w:b w:val="1"/>
          <w:bCs w:val="1"/>
          <w:u w:val="single" w:color="auto"/>
          <w:color w:val="auto"/>
        </w:rPr>
        <w:t>Limitations on Transfer</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010000"/>
        </w:rPr>
        <w:t>(a)</w:t>
      </w:r>
    </w:p>
    <w:p>
      <w:pPr>
        <w:spacing w:after="0" w:line="188" w:lineRule="exact"/>
        <w:rPr>
          <w:sz w:val="20"/>
          <w:szCs w:val="20"/>
          <w:color w:val="auto"/>
        </w:rPr>
      </w:pPr>
    </w:p>
    <w:p>
      <w:pPr>
        <w:jc w:val="both"/>
        <w:ind w:firstLine="1942"/>
        <w:spacing w:after="0" w:line="224" w:lineRule="auto"/>
        <w:tabs>
          <w:tab w:leader="none" w:pos="2380" w:val="left"/>
        </w:tabs>
        <w:numPr>
          <w:ilvl w:val="0"/>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Prior to the SoftBank Trigger Date, (A) no Equity Securities held by SoftBank or any of its Affiliates (other than any Class F Preferred Shares or Class G Preferred Shares held by SoftBank or any of its Affiliates) and (B) no EIP Class B Common Shares, may be Transferred or offered to be Transferred without the prior written approval of each of the GM Investor and the Board of Directors and any such Transfer or offer to Transfer such Equity Securities or interests therein or rights relating thereto shall be null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and of no effect whatsoever. From and after the SoftBank Trigger Date, the limitations on Transfer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88" w:right="339" w:bottom="1440" w:gutter="0" w:footer="0" w:header="0"/>
        </w:sectPr>
      </w:pPr>
    </w:p>
    <w:bookmarkStart w:id="97" w:name="page98"/>
    <w:bookmarkEnd w:id="97"/>
    <w:p>
      <w:pPr>
        <w:jc w:val="both"/>
        <w:spacing w:after="0" w:line="229" w:lineRule="auto"/>
        <w:rPr>
          <w:sz w:val="20"/>
          <w:szCs w:val="20"/>
          <w:color w:val="auto"/>
        </w:rPr>
      </w:pPr>
      <w:r>
        <w:rPr>
          <w:rFonts w:ascii="Times New Roman" w:cs="Times New Roman" w:eastAsia="Times New Roman" w:hAnsi="Times New Roman"/>
          <w:sz w:val="21"/>
          <w:szCs w:val="21"/>
          <w:color w:val="auto"/>
        </w:rPr>
        <w:t xml:space="preserve">forth in the immediately preceding sentence will cease to apply;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following the SoftBank Trigger Date and prior to the consummation of an IPO no Transfer of any Equity Securities held by SoftBank or any of its Affiliates (other than any Class F Preferred Shares and Class G Preferred Shares held by SoftBank or any of its Affiliates) will be permitted unless the holder of such Shares shall have first complied with the provisions of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1942"/>
        <w:spacing w:after="0" w:line="220" w:lineRule="auto"/>
        <w:tabs>
          <w:tab w:leader="none" w:pos="2453" w:val="left"/>
        </w:tabs>
        <w:numPr>
          <w:ilvl w:val="0"/>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Prior to the Honda Trigger Date, no Equity Securities held by Honda or any of its Affiliates (except any Class F Preferred Shares or Class G Preferred Shares held by Honda or any of its Affiliates), may be Transferred or offered to be Transferred without the prior written approval of each of the GM Investor and the Board of Directors and any such Transfer or offer to Transfer such Equity Securities or interests therein or rights relating thereto shall be null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and of no effect whatsoever. From and after the Honda Trigger Date, the limitations on Transfer set forth in the immediately preceding sentence will cease to apply; provided, that following the Honda Trigger Date, and prior to the consummation of an IPO no Transfer of Class E Common Shares or any other Equity Securities (other than Class F Preferred Shares and Class G Preferred Shares) held by Honda or any of its Affiliates will be permitted unless the holder of such Shares shall have first complied with the provisions of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010000"/>
        </w:rPr>
      </w:pPr>
    </w:p>
    <w:p>
      <w:pPr>
        <w:jc w:val="both"/>
        <w:ind w:firstLine="1942"/>
        <w:spacing w:after="0"/>
        <w:tabs>
          <w:tab w:leader="none" w:pos="2526" w:val="left"/>
        </w:tabs>
        <w:numPr>
          <w:ilvl w:val="0"/>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Prior to the Class F Trigger Date, no Class F Preferred Shares may be Transferred or offered to be Transferred without the prior approval of each of the GM Investor and the Board of Directors and any such Transfer or offer to Transfer such Shares or interests therein or rights relating thereto shall be null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and of no effect whatsoever. From and after the Class F Trigger Date, the limitations on Transfer set forth in the immediately preceding sentence will cease to apply;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following the Class F Trigger Date and prior to the consummation of an IPO no Transfer of Class F Preferred Shares will be permitted unless the holder of such Shares shall have first complied with the provisions of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w:t>
      </w:r>
    </w:p>
    <w:p>
      <w:pPr>
        <w:spacing w:after="0" w:line="270" w:lineRule="exact"/>
        <w:rPr>
          <w:rFonts w:ascii="Times New Roman" w:cs="Times New Roman" w:eastAsia="Times New Roman" w:hAnsi="Times New Roman"/>
          <w:sz w:val="21"/>
          <w:szCs w:val="21"/>
          <w:color w:val="010000"/>
        </w:rPr>
      </w:pPr>
    </w:p>
    <w:p>
      <w:pPr>
        <w:jc w:val="both"/>
        <w:ind w:firstLine="1942"/>
        <w:spacing w:after="0"/>
        <w:tabs>
          <w:tab w:leader="none" w:pos="2501" w:val="left"/>
        </w:tabs>
        <w:numPr>
          <w:ilvl w:val="0"/>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Prior to the Class G Trigger Date, no Class G Preferred Shares may be Transferred or offered to be Transferred without the prior approval of each of the GM Investor and the Board of Directors and any such Transfer or offer to Transfer such Shares or interests therein or rights relating thereto shall be null and void ab initio and of no effect whatsoever. From and after the Class G Trigger Date, the limitations on Transfer set forth in the immediately preceding sentence will cease to apply;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following the Class G Trigger Date and prior to the consummation of an IPO no Transfer of Class G Preferred Shares will be permitted unless the holder of such Shares shall have first complied with the provisions of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w:t>
      </w:r>
    </w:p>
    <w:p>
      <w:pPr>
        <w:spacing w:after="0" w:line="270"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522" w:val="left"/>
        </w:tabs>
        <w:numPr>
          <w:ilvl w:val="0"/>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Sections 9.01(a)(i)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9.01(a)(ii)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9.01(a)(iii)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9.01(a)(iv)</w:t>
      </w:r>
      <w:r>
        <w:rPr>
          <w:rFonts w:ascii="Times New Roman" w:cs="Times New Roman" w:eastAsia="Times New Roman" w:hAnsi="Times New Roman"/>
          <w:sz w:val="21"/>
          <w:szCs w:val="21"/>
          <w:color w:val="auto"/>
        </w:rPr>
        <w:t xml:space="preserve"> and 9.01(a)(viii) (A) will not apply to any Transfer pursuant to </w:t>
      </w:r>
      <w:r>
        <w:rPr>
          <w:rFonts w:ascii="Times New Roman" w:cs="Times New Roman" w:eastAsia="Times New Roman" w:hAnsi="Times New Roman"/>
          <w:sz w:val="21"/>
          <w:szCs w:val="21"/>
          <w:u w:val="single" w:color="auto"/>
          <w:color w:val="auto"/>
        </w:rPr>
        <w:t>Sections 2.02(c)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9.13</w:t>
      </w:r>
      <w:r>
        <w:rPr>
          <w:rFonts w:ascii="Times New Roman" w:cs="Times New Roman" w:eastAsia="Times New Roman" w:hAnsi="Times New Roman"/>
          <w:sz w:val="21"/>
          <w:szCs w:val="21"/>
          <w:color w:val="auto"/>
        </w:rPr>
        <w:t xml:space="preserve"> (such Transfer, an “</w:t>
      </w:r>
      <w:r>
        <w:rPr>
          <w:rFonts w:ascii="Times New Roman" w:cs="Times New Roman" w:eastAsia="Times New Roman" w:hAnsi="Times New Roman"/>
          <w:sz w:val="21"/>
          <w:szCs w:val="21"/>
          <w:b w:val="1"/>
          <w:bCs w:val="1"/>
          <w:color w:val="auto"/>
        </w:rPr>
        <w:t>Excluded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and (B) will cease to apply upon consummation of an IPO.</w:t>
      </w:r>
    </w:p>
    <w:p>
      <w:pPr>
        <w:spacing w:after="0" w:line="150" w:lineRule="exact"/>
        <w:rPr>
          <w:rFonts w:ascii="Times New Roman" w:cs="Times New Roman" w:eastAsia="Times New Roman" w:hAnsi="Times New Roman"/>
          <w:sz w:val="21"/>
          <w:szCs w:val="21"/>
          <w:color w:val="010000"/>
        </w:rPr>
      </w:pPr>
    </w:p>
    <w:p>
      <w:pPr>
        <w:jc w:val="both"/>
        <w:ind w:firstLine="1942"/>
        <w:spacing w:after="0" w:line="226" w:lineRule="auto"/>
        <w:tabs>
          <w:tab w:leader="none" w:pos="2487" w:val="left"/>
        </w:tabs>
        <w:numPr>
          <w:ilvl w:val="0"/>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this Agreement, except as set forth in </w:t>
      </w:r>
      <w:r>
        <w:rPr>
          <w:rFonts w:ascii="Times New Roman" w:cs="Times New Roman" w:eastAsia="Times New Roman" w:hAnsi="Times New Roman"/>
          <w:sz w:val="21"/>
          <w:szCs w:val="21"/>
          <w:u w:val="single" w:color="auto"/>
          <w:color w:val="auto"/>
        </w:rPr>
        <w:t>Section 9.01(b)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9.01(a)(ix)</w:t>
      </w:r>
      <w:r>
        <w:rPr>
          <w:rFonts w:ascii="Times New Roman" w:cs="Times New Roman" w:eastAsia="Times New Roman" w:hAnsi="Times New Roman"/>
          <w:sz w:val="21"/>
          <w:szCs w:val="21"/>
          <w:color w:val="auto"/>
        </w:rPr>
        <w:t>, no Class A-2 Preferred Member, Class C Member, or the GM Investor or its Affiliates, with respect to its or their respective Class B Common Shares, Class F Preferred Shares or Class G Preferred Shares, is subject to any restrictions on Transfer of its Class A-2 Preferred Shares, Class B Common Shares, Class C Common Shares, Class F Preferred Shares, or Class G Preferred Shares.</w:t>
      </w:r>
    </w:p>
    <w:p>
      <w:pPr>
        <w:spacing w:after="0" w:line="152"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520" w:val="left"/>
        </w:tabs>
        <w:numPr>
          <w:ilvl w:val="0"/>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Other than in connection with a Class H Purchase (as defined below), prior to the applicable Class H Trigger Date, no Class H Common Shares may be Transferred or offered to be Transferred without the prior written approval of each of the 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88" w:right="339" w:bottom="1440" w:gutter="0" w:footer="0" w:header="0"/>
        </w:sectPr>
      </w:pPr>
    </w:p>
    <w:bookmarkStart w:id="98" w:name="page99"/>
    <w:bookmarkEnd w:id="98"/>
    <w:p>
      <w:pPr>
        <w:jc w:val="both"/>
        <w:spacing w:after="0"/>
        <w:rPr>
          <w:sz w:val="20"/>
          <w:szCs w:val="20"/>
          <w:color w:val="auto"/>
        </w:rPr>
      </w:pPr>
      <w:r>
        <w:rPr>
          <w:rFonts w:ascii="Times New Roman" w:cs="Times New Roman" w:eastAsia="Times New Roman" w:hAnsi="Times New Roman"/>
          <w:sz w:val="21"/>
          <w:szCs w:val="21"/>
          <w:color w:val="auto"/>
        </w:rPr>
        <w:t xml:space="preserve">Investor and the Board of Directors, and any such Transfer, or offer to Transfer such Class H Common Shares or interests therein or rights relating thereto shall be null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and of no effect whatsoever. From and after the applicable Class H Trigger Date and prior to the consummation of the IPO, no Transfer of Class H Common Shares will be permitted to any Person (other than to the Company in connection with a Class H Purchase and/or the GM Investor pursuant to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 xml:space="preserve"> or in connection with a Sale of the Company), unless the holder of such Shares shall have first complied with the provisions of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w:t>
      </w:r>
    </w:p>
    <w:p>
      <w:pPr>
        <w:spacing w:after="0" w:line="297" w:lineRule="exact"/>
        <w:rPr>
          <w:sz w:val="20"/>
          <w:szCs w:val="20"/>
          <w:color w:val="auto"/>
        </w:rPr>
      </w:pPr>
    </w:p>
    <w:p>
      <w:pPr>
        <w:jc w:val="both"/>
        <w:ind w:firstLine="1942"/>
        <w:spacing w:after="0" w:line="222" w:lineRule="auto"/>
        <w:tabs>
          <w:tab w:leader="none" w:pos="2620" w:val="left"/>
        </w:tabs>
        <w:numPr>
          <w:ilvl w:val="1"/>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Prior to the Non-EIP Class B Transfer Trigger Date, no Non-EIP Class B Common Shares may be Transferred or offered to be Transferred without the prior approval of each of the GM Investor and the Board of Directors and any such Transfer or offer to Transfer such Shares or interests therein or rights relating thereto shall be null and void ab initio and of no effect whatsoever. From and after the Non-EIP Class B Transfer Trigger Date, the limitations on Transfer set forth in the immediately preceding sentence will cease to apply; provided, that following the Non-EIP Class B Trigger Transfer Date and prior to the consummation of an IPO, no Transfer of Non-EIP Class B Common Shares will be permitted unless the holder of such Shares shall have first complied with the provisions of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w:t>
      </w:r>
    </w:p>
    <w:p>
      <w:pPr>
        <w:spacing w:after="0" w:line="156"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527" w:val="left"/>
        </w:tabs>
        <w:numPr>
          <w:ilvl w:val="1"/>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to the contrary in this Agreement, at no time may any Equity Securities held by any Member (other than the GM Investor or its Affiliates) be Transferred to a Restricted Person without the prior written approval of each of the GM Investor and the Board of Directors.</w:t>
      </w:r>
    </w:p>
    <w:p>
      <w:pPr>
        <w:spacing w:after="0" w:line="150" w:lineRule="exact"/>
        <w:rPr>
          <w:rFonts w:ascii="Times New Roman" w:cs="Times New Roman" w:eastAsia="Times New Roman" w:hAnsi="Times New Roman"/>
          <w:sz w:val="21"/>
          <w:szCs w:val="21"/>
          <w:color w:val="010000"/>
        </w:rPr>
      </w:pPr>
    </w:p>
    <w:p>
      <w:pPr>
        <w:jc w:val="both"/>
        <w:ind w:firstLine="1942"/>
        <w:spacing w:after="0" w:line="216" w:lineRule="auto"/>
        <w:tabs>
          <w:tab w:leader="none" w:pos="2454" w:val="left"/>
        </w:tabs>
        <w:numPr>
          <w:ilvl w:val="1"/>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least fifteen (15) days (or such shorter period as may be consented to by the Board of Directors) prior to entering into any definitive agreement (a “</w:t>
      </w:r>
      <w:r>
        <w:rPr>
          <w:rFonts w:ascii="Times New Roman" w:cs="Times New Roman" w:eastAsia="Times New Roman" w:hAnsi="Times New Roman"/>
          <w:sz w:val="21"/>
          <w:szCs w:val="21"/>
          <w:b w:val="1"/>
          <w:bCs w:val="1"/>
          <w:color w:val="auto"/>
        </w:rPr>
        <w:t>Binding Transaction Agreement</w:t>
      </w:r>
      <w:r>
        <w:rPr>
          <w:rFonts w:ascii="Times New Roman" w:cs="Times New Roman" w:eastAsia="Times New Roman" w:hAnsi="Times New Roman"/>
          <w:sz w:val="21"/>
          <w:szCs w:val="21"/>
          <w:color w:val="auto"/>
        </w:rPr>
        <w:t>”) providing for, or entered into in connection with, a proposed Transfer (other than an Excluded Transfer) of (A) any Equity Securities held by SoftBank or any of its Affiliates (other than any Class F Preferred Shares and Class G Preferred Shares held by SoftBank or any of its Affiliates), in each case from and after the SoftBank Trigger Date, (B) any Equity Securities (other than Class F Preferred Shares and Class G Preferred Shares) held by Honda or any of their Affiliates from and after the Honda Trigger Date, or (C) any Equity Securities held by Class F New Members or their Affiliates, or Class F Preferred Shares held by SoftBank, Honda or their respective Affiliates, in each case from and after the Class F Trigger Date, (D) any Equity Securities held by Class G New Members or their Affiliates, or Class G Preferred Shares held by SoftBank, Honda or their respective Affiliates, in each case from and after the Class G Trigger Date,</w:t>
      </w:r>
    </w:p>
    <w:p>
      <w:pPr>
        <w:spacing w:after="0" w:line="2" w:lineRule="exact"/>
        <w:rPr>
          <w:rFonts w:ascii="Times New Roman" w:cs="Times New Roman" w:eastAsia="Times New Roman" w:hAnsi="Times New Roman"/>
          <w:sz w:val="21"/>
          <w:szCs w:val="21"/>
          <w:color w:val="010000"/>
        </w:rPr>
      </w:pPr>
    </w:p>
    <w:p>
      <w:pPr>
        <w:jc w:val="both"/>
        <w:ind w:firstLine="7"/>
        <w:spacing w:after="0" w:line="233" w:lineRule="auto"/>
        <w:tabs>
          <w:tab w:leader="none" w:pos="337"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Class H Common Shares held by any Class H Member, in each case from and after the applicable Class H Trigger Date, or (F) any Non-EIP Class B Common Shares held by any Class B Member (other than the GM Investor or its Affiliates), in each case, from and after the Non-EIP Class B Transfer Trigger Date, such Member proposing to make such a Transfer (the “</w:t>
      </w:r>
      <w:r>
        <w:rPr>
          <w:rFonts w:ascii="Times New Roman" w:cs="Times New Roman" w:eastAsia="Times New Roman" w:hAnsi="Times New Roman"/>
          <w:sz w:val="21"/>
          <w:szCs w:val="21"/>
          <w:b w:val="1"/>
          <w:bCs w:val="1"/>
          <w:color w:val="auto"/>
        </w:rPr>
        <w:t>Transferor</w:t>
      </w:r>
      <w:r>
        <w:rPr>
          <w:rFonts w:ascii="Times New Roman" w:cs="Times New Roman" w:eastAsia="Times New Roman" w:hAnsi="Times New Roman"/>
          <w:sz w:val="21"/>
          <w:szCs w:val="21"/>
          <w:color w:val="auto"/>
        </w:rPr>
        <w:t>”) shall deliver a written notice (the “</w:t>
      </w:r>
      <w:r>
        <w:rPr>
          <w:rFonts w:ascii="Times New Roman" w:cs="Times New Roman" w:eastAsia="Times New Roman" w:hAnsi="Times New Roman"/>
          <w:sz w:val="21"/>
          <w:szCs w:val="21"/>
          <w:b w:val="1"/>
          <w:bCs w:val="1"/>
          <w:color w:val="auto"/>
        </w:rPr>
        <w:t>ROFR Notice</w:t>
      </w:r>
      <w:r>
        <w:rPr>
          <w:rFonts w:ascii="Times New Roman" w:cs="Times New Roman" w:eastAsia="Times New Roman" w:hAnsi="Times New Roman"/>
          <w:sz w:val="21"/>
          <w:szCs w:val="21"/>
          <w:color w:val="auto"/>
        </w:rPr>
        <w:t>”) to the Board of Directors and the GM Investor, specifying in reasonable detail the identity of the prospective transferee(s), the number and class of Equity Securities proposed to be Transferred (the “</w:t>
      </w:r>
      <w:r>
        <w:rPr>
          <w:rFonts w:ascii="Times New Roman" w:cs="Times New Roman" w:eastAsia="Times New Roman" w:hAnsi="Times New Roman"/>
          <w:sz w:val="21"/>
          <w:szCs w:val="21"/>
          <w:b w:val="1"/>
          <w:bCs w:val="1"/>
          <w:color w:val="auto"/>
        </w:rPr>
        <w:t>ROFR Offered Shares</w:t>
      </w:r>
      <w:r>
        <w:rPr>
          <w:rFonts w:ascii="Times New Roman" w:cs="Times New Roman" w:eastAsia="Times New Roman" w:hAnsi="Times New Roman"/>
          <w:sz w:val="21"/>
          <w:szCs w:val="21"/>
          <w:color w:val="auto"/>
        </w:rPr>
        <w:t>”) and the price and other terms and conditions of the proposed Transfer. No Transferor shall enter into a Binding Transaction Agreement or consummate such proposed Transfer before the GM ROFR Date (or such shorter period as consented to by the Board of Directors). Following receipt of the ROFR Notice, the GM Investor may elect to purchase all (but not less than all) of the ROFR Offered Shares at the price set forth in the ROFR Notice and otherwise on Equivalent Terms, by delivering (or one of its Affiliates delivering) written notice (a “</w:t>
      </w:r>
      <w:r>
        <w:rPr>
          <w:rFonts w:ascii="Times New Roman" w:cs="Times New Roman" w:eastAsia="Times New Roman" w:hAnsi="Times New Roman"/>
          <w:sz w:val="21"/>
          <w:szCs w:val="21"/>
          <w:b w:val="1"/>
          <w:bCs w:val="1"/>
          <w:color w:val="auto"/>
        </w:rPr>
        <w:t>GM ROFR Notice</w:t>
      </w:r>
      <w:r>
        <w:rPr>
          <w:rFonts w:ascii="Times New Roman" w:cs="Times New Roman" w:eastAsia="Times New Roman" w:hAnsi="Times New Roman"/>
          <w:sz w:val="21"/>
          <w:szCs w:val="21"/>
          <w:color w:val="auto"/>
        </w:rPr>
        <w:t>”) of such election to the relevant Transferor(s) within ten (10) days after delivery of the ROFR Notice (such 10th day, the “</w:t>
      </w:r>
      <w:r>
        <w:rPr>
          <w:rFonts w:ascii="Times New Roman" w:cs="Times New Roman" w:eastAsia="Times New Roman" w:hAnsi="Times New Roman"/>
          <w:sz w:val="21"/>
          <w:szCs w:val="21"/>
          <w:b w:val="1"/>
          <w:bCs w:val="1"/>
          <w:color w:val="auto"/>
        </w:rPr>
        <w:t>GM ROFR Date</w:t>
      </w:r>
      <w:r>
        <w:rPr>
          <w:rFonts w:ascii="Times New Roman" w:cs="Times New Roman" w:eastAsia="Times New Roman" w:hAnsi="Times New Roman"/>
          <w:sz w:val="21"/>
          <w:szCs w:val="21"/>
          <w:color w:val="auto"/>
        </w:rPr>
        <w:t>”). If the GM Investor (or one of its Affiliates) does not deliver a GM ROFR Notice electing to purchase all of the ROFR Offered Shares at the price set forth in the ROFR Notice and otherwise on Equivalent Terms on or prior to the GM ROFR Date, then the applicable Transferor(s)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88" w:right="339" w:bottom="1440" w:gutter="0" w:footer="0" w:header="0"/>
        </w:sectPr>
      </w:pPr>
    </w:p>
    <w:bookmarkStart w:id="99" w:name="page100"/>
    <w:bookmarkEnd w:id="99"/>
    <w:p>
      <w:pPr>
        <w:jc w:val="both"/>
        <w:spacing w:after="0"/>
        <w:rPr>
          <w:sz w:val="20"/>
          <w:szCs w:val="20"/>
          <w:color w:val="auto"/>
        </w:rPr>
      </w:pPr>
      <w:r>
        <w:rPr>
          <w:rFonts w:ascii="Times New Roman" w:cs="Times New Roman" w:eastAsia="Times New Roman" w:hAnsi="Times New Roman"/>
          <w:sz w:val="21"/>
          <w:szCs w:val="21"/>
          <w:color w:val="auto"/>
        </w:rPr>
        <w:t xml:space="preserve">sell all, but not less than all, of the ROFR Offered Shares to the Person identified in the ROFR Notice for a per Share amount equal to or greater than, and on other terms no less favorable to Transferor than, the price and other terms set forth in the ROFR Notice, in each case within one hundred twenty (120) days following the GM ROFR Date. Any ROFR Offered Shares not Transferred within such one hundred twenty (120)-day period shall again be subject to the provisions of this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 xml:space="preserve"> prior to any subsequent Transfer. If the GM Investor has elected to purchase the ROFR Offered Shares in accordance with this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 then such purchase shall be consummated as soon as practicable after the delivery of the GM ROFR Notice to the Transferor(s), but in any event within one hundred twenty (120) days after the delivery of such GM ROFR Notice. If the consideration proposed to be paid for the ROFR Offered Shares in the ROFR Notice is in property, services or other non-cash consideration, then the fair market value of such non-cash consideration shall be equal to the Fair Market Value thereof. The GM Investor shall pay the cash equivalent of such Fair Market Value of any such property, services or other non-cash consideration proposed to be paid in the ROFR Notice.</w:t>
      </w:r>
    </w:p>
    <w:p>
      <w:pPr>
        <w:spacing w:after="0" w:line="165" w:lineRule="exact"/>
        <w:rPr>
          <w:sz w:val="20"/>
          <w:szCs w:val="20"/>
          <w:color w:val="auto"/>
        </w:rPr>
      </w:pPr>
    </w:p>
    <w:p>
      <w:pPr>
        <w:jc w:val="both"/>
        <w:ind w:firstLine="1297"/>
        <w:spacing w:after="0" w:line="215" w:lineRule="auto"/>
        <w:tabs>
          <w:tab w:leader="none" w:pos="1863" w:val="left"/>
        </w:tabs>
        <w:numPr>
          <w:ilvl w:val="1"/>
          <w:numId w:val="1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 other provision in this Agreement to the contrary, no Transfer of Shares (excluding Transfers of Shares to the Company) or Equity Awards may be made unless, in the opinion of counsel for the Company, satisfactory in form and substance to the Board of Directors (which opinion requirement, or one or more components thereof, may be waived, in whole or in part by the Board of Directors), such Transfer would not result in (i) a violation of any applicable United States federal or state securities laws, (ii) unless waived by the Board of Directors, the Company being required to register as an investment company under the Investment Company Act of 1940 or any other federal or state securities laws or (iii) other than pursuant to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the Company being required to register under Section 12(g) of the Securities Exchange Act of 1934. As a condition to the Company recognizing the effectiveness of any Transfer of Shares or Equity Awards, the Board of Directors may require the transferor and/or transferee, as the case may be, to execute, acknowledge and deliver to the Company such instruments of transfer, assignment and assumption and such other certificates, representations and documents, and to perform all such other acts, which the Board of Directors may reasonably deem necessary or desirable to (A) verify the Transfer,</w:t>
      </w:r>
    </w:p>
    <w:p>
      <w:pPr>
        <w:spacing w:after="0" w:line="9" w:lineRule="exact"/>
        <w:rPr>
          <w:rFonts w:ascii="Times New Roman" w:cs="Times New Roman" w:eastAsia="Times New Roman" w:hAnsi="Times New Roman"/>
          <w:sz w:val="21"/>
          <w:szCs w:val="21"/>
          <w:color w:val="010000"/>
        </w:rPr>
      </w:pPr>
    </w:p>
    <w:p>
      <w:pPr>
        <w:jc w:val="both"/>
        <w:ind w:firstLine="7"/>
        <w:spacing w:after="0" w:line="218" w:lineRule="auto"/>
        <w:tabs>
          <w:tab w:leader="none" w:pos="341"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confirm that the proposed transferee has accepted, assumed and agreed to be subject and bound by all of the terms, obligations and conditions of this Agreement (whether or not such Person is to be admitted as a new Member) and (C) assure compliance with applicable state and federal laws, including securities laws and regulations. For the purposes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any transfer, sale, assignment, pledge, encumbrance or other direct or indirect disposition of shares or other interests of any Person which is an entity and a substantial portion of the assets of which are, directly or indirectly, Shares or other Equity Securities, or which is intentionally designed to, or has the effect of, circumventing the intention of the Transfer restrictions in this Agreement, shall be deemed to be a Transfer of Shares or Equity Securities (as applicable). Each Member as to which the immediately preceding sentence applies shall cause its direct and indirect interest holders to comply with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w:t>
      </w:r>
    </w:p>
    <w:p>
      <w:pPr>
        <w:spacing w:after="0" w:line="156" w:lineRule="exact"/>
        <w:rPr>
          <w:rFonts w:ascii="Times New Roman" w:cs="Times New Roman" w:eastAsia="Times New Roman" w:hAnsi="Times New Roman"/>
          <w:sz w:val="21"/>
          <w:szCs w:val="21"/>
          <w:color w:val="auto"/>
        </w:rPr>
      </w:pPr>
    </w:p>
    <w:p>
      <w:pPr>
        <w:jc w:val="both"/>
        <w:ind w:firstLine="1297"/>
        <w:spacing w:after="0" w:line="226" w:lineRule="auto"/>
        <w:tabs>
          <w:tab w:leader="none" w:pos="1972" w:val="left"/>
        </w:tabs>
        <w:numPr>
          <w:ilvl w:val="1"/>
          <w:numId w:val="10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 Transfer of (i) Class A-1 Preferred Shares may be consummated (and any process pursuant to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 xml:space="preserve"> shall be suspended if a Call Notice is delivered pursuant to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xml:space="preserve">) until such time as the Class A-1/D Purchase pursuant to such Call Notice has been consummated or (ii) Class H Common Shares may be consummated (and any process pursuant to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 xml:space="preserve"> shall be suspended if a Class H Call Notice is delivered pursuant to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until such time as the Class H Purchase pursuant to such Class H Call Notice has been consummated.</w:t>
      </w:r>
    </w:p>
    <w:p>
      <w:pPr>
        <w:spacing w:after="0" w:line="152"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2011" w:val="left"/>
        </w:tabs>
        <w:numPr>
          <w:ilvl w:val="1"/>
          <w:numId w:val="10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Until such time as SoftBank has paid, in full, the Subsequent SoftBank Commitment pursuant to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 SoftBank (i) shall not make any Transfer if the effect of such Transfer would be that SoftBank ceases to be a Member hereunder and (ii) shall 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8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1"/>
          <w:szCs w:val="21"/>
          <w:color w:val="auto"/>
        </w:rPr>
        <w:t>that it has uncalled capital commitments sufficient to pay the Subsequent SoftBank Commitment in full.</w:t>
      </w:r>
    </w:p>
    <w:p>
      <w:pPr>
        <w:spacing w:after="0" w:line="18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9.02</w:t>
      </w:r>
      <w:r>
        <w:rPr>
          <w:sz w:val="20"/>
          <w:szCs w:val="20"/>
          <w:color w:val="auto"/>
        </w:rPr>
        <w:tab/>
      </w:r>
      <w:r>
        <w:rPr>
          <w:rFonts w:ascii="Times New Roman" w:cs="Times New Roman" w:eastAsia="Times New Roman" w:hAnsi="Times New Roman"/>
          <w:sz w:val="21"/>
          <w:szCs w:val="21"/>
          <w:b w:val="1"/>
          <w:bCs w:val="1"/>
          <w:u w:val="single" w:color="auto"/>
          <w:color w:val="auto"/>
        </w:rPr>
        <w:t>Permitted Transfers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35" w:lineRule="auto"/>
        <w:tabs>
          <w:tab w:leader="none" w:pos="1824" w:val="left"/>
        </w:tabs>
        <w:numPr>
          <w:ilvl w:val="0"/>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9.01(a)</w:t>
      </w:r>
      <w:r>
        <w:rPr>
          <w:rFonts w:ascii="Times New Roman" w:cs="Times New Roman" w:eastAsia="Times New Roman" w:hAnsi="Times New Roman"/>
          <w:sz w:val="21"/>
          <w:szCs w:val="21"/>
          <w:color w:val="auto"/>
        </w:rPr>
        <w:t>, Class A-1 Preferred Shares, Class D Common Shares, Class B Common Shares, Class E Common Shares, Class H Common Shares, Class F Preferred Shares, and Class G Preferred Shares may be Transferred by the holder thereof without obtaining the approval of the Board of Directors or the GM Investor:</w:t>
      </w:r>
    </w:p>
    <w:p>
      <w:pPr>
        <w:spacing w:after="0" w:line="150" w:lineRule="exact"/>
        <w:rPr>
          <w:rFonts w:ascii="Times New Roman" w:cs="Times New Roman" w:eastAsia="Times New Roman" w:hAnsi="Times New Roman"/>
          <w:sz w:val="21"/>
          <w:szCs w:val="21"/>
          <w:color w:val="010000"/>
        </w:rPr>
      </w:pPr>
    </w:p>
    <w:p>
      <w:pPr>
        <w:ind w:firstLine="1942"/>
        <w:spacing w:after="0" w:line="251" w:lineRule="auto"/>
        <w:tabs>
          <w:tab w:leader="none" w:pos="2407" w:val="left"/>
        </w:tabs>
        <w:numPr>
          <w:ilvl w:val="1"/>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an Employee Member, to a member of the Family Group of the Person to whom such Shares were originally issued (a Transfer pursuant to this clause (i), an “</w:t>
      </w:r>
      <w:r>
        <w:rPr>
          <w:rFonts w:ascii="Times New Roman" w:cs="Times New Roman" w:eastAsia="Times New Roman" w:hAnsi="Times New Roman"/>
          <w:sz w:val="21"/>
          <w:szCs w:val="21"/>
          <w:b w:val="1"/>
          <w:bCs w:val="1"/>
          <w:color w:val="auto"/>
        </w:rPr>
        <w:t>Exempt Employee Member Transfer</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534" w:val="left"/>
        </w:tabs>
        <w:numPr>
          <w:ilvl w:val="1"/>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a SoftBank, to any Affiliate of SoftBank (other than SoftBank Group Corp. or its Subsidiaries) that is owned and controlled, directly or indirectly, by SoftBank and is not a Restricted Person (a Transfer pursuant to this clause (ii), an “</w:t>
      </w:r>
      <w:r>
        <w:rPr>
          <w:rFonts w:ascii="Times New Roman" w:cs="Times New Roman" w:eastAsia="Times New Roman" w:hAnsi="Times New Roman"/>
          <w:sz w:val="21"/>
          <w:szCs w:val="21"/>
          <w:b w:val="1"/>
          <w:bCs w:val="1"/>
          <w:color w:val="auto"/>
        </w:rPr>
        <w:t>Exempt SoftBank Transfer</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010000"/>
        </w:rPr>
      </w:pPr>
    </w:p>
    <w:p>
      <w:pPr>
        <w:jc w:val="both"/>
        <w:ind w:firstLine="1942"/>
        <w:spacing w:after="0" w:line="229" w:lineRule="auto"/>
        <w:tabs>
          <w:tab w:leader="none" w:pos="2513" w:val="left"/>
        </w:tabs>
        <w:numPr>
          <w:ilvl w:val="1"/>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the case of Honda, (A) to any Affiliate of Honda that is not a Restricted Person or (B) subject to compliance with </w:t>
      </w:r>
      <w:r>
        <w:rPr>
          <w:rFonts w:ascii="Times New Roman" w:cs="Times New Roman" w:eastAsia="Times New Roman" w:hAnsi="Times New Roman"/>
          <w:sz w:val="21"/>
          <w:szCs w:val="21"/>
          <w:u w:val="single" w:color="auto"/>
          <w:color w:val="auto"/>
        </w:rPr>
        <w:t>Section 9.01(a)(x)</w:t>
      </w:r>
      <w:r>
        <w:rPr>
          <w:rFonts w:ascii="Times New Roman" w:cs="Times New Roman" w:eastAsia="Times New Roman" w:hAnsi="Times New Roman"/>
          <w:sz w:val="21"/>
          <w:szCs w:val="21"/>
          <w:color w:val="auto"/>
        </w:rPr>
        <w:t>, following the consummation of an OEM Restricted Investment, to any Person that is not a Restricted Person (a Transfer pursuant to this clause (iii), an “</w:t>
      </w:r>
      <w:r>
        <w:rPr>
          <w:rFonts w:ascii="Times New Roman" w:cs="Times New Roman" w:eastAsia="Times New Roman" w:hAnsi="Times New Roman"/>
          <w:sz w:val="21"/>
          <w:szCs w:val="21"/>
          <w:b w:val="1"/>
          <w:bCs w:val="1"/>
          <w:color w:val="auto"/>
        </w:rPr>
        <w:t>Exempt Honda Transfer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 provided</w:t>
      </w:r>
      <w:r>
        <w:rPr>
          <w:rFonts w:ascii="Times New Roman" w:cs="Times New Roman" w:eastAsia="Times New Roman" w:hAnsi="Times New Roman"/>
          <w:sz w:val="21"/>
          <w:szCs w:val="21"/>
          <w:color w:val="auto"/>
        </w:rPr>
        <w:t>, that any Transfer by Honda must be a Transfer of all of Honda’s Equity Securities in the Company;</w:t>
      </w:r>
    </w:p>
    <w:p>
      <w:pPr>
        <w:spacing w:after="0" w:line="153" w:lineRule="exact"/>
        <w:rPr>
          <w:rFonts w:ascii="Times New Roman" w:cs="Times New Roman" w:eastAsia="Times New Roman" w:hAnsi="Times New Roman"/>
          <w:sz w:val="21"/>
          <w:szCs w:val="21"/>
          <w:color w:val="010000"/>
        </w:rPr>
      </w:pPr>
    </w:p>
    <w:p>
      <w:pPr>
        <w:ind w:firstLine="1942"/>
        <w:spacing w:after="0" w:line="251" w:lineRule="auto"/>
        <w:tabs>
          <w:tab w:leader="none" w:pos="2541" w:val="left"/>
        </w:tabs>
        <w:numPr>
          <w:ilvl w:val="1"/>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a Class F New Member, to an Affiliate of such Class F New Member that is not a Restricted Person (an “</w:t>
      </w:r>
      <w:r>
        <w:rPr>
          <w:rFonts w:ascii="Times New Roman" w:cs="Times New Roman" w:eastAsia="Times New Roman" w:hAnsi="Times New Roman"/>
          <w:sz w:val="21"/>
          <w:szCs w:val="21"/>
          <w:b w:val="1"/>
          <w:bCs w:val="1"/>
          <w:color w:val="auto"/>
        </w:rPr>
        <w:t>Exempt Class F Transfer</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010000"/>
        </w:rPr>
      </w:pPr>
    </w:p>
    <w:p>
      <w:pPr>
        <w:ind w:firstLine="1942"/>
        <w:spacing w:after="0" w:line="251" w:lineRule="auto"/>
        <w:tabs>
          <w:tab w:leader="none" w:pos="2468" w:val="left"/>
        </w:tabs>
        <w:numPr>
          <w:ilvl w:val="1"/>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a Class G New Member (other than Microsoft), to an Affiliate of such Class G New Member that is not a Restricted Person (an “</w:t>
      </w:r>
      <w:r>
        <w:rPr>
          <w:rFonts w:ascii="Times New Roman" w:cs="Times New Roman" w:eastAsia="Times New Roman" w:hAnsi="Times New Roman"/>
          <w:sz w:val="21"/>
          <w:szCs w:val="21"/>
          <w:b w:val="1"/>
          <w:bCs w:val="1"/>
          <w:color w:val="auto"/>
        </w:rPr>
        <w:t>Exempt Class G Transfer</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608" w:val="left"/>
        </w:tabs>
        <w:numPr>
          <w:ilvl w:val="1"/>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Microsoft, to an Affiliate of Microsoft that is owned and controlled, directly or indirectly, by Microsoft and is not a Restricted Person (an “</w:t>
      </w:r>
      <w:r>
        <w:rPr>
          <w:rFonts w:ascii="Times New Roman" w:cs="Times New Roman" w:eastAsia="Times New Roman" w:hAnsi="Times New Roman"/>
          <w:sz w:val="21"/>
          <w:szCs w:val="21"/>
          <w:b w:val="1"/>
          <w:bCs w:val="1"/>
          <w:color w:val="auto"/>
        </w:rPr>
        <w:t>Exempt Microsoft Transfer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such Transfer by Microsoft must be a Transfer of all of Microsoft’s Equity Securities; or</w:t>
      </w:r>
    </w:p>
    <w:p>
      <w:pPr>
        <w:spacing w:after="0" w:line="150" w:lineRule="exact"/>
        <w:rPr>
          <w:rFonts w:ascii="Times New Roman" w:cs="Times New Roman" w:eastAsia="Times New Roman" w:hAnsi="Times New Roman"/>
          <w:sz w:val="21"/>
          <w:szCs w:val="21"/>
          <w:color w:val="010000"/>
        </w:rPr>
      </w:pPr>
    </w:p>
    <w:p>
      <w:pPr>
        <w:jc w:val="both"/>
        <w:ind w:firstLine="1942"/>
        <w:spacing w:after="0" w:line="229" w:lineRule="auto"/>
        <w:tabs>
          <w:tab w:leader="none" w:pos="2534" w:val="left"/>
        </w:tabs>
        <w:numPr>
          <w:ilvl w:val="1"/>
          <w:numId w:val="10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a Class H Member, to (A) an Affiliate of such Class H Member that is not a Restricted Person, if such Class H Member is an entity (an “</w:t>
      </w:r>
      <w:r>
        <w:rPr>
          <w:rFonts w:ascii="Times New Roman" w:cs="Times New Roman" w:eastAsia="Times New Roman" w:hAnsi="Times New Roman"/>
          <w:sz w:val="21"/>
          <w:szCs w:val="21"/>
          <w:b w:val="1"/>
          <w:bCs w:val="1"/>
          <w:color w:val="auto"/>
        </w:rPr>
        <w:t>Exempt Class H Affiliate Transfer</w:t>
      </w:r>
      <w:r>
        <w:rPr>
          <w:rFonts w:ascii="Times New Roman" w:cs="Times New Roman" w:eastAsia="Times New Roman" w:hAnsi="Times New Roman"/>
          <w:sz w:val="21"/>
          <w:szCs w:val="21"/>
          <w:color w:val="auto"/>
        </w:rPr>
        <w:t>”), or (B) to a member of the Family Group of the Person to whom such Class H Common Shares were originally issued, if such Class H Member is a natural person (an “</w:t>
      </w:r>
      <w:r>
        <w:rPr>
          <w:rFonts w:ascii="Times New Roman" w:cs="Times New Roman" w:eastAsia="Times New Roman" w:hAnsi="Times New Roman"/>
          <w:sz w:val="21"/>
          <w:szCs w:val="21"/>
          <w:b w:val="1"/>
          <w:bCs w:val="1"/>
          <w:color w:val="auto"/>
        </w:rPr>
        <w:t>Exempt Class H Family Transfer</w:t>
      </w:r>
      <w:r>
        <w:rPr>
          <w:rFonts w:ascii="Times New Roman" w:cs="Times New Roman" w:eastAsia="Times New Roman" w:hAnsi="Times New Roman"/>
          <w:sz w:val="21"/>
          <w:szCs w:val="21"/>
          <w:color w:val="auto"/>
        </w:rPr>
        <w:t>” and together with an Exempt Class H Affiliate Transfer, an “</w:t>
      </w:r>
      <w:r>
        <w:rPr>
          <w:rFonts w:ascii="Times New Roman" w:cs="Times New Roman" w:eastAsia="Times New Roman" w:hAnsi="Times New Roman"/>
          <w:sz w:val="21"/>
          <w:szCs w:val="21"/>
          <w:b w:val="1"/>
          <w:bCs w:val="1"/>
          <w:color w:val="auto"/>
        </w:rPr>
        <w:t>Exempt Class H Transfer</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If a Permitted Transferee ceases to meet the criteria set forth above, such Permitted Transferee shall re-transfer (within ten (10) Business Days) the Shares Transferred to such Permitted Transferee to the original transferor (in the case of an Exempt SoftBank Transfer, an Exempt Honda Transfer, an Exempt Class F Transfer, an Exempt Class G Transfer, an Exempt Class H Affiliate Transfer, and an Exempt Microsoft Transfer) or to another member of the Family Group of such transferring Person (in the case of an Exempt Employee Member Transfer and an Exempt Class H Family Transfer) and, pending the completion of such re-transfer, such Permitted Transferee shall not have any rights under this Agreement in respect of such Shares held by him, her or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88" w:right="339" w:bottom="1440" w:gutter="0" w:footer="0" w:header="0"/>
        </w:sectPr>
      </w:pPr>
    </w:p>
    <w:bookmarkStart w:id="101" w:name="page102"/>
    <w:bookmarkEnd w:id="101"/>
    <w:p>
      <w:pPr>
        <w:ind w:firstLine="1297"/>
        <w:spacing w:after="0" w:line="255" w:lineRule="auto"/>
        <w:tabs>
          <w:tab w:leader="none" w:pos="1836" w:val="left"/>
        </w:tabs>
        <w:numPr>
          <w:ilvl w:val="0"/>
          <w:numId w:val="10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used herein, a “</w:t>
      </w:r>
      <w:r>
        <w:rPr>
          <w:rFonts w:ascii="Times New Roman" w:cs="Times New Roman" w:eastAsia="Times New Roman" w:hAnsi="Times New Roman"/>
          <w:sz w:val="21"/>
          <w:szCs w:val="21"/>
          <w:b w:val="1"/>
          <w:bCs w:val="1"/>
          <w:color w:val="auto"/>
        </w:rPr>
        <w:t>Permitted Transferee</w:t>
      </w:r>
      <w:r>
        <w:rPr>
          <w:rFonts w:ascii="Times New Roman" w:cs="Times New Roman" w:eastAsia="Times New Roman" w:hAnsi="Times New Roman"/>
          <w:sz w:val="21"/>
          <w:szCs w:val="21"/>
          <w:color w:val="auto"/>
        </w:rPr>
        <w:t xml:space="preserve">” shall constitute any Person, other than the Company, to whom Shares are Transferred pursuant to this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w:t>
      </w:r>
    </w:p>
    <w:p>
      <w:pPr>
        <w:spacing w:after="0" w:line="13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9.03</w:t>
      </w:r>
      <w:r>
        <w:rPr>
          <w:sz w:val="20"/>
          <w:szCs w:val="20"/>
          <w:color w:val="auto"/>
        </w:rPr>
        <w:tab/>
      </w:r>
      <w:r>
        <w:rPr>
          <w:rFonts w:ascii="Times New Roman" w:cs="Times New Roman" w:eastAsia="Times New Roman" w:hAnsi="Times New Roman"/>
          <w:sz w:val="21"/>
          <w:szCs w:val="21"/>
          <w:b w:val="1"/>
          <w:bCs w:val="1"/>
          <w:u w:val="single" w:color="auto"/>
          <w:color w:val="auto"/>
        </w:rPr>
        <w:t>Assignee’s Rights and Obligations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6" w:lineRule="auto"/>
        <w:tabs>
          <w:tab w:leader="none" w:pos="1743"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Transfer of a Share permitted pursuant to this Agreement shall be effective as of the date of assignment and compliance with the conditions to such Transfer, and such Transfer shall be shown on the books and records of the Company. Prior to the date that the Transfer is consummated and the transferee becomes a Member hereunder, such proposed transferee shall be referred to herein as an “</w:t>
      </w:r>
      <w:r>
        <w:rPr>
          <w:rFonts w:ascii="Times New Roman" w:cs="Times New Roman" w:eastAsia="Times New Roman" w:hAnsi="Times New Roman"/>
          <w:sz w:val="21"/>
          <w:szCs w:val="21"/>
          <w:b w:val="1"/>
          <w:bCs w:val="1"/>
          <w:color w:val="auto"/>
        </w:rPr>
        <w:t>Assignee</w:t>
      </w:r>
      <w:r>
        <w:rPr>
          <w:rFonts w:ascii="Times New Roman" w:cs="Times New Roman" w:eastAsia="Times New Roman" w:hAnsi="Times New Roman"/>
          <w:sz w:val="21"/>
          <w:szCs w:val="21"/>
          <w:color w:val="auto"/>
        </w:rPr>
        <w:t>”. Distributions made before the effective date of such Transfer, shall be paid to the transferor, and Distributions made after such date shall be paid to the Assignee.</w:t>
      </w:r>
    </w:p>
    <w:p>
      <w:pPr>
        <w:spacing w:after="0" w:line="152"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877"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Unless and until an Assignee becomes a Member pursuant to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the Assignee shall not be entitled to any of the rights granted to a Member hereunder or under applicable law, other than the rights granted specifically to Assignees pursuant to this Agreement and rights granted to Assignees pursuant to the Act. Further, such Assignee shall be bound by any limitations and obligations contained herein with respect to Members.</w:t>
      </w:r>
    </w:p>
    <w:p>
      <w:pPr>
        <w:spacing w:after="0" w:line="153" w:lineRule="exact"/>
        <w:rPr>
          <w:rFonts w:ascii="Times New Roman" w:cs="Times New Roman" w:eastAsia="Times New Roman" w:hAnsi="Times New Roman"/>
          <w:sz w:val="21"/>
          <w:szCs w:val="21"/>
          <w:color w:val="010000"/>
        </w:rPr>
      </w:pPr>
    </w:p>
    <w:p>
      <w:pPr>
        <w:jc w:val="both"/>
        <w:ind w:firstLine="1297"/>
        <w:spacing w:after="0" w:line="219" w:lineRule="auto"/>
        <w:tabs>
          <w:tab w:leader="none" w:pos="1743"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Any Member who shall Transfer any Shares or other interest in the Company shall cease to be a Member with respect to such Shares or other interest and shall no longer have any rights or privileges of a Member with respect to such Shares or other interest, except that, unless and until the Assignee is admitted as a Substituted Member in accordance with the provisions of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Admission Date</w:t>
      </w:r>
      <w:r>
        <w:rPr>
          <w:rFonts w:ascii="Times New Roman" w:cs="Times New Roman" w:eastAsia="Times New Roman" w:hAnsi="Times New Roman"/>
          <w:sz w:val="21"/>
          <w:szCs w:val="21"/>
          <w:color w:val="auto"/>
        </w:rPr>
        <w:t>”), (i) such assigning Member shall retain all of the duties, liabilities and obligations of a Member with respect to such Shares or other interest and (ii) the Board of Directors may reinstate all or any portion of the rights and privileges of such Member with respect to such Shares or other interest for any period of time prior to the Admission Date. Nothing contained herein shall relieve any Member who Transfers any Shares or other interest in the Company from any liability of such Member to the Company or the other Members with respect to such Shares or other interest that may exist on the Admission Date or that is otherwise specified in the Act and incorporated into this Agreement or for any liability to the Company or any other Person for any breaches of any representations, warranties or covenants by such Member (in its capacity as such) contained herein or in the other agreements with the Company.</w:t>
      </w:r>
    </w:p>
    <w:p>
      <w:pPr>
        <w:spacing w:after="0" w:line="155" w:lineRule="exact"/>
        <w:rPr>
          <w:rFonts w:ascii="Times New Roman" w:cs="Times New Roman" w:eastAsia="Times New Roman" w:hAnsi="Times New Roman"/>
          <w:sz w:val="21"/>
          <w:szCs w:val="21"/>
          <w:color w:val="010000"/>
        </w:rPr>
      </w:pPr>
    </w:p>
    <w:p>
      <w:pPr>
        <w:jc w:val="both"/>
        <w:ind w:firstLine="1297"/>
        <w:spacing w:after="0" w:line="224" w:lineRule="auto"/>
        <w:tabs>
          <w:tab w:leader="none" w:pos="1809"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For clarity (and notwithstanding anything to the contrary herein), the respective rights of SoftBank, Honda, and Microsoft hereunder are personal to SoftBank, Honda, and Microsoft, as applicable, (for so long as SoftBank, Honda, or Microsoft as applicable, is a Member), do not attach to the Class A-1 Preferred Shares, Class E Common Shares, Class G Preferred Shares, or any other class of Shares or Equity Securities, and cannot be assigned by SoftBank, Honda, or Microsoft to any other Person, except in connection with an Exempt SoftBank Transfer, an Exempt Honda Transfer pursuant to </w:t>
      </w:r>
      <w:r>
        <w:rPr>
          <w:rFonts w:ascii="Times New Roman" w:cs="Times New Roman" w:eastAsia="Times New Roman" w:hAnsi="Times New Roman"/>
          <w:sz w:val="21"/>
          <w:szCs w:val="21"/>
          <w:u w:val="single" w:color="auto"/>
          <w:color w:val="auto"/>
        </w:rPr>
        <w:t>Section 9.02(a)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(iii)(A)</w:t>
      </w:r>
      <w:r>
        <w:rPr>
          <w:rFonts w:ascii="Times New Roman" w:cs="Times New Roman" w:eastAsia="Times New Roman" w:hAnsi="Times New Roman"/>
          <w:sz w:val="21"/>
          <w:szCs w:val="21"/>
          <w:color w:val="auto"/>
        </w:rPr>
        <w:t xml:space="preserve"> (but not, for clarity, </w:t>
      </w:r>
      <w:r>
        <w:rPr>
          <w:rFonts w:ascii="Times New Roman" w:cs="Times New Roman" w:eastAsia="Times New Roman" w:hAnsi="Times New Roman"/>
          <w:sz w:val="21"/>
          <w:szCs w:val="21"/>
          <w:u w:val="single" w:color="auto"/>
          <w:color w:val="auto"/>
        </w:rPr>
        <w:t>Section 9.02(a)(iii)(B)</w:t>
      </w:r>
      <w:r>
        <w:rPr>
          <w:rFonts w:ascii="Times New Roman" w:cs="Times New Roman" w:eastAsia="Times New Roman" w:hAnsi="Times New Roman"/>
          <w:sz w:val="21"/>
          <w:szCs w:val="21"/>
          <w:color w:val="auto"/>
        </w:rPr>
        <w:t>), or an Exempt Microsoft Transfer, as applicable.</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9.04</w:t>
      </w:r>
      <w:r>
        <w:rPr>
          <w:sz w:val="20"/>
          <w:szCs w:val="20"/>
          <w:color w:val="auto"/>
        </w:rPr>
        <w:tab/>
      </w:r>
      <w:r>
        <w:rPr>
          <w:rFonts w:ascii="Times New Roman" w:cs="Times New Roman" w:eastAsia="Times New Roman" w:hAnsi="Times New Roman"/>
          <w:sz w:val="21"/>
          <w:szCs w:val="21"/>
          <w:b w:val="1"/>
          <w:bCs w:val="1"/>
          <w:u w:val="single" w:color="auto"/>
          <w:color w:val="auto"/>
        </w:rPr>
        <w:t>Admission of Members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9" w:lineRule="auto"/>
        <w:tabs>
          <w:tab w:leader="none" w:pos="1824" w:val="left"/>
        </w:tabs>
        <w:numPr>
          <w:ilvl w:val="0"/>
          <w:numId w:val="1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connection with the Transfer of a Share of a Member permitted under the terms of this Agreement, the transferee shall not become a Member (a “</w:t>
      </w:r>
      <w:r>
        <w:rPr>
          <w:rFonts w:ascii="Times New Roman" w:cs="Times New Roman" w:eastAsia="Times New Roman" w:hAnsi="Times New Roman"/>
          <w:sz w:val="21"/>
          <w:szCs w:val="21"/>
          <w:b w:val="1"/>
          <w:bCs w:val="1"/>
          <w:color w:val="auto"/>
        </w:rPr>
        <w:t>Substituted Member</w:t>
      </w:r>
      <w:r>
        <w:rPr>
          <w:rFonts w:ascii="Times New Roman" w:cs="Times New Roman" w:eastAsia="Times New Roman" w:hAnsi="Times New Roman"/>
          <w:sz w:val="21"/>
          <w:szCs w:val="21"/>
          <w:color w:val="auto"/>
        </w:rPr>
        <w:t>”) until the later of (i) the effective date of such Transfer and (ii) the date on which the Board of Directors approves such transferee as a Substituted Member (such approval not to be unreasonably withheld, conditioned or delayed), and such admission shall be shown on the books and records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84" w:right="339" w:bottom="1440" w:gutter="0" w:footer="0" w:header="0"/>
        </w:sectPr>
      </w:pPr>
    </w:p>
    <w:bookmarkStart w:id="102" w:name="page103"/>
    <w:bookmarkEnd w:id="102"/>
    <w:p>
      <w:pPr>
        <w:jc w:val="both"/>
        <w:ind w:firstLine="1297"/>
        <w:spacing w:after="0" w:line="235" w:lineRule="auto"/>
        <w:tabs>
          <w:tab w:leader="none" w:pos="1783" w:val="left"/>
        </w:tabs>
        <w:numPr>
          <w:ilvl w:val="0"/>
          <w:numId w:val="10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to the contrary that may be expressed or implied in this Agreement, a Person may be admitted to the Company as a Member by the Board of Directors (an “</w:t>
      </w:r>
      <w:r>
        <w:rPr>
          <w:rFonts w:ascii="Times New Roman" w:cs="Times New Roman" w:eastAsia="Times New Roman" w:hAnsi="Times New Roman"/>
          <w:sz w:val="21"/>
          <w:szCs w:val="21"/>
          <w:b w:val="1"/>
          <w:bCs w:val="1"/>
          <w:color w:val="auto"/>
        </w:rPr>
        <w:t>Additional Member</w:t>
      </w:r>
      <w:r>
        <w:rPr>
          <w:rFonts w:ascii="Times New Roman" w:cs="Times New Roman" w:eastAsia="Times New Roman" w:hAnsi="Times New Roman"/>
          <w:sz w:val="21"/>
          <w:szCs w:val="21"/>
          <w:color w:val="auto"/>
        </w:rPr>
        <w:t>”). Such admission shall become effective on the date on which such admission is shown on the books and records of the Company.</w:t>
      </w:r>
    </w:p>
    <w:p>
      <w:pPr>
        <w:spacing w:after="0" w:line="147" w:lineRule="exact"/>
        <w:rPr>
          <w:sz w:val="20"/>
          <w:szCs w:val="20"/>
          <w:color w:val="auto"/>
        </w:rPr>
      </w:pPr>
    </w:p>
    <w:p>
      <w:pPr>
        <w:jc w:val="both"/>
        <w:ind w:firstLine="645"/>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9.05 </w:t>
      </w:r>
      <w:r>
        <w:rPr>
          <w:rFonts w:ascii="Times New Roman" w:cs="Times New Roman" w:eastAsia="Times New Roman" w:hAnsi="Times New Roman"/>
          <w:sz w:val="21"/>
          <w:szCs w:val="21"/>
          <w:b w:val="1"/>
          <w:bCs w:val="1"/>
          <w:u w:val="single" w:color="auto"/>
          <w:color w:val="auto"/>
        </w:rPr>
        <w:t>Certain Requirements of Prospective Members</w:t>
      </w:r>
      <w:r>
        <w:rPr>
          <w:rFonts w:ascii="Times New Roman" w:cs="Times New Roman" w:eastAsia="Times New Roman" w:hAnsi="Times New Roman"/>
          <w:sz w:val="21"/>
          <w:szCs w:val="21"/>
          <w:color w:val="auto"/>
        </w:rPr>
        <w:t>. Except as otherwise provided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as a condition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admission to the Company as a Member, each Assignee and Additional Member shall execute and deliver a joinder to this Agreement in the form attached hereto as </w:t>
      </w:r>
      <w:r>
        <w:rPr>
          <w:rFonts w:ascii="Times New Roman" w:cs="Times New Roman" w:eastAsia="Times New Roman" w:hAnsi="Times New Roman"/>
          <w:sz w:val="21"/>
          <w:szCs w:val="21"/>
          <w:b w:val="1"/>
          <w:bCs w:val="1"/>
          <w:color w:val="auto"/>
        </w:rPr>
        <w:t>Exhibit I</w:t>
      </w:r>
      <w:r>
        <w:rPr>
          <w:rFonts w:ascii="Times New Roman" w:cs="Times New Roman" w:eastAsia="Times New Roman" w:hAnsi="Times New Roman"/>
          <w:sz w:val="21"/>
          <w:szCs w:val="21"/>
          <w:color w:val="auto"/>
        </w:rPr>
        <w:t xml:space="preserve"> or otherwise acceptable to the Board of Directors.</w:t>
      </w:r>
    </w:p>
    <w:p>
      <w:pPr>
        <w:spacing w:after="0" w:line="14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9.06 </w:t>
      </w:r>
      <w:r>
        <w:rPr>
          <w:rFonts w:ascii="Times New Roman" w:cs="Times New Roman" w:eastAsia="Times New Roman" w:hAnsi="Times New Roman"/>
          <w:sz w:val="21"/>
          <w:szCs w:val="21"/>
          <w:b w:val="1"/>
          <w:bCs w:val="1"/>
          <w:u w:val="single" w:color="auto"/>
          <w:color w:val="auto"/>
        </w:rPr>
        <w:t>Status of Transferred Shares</w:t>
      </w:r>
      <w:r>
        <w:rPr>
          <w:rFonts w:ascii="Times New Roman" w:cs="Times New Roman" w:eastAsia="Times New Roman" w:hAnsi="Times New Roman"/>
          <w:sz w:val="21"/>
          <w:szCs w:val="21"/>
          <w:color w:val="auto"/>
        </w:rPr>
        <w:t>. Shares that are Transferred shall thereafter continue to be subject to all restrictions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obligations imposed by this Agreement with respect to Shares and Transfers thereof.</w:t>
      </w:r>
    </w:p>
    <w:p>
      <w:pPr>
        <w:spacing w:after="0" w:line="13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9.07</w:t>
      </w:r>
      <w:r>
        <w:rPr>
          <w:sz w:val="20"/>
          <w:szCs w:val="20"/>
          <w:color w:val="auto"/>
        </w:rPr>
        <w:tab/>
      </w:r>
      <w:r>
        <w:rPr>
          <w:rFonts w:ascii="Times New Roman" w:cs="Times New Roman" w:eastAsia="Times New Roman" w:hAnsi="Times New Roman"/>
          <w:sz w:val="21"/>
          <w:szCs w:val="21"/>
          <w:b w:val="1"/>
          <w:bCs w:val="1"/>
          <w:u w:val="single" w:color="auto"/>
          <w:color w:val="auto"/>
        </w:rPr>
        <w:t>Tag-Along Rights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16" w:lineRule="auto"/>
        <w:tabs>
          <w:tab w:leader="none" w:pos="1757" w:val="left"/>
        </w:tabs>
        <w:numPr>
          <w:ilvl w:val="0"/>
          <w:numId w:val="10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any Class A-2 Member, Class C Member or the GM Investor or its Affiliates, including in their capacity as a Class B Member, Class F Preferred Member or Class G Preferred Member (the “</w:t>
      </w:r>
      <w:r>
        <w:rPr>
          <w:rFonts w:ascii="Times New Roman" w:cs="Times New Roman" w:eastAsia="Times New Roman" w:hAnsi="Times New Roman"/>
          <w:sz w:val="21"/>
          <w:szCs w:val="21"/>
          <w:b w:val="1"/>
          <w:bCs w:val="1"/>
          <w:color w:val="auto"/>
        </w:rPr>
        <w:t>Transferring Holder</w:t>
      </w:r>
      <w:r>
        <w:rPr>
          <w:rFonts w:ascii="Times New Roman" w:cs="Times New Roman" w:eastAsia="Times New Roman" w:hAnsi="Times New Roman"/>
          <w:sz w:val="21"/>
          <w:szCs w:val="21"/>
          <w:color w:val="auto"/>
        </w:rPr>
        <w:t xml:space="preserve">”), proposes to Transfer Class A-2 Preferred Shares, Non-EIP Class B Common Shares, Class C Common Shares, Class F Preferred Shares, or Class G Preferred Shares (or any other Equity Securities held by such Member) to an Independent Third Party prior to an IPO (other than any Transfer (i) as provided in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(ii) as provided in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(iii) in connection with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or (iv) as provided in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then the Transferring Holder(s) shall deliver a written notice (such notice, the “</w:t>
      </w:r>
      <w:r>
        <w:rPr>
          <w:rFonts w:ascii="Times New Roman" w:cs="Times New Roman" w:eastAsia="Times New Roman" w:hAnsi="Times New Roman"/>
          <w:sz w:val="21"/>
          <w:szCs w:val="21"/>
          <w:b w:val="1"/>
          <w:bCs w:val="1"/>
          <w:color w:val="auto"/>
        </w:rPr>
        <w:t>Tag Notice</w:t>
      </w:r>
      <w:r>
        <w:rPr>
          <w:rFonts w:ascii="Times New Roman" w:cs="Times New Roman" w:eastAsia="Times New Roman" w:hAnsi="Times New Roman"/>
          <w:sz w:val="21"/>
          <w:szCs w:val="21"/>
          <w:color w:val="auto"/>
        </w:rPr>
        <w:t>”) to the Company, each Class D Member, each Class A-1 Preferred Member, each Class E Member, each Class F Preferred Member, and each Class G Preferred Member (the “</w:t>
      </w:r>
      <w:r>
        <w:rPr>
          <w:rFonts w:ascii="Times New Roman" w:cs="Times New Roman" w:eastAsia="Times New Roman" w:hAnsi="Times New Roman"/>
          <w:sz w:val="21"/>
          <w:szCs w:val="21"/>
          <w:b w:val="1"/>
          <w:bCs w:val="1"/>
          <w:color w:val="auto"/>
        </w:rPr>
        <w:t>Participation Members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clarity, such Transferring Holder will not be a Participation Member in its capacity as a Class F Preferred Member or Class G Preferred Member, notwithstanding that such Transferring Holder may hold Class F Preferred Shares and Class G Preferred Shares) at least thirty (30) days prior to making such Transfer, specifying in reasonable detail the identity of the prospective transferee(s), the number of Class A-2 Preferred Shares or Class C Common Shares (or any other Equity Securities held by such Members) to be Transferred and the price and other terms and conditions of the Transfer. Each Participation Member may elect to participate in the contemplated Transfer in the manner set forth in this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 xml:space="preserve"> by delivering an irrevocable written notice to the Transferring Holder(s) within fifteen (15) days after delivery of the Tag Notice, which notice shall specify the number of Class A-1 Preferred Shares, Class D Common Shares, Class E Common Shares, Class F Preferred Shares, and Class G Preferred Shares (or any other Equity Securities held by such Members) that such Participation Member desires to include in such proposed Transfer. If none of the Participation Members gives such notice prior to the expiration of the fifteen (15) day period for giving such notice, then the Transferring Holder(s) may Transfer such Class A-2 Preferred Shares or Class C Common Shares (or any other Equity Securities held by such Members) to any Person at the same price and on other terms and conditions that are no more favorable, in the aggregate, to the Transferring Holder(s) than those set forth in the Tag Notice. If any Participation Members have irrevocably elected to participate in such Transfer prior to the expiration of the fifteen (15) day period for giving notice, each Participation Member shall be entitled to sell in the contemplated Transfer a total number of Class A-1 Preferred Shares with respect to Class A-1 Preferred Members, Class D Common Shares with respect to Class D Members, Class E Common Shares with respect to Class E Members, Class F Preferred Shares with respect to Class F Preferred Members, and Class G Preferred Shares with respect to Class G Preferred Members (the “</w:t>
      </w:r>
      <w:r>
        <w:rPr>
          <w:rFonts w:ascii="Times New Roman" w:cs="Times New Roman" w:eastAsia="Times New Roman" w:hAnsi="Times New Roman"/>
          <w:sz w:val="21"/>
          <w:szCs w:val="21"/>
          <w:b w:val="1"/>
          <w:bCs w:val="1"/>
          <w:color w:val="auto"/>
        </w:rPr>
        <w:t>Tagged Shares</w:t>
      </w:r>
      <w:r>
        <w:rPr>
          <w:rFonts w:ascii="Times New Roman" w:cs="Times New Roman" w:eastAsia="Times New Roman" w:hAnsi="Times New Roman"/>
          <w:sz w:val="21"/>
          <w:szCs w:val="21"/>
          <w:color w:val="auto"/>
        </w:rPr>
        <w:t>”) to be sold in the Transfer, to be calculated according to the following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88" w:right="339" w:bottom="1440" w:gutter="0" w:footer="0" w:header="0"/>
        </w:sectPr>
      </w:pPr>
    </w:p>
    <w:bookmarkStart w:id="103" w:name="page104"/>
    <w:bookmarkEnd w:id="103"/>
    <w:p>
      <w:pPr>
        <w:jc w:val="both"/>
        <w:ind w:firstLine="1942"/>
        <w:spacing w:after="0" w:line="218" w:lineRule="auto"/>
        <w:tabs>
          <w:tab w:leader="none" w:pos="2487" w:val="left"/>
        </w:tabs>
        <w:numPr>
          <w:ilvl w:val="1"/>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all Non-A-1 Interests owned by the Transferring Holder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all Class A-1 Preferred Shares held by all Participation Member(s) are deemed converted to Class D Common Shares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all Class E Common Shares held by all Participation Member(s) are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F Preferred Shares and Class G Preferred Shares held by all Participation Member(s) are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(collectively the number of Class D Common Shares resulting from the deemed conversion, plus the number of Class D Common Shares held by the Participation Members prior to such deemed conversion, the “</w:t>
      </w:r>
      <w:r>
        <w:rPr>
          <w:rFonts w:ascii="Times New Roman" w:cs="Times New Roman" w:eastAsia="Times New Roman" w:hAnsi="Times New Roman"/>
          <w:sz w:val="21"/>
          <w:szCs w:val="21"/>
          <w:b w:val="1"/>
          <w:bCs w:val="1"/>
          <w:color w:val="auto"/>
        </w:rPr>
        <w:t>Total Conversion Shares</w:t>
      </w:r>
      <w:r>
        <w:rPr>
          <w:rFonts w:ascii="Times New Roman" w:cs="Times New Roman" w:eastAsia="Times New Roman" w:hAnsi="Times New Roman"/>
          <w:sz w:val="21"/>
          <w:szCs w:val="21"/>
          <w:color w:val="auto"/>
        </w:rPr>
        <w:t xml:space="preserve">”). For clarity, such “deemed” conversion pursuant to this </w:t>
      </w:r>
      <w:r>
        <w:rPr>
          <w:rFonts w:ascii="Times New Roman" w:cs="Times New Roman" w:eastAsia="Times New Roman" w:hAnsi="Times New Roman"/>
          <w:sz w:val="21"/>
          <w:szCs w:val="21"/>
          <w:u w:val="single" w:color="auto"/>
          <w:color w:val="auto"/>
        </w:rPr>
        <w:t>Section 9.07(a)</w:t>
      </w:r>
      <w:r>
        <w:rPr>
          <w:rFonts w:ascii="Times New Roman" w:cs="Times New Roman" w:eastAsia="Times New Roman" w:hAnsi="Times New Roman"/>
          <w:sz w:val="21"/>
          <w:szCs w:val="21"/>
          <w:color w:val="auto"/>
        </w:rPr>
        <w:t xml:space="preserve"> shall solely be for the purposes of calculating the Tagged Shares, and no actual conversion shall occur pursuant to this </w:t>
      </w:r>
      <w:r>
        <w:rPr>
          <w:rFonts w:ascii="Times New Roman" w:cs="Times New Roman" w:eastAsia="Times New Roman" w:hAnsi="Times New Roman"/>
          <w:sz w:val="21"/>
          <w:szCs w:val="21"/>
          <w:u w:val="single" w:color="auto"/>
          <w:color w:val="auto"/>
        </w:rPr>
        <w:t>Section 9.07(a)</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010000"/>
        </w:rPr>
      </w:pPr>
    </w:p>
    <w:p>
      <w:pPr>
        <w:ind w:left="2520" w:hanging="578"/>
        <w:spacing w:after="0"/>
        <w:tabs>
          <w:tab w:leader="none" w:pos="2520" w:val="left"/>
        </w:tabs>
        <w:numPr>
          <w:ilvl w:val="1"/>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the total number of Shares that are subject to Transfer is determined (the “</w:t>
      </w:r>
      <w:r>
        <w:rPr>
          <w:rFonts w:ascii="Times New Roman" w:cs="Times New Roman" w:eastAsia="Times New Roman" w:hAnsi="Times New Roman"/>
          <w:sz w:val="21"/>
          <w:szCs w:val="21"/>
          <w:b w:val="1"/>
          <w:bCs w:val="1"/>
          <w:color w:val="auto"/>
        </w:rPr>
        <w:t>Total Tagged</w:t>
      </w:r>
    </w:p>
    <w:p>
      <w:pPr>
        <w:spacing w:after="0" w:line="1"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010000"/>
        </w:rPr>
      </w:pPr>
    </w:p>
    <w:p>
      <w:pPr>
        <w:ind w:left="2480" w:hanging="538"/>
        <w:spacing w:after="0"/>
        <w:tabs>
          <w:tab w:leader="none" w:pos="2480" w:val="left"/>
        </w:tabs>
        <w:numPr>
          <w:ilvl w:val="1"/>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the Tagged Shares will be:</w:t>
      </w:r>
    </w:p>
    <w:p>
      <w:pPr>
        <w:spacing w:after="0" w:line="188" w:lineRule="exact"/>
        <w:rPr>
          <w:rFonts w:ascii="Times New Roman" w:cs="Times New Roman" w:eastAsia="Times New Roman" w:hAnsi="Times New Roman"/>
          <w:sz w:val="21"/>
          <w:szCs w:val="21"/>
          <w:color w:val="010000"/>
        </w:rPr>
      </w:pPr>
    </w:p>
    <w:p>
      <w:pPr>
        <w:jc w:val="both"/>
        <w:ind w:firstLine="2587"/>
        <w:spacing w:after="0" w:line="229" w:lineRule="auto"/>
        <w:tabs>
          <w:tab w:leader="none" w:pos="3134" w:val="left"/>
        </w:tabs>
        <w:numPr>
          <w:ilvl w:val="2"/>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number of Class A-1-A Preferred Shares equal to: (1) Total Tagged Shares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a fraction, (x) the numerator of which is the number of Class D Common Shares into which the Class A-1-A Preferred Shares of such Participation Member were deemed converted pursuant to subsection (i) above, and (y) the denominator of which is the Total Conversion Shares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(2) the A-1-A Preferred Share Conversion Ratio;</w:t>
      </w:r>
    </w:p>
    <w:p>
      <w:pPr>
        <w:spacing w:after="0" w:line="153" w:lineRule="exact"/>
        <w:rPr>
          <w:rFonts w:ascii="Times New Roman" w:cs="Times New Roman" w:eastAsia="Times New Roman" w:hAnsi="Times New Roman"/>
          <w:sz w:val="21"/>
          <w:szCs w:val="21"/>
          <w:color w:val="010000"/>
        </w:rPr>
      </w:pPr>
    </w:p>
    <w:p>
      <w:pPr>
        <w:jc w:val="both"/>
        <w:ind w:firstLine="2587"/>
        <w:spacing w:after="0" w:line="229" w:lineRule="auto"/>
        <w:tabs>
          <w:tab w:leader="none" w:pos="3135" w:val="left"/>
        </w:tabs>
        <w:numPr>
          <w:ilvl w:val="2"/>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number of Class A-1-B Preferred Shares equal to: (1) Total Tagged Shares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a fraction, (x) the numerator of which is the number of Class D Common Shares into which the Class A-1-B Preferred Shares of such Participation Member were deemed converted pursuant to subsection (i) above, and (y) the denominator of which is the Total Conversion Shares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(2) A-1-B Preferred Share Conversion Ratio;</w:t>
      </w:r>
    </w:p>
    <w:p>
      <w:pPr>
        <w:spacing w:after="0" w:line="150" w:lineRule="exact"/>
        <w:rPr>
          <w:rFonts w:ascii="Times New Roman" w:cs="Times New Roman" w:eastAsia="Times New Roman" w:hAnsi="Times New Roman"/>
          <w:sz w:val="21"/>
          <w:szCs w:val="21"/>
          <w:color w:val="010000"/>
        </w:rPr>
      </w:pPr>
    </w:p>
    <w:p>
      <w:pPr>
        <w:ind w:left="3120" w:hanging="533"/>
        <w:spacing w:after="0"/>
        <w:tabs>
          <w:tab w:leader="none" w:pos="3120" w:val="left"/>
        </w:tabs>
        <w:numPr>
          <w:ilvl w:val="2"/>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number of Class D Common Shares equal to: Total Tagged Shares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a fraction,</w:t>
      </w:r>
    </w:p>
    <w:p>
      <w:pPr>
        <w:ind w:firstLine="7"/>
        <w:spacing w:after="0" w:line="233" w:lineRule="auto"/>
        <w:tabs>
          <w:tab w:leader="none" w:pos="326"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numerator of which is the number of Class D Common Shares held by such Participation Member prior to the deemed conversion pursuant to subsection (i) above, and (2) the denominator of which is the Total Conversion Shares;</w:t>
      </w:r>
    </w:p>
    <w:p>
      <w:pPr>
        <w:spacing w:after="0" w:line="149" w:lineRule="exact"/>
        <w:rPr>
          <w:rFonts w:ascii="Times New Roman" w:cs="Times New Roman" w:eastAsia="Times New Roman" w:hAnsi="Times New Roman"/>
          <w:sz w:val="21"/>
          <w:szCs w:val="21"/>
          <w:color w:val="auto"/>
        </w:rPr>
      </w:pPr>
    </w:p>
    <w:p>
      <w:pPr>
        <w:ind w:left="3120" w:hanging="533"/>
        <w:spacing w:after="0"/>
        <w:tabs>
          <w:tab w:leader="none" w:pos="3120" w:val="left"/>
        </w:tabs>
        <w:numPr>
          <w:ilvl w:val="2"/>
          <w:numId w:val="1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number of Class E Common Shares equal to: Total Tagged Shares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a fraction,</w:t>
      </w:r>
    </w:p>
    <w:p>
      <w:pPr>
        <w:ind w:right="20" w:firstLine="7"/>
        <w:spacing w:after="0" w:line="233" w:lineRule="auto"/>
        <w:tabs>
          <w:tab w:leader="none" w:pos="32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numerator of which is the number of Class E Common Shares held by such Participation Member prior to the deemed conversion pursuant to subsection (i) above, and (2) the denominator of which is the Total Conversion Shares;</w:t>
      </w:r>
    </w:p>
    <w:p>
      <w:pPr>
        <w:spacing w:after="0" w:line="149" w:lineRule="exact"/>
        <w:rPr>
          <w:rFonts w:ascii="Times New Roman" w:cs="Times New Roman" w:eastAsia="Times New Roman" w:hAnsi="Times New Roman"/>
          <w:sz w:val="21"/>
          <w:szCs w:val="21"/>
          <w:color w:val="auto"/>
        </w:rPr>
      </w:pPr>
    </w:p>
    <w:p>
      <w:pPr>
        <w:ind w:left="3120" w:hanging="533"/>
        <w:spacing w:after="0"/>
        <w:tabs>
          <w:tab w:leader="none" w:pos="3120" w:val="left"/>
        </w:tabs>
        <w:numPr>
          <w:ilvl w:val="2"/>
          <w:numId w:val="1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number of Class F Preferred Shares equal to: Total Tagged Shares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a fraction,</w:t>
      </w:r>
    </w:p>
    <w:p>
      <w:pPr>
        <w:ind w:firstLine="7"/>
        <w:spacing w:after="0" w:line="233" w:lineRule="auto"/>
        <w:tabs>
          <w:tab w:leader="none" w:pos="327"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numerator of which is the number of Class F Preferred Shares held by such Participation Member prior to the deemed conversion pursuant to subsection (i) above, and (2) the denominator of which is the Total Conversion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88" w:right="339" w:bottom="1440" w:gutter="0" w:footer="0" w:header="0"/>
        </w:sectPr>
      </w:pPr>
    </w:p>
    <w:bookmarkStart w:id="104" w:name="page105"/>
    <w:bookmarkEnd w:id="104"/>
    <w:p>
      <w:pPr>
        <w:ind w:left="3100" w:hanging="513"/>
        <w:spacing w:after="0"/>
        <w:tabs>
          <w:tab w:leader="none" w:pos="3100" w:val="left"/>
        </w:tabs>
        <w:numPr>
          <w:ilvl w:val="2"/>
          <w:numId w:val="1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number of Class G Preferred Shares equal to: Total Tagged Shares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a fraction,</w:t>
      </w:r>
    </w:p>
    <w:p>
      <w:pPr>
        <w:ind w:firstLine="7"/>
        <w:spacing w:after="0" w:line="233" w:lineRule="auto"/>
        <w:tabs>
          <w:tab w:leader="none" w:pos="326"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numerator of which is the number of Class G Preferred Shares held by such Participation Member prior to the deemed conversion pursuant to subsection (i) above, and (2) the denominator of which is the Total Conversion Shares.</w:t>
      </w:r>
    </w:p>
    <w:p>
      <w:pPr>
        <w:spacing w:after="0" w:line="152" w:lineRule="exact"/>
        <w:rPr>
          <w:rFonts w:ascii="Times New Roman" w:cs="Times New Roman" w:eastAsia="Times New Roman" w:hAnsi="Times New Roman"/>
          <w:sz w:val="21"/>
          <w:szCs w:val="21"/>
          <w:color w:val="auto"/>
        </w:rPr>
      </w:pPr>
    </w:p>
    <w:p>
      <w:pPr>
        <w:jc w:val="both"/>
        <w:ind w:firstLine="1297"/>
        <w:spacing w:after="0" w:line="222" w:lineRule="auto"/>
        <w:tabs>
          <w:tab w:leader="none" w:pos="1823" w:val="left"/>
        </w:tabs>
        <w:numPr>
          <w:ilvl w:val="1"/>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Immediately prior to the consummation of the Transfer to the Independent Third Party, the Tagged Shares (other than Class E Common Shares, Class F Preferred Shares, and Class G Preferred Shares) will be automatically, and without any further action, be actually converted into Class D Common Shares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The Transferring Holder(s) and each participating Participation Member shall receive the same form of consideration and the aggregate net consideration (after such aggregate net consideration is adjusted for Company expenses, purchase price adjustments, escrow amounts, purchase price holdbacks, indemnity obligations and other similar items) shall be divided ratably among the Transferring Holder and each participating Participation Member based upon their respective numbers of Shares included in the Transfer.</w:t>
      </w:r>
    </w:p>
    <w:p>
      <w:pPr>
        <w:spacing w:after="0" w:line="156" w:lineRule="exact"/>
        <w:rPr>
          <w:rFonts w:ascii="Times New Roman" w:cs="Times New Roman" w:eastAsia="Times New Roman" w:hAnsi="Times New Roman"/>
          <w:sz w:val="21"/>
          <w:szCs w:val="21"/>
          <w:color w:val="010000"/>
        </w:rPr>
      </w:pPr>
    </w:p>
    <w:p>
      <w:pPr>
        <w:jc w:val="both"/>
        <w:ind w:firstLine="1297"/>
        <w:spacing w:after="0" w:line="221" w:lineRule="auto"/>
        <w:tabs>
          <w:tab w:leader="none" w:pos="1985" w:val="left"/>
        </w:tabs>
        <w:numPr>
          <w:ilvl w:val="1"/>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 the Transferring Holder(s) shall not consummate the Transfer contemplated by the Tag Notice at a higher price or on other terms and conditions more favorable to them, in the aggregate, than the terms set forth in the Tag Notice (including as to price per Class A-1 Preferred Share or form of consideration to be received) unless the Transferring Holder(s) shall first have delivered a second notice setting forth such more favorable terms (the “</w:t>
      </w:r>
      <w:r>
        <w:rPr>
          <w:rFonts w:ascii="Times New Roman" w:cs="Times New Roman" w:eastAsia="Times New Roman" w:hAnsi="Times New Roman"/>
          <w:sz w:val="21"/>
          <w:szCs w:val="21"/>
          <w:b w:val="1"/>
          <w:bCs w:val="1"/>
          <w:color w:val="auto"/>
        </w:rPr>
        <w:t>Amended Tag Notice</w:t>
      </w:r>
      <w:r>
        <w:rPr>
          <w:rFonts w:ascii="Times New Roman" w:cs="Times New Roman" w:eastAsia="Times New Roman" w:hAnsi="Times New Roman"/>
          <w:sz w:val="21"/>
          <w:szCs w:val="21"/>
          <w:color w:val="auto"/>
        </w:rPr>
        <w:t>”) to each Participation Member who had not elected to participate in the contemplated Transfer. Each Participation Member receiving an Amended Tag Notice may elect to participate in the contemplated Transfer on such amended terms by delivering written notice to the Transferring Holder(s) not later than ten (10) Business Days after delivery of the Amended Tag Notice.</w:t>
      </w:r>
    </w:p>
    <w:p>
      <w:pPr>
        <w:spacing w:after="0" w:line="155" w:lineRule="exact"/>
        <w:rPr>
          <w:rFonts w:ascii="Times New Roman" w:cs="Times New Roman" w:eastAsia="Times New Roman" w:hAnsi="Times New Roman"/>
          <w:sz w:val="21"/>
          <w:szCs w:val="21"/>
          <w:color w:val="010000"/>
        </w:rPr>
      </w:pPr>
    </w:p>
    <w:p>
      <w:pPr>
        <w:jc w:val="both"/>
        <w:ind w:firstLine="1297"/>
        <w:spacing w:after="0" w:line="220" w:lineRule="auto"/>
        <w:tabs>
          <w:tab w:leader="none" w:pos="1756" w:val="left"/>
        </w:tabs>
        <w:numPr>
          <w:ilvl w:val="1"/>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Participation Member shall pay his, her or its own costs of any sale and a pro rata share (based upon the reduction in proceeds that would have been allocated to such Member if the amount of such expense were not included in the aggregate consideration) of the expenses incurred by the Members (to the extent such costs are incurred for the benefit of all of such Members and are not otherwise paid by the Transferee) and the Company in connection with such Transfer and shall be obligated to provide the same customary representations, warranties, covenants, agreements, indemnities and other obligations that the Transferring Holder(s) agrees to provide in connection with such Transfer;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no event will a Participation Member be required to enter into a non-competition agreement or be subject to any similar covenant or provision. Except as contemplated by the preceding sentence, each Participation Member shall execute and deliver all documents required to be executed in connection with such tag-along sale transaction.</w:t>
      </w:r>
    </w:p>
    <w:p>
      <w:pPr>
        <w:spacing w:after="0" w:line="157" w:lineRule="exact"/>
        <w:rPr>
          <w:rFonts w:ascii="Times New Roman" w:cs="Times New Roman" w:eastAsia="Times New Roman" w:hAnsi="Times New Roman"/>
          <w:sz w:val="21"/>
          <w:szCs w:val="21"/>
          <w:color w:val="010000"/>
        </w:rPr>
      </w:pPr>
    </w:p>
    <w:p>
      <w:pPr>
        <w:jc w:val="both"/>
        <w:ind w:firstLine="1297"/>
        <w:spacing w:after="0" w:line="224" w:lineRule="auto"/>
        <w:tabs>
          <w:tab w:leader="none" w:pos="1797" w:val="left"/>
        </w:tabs>
        <w:numPr>
          <w:ilvl w:val="1"/>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limiting the generality of the other provisions of this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 xml:space="preserve">, the Transferring Holder(s) shall decide whether or not to pursue, consummate, postpone or abandon any Transfer and, subject to the limitations set forth in this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 xml:space="preserve">, the terms and conditions thereof. None of the Transferring Holder(s) nor any of their respective Affiliates shall have any liability to any Member arising from, relating to or in connection with the pursuit, consummation, postponement, abandonment or terms and conditions of any such Transfer except to the extent the Transferring Holder(s) shall have failed to comply with any of the other provisions of this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20" w:val="left"/>
        </w:tabs>
        <w:numPr>
          <w:ilvl w:val="1"/>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herein, the provisions of this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 xml:space="preserve"> shall not apply to any sale of Class B Common Shares by GM or its Affiliates in connection with providing Members with an opportunity to directly or indirectly participate in a Tender Offer (as defined in the Liquidity Program Purchase Agreement) for Class B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8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1"/>
          <w:szCs w:val="21"/>
          <w:color w:val="auto"/>
        </w:rPr>
        <w:t>Shares in accordance with the terms of Section 4.9 of the Liquidity Program Purchase Agreement.</w:t>
      </w:r>
    </w:p>
    <w:p>
      <w:pPr>
        <w:spacing w:after="0" w:line="18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9.08</w:t>
      </w:r>
      <w:r>
        <w:rPr>
          <w:sz w:val="20"/>
          <w:szCs w:val="20"/>
          <w:color w:val="auto"/>
        </w:rPr>
        <w:tab/>
      </w:r>
      <w:r>
        <w:rPr>
          <w:rFonts w:ascii="Times New Roman" w:cs="Times New Roman" w:eastAsia="Times New Roman" w:hAnsi="Times New Roman"/>
          <w:sz w:val="21"/>
          <w:szCs w:val="21"/>
          <w:b w:val="1"/>
          <w:bCs w:val="1"/>
          <w:u w:val="single" w:color="auto"/>
          <w:color w:val="auto"/>
        </w:rPr>
        <w:t>Sale of the Company</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5" w:lineRule="auto"/>
        <w:tabs>
          <w:tab w:leader="none" w:pos="1811" w:val="left"/>
        </w:tabs>
        <w:numPr>
          <w:ilvl w:val="0"/>
          <w:numId w:val="1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Provided that a Drag-Along Notice has not been delivered and the procedures in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are not then currently in effect, notwithstanding anything to the contrary in this Agreement, the Board of Directors may (subject to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elect to cause a Sale of the Company at any time. The Board of Directors shall direct and control all decisions in connection with a Sale of the Company (including the hiring or termination of any investment bank or professional adviser and making all decisions regarding valuation and consideration and the percentage of the Equity Securities in the Company to be sold) and, subject to </w:t>
      </w:r>
      <w:r>
        <w:rPr>
          <w:rFonts w:ascii="Times New Roman" w:cs="Times New Roman" w:eastAsia="Times New Roman" w:hAnsi="Times New Roman"/>
          <w:sz w:val="21"/>
          <w:szCs w:val="21"/>
          <w:u w:val="single" w:color="auto"/>
          <w:color w:val="auto"/>
        </w:rPr>
        <w:t>Section 9.08(b)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9.08(d)</w:t>
      </w:r>
      <w:r>
        <w:rPr>
          <w:rFonts w:ascii="Times New Roman" w:cs="Times New Roman" w:eastAsia="Times New Roman" w:hAnsi="Times New Roman"/>
          <w:sz w:val="21"/>
          <w:szCs w:val="21"/>
          <w:color w:val="auto"/>
        </w:rPr>
        <w:t xml:space="preserve">, and without prejudice to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each Member shall vote for, consent to and not object to such Sale of the Company or the sale process associated therewith. If such Sale of the Company is structured as a sale of assets, merger or consolidation, then each Member shall, to the extent applicable to such transaction, vote for or consent to, and waive any dissenter’s rights, appraisal rights or similar rights in connection with, such sale, merger or consolidation. If such Sale of the Company is structured as a Transfer of Shares, and the Sale of the Company involves less than all of the Shares in the Company, then each Member shall Transfer the same percentage of each class or series of Shares (or rights to acquire Shares of any class or series) that it holds. Each Member and the Company shall take all reasonable and necessary actions in connection with the consummation of such Sale of the Company as may be requested by the Board of Directors, including (i) in the case of the Company only, engaging one or more investment banks and legal counsel selected by the Board of Directors to establish procedures acceptable to the Board of Directors to effect and to otherwise assist in connection with a Sale of the Company, (ii) taking such commercially reasonable actions and providing such commercially reasonable cooperation and assistance as may be necessary to consummate the Sale of the Company in an expeditious and efficient manner and not taking any action or engaging in any activity designed to hinder, prevent or delay the consummation of the Sale of the Company, (iii) in the case of the Company only, facilitating the due diligence process in respect of any such Sale of the Company, including establishing, populating and maintaining an online “data room”, (iv) in the case of the Company only, providing any financial or other information or audit required by the proposed buyer’s financing sources and (v) the execution of such agreements and such instruments and other actions reasonably necessary in connection with the Sale of the Company, including to provide customary representations, warranties, indemnities and escrow arrangements relating thereto, in each case in accordance with and subject to the limitations set forth in </w:t>
      </w:r>
      <w:r>
        <w:rPr>
          <w:rFonts w:ascii="Times New Roman" w:cs="Times New Roman" w:eastAsia="Times New Roman" w:hAnsi="Times New Roman"/>
          <w:sz w:val="21"/>
          <w:szCs w:val="21"/>
          <w:u w:val="single" w:color="auto"/>
          <w:color w:val="auto"/>
        </w:rPr>
        <w:t>Section 9.08(d)</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010000"/>
        </w:rPr>
      </w:pPr>
    </w:p>
    <w:p>
      <w:pPr>
        <w:jc w:val="both"/>
        <w:ind w:firstLine="1297"/>
        <w:spacing w:after="0" w:line="219" w:lineRule="auto"/>
        <w:tabs>
          <w:tab w:leader="none" w:pos="1796" w:val="left"/>
        </w:tabs>
        <w:numPr>
          <w:ilvl w:val="0"/>
          <w:numId w:val="1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obligations of the Members with respect to a Sale of the Company are subject to the satisfaction of the following conditions: (i) upon the consummation of such Sale of the Company, each holder of Shares, to the extent such holder is receiving any consideration, shall receive the same form(s) of consideration as each other holder of Shares receives (or the option to receive the same form of consideration), and (ii) the Sale of the Company will be a Deemed Liquidation Event and the aggregate consideration payable upon consummation of such Sale of the Company to all holders of Shares in respect of their Shares shall be apportioned and distributed (after such aggregate consideration is adjusted for Company expenses, purchase price adjustments, escrow amounts, purchase price holdbacks, indemnity obligations and other similar items) as between the classes of Shares in accordance with the relevant provisions of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(assuming that, if such Sale of the Company is structured as a Transfer of Shares and less than all of the Shares are being Transferred, the Shares included in the Transfer are all of the Shares outstanding). For clarity, the application of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may result in some Shares included in the Transfer not receiving any consideration with respect to such Sale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88" w:right="339" w:bottom="1440" w:gutter="0" w:footer="0" w:header="0"/>
        </w:sectPr>
      </w:pPr>
    </w:p>
    <w:bookmarkStart w:id="106" w:name="page107"/>
    <w:bookmarkEnd w:id="106"/>
    <w:p>
      <w:pPr>
        <w:jc w:val="both"/>
        <w:ind w:firstLine="1297"/>
        <w:spacing w:after="0" w:line="236" w:lineRule="auto"/>
        <w:tabs>
          <w:tab w:leader="none" w:pos="1770" w:val="left"/>
        </w:tabs>
        <w:numPr>
          <w:ilvl w:val="0"/>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Company, or if the holders of any Shares, enter into any negotiation or transaction for which Rule 506 (or any similar rule then in effect) promulgated by the SEC may be available with respect to such negotiation or transaction (including a merger, consolidation, or other reorganization), each holder of Equity Securities will, at the request of the Company, appoint either a purchaser representative (as such term is defined in Rule 501) designated by the Company, in which event the Company will pay the fees of such purchaser representative, or another purchaser representative (reasonably acceptable to the Company), in which event such holder will be responsible for the fees of the purchaser representative so appointed. Notwithstanding anything to the contrary, in connection with any Sale of the Company where the consideration in such Sale of the Company consists of or includes securities, if the issuance of such securities to the Member would require either a registration statement under the Securities Act, or preparation of a disclosure statement pursuant to Regulation D (or any successor regulation) under the Securities Act, or preparation of a disclosure document under a similar provision of any state securities law, and such registration statement or disclosure statement or other disclosure document is not otherwise being prepared in connection with the Sale of the Company, then, at the option of the Board of Directors, the Member may receive, in lieu of such securities, the Fair Market Value of such securities in cash.</w:t>
      </w:r>
    </w:p>
    <w:p>
      <w:pPr>
        <w:spacing w:after="0" w:line="160" w:lineRule="exact"/>
        <w:rPr>
          <w:rFonts w:ascii="Times New Roman" w:cs="Times New Roman" w:eastAsia="Times New Roman" w:hAnsi="Times New Roman"/>
          <w:sz w:val="21"/>
          <w:szCs w:val="21"/>
          <w:color w:val="010000"/>
        </w:rPr>
      </w:pPr>
    </w:p>
    <w:p>
      <w:pPr>
        <w:jc w:val="both"/>
        <w:ind w:firstLine="1297"/>
        <w:spacing w:after="0" w:line="230" w:lineRule="auto"/>
        <w:tabs>
          <w:tab w:leader="none" w:pos="1756" w:val="left"/>
        </w:tabs>
        <w:numPr>
          <w:ilvl w:val="0"/>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connection with any Sale of the Company, each Member shall (i) make such customary representations and warranties, including, as applicable, as to due organization and good standing, power and authority, due approval, no conflicts and ownership and title of Shares (including the absence of liens with respect to such Shares) and no litigation pending or threatened against or affecting such Member relating to its ownership of Shares, agree to such covenants and enter into such definitive agreements, in each case as are customary for transactions of the nature of the Sale of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Member shall be required to make any representation or warranty or agree to any covenant that is more extensive or burdensome than those made by the other Members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in no event will the GM Investor or any of its Affiliates, SoftBank or any of its Affiliates, Honda or any of its Affiliates, any Class F New Member or any of its Affiliates, or any Class G New Member or any of its Affiliates be required to enter into a non-competition agreement or be subject to any similar covenant or provision and (B) the Employee Members may be required to enter into certain covenants, including non-compete and non-solicit obligations) and (ii) be obligated to join on a several, and not joint, basis (determined in accordance with such Member’s proportionate share of the proceeds from the Sale of the Company) in any indemnification or other obligations that are part of the terms and conditions of the Sale of the Company (other than to the extent of any escrows or holdbacks established in connection with such Sale of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Member shall be obligated (A) to provide indemnification with respect to the representations, warranties, covenants or agreements of any other Member (other than to the extent of any escrows or holdbacks established in connection with such Sale of the Company), or (B) to incur liability to any Person in connection with such Sale of the Company, including under any indemnity, in excess of the consideration received by such Member in the Sale of the Company (other than for fraud or breach of a covenant).</w:t>
      </w:r>
    </w:p>
    <w:p>
      <w:pPr>
        <w:spacing w:after="0" w:line="150"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784" w:val="left"/>
        </w:tabs>
        <w:numPr>
          <w:ilvl w:val="0"/>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Member will bear his, her or its proportionate share of the costs incurred in connection with a Sale of the Company to the extent such costs are incurred for the benefit of all such holders of Shares and are not otherwise paid by the Company or the acquiring party. Costs incurred by the holders of Shares on their own behalf will not be considered costs of the Sale of the Company.</w:t>
      </w:r>
    </w:p>
    <w:p>
      <w:pPr>
        <w:spacing w:after="0" w:line="153"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720" w:val="left"/>
        </w:tabs>
        <w:numPr>
          <w:ilvl w:val="0"/>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contingent consideration (whether as a result of a release of an escrow or the payment of an “earn out” or otherwise) to be paid in connection with a Sale of the Company shall be allocated among the Members such that each Member receives the amount which such Member would have received if such consideration had been received by the Company and distributed as the next incremental dollars following the Distribution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88" w:right="339" w:bottom="1440" w:gutter="0" w:footer="0" w:header="0"/>
        </w:sectPr>
      </w:pPr>
    </w:p>
    <w:bookmarkStart w:id="107" w:name="page108"/>
    <w:bookmarkEnd w:id="107"/>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amounts previously paid under this Agreement or paid in connection with such Sale of the Company (assuming for such purposes that the Shares Transferred constitute all of the Shares). In the event any Member is liable in such Sale of the Company for amounts in excess of any escrow or holdback (other than any such obligations that relate specifically to a particular Member, such as indemnification with respect to representations and warranties given by a Member regarding such Person’s title to and ownership of Shares), such amounts shall be treated as a deduction to the consideration payable in such Sale of the Company and the aggregate consideration shall be re-allocated among the Members in accordance with </w:t>
      </w:r>
      <w:r>
        <w:rPr>
          <w:rFonts w:ascii="Times New Roman" w:cs="Times New Roman" w:eastAsia="Times New Roman" w:hAnsi="Times New Roman"/>
          <w:sz w:val="21"/>
          <w:szCs w:val="21"/>
          <w:u w:val="single" w:color="auto"/>
          <w:color w:val="auto"/>
        </w:rPr>
        <w:t>Section 9.08(b)</w:t>
      </w:r>
      <w:r>
        <w:rPr>
          <w:rFonts w:ascii="Times New Roman" w:cs="Times New Roman" w:eastAsia="Times New Roman" w:hAnsi="Times New Roman"/>
          <w:sz w:val="21"/>
          <w:szCs w:val="21"/>
          <w:color w:val="auto"/>
        </w:rPr>
        <w:t>. The Members agree that to the extent, as a result of such re-allocation, a Member has received more than its share of the consideration pursuant to such re-allocation, such Member shall deliver such excess to the appropriate Member(s) in order for each Member to receive its appropriate share of the consideration.</w:t>
      </w:r>
    </w:p>
    <w:p>
      <w:pPr>
        <w:spacing w:after="0" w:line="158" w:lineRule="exact"/>
        <w:rPr>
          <w:sz w:val="20"/>
          <w:szCs w:val="20"/>
          <w:color w:val="auto"/>
        </w:rPr>
      </w:pPr>
    </w:p>
    <w:p>
      <w:pPr>
        <w:jc w:val="both"/>
        <w:ind w:firstLine="1297"/>
        <w:spacing w:after="0" w:line="235" w:lineRule="auto"/>
        <w:tabs>
          <w:tab w:leader="none" w:pos="1823" w:val="left"/>
        </w:tabs>
        <w:numPr>
          <w:ilvl w:val="0"/>
          <w:numId w:val="1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limiting the generality of the other provisions of this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but subject to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the Board of Directors shall determine whether or not to pursue, consummate, postpone or abandon any Sale of the Company and, subject to the limitations expressly set forth in this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the terms and conditions thereof.</w:t>
      </w:r>
    </w:p>
    <w:p>
      <w:pPr>
        <w:spacing w:after="0" w:line="150" w:lineRule="exact"/>
        <w:rPr>
          <w:rFonts w:ascii="Times New Roman" w:cs="Times New Roman" w:eastAsia="Times New Roman" w:hAnsi="Times New Roman"/>
          <w:sz w:val="21"/>
          <w:szCs w:val="21"/>
          <w:color w:val="010000"/>
        </w:rPr>
      </w:pPr>
    </w:p>
    <w:p>
      <w:pPr>
        <w:ind w:left="1760" w:hanging="463"/>
        <w:spacing w:after="0"/>
        <w:tabs>
          <w:tab w:leader="none" w:pos="1760" w:val="left"/>
        </w:tabs>
        <w:numPr>
          <w:ilvl w:val="0"/>
          <w:numId w:val="1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shall not apply to any transaction pursuant to </w:t>
      </w:r>
      <w:r>
        <w:rPr>
          <w:rFonts w:ascii="Times New Roman" w:cs="Times New Roman" w:eastAsia="Times New Roman" w:hAnsi="Times New Roman"/>
          <w:sz w:val="21"/>
          <w:szCs w:val="21"/>
          <w:u w:val="single" w:color="auto"/>
          <w:color w:val="auto"/>
        </w:rPr>
        <w:t>Sections 9.10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9.12</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9.09</w:t>
      </w:r>
      <w:r>
        <w:rPr>
          <w:sz w:val="20"/>
          <w:szCs w:val="20"/>
          <w:color w:val="auto"/>
        </w:rPr>
        <w:tab/>
      </w:r>
      <w:r>
        <w:rPr>
          <w:rFonts w:ascii="Times New Roman" w:cs="Times New Roman" w:eastAsia="Times New Roman" w:hAnsi="Times New Roman"/>
          <w:sz w:val="21"/>
          <w:szCs w:val="21"/>
          <w:b w:val="1"/>
          <w:bCs w:val="1"/>
          <w:u w:val="single" w:color="auto"/>
          <w:color w:val="auto"/>
        </w:rPr>
        <w:t>Drag-Along</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16" w:lineRule="auto"/>
        <w:tabs>
          <w:tab w:leader="none" w:pos="1784" w:val="left"/>
        </w:tabs>
        <w:numPr>
          <w:ilvl w:val="0"/>
          <w:numId w:val="1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GM Investor proposes to Transfer more than fifty percent (50%) of the issued and outstanding Equity Securities to an Independent Third Party prior to an IPO (other than any Transfer (i) as provided in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(ii) in connection with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or (iii) pursuant to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the GM Investor shall have the right (but not the obligation) to deliver a written notice (such notice, the “</w:t>
      </w:r>
      <w:r>
        <w:rPr>
          <w:rFonts w:ascii="Times New Roman" w:cs="Times New Roman" w:eastAsia="Times New Roman" w:hAnsi="Times New Roman"/>
          <w:sz w:val="21"/>
          <w:szCs w:val="21"/>
          <w:b w:val="1"/>
          <w:bCs w:val="1"/>
          <w:color w:val="auto"/>
        </w:rPr>
        <w:t>Drag-Along Notice</w:t>
      </w:r>
      <w:r>
        <w:rPr>
          <w:rFonts w:ascii="Times New Roman" w:cs="Times New Roman" w:eastAsia="Times New Roman" w:hAnsi="Times New Roman"/>
          <w:sz w:val="21"/>
          <w:szCs w:val="21"/>
          <w:color w:val="auto"/>
        </w:rPr>
        <w:t>”) of its intention to do so to each other Member (the “</w:t>
      </w:r>
      <w:r>
        <w:rPr>
          <w:rFonts w:ascii="Times New Roman" w:cs="Times New Roman" w:eastAsia="Times New Roman" w:hAnsi="Times New Roman"/>
          <w:sz w:val="21"/>
          <w:szCs w:val="21"/>
          <w:b w:val="1"/>
          <w:bCs w:val="1"/>
          <w:color w:val="auto"/>
        </w:rPr>
        <w:t>Dragees</w:t>
      </w:r>
      <w:r>
        <w:rPr>
          <w:rFonts w:ascii="Times New Roman" w:cs="Times New Roman" w:eastAsia="Times New Roman" w:hAnsi="Times New Roman"/>
          <w:sz w:val="21"/>
          <w:szCs w:val="21"/>
          <w:color w:val="auto"/>
        </w:rPr>
        <w:t>”). The Drag-Along Notice shall set forth the aggregate consideration to be paid by the Independent Third Party and the other material terms and conditions of such transaction (a “</w:t>
      </w:r>
      <w:r>
        <w:rPr>
          <w:rFonts w:ascii="Times New Roman" w:cs="Times New Roman" w:eastAsia="Times New Roman" w:hAnsi="Times New Roman"/>
          <w:sz w:val="21"/>
          <w:szCs w:val="21"/>
          <w:b w:val="1"/>
          <w:bCs w:val="1"/>
          <w:color w:val="auto"/>
        </w:rPr>
        <w:t>Drag-Along Sale Transaction</w:t>
      </w:r>
      <w:r>
        <w:rPr>
          <w:rFonts w:ascii="Times New Roman" w:cs="Times New Roman" w:eastAsia="Times New Roman" w:hAnsi="Times New Roman"/>
          <w:sz w:val="21"/>
          <w:szCs w:val="21"/>
          <w:color w:val="auto"/>
        </w:rPr>
        <w:t xml:space="preserve">”), which shall be the same (in all but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and immaterial respects) for the GM Investor and the other Members except as otherwise contemplated by this Agreement. Upon receipt of the Drag-Along Notice, each Dragee shall be required to participate in the proposed Transfer in accordance with the terms and conditions of this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such Drag-Along Sale Transaction involves less than one hundred percent (100%) of the Shares held by the GM Investor, then each Dragee will only be required to participate in the proposed Transfer to the Independent Third Party with respect to such percentage of each class of its Shares as equals the percentage of the GM Investor’s total Shares being sold in such Drag-Along Sale Transaction (the “</w:t>
      </w:r>
      <w:r>
        <w:rPr>
          <w:rFonts w:ascii="Times New Roman" w:cs="Times New Roman" w:eastAsia="Times New Roman" w:hAnsi="Times New Roman"/>
          <w:sz w:val="21"/>
          <w:szCs w:val="21"/>
          <w:b w:val="1"/>
          <w:bCs w:val="1"/>
          <w:color w:val="auto"/>
        </w:rPr>
        <w:t>Drag Percentage</w:t>
      </w:r>
      <w:r>
        <w:rPr>
          <w:rFonts w:ascii="Times New Roman" w:cs="Times New Roman" w:eastAsia="Times New Roman" w:hAnsi="Times New Roman"/>
          <w:sz w:val="21"/>
          <w:szCs w:val="21"/>
          <w:color w:val="auto"/>
        </w:rPr>
        <w:t xml:space="preserve">”). If the GM Investor is given an option as to the form and amount of consideration to be received under this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all Dragees shall be given the same option and, otherwise, the ratio of both (i) any cash to any non-cash consideration and (ii) among any type of non-cash property or asset consideration to any other type of non-cash property or asset consideration shall be equal (to the extent reasonably practicable) for each of the GM Investor and the Dragees. Within ten (10) Business Days following receipt of the Drag-Along Notice, each Dragee shall deliver to a representative of the Company or the GM Member designated in the Drag-Along Notice such certificates (if certificated) representing all Shares (or the Drag Percentage of each class of its Shares, as applicable) held by such Dragee or in other cases mutually acceptable instruments of transfer duly endorsed, together with a limited power-of-attorney authorizing the Company and the GM Investor to sell or otherwise dispose of such Shares pursuant to the proposed Transfer to the Independent Third Party, as well as any other documents required to be executed in connection with such transaction. In the event that any Dragee should fail to deliver such certificates (if certificated) or other documentation to the Company or the GM Investor’s representative, the Company shall cause the books and records of the Company to show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88" w:right="339" w:bottom="1440" w:gutter="0" w:footer="0" w:header="0"/>
        </w:sectPr>
      </w:pPr>
    </w:p>
    <w:bookmarkStart w:id="108" w:name="page109"/>
    <w:bookmarkEnd w:id="108"/>
    <w:p>
      <w:pPr>
        <w:spacing w:after="0" w:line="251" w:lineRule="auto"/>
        <w:rPr>
          <w:sz w:val="20"/>
          <w:szCs w:val="20"/>
          <w:color w:val="auto"/>
        </w:rPr>
      </w:pPr>
      <w:r>
        <w:rPr>
          <w:rFonts w:ascii="Times New Roman" w:cs="Times New Roman" w:eastAsia="Times New Roman" w:hAnsi="Times New Roman"/>
          <w:sz w:val="21"/>
          <w:szCs w:val="21"/>
          <w:color w:val="auto"/>
        </w:rPr>
        <w:t xml:space="preserve">Shares of such Dragee are bound by the provisions of this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and that such Shares may be Transferred only to the Independent Third Party.</w:t>
      </w:r>
    </w:p>
    <w:p>
      <w:pPr>
        <w:spacing w:after="0" w:line="140" w:lineRule="exact"/>
        <w:rPr>
          <w:sz w:val="20"/>
          <w:szCs w:val="20"/>
          <w:color w:val="auto"/>
        </w:rPr>
      </w:pPr>
    </w:p>
    <w:p>
      <w:pPr>
        <w:jc w:val="both"/>
        <w:ind w:firstLine="1297"/>
        <w:spacing w:after="0" w:line="218" w:lineRule="auto"/>
        <w:tabs>
          <w:tab w:leader="none" w:pos="1769"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and the GM Investor shall have ninety (90) days following delivery of the Drag-Along Notice to complete the Transfer of the Shares in accordance with this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Transfer would require the GM Investor, any Dragee, the Independent Third Party, the Company or an Affiliate of any of the foregoing to obtain any regulatory approval prior to consummating such sale, such ninety (90) day period shall be extended to the date that is five (5) Business Days after such regulatory approval has been obtained or finally denied. If, within such ninety (90) day period (as it may be extended) after the Company or the GM Investor has given the Drag-Along Notice, it shall not have completed the Transfer of all the Shares of the GM Investor and the Dragees in accordance with this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the Company or the GM Investor shall return to each of the Dragees all certificates (if certificated) representing Shares, or in other cases, mutually acceptable instruments of transfer, that the Dragees delivered for Transfer pursuant hereto and that were not purchased in accordance with this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any one or more of the Dragees defaults, the Company or the GM Investor shall be permitted, but not obligated, to complete the sale by all non-defaulting Dragees, and (ii) the completion of the sale by the Company or the GM Investor and such non-defaulting Dragees shall not relieve a defaulting Dragee of liability for its breach. All reasonable out-of-pocket costs and expenses incurred by the Company, the GM Investor and the Dragees in connection with the Transfers set forth in this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shall be paid by the Company.</w:t>
      </w:r>
    </w:p>
    <w:p>
      <w:pPr>
        <w:spacing w:after="0" w:line="153" w:lineRule="exact"/>
        <w:rPr>
          <w:rFonts w:ascii="Times New Roman" w:cs="Times New Roman" w:eastAsia="Times New Roman" w:hAnsi="Times New Roman"/>
          <w:sz w:val="21"/>
          <w:szCs w:val="21"/>
          <w:color w:val="010000"/>
        </w:rPr>
      </w:pPr>
    </w:p>
    <w:p>
      <w:pPr>
        <w:jc w:val="both"/>
        <w:ind w:firstLine="1297"/>
        <w:spacing w:after="0" w:line="220" w:lineRule="auto"/>
        <w:tabs>
          <w:tab w:leader="none" w:pos="1757"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Drag-Along Sale Transaction will be a Deemed Liquidation Event and the aggregate consideration payable upon consummation of such Drag-Along Sale Transaction to all holders of Shares in respect of their Shares included in such Drag-Along Sale Transaction shall be apportioned and distributed (after such aggregate consideration is adjusted for Company expenses, purchase price adjustments, escrow amounts, purchase price holdbacks, indemnity obligations and other similar items) as between the classes of Shares included in such Drag-Along Sale Transaction in accordance with the relevant provisions of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(it being understood that, if less than all of the Shares are being Transferred, for purposes of such calculations, it shall be assumed that the Shares included in such Drag-Along Sale Transaction constitute all of the Shares outstanding). For clarity, the application of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may result in some Shares included in the Drag-Along Sale Transaction not receiving any consideration with respect to such Drag-Along Sale Transaction.</w:t>
      </w:r>
    </w:p>
    <w:p>
      <w:pPr>
        <w:spacing w:after="0" w:line="155" w:lineRule="exact"/>
        <w:rPr>
          <w:rFonts w:ascii="Times New Roman" w:cs="Times New Roman" w:eastAsia="Times New Roman" w:hAnsi="Times New Roman"/>
          <w:sz w:val="21"/>
          <w:szCs w:val="21"/>
          <w:color w:val="010000"/>
        </w:rPr>
      </w:pPr>
    </w:p>
    <w:p>
      <w:pPr>
        <w:ind w:left="1820" w:hanging="523"/>
        <w:spacing w:after="0"/>
        <w:tabs>
          <w:tab w:leader="none" w:pos="1820"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shall not apply to any Transfer to a Permitted Transferee in accordance</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010000"/>
        </w:rPr>
      </w:pPr>
    </w:p>
    <w:p>
      <w:pPr>
        <w:ind w:firstLine="1297"/>
        <w:spacing w:after="0" w:line="251" w:lineRule="auto"/>
        <w:tabs>
          <w:tab w:leader="none" w:pos="1743"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obligations of a Member in connection with a Drag-Along Sale shall be subject to the limitations set forth in </w:t>
      </w:r>
      <w:r>
        <w:rPr>
          <w:rFonts w:ascii="Times New Roman" w:cs="Times New Roman" w:eastAsia="Times New Roman" w:hAnsi="Times New Roman"/>
          <w:sz w:val="21"/>
          <w:szCs w:val="21"/>
          <w:u w:val="single" w:color="auto"/>
          <w:color w:val="auto"/>
        </w:rPr>
        <w:t>Section 9.08(d)</w:t>
      </w:r>
      <w:r>
        <w:rPr>
          <w:rFonts w:ascii="Times New Roman" w:cs="Times New Roman" w:eastAsia="Times New Roman" w:hAnsi="Times New Roman"/>
          <w:sz w:val="21"/>
          <w:szCs w:val="21"/>
          <w:color w:val="auto"/>
        </w:rPr>
        <w:t xml:space="preserve"> as if such Drag-Along Sale was a Sale of the Company thereunder.</w:t>
      </w:r>
    </w:p>
    <w:p>
      <w:pPr>
        <w:spacing w:after="0" w:line="13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9.10</w:t>
      </w:r>
      <w:r>
        <w:rPr>
          <w:sz w:val="20"/>
          <w:szCs w:val="20"/>
          <w:color w:val="auto"/>
        </w:rPr>
        <w:tab/>
      </w:r>
      <w:r>
        <w:rPr>
          <w:rFonts w:ascii="Times New Roman" w:cs="Times New Roman" w:eastAsia="Times New Roman" w:hAnsi="Times New Roman"/>
          <w:sz w:val="21"/>
          <w:szCs w:val="21"/>
          <w:b w:val="1"/>
          <w:bCs w:val="1"/>
          <w:u w:val="single" w:color="auto"/>
          <w:color w:val="auto"/>
        </w:rPr>
        <w:t>Public Offering</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22" w:lineRule="auto"/>
        <w:tabs>
          <w:tab w:leader="none" w:pos="1784" w:val="left"/>
        </w:tabs>
        <w:numPr>
          <w:ilvl w:val="0"/>
          <w:numId w:val="1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Board of Directors authorizes (subject to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6.13(d)</w:t>
      </w:r>
      <w:r>
        <w:rPr>
          <w:rFonts w:ascii="Times New Roman" w:cs="Times New Roman" w:eastAsia="Times New Roman" w:hAnsi="Times New Roman"/>
          <w:sz w:val="21"/>
          <w:szCs w:val="21"/>
          <w:color w:val="auto"/>
        </w:rPr>
        <w:t>) the Company to undertake an IPO (which may be abandoned at any time prior to its consummation by the Board of Directors), or the GM Investor notifies the Company that it wishes to consummate an IPO that takes the form of distribution of IPO Shares to the stockholders of GM Parent pursuant to a Form 10 (or any successor form), then each of the Company, the Members and any holder of Equity Securities agrees to, and agrees to cause its Affiliates to, take such commercially reasonable actions and provide such commercially reasonable cooperation and assistance as may be necessary to consummate the IPO in an expeditious and efficient manner and not to take any action or engage in any activity designed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88" w:right="339" w:bottom="1440" w:gutter="0" w:footer="0" w:header="0"/>
        </w:sectPr>
      </w:pPr>
    </w:p>
    <w:bookmarkStart w:id="109" w:name="page110"/>
    <w:bookmarkEnd w:id="109"/>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hinder, prevent or delay the consummation of the IPO. Subject to </w:t>
      </w:r>
      <w:r>
        <w:rPr>
          <w:rFonts w:ascii="Times New Roman" w:cs="Times New Roman" w:eastAsia="Times New Roman" w:hAnsi="Times New Roman"/>
          <w:sz w:val="21"/>
          <w:szCs w:val="21"/>
          <w:u w:val="single" w:color="auto"/>
          <w:color w:val="auto"/>
        </w:rPr>
        <w:t>Section 9.10(b)</w:t>
      </w:r>
      <w:r>
        <w:rPr>
          <w:rFonts w:ascii="Times New Roman" w:cs="Times New Roman" w:eastAsia="Times New Roman" w:hAnsi="Times New Roman"/>
          <w:sz w:val="21"/>
          <w:szCs w:val="21"/>
          <w:color w:val="auto"/>
        </w:rPr>
        <w:t xml:space="preserve">, in connection with the IPO, each Share will be exchanged on an as-converted basis as if all Non-A-1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 accordance with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for one share or unit (as applicable) of the single type of equity security of the Company that is listed and admitted for trading on the New York Stock Exchange, the NASDAQ Stock Market or other nationally recognized exchange (the “</w:t>
      </w:r>
      <w:r>
        <w:rPr>
          <w:rFonts w:ascii="Times New Roman" w:cs="Times New Roman" w:eastAsia="Times New Roman" w:hAnsi="Times New Roman"/>
          <w:sz w:val="21"/>
          <w:szCs w:val="21"/>
          <w:b w:val="1"/>
          <w:bCs w:val="1"/>
          <w:color w:val="auto"/>
        </w:rPr>
        <w:t>IPO Shares</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all references to “Company” shall also refer to</w:t>
      </w:r>
    </w:p>
    <w:p>
      <w:pPr>
        <w:spacing w:after="0" w:line="1" w:lineRule="exact"/>
        <w:rPr>
          <w:sz w:val="20"/>
          <w:szCs w:val="20"/>
          <w:color w:val="auto"/>
        </w:rPr>
      </w:pPr>
    </w:p>
    <w:p>
      <w:pPr>
        <w:ind w:left="260" w:hanging="253"/>
        <w:spacing w:after="0"/>
        <w:tabs>
          <w:tab w:leader="none" w:pos="26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corporate successor to the Company or (ii) any parent or Subsidiary of the Company, in each case which effects the IPO.</w:t>
      </w:r>
    </w:p>
    <w:p>
      <w:pPr>
        <w:spacing w:after="0" w:line="164" w:lineRule="exact"/>
        <w:rPr>
          <w:rFonts w:ascii="Times New Roman" w:cs="Times New Roman" w:eastAsia="Times New Roman" w:hAnsi="Times New Roman"/>
          <w:sz w:val="21"/>
          <w:szCs w:val="21"/>
          <w:color w:val="auto"/>
        </w:rPr>
      </w:pPr>
    </w:p>
    <w:p>
      <w:pPr>
        <w:jc w:val="both"/>
        <w:ind w:firstLine="1297"/>
        <w:spacing w:after="0"/>
        <w:tabs>
          <w:tab w:leader="none" w:pos="1769" w:val="left"/>
        </w:tabs>
        <w:numPr>
          <w:ilvl w:val="1"/>
          <w:numId w:val="1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IPO Shares issued to each Class C Member with respect to each Class C Common Share and each Class A-2 Preferred Member with respect to each Class A-2 Preferred Share (collectively, the “</w:t>
      </w:r>
      <w:r>
        <w:rPr>
          <w:rFonts w:ascii="Times New Roman" w:cs="Times New Roman" w:eastAsia="Times New Roman" w:hAnsi="Times New Roman"/>
          <w:sz w:val="21"/>
          <w:szCs w:val="21"/>
          <w:b w:val="1"/>
          <w:bCs w:val="1"/>
          <w:color w:val="auto"/>
        </w:rPr>
        <w:t>High-Vote IPO Shares</w:t>
      </w:r>
      <w:r>
        <w:rPr>
          <w:rFonts w:ascii="Times New Roman" w:cs="Times New Roman" w:eastAsia="Times New Roman" w:hAnsi="Times New Roman"/>
          <w:sz w:val="21"/>
          <w:szCs w:val="21"/>
          <w:color w:val="auto"/>
        </w:rPr>
        <w:t xml:space="preserve">”) will be of a different class to the IPO Shares. The High-Vote IPO Shares will be identical to the IPO Shares, except that they will be entitled to a number of votes per High-Vote IPO Share on all matters on which stockholders of the Company may vote (including the election of directors) as will be reasonably determined by the GM Investor to enable the GM Investor to establish or maintain “control” (within the meaning of Section 368(c) of the Code) of the Company at the time of the consummation of the IPO (in the case of an IPO effected by a “spin-off” or “split-off” transaction), or immediately after the consummation of the IPO (in the case of any other IPO), in each case taking into account any other planned issuances or transfers of IPO Shares. Each Member, including each Class A-1 Preferred Member, will take all reasonable action requested by the Company to give effect to this </w:t>
      </w:r>
      <w:r>
        <w:rPr>
          <w:rFonts w:ascii="Times New Roman" w:cs="Times New Roman" w:eastAsia="Times New Roman" w:hAnsi="Times New Roman"/>
          <w:sz w:val="21"/>
          <w:szCs w:val="21"/>
          <w:u w:val="single" w:color="auto"/>
          <w:color w:val="auto"/>
        </w:rPr>
        <w:t>Section 9.10(b)</w:t>
      </w:r>
      <w:r>
        <w:rPr>
          <w:rFonts w:ascii="Times New Roman" w:cs="Times New Roman" w:eastAsia="Times New Roman" w:hAnsi="Times New Roman"/>
          <w:sz w:val="21"/>
          <w:szCs w:val="21"/>
          <w:color w:val="auto"/>
        </w:rPr>
        <w:t xml:space="preserve"> and to cause GM to have “control” within the meaning of Section 368(c) of the Code immediately prior to any “spin-off” or “split-off” transaction.</w:t>
      </w:r>
    </w:p>
    <w:p>
      <w:pPr>
        <w:spacing w:after="0" w:line="165" w:lineRule="exact"/>
        <w:rPr>
          <w:rFonts w:ascii="Times New Roman" w:cs="Times New Roman" w:eastAsia="Times New Roman" w:hAnsi="Times New Roman"/>
          <w:sz w:val="21"/>
          <w:szCs w:val="21"/>
          <w:color w:val="010000"/>
        </w:rPr>
      </w:pPr>
    </w:p>
    <w:p>
      <w:pPr>
        <w:jc w:val="both"/>
        <w:ind w:firstLine="1297"/>
        <w:spacing w:after="0" w:line="215" w:lineRule="auto"/>
        <w:tabs>
          <w:tab w:leader="none" w:pos="1757" w:val="left"/>
        </w:tabs>
        <w:numPr>
          <w:ilvl w:val="1"/>
          <w:numId w:val="1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limiting (and without prejudice to) the other subsections of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if immediately prior to an IPO the Board of Directors determines that it is in the best interests of the Company and its Members (taken as a whole) to engage in a reorganization pursuant to which a new corporation, limited liability company, partnership or other entity (the “</w:t>
      </w:r>
      <w:r>
        <w:rPr>
          <w:rFonts w:ascii="Times New Roman" w:cs="Times New Roman" w:eastAsia="Times New Roman" w:hAnsi="Times New Roman"/>
          <w:sz w:val="21"/>
          <w:szCs w:val="21"/>
          <w:b w:val="1"/>
          <w:bCs w:val="1"/>
          <w:color w:val="auto"/>
        </w:rPr>
        <w:t>Entity</w:t>
      </w:r>
      <w:r>
        <w:rPr>
          <w:rFonts w:ascii="Times New Roman" w:cs="Times New Roman" w:eastAsia="Times New Roman" w:hAnsi="Times New Roman"/>
          <w:sz w:val="21"/>
          <w:szCs w:val="21"/>
          <w:color w:val="auto"/>
        </w:rPr>
        <w:t>”) is formed and the Equity Securities of the company are recapitalized or reorganized into classes of Equity Securities of the Entity, then each Member will (i) consent (and, to the extent required, vote in favor of) such recapitalization, reorganization or exchange of the existing Equity Securities of the Company into the Equity Securities of the Entity, and (ii) take all such reasonable actions that are necessary in connection with the consummation of the recapitalization, reorganization or exchange, including entering into a new stockholders’ agreement, members’ agreement, limited liability company agreement, employee equity arrangements and/or other agreements and arrangements in respect of the Equity Securities of the Entity, in each case, on terms and conditions substantially similar to such agreements and arrangements in respect of the Equity Securities of the Company that are in effect immediately prior to such recapitalization or reorganization; provided, that the Board of Directors shall not be permitted to approve, the Company shall not be permitted to engage in, and no Member shall be required to provide any consent to or to take any action in connection with, any such formation, recapitalization or reorganization, in each case if (A) such formation, recapitalization or reorganization was undertaken in bad faith, (B) the intent or direct result of such formation, recapitalization or reorganization is or would be to impair, in any material respect, the express rights of any Member hereunder or</w:t>
      </w:r>
    </w:p>
    <w:p>
      <w:pPr>
        <w:spacing w:after="0" w:line="3" w:lineRule="exact"/>
        <w:rPr>
          <w:rFonts w:ascii="Times New Roman" w:cs="Times New Roman" w:eastAsia="Times New Roman" w:hAnsi="Times New Roman"/>
          <w:sz w:val="21"/>
          <w:szCs w:val="21"/>
          <w:color w:val="010000"/>
        </w:rPr>
      </w:pPr>
    </w:p>
    <w:p>
      <w:pPr>
        <w:jc w:val="both"/>
        <w:spacing w:after="0" w:line="223"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(C) such formation, recapitalization or reorganization adversely affects any Member in a manner which is disproportionate to the other Members (except as contemplated by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For the avoidance of doubt, any reorganization or recapitalization undertaken pursuant to this </w:t>
      </w:r>
      <w:r>
        <w:rPr>
          <w:rFonts w:ascii="Times New Roman" w:cs="Times New Roman" w:eastAsia="Times New Roman" w:hAnsi="Times New Roman"/>
          <w:sz w:val="21"/>
          <w:szCs w:val="21"/>
          <w:u w:val="single" w:color="auto"/>
          <w:color w:val="auto"/>
        </w:rPr>
        <w:t>Section 9.10(c)</w:t>
      </w:r>
      <w:r>
        <w:rPr>
          <w:rFonts w:ascii="Times New Roman" w:cs="Times New Roman" w:eastAsia="Times New Roman" w:hAnsi="Times New Roman"/>
          <w:sz w:val="21"/>
          <w:szCs w:val="21"/>
          <w:color w:val="auto"/>
        </w:rPr>
        <w:t xml:space="preserve"> shall include provision for an Equity Security analogous to the High-Vote IPO Shares described in </w:t>
      </w:r>
      <w:r>
        <w:rPr>
          <w:rFonts w:ascii="Times New Roman" w:cs="Times New Roman" w:eastAsia="Times New Roman" w:hAnsi="Times New Roman"/>
          <w:sz w:val="21"/>
          <w:szCs w:val="21"/>
          <w:u w:val="single" w:color="auto"/>
          <w:color w:val="auto"/>
        </w:rPr>
        <w:t>Section 9.10(b)</w:t>
      </w:r>
      <w:r>
        <w:rPr>
          <w:rFonts w:ascii="Times New Roman" w:cs="Times New Roman" w:eastAsia="Times New Roman" w:hAnsi="Times New Roman"/>
          <w:sz w:val="21"/>
          <w:szCs w:val="21"/>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388" w:right="339" w:bottom="1440" w:gutter="0" w:footer="0" w:header="0"/>
        </w:sectPr>
      </w:pPr>
    </w:p>
    <w:bookmarkStart w:id="110" w:name="page111"/>
    <w:bookmarkEnd w:id="110"/>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9.11</w:t>
      </w:r>
      <w:r>
        <w:rPr>
          <w:sz w:val="20"/>
          <w:szCs w:val="20"/>
          <w:color w:val="auto"/>
        </w:rPr>
        <w:tab/>
      </w:r>
      <w:r>
        <w:rPr>
          <w:rFonts w:ascii="Times New Roman" w:cs="Times New Roman" w:eastAsia="Times New Roman" w:hAnsi="Times New Roman"/>
          <w:sz w:val="21"/>
          <w:szCs w:val="21"/>
          <w:b w:val="1"/>
          <w:bCs w:val="1"/>
          <w:u w:val="single" w:color="auto"/>
          <w:color w:val="auto"/>
        </w:rPr>
        <w:t>Registration Rights; “Market Stand-Off” Agreement; Volume Restrictions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18" w:lineRule="auto"/>
        <w:tabs>
          <w:tab w:leader="none" w:pos="1770" w:val="left"/>
        </w:tabs>
        <w:numPr>
          <w:ilvl w:val="1"/>
          <w:numId w:val="1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After the consummation of an IPO pursuant to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the Company shall grant to (i) the GM Investor an unlimited number of demand registration rights (including underwritten offerings), (ii) each Class A-1 Preferred Member that, together with its Affiliates, beneficially owns more than ten percent (10%) of the Equity Securities in the Company, demand registration rights (including underwritten offerings) and (iii) (A) all Members that, together with its Affiliates, beneficially own more than five percent (5%) of the Equity Securities in the Company, piggyback registration rights and shelf registration rights,</w:t>
      </w:r>
    </w:p>
    <w:p>
      <w:pPr>
        <w:spacing w:after="0" w:line="2" w:lineRule="exact"/>
        <w:rPr>
          <w:rFonts w:ascii="Times New Roman" w:cs="Times New Roman" w:eastAsia="Times New Roman" w:hAnsi="Times New Roman"/>
          <w:sz w:val="21"/>
          <w:szCs w:val="21"/>
          <w:color w:val="010000"/>
        </w:rPr>
      </w:pPr>
    </w:p>
    <w:p>
      <w:pPr>
        <w:jc w:val="both"/>
        <w:ind w:firstLine="7"/>
        <w:spacing w:after="0" w:line="236" w:lineRule="auto"/>
        <w:tabs>
          <w:tab w:leader="none" w:pos="34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Class F New Members for so long as they, together with their Affiliates, beneficially own more than one half of a percent (0.50%) of the Equity Securities in the Company, piggyback registration rights, in each case, subject to customary terms and conditions as at the time of the IPO, and (C) each of the Class G New Members for so long as they, together with their Affiliates, beneficially own more than five percent (5%) of the Equity Securities in the Company, piggyback registration rights, in each case, subject to customary terms and conditions as at the time of the IPO;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Class A-1 Preferred Members may collectively exercise up to three (3) demands, the Company shall not be required to consummate more than one (1) demand registration (including underwritten offering) per ninety (90) day period, the Company shall not be required to consummate any demand registration (including underwritten offering) expected to realize less than $100,000,000 of gross proceeds (before deduction of any underwriting discount, fees or expenses) and the Company may suspend registration rights for up to one hundred twenty (120) days in any calendar year if the filing or maintenance of a registration statement would, if not so suspended, adversely affect a proposed corporate transaction or adversely affect the Company by requiring premature disclosure of confidential information.</w:t>
      </w:r>
    </w:p>
    <w:p>
      <w:pPr>
        <w:spacing w:after="0" w:line="158" w:lineRule="exact"/>
        <w:rPr>
          <w:rFonts w:ascii="Times New Roman" w:cs="Times New Roman" w:eastAsia="Times New Roman" w:hAnsi="Times New Roman"/>
          <w:sz w:val="21"/>
          <w:szCs w:val="21"/>
          <w:color w:val="auto"/>
        </w:rPr>
      </w:pPr>
    </w:p>
    <w:p>
      <w:pPr>
        <w:jc w:val="both"/>
        <w:ind w:firstLine="1297"/>
        <w:spacing w:after="0" w:line="220" w:lineRule="auto"/>
        <w:tabs>
          <w:tab w:leader="none" w:pos="1836" w:val="left"/>
        </w:tabs>
        <w:numPr>
          <w:ilvl w:val="1"/>
          <w:numId w:val="1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Member hereby agrees that (i) during the period of duration (up to, but not exceeding, one hundred eighty (180) days) specified by the Company and an underwriter of Equity Securities of the Company or its successor, following the date of the final prospectus distributed in connection with the IPO,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or any Equity Securities acquired by such Member in the IPO or following the completion of the IPO and (ii) it shall, if requested by the managing underwriter or underwriters in connection with the IPO, execute a customary “lockup” agreement in the form requested by the managing underwriter or underwriters with a duration not to exceed one hundred eighty (180) days.</w:t>
      </w:r>
    </w:p>
    <w:p>
      <w:pPr>
        <w:spacing w:after="0" w:line="157" w:lineRule="exact"/>
        <w:rPr>
          <w:rFonts w:ascii="Times New Roman" w:cs="Times New Roman" w:eastAsia="Times New Roman" w:hAnsi="Times New Roman"/>
          <w:sz w:val="21"/>
          <w:szCs w:val="21"/>
          <w:color w:val="010000"/>
        </w:rPr>
      </w:pPr>
    </w:p>
    <w:p>
      <w:pPr>
        <w:jc w:val="both"/>
        <w:ind w:firstLine="1297"/>
        <w:spacing w:after="0" w:line="220" w:lineRule="auto"/>
        <w:tabs>
          <w:tab w:leader="none" w:pos="1757" w:val="left"/>
        </w:tabs>
        <w:numPr>
          <w:ilvl w:val="1"/>
          <w:numId w:val="1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Member hereby agrees that (i) during the period of duration (up to, but not exceeding, ninety (90) days) specified by the Company and an underwriter of Equity Securities of the Company or its successor, following the date of the final prospectus distributed in connection with an underwritten public follow-on offering,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and (ii) it shall, if requested by the managing underwriter or underwriters in connection with an underwritten public follow-on offering, execute a customary “lockup” agreement in the form requested by the managing underwriter or underwriters with a duration not to exceed ninety (90) days.</w:t>
      </w:r>
    </w:p>
    <w:p>
      <w:pPr>
        <w:spacing w:after="0" w:line="157"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69" w:val="left"/>
        </w:tabs>
        <w:numPr>
          <w:ilvl w:val="1"/>
          <w:numId w:val="1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All Members shall be treated similarly with respect to any release prior to the termination of the time periods for the transfer restrictions contemplated by </w:t>
      </w:r>
      <w:r>
        <w:rPr>
          <w:rFonts w:ascii="Times New Roman" w:cs="Times New Roman" w:eastAsia="Times New Roman" w:hAnsi="Times New Roman"/>
          <w:sz w:val="21"/>
          <w:szCs w:val="21"/>
          <w:u w:val="single" w:color="auto"/>
          <w:color w:val="auto"/>
        </w:rPr>
        <w:t>Section 9.11(b)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9.11(c)</w:t>
      </w:r>
      <w:r>
        <w:rPr>
          <w:rFonts w:ascii="Times New Roman" w:cs="Times New Roman" w:eastAsia="Times New Roman" w:hAnsi="Times New Roman"/>
          <w:sz w:val="21"/>
          <w:szCs w:val="21"/>
          <w:color w:val="auto"/>
        </w:rPr>
        <w:t xml:space="preserve"> (including any extension thereof) such that if any such persons are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84" w:right="339" w:bottom="1440" w:gutter="0" w:footer="0" w:header="0"/>
        </w:sectPr>
      </w:pPr>
    </w:p>
    <w:bookmarkStart w:id="111" w:name="page112"/>
    <w:bookmarkEnd w:id="111"/>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then all Members shall also be released to the same extent on a pro rata basis. In order to enforce the foregoing covenant in connection with the IPO or an underwritten public follow-on offering, the Company may impose stop-transfer instructions with respect to the Equity Securities of each Member and its Affiliates (and the Equity Securities of every other Person subject to the foregoing restriction) until the end of such period, and each Member agrees that, if so requested, such Member will execute, and will cause its Affiliates to execute, an agreement in the form provided by the underwriter containing terms which are essentially consistent with the provisions of </w:t>
      </w:r>
      <w:r>
        <w:rPr>
          <w:rFonts w:ascii="Times New Roman" w:cs="Times New Roman" w:eastAsia="Times New Roman" w:hAnsi="Times New Roman"/>
          <w:sz w:val="21"/>
          <w:szCs w:val="21"/>
          <w:u w:val="single" w:color="auto"/>
          <w:color w:val="auto"/>
        </w:rPr>
        <w:t>Section 9.11(a)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9.11(b)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9.11(c)</w:t>
      </w:r>
      <w:r>
        <w:rPr>
          <w:rFonts w:ascii="Times New Roman" w:cs="Times New Roman" w:eastAsia="Times New Roman" w:hAnsi="Times New Roman"/>
          <w:sz w:val="21"/>
          <w:szCs w:val="21"/>
          <w:color w:val="auto"/>
        </w:rPr>
        <w:t xml:space="preserve">. Notwithstanding the foregoing, the obligations described in </w:t>
      </w:r>
      <w:r>
        <w:rPr>
          <w:rFonts w:ascii="Times New Roman" w:cs="Times New Roman" w:eastAsia="Times New Roman" w:hAnsi="Times New Roman"/>
          <w:sz w:val="21"/>
          <w:szCs w:val="21"/>
          <w:u w:val="single" w:color="auto"/>
          <w:color w:val="auto"/>
        </w:rPr>
        <w:t>Section 9.11(a)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9.11(b)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9.11(c)</w:t>
      </w:r>
      <w:r>
        <w:rPr>
          <w:rFonts w:ascii="Times New Roman" w:cs="Times New Roman" w:eastAsia="Times New Roman" w:hAnsi="Times New Roman"/>
          <w:sz w:val="21"/>
          <w:szCs w:val="21"/>
          <w:color w:val="auto"/>
        </w:rPr>
        <w:t xml:space="preserve"> shall not apply to a registration relating solely to employee benefit plans on Form S-1 or Form S-8 or similar forms which may be promulgated in the future, or a registration relating solely to an SEC Rule 145 transaction on Form S-4 or similar forms which may be promulgated in the future.</w:t>
      </w:r>
    </w:p>
    <w:p>
      <w:pPr>
        <w:spacing w:after="0" w:line="15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9.12</w:t>
      </w:r>
      <w:r>
        <w:rPr>
          <w:sz w:val="20"/>
          <w:szCs w:val="20"/>
          <w:color w:val="auto"/>
        </w:rPr>
        <w:tab/>
      </w:r>
      <w:r>
        <w:rPr>
          <w:rFonts w:ascii="Times New Roman" w:cs="Times New Roman" w:eastAsia="Times New Roman" w:hAnsi="Times New Roman"/>
          <w:sz w:val="21"/>
          <w:szCs w:val="21"/>
          <w:b w:val="1"/>
          <w:bCs w:val="1"/>
          <w:u w:val="single" w:color="auto"/>
          <w:color w:val="auto"/>
        </w:rPr>
        <w:t>Call Rights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32" w:lineRule="auto"/>
        <w:tabs>
          <w:tab w:leader="none" w:pos="1757" w:val="left"/>
        </w:tabs>
        <w:numPr>
          <w:ilvl w:val="0"/>
          <w:numId w:val="1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any time after the SoftBank Trigger Date, the Company will have the right, by providing written notice to each Class A-1 Preferred Member, each Class D Member and the Board of Directors (a “</w:t>
      </w:r>
      <w:r>
        <w:rPr>
          <w:rFonts w:ascii="Times New Roman" w:cs="Times New Roman" w:eastAsia="Times New Roman" w:hAnsi="Times New Roman"/>
          <w:sz w:val="21"/>
          <w:szCs w:val="21"/>
          <w:b w:val="1"/>
          <w:bCs w:val="1"/>
          <w:color w:val="auto"/>
        </w:rPr>
        <w:t>SoftBank Call Notice</w:t>
      </w:r>
      <w:r>
        <w:rPr>
          <w:rFonts w:ascii="Times New Roman" w:cs="Times New Roman" w:eastAsia="Times New Roman" w:hAnsi="Times New Roman"/>
          <w:sz w:val="21"/>
          <w:szCs w:val="21"/>
          <w:color w:val="auto"/>
        </w:rPr>
        <w:t>”), to purchase from each Class A-1 Preferred Member and each Class D Member all (but not less than all) of the Class A-1 Preferred Shares and Class D Common Shares then owned by such Members (and any other Equity Securities, excluding any Class F Preferred Shares and Class G Preferred Shares, held by such Members) in exchange for a cash purchase price (i) per Class A-1 Preferred Share equal to the greater of (A) the applicable Class A-1 Liquidation Preference Amount, and (B) the Per Class A-1 Preferred Share FMV, and (ii) per Class D Common Share (or any other Equity Securities, excluding any Class F Preferred Shares and Class G Preferred Shares, held by such Members) equal to the Per Class A-1 Preferred Share FMV (collectively, the “</w:t>
      </w:r>
      <w:r>
        <w:rPr>
          <w:rFonts w:ascii="Times New Roman" w:cs="Times New Roman" w:eastAsia="Times New Roman" w:hAnsi="Times New Roman"/>
          <w:sz w:val="21"/>
          <w:szCs w:val="21"/>
          <w:b w:val="1"/>
          <w:bCs w:val="1"/>
          <w:color w:val="auto"/>
        </w:rPr>
        <w:t>Class A-1/D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Purchase</w:t>
      </w:r>
      <w:r>
        <w:rPr>
          <w:rFonts w:ascii="Times New Roman" w:cs="Times New Roman" w:eastAsia="Times New Roman" w:hAnsi="Times New Roman"/>
          <w:sz w:val="21"/>
          <w:szCs w:val="21"/>
          <w:color w:val="auto"/>
        </w:rPr>
        <w:t>”). If an Optional SoftBank Conversion Notice has been delivered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subsequent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delivery of such Optional SoftBank Conversion Notice, a SoftBank Call Notice is delivered to a Class A-1 Preferred Member or Class D Member, then the process contemplated by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 xml:space="preserve"> shall be suspended (it being understood that if the Class A-1/D Purchase is subsequently terminated or otherwise fails to be consummated, the process contemplated by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 xml:space="preserve"> shall resume); provided, that if, at the time the SoftBank Call Notice is delivered to a Class A-1 Preferred Member or Class D Member, the calculation of Call Notice/Optional SoftBank Conversion Notice Fair Market Value is ongoing pursuant to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 xml:space="preserve"> (but has not yet been finalized), such calculation shall continue and shall be utilized to calculate the Per Class A-1 Preferred Share FMV required by this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010000"/>
        </w:rPr>
      </w:pPr>
    </w:p>
    <w:p>
      <w:pPr>
        <w:jc w:val="both"/>
        <w:ind w:firstLine="1297"/>
        <w:spacing w:after="0" w:line="224" w:lineRule="auto"/>
        <w:tabs>
          <w:tab w:leader="none" w:pos="1783" w:val="left"/>
        </w:tabs>
        <w:numPr>
          <w:ilvl w:val="0"/>
          <w:numId w:val="1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any time after the Honda Call Trigger Date, the Company will have the right, by providing written notice to each Class E Member and the Board of Directors (a “</w:t>
      </w:r>
      <w:r>
        <w:rPr>
          <w:rFonts w:ascii="Times New Roman" w:cs="Times New Roman" w:eastAsia="Times New Roman" w:hAnsi="Times New Roman"/>
          <w:sz w:val="21"/>
          <w:szCs w:val="21"/>
          <w:b w:val="1"/>
          <w:bCs w:val="1"/>
          <w:color w:val="auto"/>
        </w:rPr>
        <w:t>Honda Call Notice</w:t>
      </w:r>
      <w:r>
        <w:rPr>
          <w:rFonts w:ascii="Times New Roman" w:cs="Times New Roman" w:eastAsia="Times New Roman" w:hAnsi="Times New Roman"/>
          <w:sz w:val="21"/>
          <w:szCs w:val="21"/>
          <w:color w:val="auto"/>
        </w:rPr>
        <w:t>” and, together with the SoftBank Call Notice, a “</w:t>
      </w:r>
      <w:r>
        <w:rPr>
          <w:rFonts w:ascii="Times New Roman" w:cs="Times New Roman" w:eastAsia="Times New Roman" w:hAnsi="Times New Roman"/>
          <w:sz w:val="21"/>
          <w:szCs w:val="21"/>
          <w:b w:val="1"/>
          <w:bCs w:val="1"/>
          <w:color w:val="auto"/>
        </w:rPr>
        <w:t>Call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to purchase from each Class E Member all (but not less than all) of the Class E Common Shares then owned by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Members (and any other Equity Securities, excluding Class F Preferred Shares and Class G Preferred Shares, held by such Members) in exchange for a cash purchase price per Class E Common Share (or any other Equity Securities, excluding Class F Preferred Shares and Class G Preferred Shares, held by such Members) equal to the Per Class E FMV (the “</w:t>
      </w:r>
      <w:r>
        <w:rPr>
          <w:rFonts w:ascii="Times New Roman" w:cs="Times New Roman" w:eastAsia="Times New Roman" w:hAnsi="Times New Roman"/>
          <w:sz w:val="21"/>
          <w:szCs w:val="21"/>
          <w:b w:val="1"/>
          <w:bCs w:val="1"/>
          <w:color w:val="auto"/>
        </w:rPr>
        <w:t>Class E Purchase</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645"/>
        <w:spacing w:after="0" w:line="229" w:lineRule="auto"/>
        <w:rPr>
          <w:sz w:val="20"/>
          <w:szCs w:val="20"/>
          <w:color w:val="auto"/>
        </w:rPr>
      </w:pPr>
      <w:r>
        <w:rPr>
          <w:rFonts w:ascii="Times New Roman" w:cs="Times New Roman" w:eastAsia="Times New Roman" w:hAnsi="Times New Roman"/>
          <w:sz w:val="21"/>
          <w:szCs w:val="21"/>
          <w:color w:val="auto"/>
        </w:rPr>
        <w:t xml:space="preserve">Delivery of a Call Notice with respect to the Class A-1 Preferred Shares, Class D Common Shares or Class E Common Shares will commence the process set forth on </w:t>
      </w:r>
      <w:r>
        <w:rPr>
          <w:rFonts w:ascii="Times New Roman" w:cs="Times New Roman" w:eastAsia="Times New Roman" w:hAnsi="Times New Roman"/>
          <w:sz w:val="21"/>
          <w:szCs w:val="21"/>
          <w:b w:val="1"/>
          <w:bCs w:val="1"/>
          <w:u w:val="single" w:color="auto"/>
          <w:color w:val="010000"/>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of a Honda Call Notice, (1) references to “SoftBank” and the “Majority of the Class A-1 Preferred” on </w:t>
      </w:r>
      <w:r>
        <w:rPr>
          <w:rFonts w:ascii="Times New Roman" w:cs="Times New Roman" w:eastAsia="Times New Roman" w:hAnsi="Times New Roman"/>
          <w:sz w:val="21"/>
          <w:szCs w:val="21"/>
          <w:b w:val="1"/>
          <w:bCs w:val="1"/>
          <w:u w:val="single" w:color="auto"/>
          <w:color w:val="010000"/>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II</w:t>
      </w:r>
      <w:r>
        <w:rPr>
          <w:rFonts w:ascii="Times New Roman" w:cs="Times New Roman" w:eastAsia="Times New Roman" w:hAnsi="Times New Roman"/>
          <w:sz w:val="21"/>
          <w:szCs w:val="21"/>
          <w:color w:val="auto"/>
        </w:rPr>
        <w:t xml:space="preserve"> shall be replaced with “Honda” and (2) the Qualified Appraisers will only calculate the Standardized FMV and not the IP Upsized FMV).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388" w:right="339" w:bottom="1440" w:gutter="0" w:footer="0" w:header="0"/>
        </w:sectPr>
      </w:pPr>
    </w:p>
    <w:bookmarkStart w:id="112" w:name="page113"/>
    <w:bookmarkEnd w:id="112"/>
    <w:p>
      <w:pPr>
        <w:jc w:val="both"/>
        <w:ind w:firstLine="1297"/>
        <w:spacing w:after="0" w:line="220" w:lineRule="auto"/>
        <w:tabs>
          <w:tab w:leader="none" w:pos="1972" w:val="left"/>
        </w:tabs>
        <w:numPr>
          <w:ilvl w:val="0"/>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and each Class A-1 Preferred Member, Class D Member and Class E Member will consummate the Class A-1/D Purchase or the Class E Purchase, as applicable, as soon as reasonably practicable and, in any event, within thirty (30) days following the date of determination of the Per Class A-1 Preferred Share FMV or Per Class E FMV (as applicable). The Class A-1/D Purchase or the Class E Purchase, as applicable, shall be memorialized in a written agreement containing customary terms for a transaction of this type;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Class A-1 Preferred Member, Class D Member or Class E Member shall be required to make any representations or warranties other than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such Member relating to its ownership of Shares.</w:t>
      </w:r>
    </w:p>
    <w:p>
      <w:pPr>
        <w:spacing w:after="0" w:line="157" w:lineRule="exact"/>
        <w:rPr>
          <w:rFonts w:ascii="Times New Roman" w:cs="Times New Roman" w:eastAsia="Times New Roman" w:hAnsi="Times New Roman"/>
          <w:sz w:val="21"/>
          <w:szCs w:val="21"/>
          <w:color w:val="010000"/>
        </w:rPr>
      </w:pPr>
    </w:p>
    <w:p>
      <w:pPr>
        <w:jc w:val="both"/>
        <w:ind w:firstLine="1297"/>
        <w:spacing w:after="0" w:line="226" w:lineRule="auto"/>
        <w:tabs>
          <w:tab w:leader="none" w:pos="1890" w:val="left"/>
        </w:tabs>
        <w:numPr>
          <w:ilvl w:val="0"/>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Class A-1 Preferred Member, Class D Member and Class E Member, as applicable, shall take all commercially reasonable actions and provide such other commercially reasonable cooperation and assistance as may be necessary to consummate the Class A-1/D Purchase or Class E Purchase, as applicable, in an expeditious and efficient manner and will not take any action or engage in any activity designed to hinder, prevent or delay the consummation of the Class A-1/D Purchase or Class E Purchase, as applicable.</w:t>
      </w:r>
    </w:p>
    <w:p>
      <w:pPr>
        <w:spacing w:after="0" w:line="152"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864" w:val="left"/>
        </w:tabs>
        <w:numPr>
          <w:ilvl w:val="0"/>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 At any time after the SoftBank Trigger Date or the Honda Call Trigger Date, as applicable, the GM Investor (or one of its Affiliates) may issue a Call Notice in lieu of the Company, in which event all references to the Company in this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xml:space="preserve"> (other than this </w:t>
      </w:r>
      <w:r>
        <w:rPr>
          <w:rFonts w:ascii="Times New Roman" w:cs="Times New Roman" w:eastAsia="Times New Roman" w:hAnsi="Times New Roman"/>
          <w:sz w:val="21"/>
          <w:szCs w:val="21"/>
          <w:u w:val="single" w:color="auto"/>
          <w:color w:val="auto"/>
        </w:rPr>
        <w:t>Section 9.12(e)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9.12(f)</w:t>
      </w:r>
      <w:r>
        <w:rPr>
          <w:rFonts w:ascii="Times New Roman" w:cs="Times New Roman" w:eastAsia="Times New Roman" w:hAnsi="Times New Roman"/>
          <w:sz w:val="21"/>
          <w:szCs w:val="21"/>
          <w:color w:val="auto"/>
        </w:rPr>
        <w:t>) shall be deemed to be references to the GM Investor.</w:t>
      </w:r>
    </w:p>
    <w:p>
      <w:pPr>
        <w:spacing w:after="0" w:line="150" w:lineRule="exact"/>
        <w:rPr>
          <w:rFonts w:ascii="Times New Roman" w:cs="Times New Roman" w:eastAsia="Times New Roman" w:hAnsi="Times New Roman"/>
          <w:sz w:val="21"/>
          <w:szCs w:val="21"/>
          <w:color w:val="010000"/>
        </w:rPr>
      </w:pPr>
    </w:p>
    <w:p>
      <w:pPr>
        <w:jc w:val="both"/>
        <w:ind w:firstLine="1297"/>
        <w:spacing w:after="0" w:line="217" w:lineRule="auto"/>
        <w:tabs>
          <w:tab w:leader="none" w:pos="1854" w:val="left"/>
        </w:tabs>
        <w:numPr>
          <w:ilvl w:val="0"/>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any time or from time to time prior to the consummation of an IPO or a Sale of the Company, the Company will have the right, by providing written notice to any or all of the Class H Members (each, a “</w:t>
      </w:r>
      <w:r>
        <w:rPr>
          <w:rFonts w:ascii="Times New Roman" w:cs="Times New Roman" w:eastAsia="Times New Roman" w:hAnsi="Times New Roman"/>
          <w:sz w:val="21"/>
          <w:szCs w:val="21"/>
          <w:b w:val="1"/>
          <w:bCs w:val="1"/>
          <w:color w:val="auto"/>
        </w:rPr>
        <w:t>Class H Call Notice</w:t>
      </w:r>
      <w:r>
        <w:rPr>
          <w:rFonts w:ascii="Times New Roman" w:cs="Times New Roman" w:eastAsia="Times New Roman" w:hAnsi="Times New Roman"/>
          <w:sz w:val="21"/>
          <w:szCs w:val="21"/>
          <w:color w:val="auto"/>
        </w:rPr>
        <w:t>”), to purchase from such Class H Member(s) any or all of the Class H Common Shares then owned by such Class H Member(s) (the “</w:t>
      </w:r>
      <w:r>
        <w:rPr>
          <w:rFonts w:ascii="Times New Roman" w:cs="Times New Roman" w:eastAsia="Times New Roman" w:hAnsi="Times New Roman"/>
          <w:sz w:val="21"/>
          <w:szCs w:val="21"/>
          <w:b w:val="1"/>
          <w:bCs w:val="1"/>
          <w:color w:val="auto"/>
        </w:rPr>
        <w:t>Class H Purchase</w:t>
      </w:r>
      <w:r>
        <w:rPr>
          <w:rFonts w:ascii="Times New Roman" w:cs="Times New Roman" w:eastAsia="Times New Roman" w:hAnsi="Times New Roman"/>
          <w:sz w:val="21"/>
          <w:szCs w:val="21"/>
          <w:color w:val="auto"/>
        </w:rPr>
        <w:t xml:space="preserve">”) in exchange for a cash purchase price per Class H Common Share equal to the price per share of the Company’s Equity Securities sold and issued in the Company’s most recent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equity financing with the principal purpose of raising capital (currently, $26.35, as adjusted to reflect appropriate and proportional adjustments to take into account any subdivision, reorganization, reclassification, recapitalization, stock split, reverse stock split, combination of shares or similar event). The Company and such Class H Member(s) will consummate the Class H Purchase as soon as reasonably practicable and, in any event, within thirty (30) days following the date of the Class H Call Notice. The Class H Purchase shall be memorialized in a written agreement containing customary terms for a transaction of this type; provided, that no Class H Member shall be required to make any representations or warranties other than representations and warranties as to due organization and good standing (if applicable), power and authority, due approval, no conflicts and ownership and title of such Class H Common Shares (including the absence of liens with respect to such Class H Common Shares), no brokers and no litigation pending or threatened against or affecting such Class H Member relating to its ownership of such Class H Common Shares. Each such Class H Member shall take all commercially reasonable actions and provide such other commercially reasonable cooperation and assistance as may be necessary to consummate the Class H Purchase in an expeditious and efficient manner and will not take any action or engage in any activity designed to hinder, prevent or delay the consummation of the Class H Purchase. Notwithstanding the foregoing, the Board of Directors may waive the applicability of this </w:t>
      </w:r>
      <w:r>
        <w:rPr>
          <w:rFonts w:ascii="Times New Roman" w:cs="Times New Roman" w:eastAsia="Times New Roman" w:hAnsi="Times New Roman"/>
          <w:sz w:val="21"/>
          <w:szCs w:val="21"/>
          <w:u w:val="single" w:color="auto"/>
          <w:color w:val="auto"/>
        </w:rPr>
        <w:t>Section 9.12(f)</w:t>
      </w:r>
      <w:r>
        <w:rPr>
          <w:rFonts w:ascii="Times New Roman" w:cs="Times New Roman" w:eastAsia="Times New Roman" w:hAnsi="Times New Roman"/>
          <w:sz w:val="21"/>
          <w:szCs w:val="21"/>
          <w:color w:val="auto"/>
        </w:rPr>
        <w:t xml:space="preserve"> with respect to Class H Shares issued in connection with any particular M&amp;A Transaction and reflected in the definitive agreement related to such M&amp;A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388" w:right="339" w:bottom="1440" w:gutter="0" w:footer="0" w:header="0"/>
        </w:sectPr>
      </w:pPr>
    </w:p>
    <w:bookmarkStart w:id="113" w:name="page114"/>
    <w:bookmarkEnd w:id="113"/>
    <w:p>
      <w:pPr>
        <w:ind w:left="66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9.13</w:t>
      </w:r>
      <w:r>
        <w:rPr>
          <w:sz w:val="20"/>
          <w:szCs w:val="20"/>
          <w:color w:val="auto"/>
        </w:rPr>
        <w:tab/>
      </w:r>
      <w:r>
        <w:rPr>
          <w:rFonts w:ascii="Times New Roman" w:cs="Times New Roman" w:eastAsia="Times New Roman" w:hAnsi="Times New Roman"/>
          <w:sz w:val="21"/>
          <w:szCs w:val="21"/>
          <w:b w:val="1"/>
          <w:bCs w:val="1"/>
          <w:u w:val="single" w:color="auto"/>
          <w:color w:val="auto"/>
        </w:rPr>
        <w:t>Optional SoftBank Conversion</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18" w:lineRule="auto"/>
        <w:tabs>
          <w:tab w:leader="none" w:pos="1757" w:val="left"/>
        </w:tabs>
        <w:numPr>
          <w:ilvl w:val="1"/>
          <w:numId w:val="1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an IPO, Sale of the Company or dissolution (pursuant to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has not been consummated prior to the SoftBank Trigger Date then, at any time after the SoftBank Trigger Date and subject to </w:t>
      </w:r>
      <w:r>
        <w:rPr>
          <w:rFonts w:ascii="Times New Roman" w:cs="Times New Roman" w:eastAsia="Times New Roman" w:hAnsi="Times New Roman"/>
          <w:sz w:val="21"/>
          <w:szCs w:val="21"/>
          <w:u w:val="single" w:color="auto"/>
          <w:color w:val="auto"/>
        </w:rPr>
        <w:t>Section 9.12(a)</w:t>
      </w:r>
      <w:r>
        <w:rPr>
          <w:rFonts w:ascii="Times New Roman" w:cs="Times New Roman" w:eastAsia="Times New Roman" w:hAnsi="Times New Roman"/>
          <w:sz w:val="21"/>
          <w:szCs w:val="21"/>
          <w:color w:val="auto"/>
        </w:rPr>
        <w:t>, SoftBank or its Permitted Transferee shall be entitled to deliver to the Board of Directors an irrevocable written notice (the “</w:t>
      </w:r>
      <w:r>
        <w:rPr>
          <w:rFonts w:ascii="Times New Roman" w:cs="Times New Roman" w:eastAsia="Times New Roman" w:hAnsi="Times New Roman"/>
          <w:sz w:val="21"/>
          <w:szCs w:val="21"/>
          <w:b w:val="1"/>
          <w:bCs w:val="1"/>
          <w:color w:val="auto"/>
        </w:rPr>
        <w:t>Optional SoftBank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Conversion Notice</w:t>
      </w:r>
      <w:r>
        <w:rPr>
          <w:rFonts w:ascii="Times New Roman" w:cs="Times New Roman" w:eastAsia="Times New Roman" w:hAnsi="Times New Roman"/>
          <w:sz w:val="21"/>
          <w:szCs w:val="21"/>
          <w:color w:val="auto"/>
        </w:rPr>
        <w:t>”) requiring the Company to, at the election of the GM Investor (i) use its reasonable best efforts to redeem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but not less than all, of SoftBank’s Class A-1 Preferred Shares and Class D Common Shares for common stock of GM Parent, or</w:t>
      </w:r>
    </w:p>
    <w:p>
      <w:pPr>
        <w:spacing w:after="0" w:line="2" w:lineRule="exact"/>
        <w:rPr>
          <w:rFonts w:ascii="Times New Roman" w:cs="Times New Roman" w:eastAsia="Times New Roman" w:hAnsi="Times New Roman"/>
          <w:sz w:val="21"/>
          <w:szCs w:val="21"/>
          <w:color w:val="010000"/>
        </w:rPr>
      </w:pPr>
    </w:p>
    <w:p>
      <w:pPr>
        <w:jc w:val="both"/>
        <w:ind w:firstLine="7"/>
        <w:spacing w:after="0" w:line="227" w:lineRule="auto"/>
        <w:tabs>
          <w:tab w:leader="none" w:pos="323"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redeem all, but not less than all of SoftBank’s Class A-1 Preferred Shares and Class D Common Shares for cash, in each case on the terms set forth herein and, in the case of sub-section (i), on the terms set forth in the Exchange Agreement. Delivery of the Optional SoftBank Conversion Notice will commence the process set forth on </w:t>
      </w:r>
      <w:r>
        <w:rPr>
          <w:rFonts w:ascii="Times New Roman" w:cs="Times New Roman" w:eastAsia="Times New Roman" w:hAnsi="Times New Roman"/>
          <w:sz w:val="21"/>
          <w:szCs w:val="21"/>
          <w:b w:val="1"/>
          <w:bCs w:val="1"/>
          <w:u w:val="single" w:color="auto"/>
          <w:color w:val="010000"/>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II</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jc w:val="both"/>
        <w:ind w:firstLine="1297"/>
        <w:spacing w:after="0" w:line="218" w:lineRule="auto"/>
        <w:tabs>
          <w:tab w:leader="none" w:pos="1890" w:val="left"/>
        </w:tabs>
        <w:numPr>
          <w:ilvl w:val="1"/>
          <w:numId w:val="1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Within ten (10) Business Days of the date of determination of the final Call Notice/Optional SoftBank Conversion Notice Fair Market Value pursuant to </w:t>
      </w:r>
      <w:r>
        <w:rPr>
          <w:rFonts w:ascii="Times New Roman" w:cs="Times New Roman" w:eastAsia="Times New Roman" w:hAnsi="Times New Roman"/>
          <w:sz w:val="21"/>
          <w:szCs w:val="21"/>
          <w:b w:val="1"/>
          <w:bCs w:val="1"/>
          <w:u w:val="single" w:color="auto"/>
          <w:color w:val="010000"/>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II</w:t>
      </w:r>
      <w:r>
        <w:rPr>
          <w:rFonts w:ascii="Times New Roman" w:cs="Times New Roman" w:eastAsia="Times New Roman" w:hAnsi="Times New Roman"/>
          <w:sz w:val="21"/>
          <w:szCs w:val="21"/>
          <w:color w:val="auto"/>
        </w:rPr>
        <w:t>, the Company will deliver written notice to SoftBank, informing SoftBank of the Call Notice/Optional SoftBank Conversion Notice Fair Market Value and whether the GM Investor has elected to have the Company redeem SoftBank’s Class A-1 Preferred Shares and Class D Common Shares (i) for cash, at a per Share value equal to the applicable Optional SoftBank Conversion Share Price (the “</w:t>
      </w:r>
      <w:r>
        <w:rPr>
          <w:rFonts w:ascii="Times New Roman" w:cs="Times New Roman" w:eastAsia="Times New Roman" w:hAnsi="Times New Roman"/>
          <w:sz w:val="21"/>
          <w:szCs w:val="21"/>
          <w:b w:val="1"/>
          <w:bCs w:val="1"/>
          <w:color w:val="auto"/>
        </w:rPr>
        <w:t>Cash Election</w:t>
      </w:r>
      <w:r>
        <w:rPr>
          <w:rFonts w:ascii="Times New Roman" w:cs="Times New Roman" w:eastAsia="Times New Roman" w:hAnsi="Times New Roman"/>
          <w:sz w:val="21"/>
          <w:szCs w:val="21"/>
          <w:color w:val="auto"/>
        </w:rPr>
        <w:t>”), or (ii) in exchange for common stock of GM Parent on the terms and subject to the conditions set forth in the Exchange Agreement in which case GM Parent and SoftBank or its Permitted Transferee will enter into the Exchange Agreement (the “</w:t>
      </w:r>
      <w:r>
        <w:rPr>
          <w:rFonts w:ascii="Times New Roman" w:cs="Times New Roman" w:eastAsia="Times New Roman" w:hAnsi="Times New Roman"/>
          <w:sz w:val="21"/>
          <w:szCs w:val="21"/>
          <w:b w:val="1"/>
          <w:bCs w:val="1"/>
          <w:color w:val="auto"/>
        </w:rPr>
        <w:t>Stock Election</w:t>
      </w:r>
      <w:r>
        <w:rPr>
          <w:rFonts w:ascii="Times New Roman" w:cs="Times New Roman" w:eastAsia="Times New Roman" w:hAnsi="Times New Roman"/>
          <w:sz w:val="21"/>
          <w:szCs w:val="21"/>
          <w:color w:val="auto"/>
        </w:rPr>
        <w:t xml:space="preserve">”). If, upon consummation of the Sale of GM Parent, GM Parent (it being understood that if GM has merged or consolidated into any other Person or sold all or substantially all of its assets in any one or a series of related to transactions to such other Person, GM Parent shall include such successor or other Person) is not listed or traded on the New York Stock Exchange or the NASDAQ Stock Market or any successor exchange or market thereof, any national securities exchange (registered with the SEC under Section 6 of the Securities Exchange Act of 1934, as amended) or any other established non-U.S. exchange, then the GM Acquirer shall be required to settle any Stock Election pursuant to this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 xml:space="preserve"> in cash.</w:t>
      </w:r>
    </w:p>
    <w:p>
      <w:pPr>
        <w:spacing w:after="0" w:line="158" w:lineRule="exact"/>
        <w:rPr>
          <w:rFonts w:ascii="Times New Roman" w:cs="Times New Roman" w:eastAsia="Times New Roman" w:hAnsi="Times New Roman"/>
          <w:sz w:val="21"/>
          <w:szCs w:val="21"/>
          <w:color w:val="010000"/>
        </w:rPr>
      </w:pPr>
    </w:p>
    <w:p>
      <w:pPr>
        <w:jc w:val="both"/>
        <w:ind w:firstLine="1297"/>
        <w:spacing w:after="0" w:line="219" w:lineRule="auto"/>
        <w:tabs>
          <w:tab w:leader="none" w:pos="1811" w:val="left"/>
        </w:tabs>
        <w:numPr>
          <w:ilvl w:val="1"/>
          <w:numId w:val="1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Cash Election is made, the Company and SoftBank or its Permitted Transferee will consummate the redemption by the Company of the Class A-1 Preferred Shares and Class D Common Shares (the “</w:t>
      </w:r>
      <w:r>
        <w:rPr>
          <w:rFonts w:ascii="Times New Roman" w:cs="Times New Roman" w:eastAsia="Times New Roman" w:hAnsi="Times New Roman"/>
          <w:sz w:val="21"/>
          <w:szCs w:val="21"/>
          <w:b w:val="1"/>
          <w:bCs w:val="1"/>
          <w:color w:val="auto"/>
        </w:rPr>
        <w:t>Optional SoftBank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Conversion Purchase</w:t>
      </w:r>
      <w:r>
        <w:rPr>
          <w:rFonts w:ascii="Times New Roman" w:cs="Times New Roman" w:eastAsia="Times New Roman" w:hAnsi="Times New Roman"/>
          <w:sz w:val="21"/>
          <w:szCs w:val="21"/>
          <w:color w:val="auto"/>
        </w:rPr>
        <w:t>”) as soon as reasonably practicable and in any event within thirty (30) days of the Cash Election. The place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closing shall be the principal office of the Company or at such other place as the Company may reasonably determine. In the event of a Cash Election, at the closing thereof SoftBank shall deliver to the Company certificates (if certificated) for its Class A-1 Preferred Shares and Class D Common Shares or, in other cases, mutually acceptable instruments of transfer, in exchange for payment (per Class A-1 Preferred Share and Class D Common Share held by SoftBank) of the relevant Optional SoftBank Conversion Share Price. The Optional SoftBank Conversion Purchase shall be memorialized in a written agreement containing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SoftBank relating to its ownership of Shares. Each of the Company and SoftBank or its Permitted Transferee shall bear its own costs and expense incurred in connection with the Optional SoftBank Conversion Purchase.</w:t>
      </w:r>
    </w:p>
    <w:p>
      <w:pPr>
        <w:spacing w:after="0" w:line="150" w:lineRule="exact"/>
        <w:rPr>
          <w:rFonts w:ascii="Times New Roman" w:cs="Times New Roman" w:eastAsia="Times New Roman" w:hAnsi="Times New Roman"/>
          <w:sz w:val="21"/>
          <w:szCs w:val="21"/>
          <w:color w:val="010000"/>
        </w:rPr>
      </w:pPr>
    </w:p>
    <w:p>
      <w:pPr>
        <w:ind w:firstLine="1297"/>
        <w:spacing w:after="0" w:line="251" w:lineRule="auto"/>
        <w:tabs>
          <w:tab w:leader="none" w:pos="1863" w:val="left"/>
        </w:tabs>
        <w:numPr>
          <w:ilvl w:val="1"/>
          <w:numId w:val="1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Stock Election is made, SoftBank or its Permitted Transferee will (and the Company and the GM Investor will cause GM Parent to) promptly (and in any event within five (5) days) enter into the Exchange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384" w:right="339" w:bottom="1440" w:gutter="0" w:footer="0" w:header="0"/>
        </w:sectPr>
      </w:pPr>
    </w:p>
    <w:bookmarkStart w:id="114" w:name="page115"/>
    <w:bookmarkEnd w:id="114"/>
    <w:p>
      <w:pPr>
        <w:jc w:val="both"/>
        <w:ind w:firstLine="1297"/>
        <w:spacing w:after="0"/>
        <w:tabs>
          <w:tab w:leader="none" w:pos="1864" w:val="left"/>
        </w:tabs>
        <w:numPr>
          <w:ilvl w:val="0"/>
          <w:numId w:val="1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Company, acting reasonably and in good faith, determines that a filing, notice, approval, consent, registration, permit, authorization or confirmation from any Governmental Authority may be required to consummate the transactions set forth in the Exchange Agreement, then the Company and SoftBank or its Permitted Transferee shall (and SoftBank shall cause its Affiliates to) reasonably cooperate in good faith during the pendency of the calculation of the Call Notice/Optional SoftBank Conversion Notice Fair Market Value to seek to obtain such approvals as promptly as practicable such that in the event a Stock Election is made the period between signing the Exchange Agreement and closing the transaction thereunder would be reduced. For clarity, nothing in this </w:t>
      </w:r>
      <w:r>
        <w:rPr>
          <w:rFonts w:ascii="Times New Roman" w:cs="Times New Roman" w:eastAsia="Times New Roman" w:hAnsi="Times New Roman"/>
          <w:sz w:val="21"/>
          <w:szCs w:val="21"/>
          <w:u w:val="single" w:color="auto"/>
          <w:color w:val="auto"/>
        </w:rPr>
        <w:t>Section 9.13(e)</w:t>
      </w:r>
      <w:r>
        <w:rPr>
          <w:rFonts w:ascii="Times New Roman" w:cs="Times New Roman" w:eastAsia="Times New Roman" w:hAnsi="Times New Roman"/>
          <w:sz w:val="21"/>
          <w:szCs w:val="21"/>
          <w:color w:val="auto"/>
        </w:rPr>
        <w:t xml:space="preserve"> will require the Company to make a Stock Election (as opposed to a Cash Election) and the intention of this </w:t>
      </w:r>
      <w:r>
        <w:rPr>
          <w:rFonts w:ascii="Times New Roman" w:cs="Times New Roman" w:eastAsia="Times New Roman" w:hAnsi="Times New Roman"/>
          <w:sz w:val="21"/>
          <w:szCs w:val="21"/>
          <w:u w:val="single" w:color="auto"/>
          <w:color w:val="auto"/>
        </w:rPr>
        <w:t>Section 9.13(e)</w:t>
      </w:r>
      <w:r>
        <w:rPr>
          <w:rFonts w:ascii="Times New Roman" w:cs="Times New Roman" w:eastAsia="Times New Roman" w:hAnsi="Times New Roman"/>
          <w:sz w:val="21"/>
          <w:szCs w:val="21"/>
          <w:color w:val="auto"/>
        </w:rPr>
        <w:t xml:space="preserve"> is solely to take such actions as may reduce (in the event a Stock Election is made) the period between the execution of the Exchange Agreement and the consummation of the transactions contemplated thereby.</w:t>
      </w:r>
    </w:p>
    <w:p>
      <w:pPr>
        <w:spacing w:after="0" w:line="191"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814" w:val="left"/>
        </w:tabs>
        <w:numPr>
          <w:ilvl w:val="0"/>
          <w:numId w:val="1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lieu of a redemption of the Class A-1 Preferred Shares and Class D Common Shares by the Company pursuant to this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 the GM Investor will have the right to have such Class A-1 Preferred Shares and Class D Common Shares transferred to the GM Investor (or its Affiliates) and, if a Cash Election has been made, to have the GM Investor (or its Affiliates) make the applicable cash payments.</w:t>
      </w:r>
    </w:p>
    <w:p>
      <w:pPr>
        <w:spacing w:after="0" w:line="153"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863" w:val="left"/>
        </w:tabs>
        <w:numPr>
          <w:ilvl w:val="0"/>
          <w:numId w:val="1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an Optional SoftBank Conversion Notice has been delivered and an IPO or a Sale of the Company is pending, but has not yet been consummated, SoftBank will, and will cause its Affiliates to, reasonably cooperate with the Company and each other Member to ensure that the IPO or Sale of the Company, as applicable, is carried out in an expeditious manner and minimizing the effect (economically or otherwise) on such IPO or Sale of the Company of this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X</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DISSOLUTION</w:t>
      </w:r>
    </w:p>
    <w:p>
      <w:pPr>
        <w:spacing w:after="0" w:line="160" w:lineRule="exact"/>
        <w:rPr>
          <w:sz w:val="20"/>
          <w:szCs w:val="20"/>
          <w:color w:val="auto"/>
        </w:rPr>
      </w:pPr>
    </w:p>
    <w:p>
      <w:pPr>
        <w:ind w:right="20"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10.01 </w:t>
      </w:r>
      <w:r>
        <w:rPr>
          <w:rFonts w:ascii="Times New Roman" w:cs="Times New Roman" w:eastAsia="Times New Roman" w:hAnsi="Times New Roman"/>
          <w:sz w:val="21"/>
          <w:szCs w:val="21"/>
          <w:b w:val="1"/>
          <w:bCs w:val="1"/>
          <w:u w:val="single" w:color="auto"/>
          <w:color w:val="auto"/>
        </w:rPr>
        <w:t>Events of Dissolution</w:t>
      </w:r>
      <w:r>
        <w:rPr>
          <w:rFonts w:ascii="Times New Roman" w:cs="Times New Roman" w:eastAsia="Times New Roman" w:hAnsi="Times New Roman"/>
          <w:sz w:val="21"/>
          <w:szCs w:val="21"/>
          <w:color w:val="auto"/>
        </w:rPr>
        <w:t>. The Company shall be dissolved upon the occurrence of any of the following events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business and affairs shall thereafter be liquidated and wound up pursuant to the Act:</w:t>
      </w:r>
    </w:p>
    <w:p>
      <w:pPr>
        <w:spacing w:after="0" w:line="136" w:lineRule="exact"/>
        <w:rPr>
          <w:sz w:val="20"/>
          <w:szCs w:val="20"/>
          <w:color w:val="auto"/>
        </w:rPr>
      </w:pPr>
    </w:p>
    <w:p>
      <w:pPr>
        <w:ind w:left="1760" w:hanging="463"/>
        <w:spacing w:after="0"/>
        <w:tabs>
          <w:tab w:leader="none" w:pos="1760" w:val="left"/>
        </w:tabs>
        <w:numPr>
          <w:ilvl w:val="0"/>
          <w:numId w:val="1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the approval of the Board of Directors or a Majority of the Members;</w:t>
      </w:r>
    </w:p>
    <w:p>
      <w:pPr>
        <w:spacing w:after="0" w:line="188" w:lineRule="exact"/>
        <w:rPr>
          <w:rFonts w:ascii="Times New Roman" w:cs="Times New Roman" w:eastAsia="Times New Roman" w:hAnsi="Times New Roman"/>
          <w:sz w:val="21"/>
          <w:szCs w:val="21"/>
          <w:color w:val="010000"/>
        </w:rPr>
      </w:pPr>
    </w:p>
    <w:p>
      <w:pPr>
        <w:ind w:left="1760" w:hanging="463"/>
        <w:spacing w:after="0"/>
        <w:tabs>
          <w:tab w:leader="none" w:pos="1760" w:val="left"/>
        </w:tabs>
        <w:numPr>
          <w:ilvl w:val="0"/>
          <w:numId w:val="1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the issuance of a final and nonappealable judicial decree of dissolution; or</w:t>
      </w:r>
    </w:p>
    <w:p>
      <w:pPr>
        <w:spacing w:after="0" w:line="188" w:lineRule="exact"/>
        <w:rPr>
          <w:rFonts w:ascii="Times New Roman" w:cs="Times New Roman" w:eastAsia="Times New Roman" w:hAnsi="Times New Roman"/>
          <w:sz w:val="21"/>
          <w:szCs w:val="21"/>
          <w:color w:val="010000"/>
        </w:rPr>
      </w:pPr>
    </w:p>
    <w:p>
      <w:pPr>
        <w:ind w:firstLine="1297"/>
        <w:spacing w:after="0" w:line="251" w:lineRule="auto"/>
        <w:tabs>
          <w:tab w:leader="none" w:pos="1851" w:val="left"/>
        </w:tabs>
        <w:numPr>
          <w:ilvl w:val="0"/>
          <w:numId w:val="1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otherwise required by the Act, except that the death, retirement, resignation, expulsion, bankruptcy or dissolution of a Member shall not result in dissolution of the Company.</w:t>
      </w:r>
    </w:p>
    <w:p>
      <w:pPr>
        <w:spacing w:after="0" w:line="136" w:lineRule="exact"/>
        <w:rPr>
          <w:sz w:val="20"/>
          <w:szCs w:val="20"/>
          <w:color w:val="auto"/>
        </w:rPr>
      </w:pPr>
    </w:p>
    <w:p>
      <w:pPr>
        <w:jc w:val="both"/>
        <w:ind w:firstLine="645"/>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10.02 </w:t>
      </w:r>
      <w:r>
        <w:rPr>
          <w:rFonts w:ascii="Times New Roman" w:cs="Times New Roman" w:eastAsia="Times New Roman" w:hAnsi="Times New Roman"/>
          <w:sz w:val="21"/>
          <w:szCs w:val="21"/>
          <w:b w:val="1"/>
          <w:bCs w:val="1"/>
          <w:u w:val="single" w:color="auto"/>
          <w:color w:val="auto"/>
        </w:rPr>
        <w:t>Liquidation and Termination</w:t>
      </w:r>
      <w:r>
        <w:rPr>
          <w:rFonts w:ascii="Times New Roman" w:cs="Times New Roman" w:eastAsia="Times New Roman" w:hAnsi="Times New Roman"/>
          <w:sz w:val="21"/>
          <w:szCs w:val="21"/>
          <w:color w:val="auto"/>
        </w:rPr>
        <w:t>. On dissolution of the Company, the Board of Directors shall act as the liquidator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may appoint one or more Members as liquidator. The liquidator shall proceed diligently to wind up the affairs of the Company and make final distributions as provided herein and in the Act. The costs of liquidation shall be borne as a Company expense. Until final distribution, the liquidator shall continue to operate the Company properties with all of the power and authority of the Board of Directors. The steps to be accomplished by the liquidator are as follows:</w:t>
      </w:r>
    </w:p>
    <w:p>
      <w:pPr>
        <w:spacing w:after="0" w:line="152" w:lineRule="exact"/>
        <w:rPr>
          <w:sz w:val="20"/>
          <w:szCs w:val="20"/>
          <w:color w:val="auto"/>
        </w:rPr>
      </w:pPr>
    </w:p>
    <w:p>
      <w:pPr>
        <w:jc w:val="both"/>
        <w:ind w:firstLine="1297"/>
        <w:spacing w:after="0" w:line="235" w:lineRule="auto"/>
        <w:tabs>
          <w:tab w:leader="none" w:pos="1784" w:val="left"/>
        </w:tabs>
        <w:numPr>
          <w:ilvl w:val="0"/>
          <w:numId w:val="1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promptly as possible after dissolution and again after final liquidation, the liquidator shall cause a proper accounting to be made by a recognized firm of certified public accountants of the Company’s assets, liabilities and operations through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38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1"/>
          <w:szCs w:val="21"/>
          <w:color w:val="auto"/>
        </w:rPr>
        <w:t>calendar month in which the dissolution occurs or the final liquidation is completed, as applicable;</w:t>
      </w:r>
    </w:p>
    <w:p>
      <w:pPr>
        <w:spacing w:after="0" w:line="188" w:lineRule="exact"/>
        <w:rPr>
          <w:sz w:val="20"/>
          <w:szCs w:val="20"/>
          <w:color w:val="auto"/>
        </w:rPr>
      </w:pPr>
    </w:p>
    <w:p>
      <w:pPr>
        <w:ind w:firstLine="1297"/>
        <w:spacing w:after="0" w:line="251" w:lineRule="auto"/>
        <w:tabs>
          <w:tab w:leader="none" w:pos="1769" w:val="left"/>
        </w:tabs>
        <w:numPr>
          <w:ilvl w:val="0"/>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liquidator shall cause the notice described in the Act to be mailed to each known creditor of and claimant against the Company in the manner described thereunder;</w:t>
      </w:r>
    </w:p>
    <w:p>
      <w:pPr>
        <w:spacing w:after="0" w:line="139"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43" w:val="left"/>
        </w:tabs>
        <w:numPr>
          <w:ilvl w:val="0"/>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liquidator shall pay, satisfy or discharge from Company funds all of the debts, liabilities and obligations of the Company (including all expenses incurred in liquidation) or otherwise make adequate provision for payment and discharge thereof;</w:t>
      </w:r>
    </w:p>
    <w:p>
      <w:pPr>
        <w:spacing w:after="0" w:line="150" w:lineRule="exact"/>
        <w:rPr>
          <w:rFonts w:ascii="Times New Roman" w:cs="Times New Roman" w:eastAsia="Times New Roman" w:hAnsi="Times New Roman"/>
          <w:sz w:val="21"/>
          <w:szCs w:val="21"/>
          <w:color w:val="010000"/>
        </w:rPr>
      </w:pPr>
    </w:p>
    <w:p>
      <w:pPr>
        <w:ind w:right="20" w:firstLine="1297"/>
        <w:spacing w:after="0" w:line="251" w:lineRule="auto"/>
        <w:tabs>
          <w:tab w:leader="none" w:pos="1850" w:val="left"/>
        </w:tabs>
        <w:numPr>
          <w:ilvl w:val="0"/>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liquidator shall make reasonable provision to pay all contingent, conditional or unmatured contractual claims known to the Company;</w:t>
      </w:r>
    </w:p>
    <w:p>
      <w:pPr>
        <w:spacing w:after="0" w:line="139" w:lineRule="exact"/>
        <w:rPr>
          <w:rFonts w:ascii="Times New Roman" w:cs="Times New Roman" w:eastAsia="Times New Roman" w:hAnsi="Times New Roman"/>
          <w:sz w:val="21"/>
          <w:szCs w:val="21"/>
          <w:color w:val="010000"/>
        </w:rPr>
      </w:pPr>
    </w:p>
    <w:p>
      <w:pPr>
        <w:ind w:right="20" w:firstLine="1297"/>
        <w:spacing w:after="0" w:line="251" w:lineRule="auto"/>
        <w:tabs>
          <w:tab w:leader="none" w:pos="1757" w:val="left"/>
        </w:tabs>
        <w:numPr>
          <w:ilvl w:val="0"/>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liquidator shall make such provision as will be reasonably likely to be sufficient to provide compensation for any claim against the Company which is the subject of a pending action, suit or proceeding to which the Company is a party;</w:t>
      </w:r>
    </w:p>
    <w:p>
      <w:pPr>
        <w:spacing w:after="0" w:line="139"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60" w:val="left"/>
        </w:tabs>
        <w:numPr>
          <w:ilvl w:val="0"/>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liquidator shall make such provision as will be reasonably likely to be sufficient for claims that have not been made known to the Company or that have not arisen but that, based on facts known to the Company, are likely to arise or to become known to the Company after the date of dissolution;</w:t>
      </w:r>
    </w:p>
    <w:p>
      <w:pPr>
        <w:spacing w:after="0" w:line="150"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877" w:val="left"/>
        </w:tabs>
        <w:numPr>
          <w:ilvl w:val="0"/>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liquidator shall distribute all remaining assets of the Company by the end of the taxable year of the Company during which the liquidation of the Company occurs (or, if later, 90 days after the date of the liquidation) in accordance with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(but subject to the other applicable provisions in this Agreement); and</w:t>
      </w:r>
    </w:p>
    <w:p>
      <w:pPr>
        <w:spacing w:after="0" w:line="150" w:lineRule="exact"/>
        <w:rPr>
          <w:rFonts w:ascii="Times New Roman" w:cs="Times New Roman" w:eastAsia="Times New Roman" w:hAnsi="Times New Roman"/>
          <w:sz w:val="21"/>
          <w:szCs w:val="21"/>
          <w:color w:val="010000"/>
        </w:rPr>
      </w:pPr>
    </w:p>
    <w:p>
      <w:pPr>
        <w:jc w:val="both"/>
        <w:ind w:firstLine="1297"/>
        <w:spacing w:after="0" w:line="222" w:lineRule="auto"/>
        <w:tabs>
          <w:tab w:leader="none" w:pos="1823" w:val="left"/>
        </w:tabs>
        <w:numPr>
          <w:ilvl w:val="0"/>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The distribution of cash and/or property to a Member in accordance with the provisions of this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52" w:lineRule="exact"/>
        <w:rPr>
          <w:sz w:val="20"/>
          <w:szCs w:val="20"/>
          <w:color w:val="auto"/>
        </w:rPr>
      </w:pPr>
    </w:p>
    <w:p>
      <w:pPr>
        <w:jc w:val="both"/>
        <w:ind w:firstLine="645"/>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10.03 </w:t>
      </w:r>
      <w:r>
        <w:rPr>
          <w:rFonts w:ascii="Times New Roman" w:cs="Times New Roman" w:eastAsia="Times New Roman" w:hAnsi="Times New Roman"/>
          <w:sz w:val="21"/>
          <w:szCs w:val="21"/>
          <w:b w:val="1"/>
          <w:bCs w:val="1"/>
          <w:u w:val="single" w:color="auto"/>
          <w:color w:val="auto"/>
        </w:rPr>
        <w:t>Cancellation of Certificate</w:t>
      </w:r>
      <w:r>
        <w:rPr>
          <w:rFonts w:ascii="Times New Roman" w:cs="Times New Roman" w:eastAsia="Times New Roman" w:hAnsi="Times New Roman"/>
          <w:sz w:val="21"/>
          <w:szCs w:val="21"/>
          <w:color w:val="auto"/>
        </w:rPr>
        <w:t>. On completion of the distribution of Company assets as provided herein,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shall be terminated, and the Board of Directors (or such other Person or Persons as the Act may require or permit) shall file a certificate of cancellation with the Secretary of State of Delaware, and take such other actions as may be necessary to terminate the Company.</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XI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EXCLUSIVITY; NON-COMPETE</w:t>
      </w:r>
    </w:p>
    <w:p>
      <w:pPr>
        <w:spacing w:after="0" w:line="160" w:lineRule="exact"/>
        <w:rPr>
          <w:sz w:val="20"/>
          <w:szCs w:val="20"/>
          <w:color w:val="auto"/>
        </w:rPr>
      </w:pPr>
    </w:p>
    <w:p>
      <w:pPr>
        <w:jc w:val="both"/>
        <w:ind w:firstLine="645"/>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11.01 </w:t>
      </w:r>
      <w:r>
        <w:rPr>
          <w:rFonts w:ascii="Times New Roman" w:cs="Times New Roman" w:eastAsia="Times New Roman" w:hAnsi="Times New Roman"/>
          <w:sz w:val="21"/>
          <w:szCs w:val="21"/>
          <w:b w:val="1"/>
          <w:bCs w:val="1"/>
          <w:u w:val="single" w:color="auto"/>
          <w:color w:val="auto"/>
        </w:rPr>
        <w:t>Exclusivity</w:t>
      </w:r>
      <w:r>
        <w:rPr>
          <w:rFonts w:ascii="Times New Roman" w:cs="Times New Roman" w:eastAsia="Times New Roman" w:hAnsi="Times New Roman"/>
          <w:sz w:val="21"/>
          <w:szCs w:val="21"/>
          <w:color w:val="auto"/>
        </w:rPr>
        <w:t>. During the Control Period, other than pursuant to the Commercial Agreements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entered into between GM or its Affiliates, on the one hand, and the Company or its Subsidiaries, on the other hand, in each case in accordance with the terms of this Agreement) and activities in furtherance of their obligations thereunder:</w:t>
      </w:r>
    </w:p>
    <w:p>
      <w:pPr>
        <w:spacing w:after="0" w:line="152" w:lineRule="exact"/>
        <w:rPr>
          <w:sz w:val="20"/>
          <w:szCs w:val="20"/>
          <w:color w:val="auto"/>
        </w:rPr>
      </w:pPr>
    </w:p>
    <w:p>
      <w:pPr>
        <w:ind w:right="20" w:firstLine="1297"/>
        <w:spacing w:after="0" w:line="251" w:lineRule="auto"/>
        <w:tabs>
          <w:tab w:leader="none" w:pos="1838" w:val="left"/>
        </w:tabs>
        <w:numPr>
          <w:ilvl w:val="0"/>
          <w:numId w:val="1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GM Investor and its Subsidiaries (excluding the following international joint ventures: SAIC General Motors Corp., Ltd. (“</w:t>
      </w:r>
      <w:r>
        <w:rPr>
          <w:rFonts w:ascii="Times New Roman" w:cs="Times New Roman" w:eastAsia="Times New Roman" w:hAnsi="Times New Roman"/>
          <w:sz w:val="21"/>
          <w:szCs w:val="21"/>
          <w:b w:val="1"/>
          <w:bCs w:val="1"/>
          <w:color w:val="auto"/>
        </w:rPr>
        <w:t>SGM</w:t>
      </w:r>
      <w:r>
        <w:rPr>
          <w:rFonts w:ascii="Times New Roman" w:cs="Times New Roman" w:eastAsia="Times New Roman" w:hAnsi="Times New Roman"/>
          <w:sz w:val="21"/>
          <w:szCs w:val="21"/>
          <w:color w:val="auto"/>
        </w:rPr>
        <w:t>”), Pan Asia Technical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388" w:right="339" w:bottom="1440" w:gutter="0" w:footer="0" w:header="0"/>
        </w:sectPr>
      </w:pPr>
    </w:p>
    <w:bookmarkStart w:id="116" w:name="page117"/>
    <w:bookmarkEnd w:id="116"/>
    <w:p>
      <w:pPr>
        <w:jc w:val="both"/>
        <w:spacing w:after="0" w:line="236" w:lineRule="auto"/>
        <w:rPr>
          <w:sz w:val="20"/>
          <w:szCs w:val="20"/>
          <w:color w:val="auto"/>
        </w:rPr>
      </w:pPr>
      <w:r>
        <w:rPr>
          <w:rFonts w:ascii="Times New Roman" w:cs="Times New Roman" w:eastAsia="Times New Roman" w:hAnsi="Times New Roman"/>
          <w:sz w:val="21"/>
          <w:szCs w:val="21"/>
          <w:color w:val="auto"/>
        </w:rPr>
        <w:t>Automotive Center Co. Ltd. (“</w:t>
      </w:r>
      <w:r>
        <w:rPr>
          <w:rFonts w:ascii="Times New Roman" w:cs="Times New Roman" w:eastAsia="Times New Roman" w:hAnsi="Times New Roman"/>
          <w:sz w:val="21"/>
          <w:szCs w:val="21"/>
          <w:b w:val="1"/>
          <w:bCs w:val="1"/>
          <w:color w:val="auto"/>
        </w:rPr>
        <w:t>PATAC</w:t>
      </w:r>
      <w:r>
        <w:rPr>
          <w:rFonts w:ascii="Times New Roman" w:cs="Times New Roman" w:eastAsia="Times New Roman" w:hAnsi="Times New Roman"/>
          <w:sz w:val="21"/>
          <w:szCs w:val="21"/>
          <w:color w:val="auto"/>
        </w:rPr>
        <w:t>”), and FAW-GM Light Duty Commercial Vehicle Co., Ltd. (“</w:t>
      </w:r>
      <w:r>
        <w:rPr>
          <w:rFonts w:ascii="Times New Roman" w:cs="Times New Roman" w:eastAsia="Times New Roman" w:hAnsi="Times New Roman"/>
          <w:sz w:val="21"/>
          <w:szCs w:val="21"/>
          <w:b w:val="1"/>
          <w:bCs w:val="1"/>
          <w:color w:val="auto"/>
        </w:rPr>
        <w:t>FAW-GM</w:t>
      </w:r>
      <w:r>
        <w:rPr>
          <w:rFonts w:ascii="Times New Roman" w:cs="Times New Roman" w:eastAsia="Times New Roman" w:hAnsi="Times New Roman"/>
          <w:sz w:val="21"/>
          <w:szCs w:val="21"/>
          <w:color w:val="auto"/>
        </w:rPr>
        <w:t xml:space="preserve">”)) shall conduct the AVCo Business exclusively through the Company. Notwithstanding the foregoing, nothing in this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will prohibit or otherwise restrict the GM Investor or its Subsidiaries from engaging in the GM Business in any manner whatsoever;</w:t>
      </w:r>
    </w:p>
    <w:p>
      <w:pPr>
        <w:spacing w:after="0" w:line="152" w:lineRule="exact"/>
        <w:rPr>
          <w:sz w:val="20"/>
          <w:szCs w:val="20"/>
          <w:color w:val="auto"/>
        </w:rPr>
      </w:pPr>
    </w:p>
    <w:p>
      <w:pPr>
        <w:jc w:val="both"/>
        <w:ind w:firstLine="1297"/>
        <w:spacing w:after="0" w:line="235" w:lineRule="auto"/>
        <w:tabs>
          <w:tab w:leader="none" w:pos="1783" w:val="left"/>
        </w:tabs>
        <w:numPr>
          <w:ilvl w:val="0"/>
          <w:numId w:val="1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the prior written consent of the GM Investor, the Company and its Subsidiaries shall not, directly or indirectly, engage in the GM Business; provided, that nothing in this </w:t>
      </w:r>
      <w:r>
        <w:rPr>
          <w:rFonts w:ascii="Times New Roman" w:cs="Times New Roman" w:eastAsia="Times New Roman" w:hAnsi="Times New Roman"/>
          <w:sz w:val="21"/>
          <w:szCs w:val="21"/>
          <w:u w:val="single" w:color="auto"/>
          <w:color w:val="auto"/>
        </w:rPr>
        <w:t>Section 11.01(b)</w:t>
      </w:r>
      <w:r>
        <w:rPr>
          <w:rFonts w:ascii="Times New Roman" w:cs="Times New Roman" w:eastAsia="Times New Roman" w:hAnsi="Times New Roman"/>
          <w:sz w:val="21"/>
          <w:szCs w:val="21"/>
          <w:color w:val="auto"/>
        </w:rPr>
        <w:t xml:space="preserve"> will prevent the Company and its Subsidiaries from engaging in the AVCo Business in any manner whatsoever; and</w:t>
      </w:r>
    </w:p>
    <w:p>
      <w:pPr>
        <w:spacing w:after="0" w:line="150"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811" w:val="left"/>
        </w:tabs>
        <w:numPr>
          <w:ilvl w:val="0"/>
          <w:numId w:val="1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and its Subsidiaries shall exclusively (i) obtain, purchase, source, license, lease, or otherwise acquire assets, services or rights that are of the type contemplated by the Commercial Agreements, the IPMA, the EDSA or the AGSA (including autonomous vehicles and other related products and services) from the GM Investor and its Affiliates, and (ii) provide AV technology and network services to GM and its Affiliates.</w:t>
      </w:r>
    </w:p>
    <w:p>
      <w:pPr>
        <w:spacing w:after="0" w:line="14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t>11.02</w:t>
      </w:r>
      <w:r>
        <w:rPr>
          <w:sz w:val="20"/>
          <w:szCs w:val="20"/>
          <w:color w:val="auto"/>
        </w:rPr>
        <w:tab/>
      </w:r>
      <w:r>
        <w:rPr>
          <w:rFonts w:ascii="Times New Roman" w:cs="Times New Roman" w:eastAsia="Times New Roman" w:hAnsi="Times New Roman"/>
          <w:sz w:val="21"/>
          <w:szCs w:val="21"/>
          <w:b w:val="1"/>
          <w:bCs w:val="1"/>
          <w:u w:val="single" w:color="auto"/>
          <w:color w:val="auto"/>
        </w:rPr>
        <w:t>Non-Compete</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firstLine="1297"/>
        <w:spacing w:after="0" w:line="221" w:lineRule="auto"/>
        <w:tabs>
          <w:tab w:leader="none" w:pos="1811" w:val="left"/>
        </w:tabs>
        <w:numPr>
          <w:ilvl w:val="0"/>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three (3) year period immediately following the end of the Control Period (the “</w:t>
      </w:r>
      <w:r>
        <w:rPr>
          <w:rFonts w:ascii="Times New Roman" w:cs="Times New Roman" w:eastAsia="Times New Roman" w:hAnsi="Times New Roman"/>
          <w:sz w:val="21"/>
          <w:szCs w:val="21"/>
          <w:b w:val="1"/>
          <w:bCs w:val="1"/>
          <w:color w:val="auto"/>
        </w:rPr>
        <w:t>Non-Compete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other than pursuant to the terms and conditions of any agreement entered into between the Company (or its Affiliates),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on the one hand, and the GM Investor (or its Affiliates) on the other hand (in each case in accordance with the terms of this Agreement, as applicable, and to the extent such agreement by its terms remains effective subsequent to the end of the Control Period) and subject to the exceptions set forth in </w:t>
      </w:r>
      <w:r>
        <w:rPr>
          <w:rFonts w:ascii="Times New Roman" w:cs="Times New Roman" w:eastAsia="Times New Roman" w:hAnsi="Times New Roman"/>
          <w:sz w:val="21"/>
          <w:szCs w:val="21"/>
          <w:u w:val="single" w:color="auto"/>
          <w:color w:val="auto"/>
        </w:rPr>
        <w:t>Section 11.02(b)</w:t>
      </w:r>
      <w:r>
        <w:rPr>
          <w:rFonts w:ascii="Times New Roman" w:cs="Times New Roman" w:eastAsia="Times New Roman" w:hAnsi="Times New Roman"/>
          <w:sz w:val="21"/>
          <w:szCs w:val="21"/>
          <w:color w:val="auto"/>
        </w:rPr>
        <w:t>, (i) the GM Investor and its Subsidiaries (excluding SGM, PATAC and FAW-GM) shall not, directly or indirectly, and (ii) the Company and its Subsidiaries shall not, directly or indirectly, in each case whether alone or in conjunction with any Person or as a holder of an equity or debt interest of any Person or as a principal, agent or otherwise (and, in each case, without the prior written consent of the Other Party), engage in, carry on, participate in or have any interest in the applicable Restricted Business.</w:t>
      </w:r>
    </w:p>
    <w:p>
      <w:pPr>
        <w:spacing w:after="0" w:line="150" w:lineRule="exact"/>
        <w:rPr>
          <w:rFonts w:ascii="Times New Roman" w:cs="Times New Roman" w:eastAsia="Times New Roman" w:hAnsi="Times New Roman"/>
          <w:sz w:val="21"/>
          <w:szCs w:val="21"/>
          <w:color w:val="010000"/>
        </w:rPr>
      </w:pPr>
    </w:p>
    <w:p>
      <w:pPr>
        <w:ind w:left="1760" w:hanging="463"/>
        <w:spacing w:after="0"/>
        <w:tabs>
          <w:tab w:leader="none" w:pos="1760" w:val="left"/>
        </w:tabs>
        <w:numPr>
          <w:ilvl w:val="0"/>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herein to the contrary, during the Non-Compete Period, nothing in </w:t>
      </w:r>
      <w:r>
        <w:rPr>
          <w:rFonts w:ascii="Times New Roman" w:cs="Times New Roman" w:eastAsia="Times New Roman" w:hAnsi="Times New Roman"/>
          <w:sz w:val="21"/>
          <w:szCs w:val="21"/>
          <w:u w:val="single" w:color="auto"/>
          <w:color w:val="auto"/>
        </w:rPr>
        <w:t>Section 11.02(a)</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shall restrict:</w:t>
      </w:r>
    </w:p>
    <w:p>
      <w:pPr>
        <w:spacing w:after="0" w:line="161" w:lineRule="exact"/>
        <w:rPr>
          <w:rFonts w:ascii="Times New Roman" w:cs="Times New Roman" w:eastAsia="Times New Roman" w:hAnsi="Times New Roman"/>
          <w:sz w:val="21"/>
          <w:szCs w:val="21"/>
          <w:color w:val="010000"/>
        </w:rPr>
      </w:pPr>
    </w:p>
    <w:p>
      <w:pPr>
        <w:ind w:left="2420" w:hanging="478"/>
        <w:spacing w:after="0"/>
        <w:tabs>
          <w:tab w:leader="none" w:pos="2420" w:val="left"/>
        </w:tabs>
        <w:numPr>
          <w:ilvl w:val="1"/>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GM Investor’s or any of its Subsidiaries’ ability to engage in, carry on or participate in the GM</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Business;</w:t>
      </w:r>
    </w:p>
    <w:p>
      <w:pPr>
        <w:spacing w:after="0" w:line="161" w:lineRule="exact"/>
        <w:rPr>
          <w:rFonts w:ascii="Times New Roman" w:cs="Times New Roman" w:eastAsia="Times New Roman" w:hAnsi="Times New Roman"/>
          <w:sz w:val="21"/>
          <w:szCs w:val="21"/>
          <w:color w:val="010000"/>
        </w:rPr>
      </w:pPr>
    </w:p>
    <w:p>
      <w:pPr>
        <w:ind w:left="2480" w:hanging="538"/>
        <w:spacing w:after="0"/>
        <w:tabs>
          <w:tab w:leader="none" w:pos="2480" w:val="left"/>
        </w:tabs>
        <w:numPr>
          <w:ilvl w:val="1"/>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or any of its Subsidiaries’ ability to engage in, carry on or participate in the AVCo</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Business;</w:t>
      </w:r>
    </w:p>
    <w:p>
      <w:pPr>
        <w:spacing w:after="0" w:line="164"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486" w:val="left"/>
        </w:tabs>
        <w:numPr>
          <w:ilvl w:val="1"/>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GM Investor and its Subsidiaries or the Company and its Subsidiaries from operating its business as conducted at any time prior to the end of the Control Period (to the extent that such prior operation or conduct did not violate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010000"/>
        </w:rPr>
      </w:pPr>
    </w:p>
    <w:p>
      <w:pPr>
        <w:ind w:left="2460" w:hanging="518"/>
        <w:spacing w:after="0"/>
        <w:tabs>
          <w:tab w:leader="none" w:pos="2460" w:val="left"/>
        </w:tabs>
        <w:numPr>
          <w:ilvl w:val="1"/>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GM Investor or any of its Subsidiaries from consummating an OEM Acquisition;</w:t>
      </w:r>
    </w:p>
    <w:p>
      <w:pPr>
        <w:spacing w:after="0" w:line="188" w:lineRule="exact"/>
        <w:rPr>
          <w:rFonts w:ascii="Times New Roman" w:cs="Times New Roman" w:eastAsia="Times New Roman" w:hAnsi="Times New Roman"/>
          <w:sz w:val="21"/>
          <w:szCs w:val="21"/>
          <w:color w:val="010000"/>
        </w:rPr>
      </w:pPr>
    </w:p>
    <w:p>
      <w:pPr>
        <w:jc w:val="both"/>
        <w:ind w:firstLine="1942"/>
        <w:spacing w:after="0" w:line="226" w:lineRule="auto"/>
        <w:tabs>
          <w:tab w:leader="none" w:pos="2468" w:val="left"/>
        </w:tabs>
        <w:numPr>
          <w:ilvl w:val="1"/>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GM Investor or any of its Subsidiaries (collectively), or the Company or any of its Subsidiaries (collectively), from consummating a Change of Control transaction involving a Target (the “</w:t>
      </w:r>
      <w:r>
        <w:rPr>
          <w:rFonts w:ascii="Times New Roman" w:cs="Times New Roman" w:eastAsia="Times New Roman" w:hAnsi="Times New Roman"/>
          <w:sz w:val="21"/>
          <w:szCs w:val="21"/>
          <w:b w:val="1"/>
          <w:bCs w:val="1"/>
          <w:color w:val="auto"/>
        </w:rPr>
        <w:t>Acquired Person</w:t>
      </w:r>
      <w:r>
        <w:rPr>
          <w:rFonts w:ascii="Times New Roman" w:cs="Times New Roman" w:eastAsia="Times New Roman" w:hAnsi="Times New Roman"/>
          <w:sz w:val="21"/>
          <w:szCs w:val="21"/>
          <w:color w:val="auto"/>
        </w:rPr>
        <w:t>”); provided, that, in the event such Acquired Person either (each tested at the time of consummation of the Change of Control) (A) derived more than twenty percent (20%) of its consolidated net revenue (calculated on a trailing twelve month basis) from the conduct of the Restricted Business or (B) had meaningful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384" w:right="339" w:bottom="1440" w:gutter="0" w:footer="0" w:header="0"/>
        </w:sectPr>
      </w:pPr>
    </w:p>
    <w:bookmarkStart w:id="117" w:name="page118"/>
    <w:bookmarkEnd w:id="117"/>
    <w:p>
      <w:pPr>
        <w:jc w:val="both"/>
        <w:spacing w:after="0" w:line="226" w:lineRule="auto"/>
        <w:rPr>
          <w:sz w:val="20"/>
          <w:szCs w:val="20"/>
          <w:color w:val="auto"/>
        </w:rPr>
      </w:pPr>
      <w:r>
        <w:rPr>
          <w:rFonts w:ascii="Times New Roman" w:cs="Times New Roman" w:eastAsia="Times New Roman" w:hAnsi="Times New Roman"/>
          <w:sz w:val="21"/>
          <w:szCs w:val="21"/>
          <w:color w:val="auto"/>
        </w:rPr>
        <w:t>and development costs and expenses for activities relating to the Restricted Business, the GM Investor or any of its Subsidiaries (collectively), or the Company or any of its Subsidiaries (collectively), as applicable, on or prior to the twelve (12) month anniversary of the date of consummation of such Change of Control transaction, shall either (1) dispose of the Restricted Business (or the assets used in connection therewith) of such Acquired Person or (2) cause such Acquired Person to cease to engaging in the Restricted Business;</w:t>
      </w:r>
    </w:p>
    <w:p>
      <w:pPr>
        <w:spacing w:after="0" w:line="153" w:lineRule="exact"/>
        <w:rPr>
          <w:sz w:val="20"/>
          <w:szCs w:val="20"/>
          <w:color w:val="auto"/>
        </w:rPr>
      </w:pPr>
    </w:p>
    <w:p>
      <w:pPr>
        <w:jc w:val="both"/>
        <w:ind w:firstLine="1942"/>
        <w:spacing w:after="0" w:line="224" w:lineRule="auto"/>
        <w:tabs>
          <w:tab w:leader="none" w:pos="2514" w:val="left"/>
        </w:tabs>
        <w:numPr>
          <w:ilvl w:val="1"/>
          <w:numId w:val="1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GM Investor or any of its Subsidiaries (collectively), or the Company or any of its Subsidiaries (collectively) from acquiring, owning or holding ten percent (10%) or less of the outstanding shares of capital stock, which capital stock is regularly traded on a recognized domestic or foreign securities exchange, of any Person engaged in the Restricted Business, so long as the GM Investor and its Subsidiaries (collectively) or the Company and its Subsidiaries (collectively), as applicable, is a passive investor and does not exercise any influence over or participate in the management or operation of such Person (and, for clarity, exercising rights as a stockholder or member will not constitute influence or participation);</w:t>
      </w:r>
    </w:p>
    <w:p>
      <w:pPr>
        <w:spacing w:after="0" w:line="152" w:lineRule="exact"/>
        <w:rPr>
          <w:rFonts w:ascii="Times New Roman" w:cs="Times New Roman" w:eastAsia="Times New Roman" w:hAnsi="Times New Roman"/>
          <w:sz w:val="21"/>
          <w:szCs w:val="21"/>
          <w:color w:val="010000"/>
        </w:rPr>
      </w:pPr>
    </w:p>
    <w:p>
      <w:pPr>
        <w:ind w:firstLine="1942"/>
        <w:spacing w:after="0" w:line="251" w:lineRule="auto"/>
        <w:tabs>
          <w:tab w:leader="none" w:pos="2574" w:val="left"/>
        </w:tabs>
        <w:numPr>
          <w:ilvl w:val="1"/>
          <w:numId w:val="1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GM Investor or any of its Subsidiaries from engaging in or consummating any transaction that would constitute a Change of Control;</w:t>
      </w:r>
    </w:p>
    <w:p>
      <w:pPr>
        <w:spacing w:after="0" w:line="139" w:lineRule="exact"/>
        <w:rPr>
          <w:rFonts w:ascii="Times New Roman" w:cs="Times New Roman" w:eastAsia="Times New Roman" w:hAnsi="Times New Roman"/>
          <w:sz w:val="21"/>
          <w:szCs w:val="21"/>
          <w:color w:val="010000"/>
        </w:rPr>
      </w:pPr>
    </w:p>
    <w:p>
      <w:pPr>
        <w:jc w:val="both"/>
        <w:ind w:firstLine="1942"/>
        <w:spacing w:after="0" w:line="235" w:lineRule="auto"/>
        <w:tabs>
          <w:tab w:leader="none" w:pos="2620" w:val="left"/>
        </w:tabs>
        <w:numPr>
          <w:ilvl w:val="1"/>
          <w:numId w:val="1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General Motors Ventures LLC (and not the GM Investor or any of its Subsidiaries) from acquiring capital stock or other ownership interests, or owning or holding capital stock or other ownership interests, in the normal course of its business and investing activities, in any Person engaged in the Restricted Business;</w:t>
      </w:r>
    </w:p>
    <w:p>
      <w:pPr>
        <w:spacing w:after="0" w:line="150" w:lineRule="exact"/>
        <w:rPr>
          <w:rFonts w:ascii="Times New Roman" w:cs="Times New Roman" w:eastAsia="Times New Roman" w:hAnsi="Times New Roman"/>
          <w:sz w:val="21"/>
          <w:szCs w:val="21"/>
          <w:color w:val="010000"/>
        </w:rPr>
      </w:pPr>
    </w:p>
    <w:p>
      <w:pPr>
        <w:ind w:firstLine="1942"/>
        <w:spacing w:after="0" w:line="251" w:lineRule="auto"/>
        <w:tabs>
          <w:tab w:leader="none" w:pos="2501" w:val="left"/>
        </w:tabs>
        <w:numPr>
          <w:ilvl w:val="1"/>
          <w:numId w:val="1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GM Investor or any of its Subsidiaries from owning or holding capital stock or other ownership interests in the entity (and its Subsidiaries or any successor entity) previously identified to SoftBank by the GM Investor; or</w:t>
      </w:r>
    </w:p>
    <w:p>
      <w:pPr>
        <w:spacing w:after="0" w:line="139" w:lineRule="exact"/>
        <w:rPr>
          <w:rFonts w:ascii="Times New Roman" w:cs="Times New Roman" w:eastAsia="Times New Roman" w:hAnsi="Times New Roman"/>
          <w:sz w:val="21"/>
          <w:szCs w:val="21"/>
          <w:color w:val="010000"/>
        </w:rPr>
      </w:pPr>
    </w:p>
    <w:p>
      <w:pPr>
        <w:jc w:val="both"/>
        <w:ind w:firstLine="1942"/>
        <w:spacing w:after="0"/>
        <w:tabs>
          <w:tab w:leader="none" w:pos="2401" w:val="left"/>
        </w:tabs>
        <w:numPr>
          <w:ilvl w:val="1"/>
          <w:numId w:val="1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GM Investor or its Subsidiaries from engaging in internal activities relating to the AVCo Business, including business planning and research, development, design and testing activities (provided, that neither GM nor its Subsidiaries may commercialize or otherwise monetize such activities, or any results therefrom, prior to the end of the Non-Compete Period).</w:t>
      </w:r>
    </w:p>
    <w:p>
      <w:pPr>
        <w:spacing w:after="0" w:line="350"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864" w:val="left"/>
        </w:tabs>
        <w:numPr>
          <w:ilvl w:val="0"/>
          <w:numId w:val="1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Immediately prior to the end of the Control Period, GM and the Company will enter into and deliver a standalone agreement memorializing (and containing terms consistent with) this </w:t>
      </w:r>
      <w:r>
        <w:rPr>
          <w:rFonts w:ascii="Times New Roman" w:cs="Times New Roman" w:eastAsia="Times New Roman" w:hAnsi="Times New Roman"/>
          <w:sz w:val="21"/>
          <w:szCs w:val="21"/>
          <w:u w:val="single" w:color="auto"/>
          <w:color w:val="auto"/>
        </w:rPr>
        <w:t>Section 11.02</w:t>
      </w:r>
      <w:r>
        <w:rPr>
          <w:rFonts w:ascii="Times New Roman" w:cs="Times New Roman" w:eastAsia="Times New Roman" w:hAnsi="Times New Roman"/>
          <w:sz w:val="21"/>
          <w:szCs w:val="21"/>
          <w:color w:val="auto"/>
        </w:rPr>
        <w:t xml:space="preserve">, the intention being to enable the terms and conditions of this </w:t>
      </w:r>
      <w:r>
        <w:rPr>
          <w:rFonts w:ascii="Times New Roman" w:cs="Times New Roman" w:eastAsia="Times New Roman" w:hAnsi="Times New Roman"/>
          <w:sz w:val="21"/>
          <w:szCs w:val="21"/>
          <w:u w:val="single" w:color="auto"/>
          <w:color w:val="auto"/>
        </w:rPr>
        <w:t>Section 11.02</w:t>
      </w:r>
      <w:r>
        <w:rPr>
          <w:rFonts w:ascii="Times New Roman" w:cs="Times New Roman" w:eastAsia="Times New Roman" w:hAnsi="Times New Roman"/>
          <w:sz w:val="21"/>
          <w:szCs w:val="21"/>
          <w:color w:val="auto"/>
        </w:rPr>
        <w:t xml:space="preserve"> to survive if this Agreement is terminated or materially amended at such time or any time thereafter.</w:t>
      </w:r>
    </w:p>
    <w:p>
      <w:pPr>
        <w:spacing w:after="0" w:line="153" w:lineRule="exact"/>
        <w:rPr>
          <w:rFonts w:ascii="Times New Roman" w:cs="Times New Roman" w:eastAsia="Times New Roman" w:hAnsi="Times New Roman"/>
          <w:sz w:val="21"/>
          <w:szCs w:val="21"/>
          <w:color w:val="010000"/>
        </w:rPr>
      </w:pPr>
    </w:p>
    <w:p>
      <w:pPr>
        <w:ind w:left="1760" w:hanging="463"/>
        <w:spacing w:after="0"/>
        <w:tabs>
          <w:tab w:leader="none" w:pos="1760" w:val="left"/>
        </w:tabs>
        <w:numPr>
          <w:ilvl w:val="0"/>
          <w:numId w:val="1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the Company and its Subsidiaries are not Subsidiaries of the GM Investor.</w:t>
      </w: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010000"/>
        </w:rPr>
        <w:t>ARTICLE XII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GENERAL PROVISIONS</w:t>
      </w:r>
    </w:p>
    <w:p>
      <w:pPr>
        <w:spacing w:after="0" w:line="160" w:lineRule="exact"/>
        <w:rPr>
          <w:sz w:val="20"/>
          <w:szCs w:val="20"/>
          <w:color w:val="auto"/>
        </w:rPr>
      </w:pPr>
    </w:p>
    <w:p>
      <w:pPr>
        <w:ind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12.01 </w:t>
      </w:r>
      <w:r>
        <w:rPr>
          <w:rFonts w:ascii="Times New Roman" w:cs="Times New Roman" w:eastAsia="Times New Roman" w:hAnsi="Times New Roman"/>
          <w:sz w:val="21"/>
          <w:szCs w:val="21"/>
          <w:b w:val="1"/>
          <w:bCs w:val="1"/>
          <w:u w:val="single" w:color="auto"/>
          <w:color w:val="auto"/>
        </w:rPr>
        <w:t>Expenses</w:t>
      </w:r>
      <w:r>
        <w:rPr>
          <w:rFonts w:ascii="Times New Roman" w:cs="Times New Roman" w:eastAsia="Times New Roman" w:hAnsi="Times New Roman"/>
          <w:sz w:val="21"/>
          <w:szCs w:val="21"/>
          <w:color w:val="auto"/>
        </w:rPr>
        <w:t>. Each Member and its Affiliates will be responsible for its own expenses in connection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preparation and negotiation of this Agreement.</w:t>
      </w:r>
    </w:p>
    <w:p>
      <w:pPr>
        <w:spacing w:after="0" w:line="132" w:lineRule="exact"/>
        <w:rPr>
          <w:sz w:val="20"/>
          <w:szCs w:val="20"/>
          <w:color w:val="auto"/>
        </w:rPr>
      </w:pPr>
    </w:p>
    <w:p>
      <w:pPr>
        <w:ind w:right="20"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12.02 </w:t>
      </w:r>
      <w:r>
        <w:rPr>
          <w:rFonts w:ascii="Times New Roman" w:cs="Times New Roman" w:eastAsia="Times New Roman" w:hAnsi="Times New Roman"/>
          <w:sz w:val="21"/>
          <w:szCs w:val="21"/>
          <w:b w:val="1"/>
          <w:bCs w:val="1"/>
          <w:u w:val="single" w:color="auto"/>
          <w:color w:val="auto"/>
        </w:rPr>
        <w:t>No Third-Party Rights</w:t>
      </w:r>
      <w:r>
        <w:rPr>
          <w:rFonts w:ascii="Times New Roman" w:cs="Times New Roman" w:eastAsia="Times New Roman" w:hAnsi="Times New Roman"/>
          <w:sz w:val="21"/>
          <w:szCs w:val="21"/>
          <w:color w:val="auto"/>
        </w:rPr>
        <w:t>. Except as otherwise expressly set forth herein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4.03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7.02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nothing in this Agreement shall be construed to grant rights to any Person who is not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388" w:right="339" w:bottom="1440" w:gutter="0" w:footer="0" w:header="0"/>
        </w:sectPr>
      </w:pPr>
    </w:p>
    <w:bookmarkStart w:id="118" w:name="page119"/>
    <w:bookmarkEnd w:id="118"/>
    <w:p>
      <w:pPr>
        <w:ind w:firstLine="645"/>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12.03 </w:t>
      </w:r>
      <w:r>
        <w:rPr>
          <w:rFonts w:ascii="Times New Roman" w:cs="Times New Roman" w:eastAsia="Times New Roman" w:hAnsi="Times New Roman"/>
          <w:sz w:val="21"/>
          <w:szCs w:val="21"/>
          <w:b w:val="1"/>
          <w:bCs w:val="1"/>
          <w:u w:val="single" w:color="auto"/>
          <w:color w:val="auto"/>
        </w:rPr>
        <w:t>Legend on Certificates for Certificated Shares</w:t>
      </w:r>
      <w:r>
        <w:rPr>
          <w:rFonts w:ascii="Times New Roman" w:cs="Times New Roman" w:eastAsia="Times New Roman" w:hAnsi="Times New Roman"/>
          <w:sz w:val="21"/>
          <w:szCs w:val="21"/>
          <w:color w:val="auto"/>
        </w:rPr>
        <w:t>. If Certificated Shares are issued, such Certificated Shares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bear the following legend:</w:t>
      </w:r>
    </w:p>
    <w:p>
      <w:pPr>
        <w:spacing w:after="0" w:line="133" w:lineRule="exact"/>
        <w:rPr>
          <w:sz w:val="20"/>
          <w:szCs w:val="20"/>
          <w:color w:val="auto"/>
        </w:rPr>
      </w:pPr>
    </w:p>
    <w:p>
      <w:pPr>
        <w:jc w:val="center"/>
        <w:spacing w:after="0"/>
        <w:tabs>
          <w:tab w:leader="none" w:pos="200" w:val="left"/>
          <w:tab w:leader="none" w:pos="200" w:val="left"/>
          <w:tab w:leader="none" w:pos="200" w:val="left"/>
          <w:tab w:leader="none" w:pos="200" w:val="left"/>
          <w:tab w:leader="none" w:pos="200" w:val="left"/>
          <w:tab w:leader="none" w:pos="200" w:val="left"/>
          <w:tab w:leader="none" w:pos="220" w:val="left"/>
          <w:tab w:leader="none" w:pos="200" w:val="left"/>
          <w:tab w:leader="none" w:pos="200" w:val="left"/>
        </w:tabs>
        <w:rPr>
          <w:sz w:val="20"/>
          <w:szCs w:val="20"/>
          <w:color w:val="auto"/>
        </w:rPr>
      </w:pPr>
      <w:r>
        <w:rPr>
          <w:rFonts w:ascii="Times New Roman" w:cs="Times New Roman" w:eastAsia="Times New Roman" w:hAnsi="Times New Roman"/>
          <w:sz w:val="21"/>
          <w:szCs w:val="21"/>
          <w:color w:val="auto"/>
        </w:rPr>
        <w:t>“THE</w:t>
        <w:tab/>
        <w:t>SHARES</w:t>
        <w:tab/>
        <w:t>REPRESENTED</w:t>
        <w:tab/>
        <w:t>BY</w:t>
        <w:tab/>
        <w:t>THIS</w:t>
        <w:tab/>
        <w:t>CERTIFICATE</w:t>
        <w:tab/>
        <w:t>WERE</w:t>
        <w:tab/>
        <w:t>ORIGINALLY</w:t>
        <w:tab/>
        <w:t>ISSUED</w:t>
      </w:r>
      <w:r>
        <w:rPr>
          <w:sz w:val="20"/>
          <w:szCs w:val="20"/>
          <w:color w:val="auto"/>
        </w:rPr>
        <w:tab/>
      </w:r>
      <w:r>
        <w:rPr>
          <w:rFonts w:ascii="Times New Roman" w:cs="Times New Roman" w:eastAsia="Times New Roman" w:hAnsi="Times New Roman"/>
          <w:sz w:val="20"/>
          <w:szCs w:val="20"/>
          <w:color w:val="auto"/>
        </w:rPr>
        <w:t>ON</w:t>
      </w:r>
    </w:p>
    <w:p>
      <w:pPr>
        <w:ind w:left="660"/>
        <w:spacing w:after="0" w:line="213" w:lineRule="auto"/>
        <w:rPr>
          <w:sz w:val="20"/>
          <w:szCs w:val="20"/>
          <w:color w:val="auto"/>
        </w:rPr>
      </w:pPr>
      <w:r>
        <w:rPr>
          <w:rFonts w:ascii="Times New Roman" w:cs="Times New Roman" w:eastAsia="Times New Roman" w:hAnsi="Times New Roman"/>
          <w:sz w:val="21"/>
          <w:szCs w:val="21"/>
          <w:color w:val="auto"/>
        </w:rPr>
        <w:t>_______________, _____, HAVE NOT BEEN REGISTERED UNDER THE SECURITIES ACT OF 1933, AS</w:t>
      </w:r>
    </w:p>
    <w:p>
      <w:pPr>
        <w:spacing w:after="0" w:line="1" w:lineRule="exact"/>
        <w:rPr>
          <w:sz w:val="20"/>
          <w:szCs w:val="20"/>
          <w:color w:val="auto"/>
        </w:rPr>
      </w:pPr>
    </w:p>
    <w:p>
      <w:pPr>
        <w:jc w:val="both"/>
        <w:ind w:left="660" w:right="640"/>
        <w:spacing w:after="0" w:line="223" w:lineRule="auto"/>
        <w:rPr>
          <w:sz w:val="20"/>
          <w:szCs w:val="20"/>
          <w:color w:val="auto"/>
        </w:rPr>
      </w:pPr>
      <w:r>
        <w:rPr>
          <w:rFonts w:ascii="Times New Roman" w:cs="Times New Roman" w:eastAsia="Times New Roman" w:hAnsi="Times New Roman"/>
          <w:sz w:val="21"/>
          <w:szCs w:val="21"/>
          <w:color w:val="auto"/>
        </w:rPr>
        <w:t>AMENDED (THE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OR APPLICABLE STATE SECURITIES LAWS (“</w:t>
      </w:r>
      <w:r>
        <w:rPr>
          <w:rFonts w:ascii="Times New Roman" w:cs="Times New Roman" w:eastAsia="Times New Roman" w:hAnsi="Times New Roman"/>
          <w:sz w:val="21"/>
          <w:szCs w:val="21"/>
          <w:b w:val="1"/>
          <w:bCs w:val="1"/>
          <w:color w:val="auto"/>
        </w:rPr>
        <w:t>STATE ACTS</w:t>
      </w:r>
      <w:r>
        <w:rPr>
          <w:rFonts w:ascii="Times New Roman" w:cs="Times New Roman" w:eastAsia="Times New Roman" w:hAnsi="Times New Roman"/>
          <w:sz w:val="21"/>
          <w:szCs w:val="21"/>
          <w:color w:val="auto"/>
        </w:rPr>
        <w:t>”) AND MAY NOT BE SOLD, ASSIGNED, PLEDGED, TRANSFERRED OR OTHERWISE DISPOSED OF IN THE ABSENCE OF AN EFFECTIVE REGISTRATION STATEMENT UNDER THE ACT OR STATE ACTS OR AN EXEMPTION FROM REGISTRATION THEREUNDER.</w:t>
      </w:r>
    </w:p>
    <w:p>
      <w:pPr>
        <w:spacing w:after="0" w:line="153" w:lineRule="exact"/>
        <w:rPr>
          <w:sz w:val="20"/>
          <w:szCs w:val="20"/>
          <w:color w:val="auto"/>
        </w:rPr>
      </w:pPr>
    </w:p>
    <w:p>
      <w:pPr>
        <w:jc w:val="both"/>
        <w:ind w:left="660" w:right="640"/>
        <w:spacing w:after="0" w:line="220" w:lineRule="auto"/>
        <w:rPr>
          <w:sz w:val="20"/>
          <w:szCs w:val="20"/>
          <w:color w:val="auto"/>
        </w:rPr>
      </w:pPr>
      <w:r>
        <w:rPr>
          <w:rFonts w:ascii="Times New Roman" w:cs="Times New Roman" w:eastAsia="Times New Roman" w:hAnsi="Times New Roman"/>
          <w:sz w:val="21"/>
          <w:szCs w:val="21"/>
          <w:color w:val="auto"/>
        </w:rPr>
        <w:t>THE TRANSFER OF THE SHARES REPRESENTED BY THIS CERTIFICATE IS SUBJECT TO THE CONDITIONS SPECIFIED IN THE EIGHTH AMENDED AND RESTATED LIMITED LIABILITY COMPANY AGREEMENT, DATED AS OF MARCH 18, 2022, AS AMENDED AND MODIFIED FROM TIME TO TIME, GOVERNING THE ISSUER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BY AND AMONG ITS MEMBERS (THE “</w:t>
      </w:r>
      <w:r>
        <w:rPr>
          <w:rFonts w:ascii="Times New Roman" w:cs="Times New Roman" w:eastAsia="Times New Roman" w:hAnsi="Times New Roman"/>
          <w:sz w:val="21"/>
          <w:szCs w:val="21"/>
          <w:b w:val="1"/>
          <w:bCs w:val="1"/>
          <w:color w:val="auto"/>
        </w:rPr>
        <w:t>LLC AGREEMENT</w:t>
      </w:r>
      <w:r>
        <w:rPr>
          <w:rFonts w:ascii="Times New Roman" w:cs="Times New Roman" w:eastAsia="Times New Roman" w:hAnsi="Times New Roman"/>
          <w:sz w:val="21"/>
          <w:szCs w:val="21"/>
          <w:color w:val="auto"/>
        </w:rPr>
        <w:t>”). THE SHARES REPRESENTED BY THIS CERTIFICATE MAY ALSO BE SUBJECT TO ADDITIONAL TRANSFER RESTRICTIONS, CERTAIN VESTING PROVISIONS, REPURCHASE OPTIONS, OFFSET RIGHTS AND FORFEITURE PROVISIONS SET FORTH IN THE LLC AGREEMENT AND/OR AN AWARD AGREEMENT WITH THE INITIAL HOLDER. A COPY OF SUCH CONDITIONS, REPURCHASE OPTIONS AND FORFEITURE PROVISIONS SHALL BE FURNISHED BY THE COMPANY TO THE HOLDER HEREOF UPON WRITTEN REQUEST AND WITHOUT CHARGE.”</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If a Member holding Certificated Shares delivers to the Company an opinion of counsel, satisfactory in form and substance to the Board of Directors (which opinion may be waived by the Board of Directors), that no subsequent Transfer of such Shares will require registration under the Securities Act, the Company will promptly upon such contemplated Transfer deliver new Certificated Shares which do not bear the portion of the restrictive legend relating to the Securities Act set forth in this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w:t>
      </w:r>
    </w:p>
    <w:p>
      <w:pPr>
        <w:spacing w:after="0" w:line="32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12.04</w:t>
      </w:r>
      <w:r>
        <w:rPr>
          <w:sz w:val="20"/>
          <w:szCs w:val="20"/>
          <w:color w:val="auto"/>
        </w:rPr>
        <w:tab/>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1297"/>
        <w:spacing w:after="0" w:line="218" w:lineRule="auto"/>
        <w:tabs>
          <w:tab w:leader="none" w:pos="1864" w:val="left"/>
        </w:tabs>
        <w:numPr>
          <w:ilvl w:val="0"/>
          <w:numId w:val="1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Member expressly agrees to maintain, and to cause its Director and Board Observer nominees (as applicable) to maintain, the confidentiality of, and not to disclose to any Person other than (i) the Company (and any successor of the Company or any Person acquiring all or a material portion of the assets or Equity Securities of the Company or any of its Subsidiaries), (ii) another Member, (iii) such Member’s or, in the case of SoftBank any of its or its Affiliate’s, financial planners, accountants, attorneys, investment advisers or other advisors or employees or representatives that need to know such information in connection with the monitoring of the Company, the Member or his, her or its Affiliates or in the normal course of operations of such Member or (iv) in the case of SoftBank or any of its Affiliates, disclosure of information (or any information derived from or based upon such information) of the type specified to SoftBank UK prior to the execution of the SoftBank Purchase Agreement (and subsequently acknowledged and agreed to by SoftBank) to its current or prospective investors in the ordinary course of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clauses (iii) and (iv), the Member advises any such Person of the confidential nature of such information and such Person is directed to keep such information confidential, it being understood and agreed that such Member shall be responsible for any breach by any such Person of this </w:t>
      </w:r>
      <w:r>
        <w:rPr>
          <w:rFonts w:ascii="Times New Roman" w:cs="Times New Roman" w:eastAsia="Times New Roman" w:hAnsi="Times New Roman"/>
          <w:sz w:val="21"/>
          <w:szCs w:val="21"/>
          <w:u w:val="single" w:color="auto"/>
          <w:color w:val="auto"/>
        </w:rPr>
        <w:t>Section 12.04</w:t>
      </w:r>
      <w:r>
        <w:rPr>
          <w:rFonts w:ascii="Times New Roman" w:cs="Times New Roman" w:eastAsia="Times New Roman" w:hAnsi="Times New Roman"/>
          <w:sz w:val="21"/>
          <w:szCs w:val="21"/>
          <w:color w:val="auto"/>
        </w:rPr>
        <w:t>), any information relating to the business, financial structure, intellectual property, assets, liabilities, data,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384" w:right="339" w:bottom="1440" w:gutter="0" w:footer="0" w:header="0"/>
        </w:sectPr>
      </w:pPr>
    </w:p>
    <w:bookmarkStart w:id="119" w:name="page120"/>
    <w:bookmarkEnd w:id="119"/>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position or financial results, borrowers, contract counterparties, clients or affairs of the Company or any of its Subsidiaries that shall not be generally known to the public, except as otherwise required by applicable law, stock exchange requirements or required or requested by any Governmental Authority having jurisdiction, in which case (except with respect to disclosure that is required in connection with the filing of federal, state and local tax returns or to the extent that the receiving party agrees to keep any such information confidential) prior to making such disclosure such Member shall, to the extent permitted by applicable law or by such Governmental Authority, give written notice to the Company, permit the Company to review and comment upon the form and substance of such disclosure and allow the Company to seek confidential treatment therefor, and in the case of any Member who is employed by the Company or any of its Subsidiaries, in the ordinary course of his or her duties to the Company or any of its Subsidiaries. This </w:t>
      </w:r>
      <w:r>
        <w:rPr>
          <w:rFonts w:ascii="Times New Roman" w:cs="Times New Roman" w:eastAsia="Times New Roman" w:hAnsi="Times New Roman"/>
          <w:sz w:val="21"/>
          <w:szCs w:val="21"/>
          <w:u w:val="single" w:color="auto"/>
          <w:color w:val="auto"/>
        </w:rPr>
        <w:t>Section 12.04</w:t>
      </w:r>
      <w:r>
        <w:rPr>
          <w:rFonts w:ascii="Times New Roman" w:cs="Times New Roman" w:eastAsia="Times New Roman" w:hAnsi="Times New Roman"/>
          <w:sz w:val="21"/>
          <w:szCs w:val="21"/>
          <w:color w:val="auto"/>
        </w:rPr>
        <w:t xml:space="preserve"> will not apply to the GM Investor, any A-2 Preferred Director or the Common Director.</w:t>
      </w:r>
    </w:p>
    <w:p>
      <w:pPr>
        <w:spacing w:after="0" w:line="158" w:lineRule="exact"/>
        <w:rPr>
          <w:sz w:val="20"/>
          <w:szCs w:val="20"/>
          <w:color w:val="auto"/>
        </w:rPr>
      </w:pPr>
    </w:p>
    <w:p>
      <w:pPr>
        <w:ind w:firstLine="1297"/>
        <w:spacing w:after="0" w:line="251" w:lineRule="auto"/>
        <w:tabs>
          <w:tab w:leader="none" w:pos="1756" w:val="left"/>
        </w:tabs>
        <w:numPr>
          <w:ilvl w:val="0"/>
          <w:numId w:val="1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terms of this </w:t>
      </w:r>
      <w:r>
        <w:rPr>
          <w:rFonts w:ascii="Times New Roman" w:cs="Times New Roman" w:eastAsia="Times New Roman" w:hAnsi="Times New Roman"/>
          <w:sz w:val="21"/>
          <w:szCs w:val="21"/>
          <w:u w:val="single" w:color="auto"/>
          <w:color w:val="auto"/>
        </w:rPr>
        <w:t>Section 12.04</w:t>
      </w:r>
      <w:r>
        <w:rPr>
          <w:rFonts w:ascii="Times New Roman" w:cs="Times New Roman" w:eastAsia="Times New Roman" w:hAnsi="Times New Roman"/>
          <w:sz w:val="21"/>
          <w:szCs w:val="21"/>
          <w:color w:val="auto"/>
        </w:rPr>
        <w:t xml:space="preserve"> shall apply to a Member during the time that such Person is a Member and for a period of two (2) years after such Person ceases to be a Member.</w:t>
      </w:r>
    </w:p>
    <w:p>
      <w:pPr>
        <w:spacing w:after="0" w:line="136" w:lineRule="exact"/>
        <w:rPr>
          <w:sz w:val="20"/>
          <w:szCs w:val="20"/>
          <w:color w:val="auto"/>
        </w:rPr>
      </w:pPr>
    </w:p>
    <w:p>
      <w:pPr>
        <w:jc w:val="both"/>
        <w:ind w:firstLine="645"/>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12.05 </w:t>
      </w:r>
      <w:r>
        <w:rPr>
          <w:rFonts w:ascii="Times New Roman" w:cs="Times New Roman" w:eastAsia="Times New Roman" w:hAnsi="Times New Roman"/>
          <w:sz w:val="21"/>
          <w:szCs w:val="21"/>
          <w:b w:val="1"/>
          <w:bCs w:val="1"/>
          <w:u w:val="single" w:color="auto"/>
          <w:color w:val="auto"/>
        </w:rPr>
        <w:t>Power of Attorney</w:t>
      </w:r>
      <w:r>
        <w:rPr>
          <w:rFonts w:ascii="Times New Roman" w:cs="Times New Roman" w:eastAsia="Times New Roman" w:hAnsi="Times New Roman"/>
          <w:sz w:val="21"/>
          <w:szCs w:val="21"/>
          <w:color w:val="auto"/>
        </w:rPr>
        <w:t>. Each of the Members does hereby constitute and appoint the Board of Directors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liquidator with full power to act without the others, as such Member’s true and lawful representative and attorney in-fact, in such Member’s name, place and stead, solely for the purpose of making, executing, signing, acknowledging and delivering or filing in such form and substance as is approved by the Board of Directors or the liquidator (as the case may be): (a) all instruments, documents and certificates which may from time to time be required by any law to effectuate, implement and continue the valid and subsisting existence of the Company, or to qualify or continue the qualification of the Company in the State of Delaware and in all jurisdictions in which the Company may conduct business or own property, and any amendment to, modification to, restatement of or cancellation of any such instrument, document or certificate, and (b) all conveyances and other instruments, documents and certificates which may be required to effectuate the dissolution and termination of the Company approved in accordance with the terms of this Agreement. The powers of attorney granted herein shall be deemed to be coupled with an interest, shall be irrevocable, and shall survive the death, disability, incompetency, bankruptcy, insolvency or termination of any Member and the Transfer of all or any portion of such Member’s Shares, and shall extend to such Member’s heirs, successors, assigns, and personal representatives.</w:t>
      </w:r>
    </w:p>
    <w:p>
      <w:pPr>
        <w:spacing w:after="0" w:line="14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12.06</w:t>
      </w:r>
      <w:r>
        <w:rPr>
          <w:sz w:val="20"/>
          <w:szCs w:val="20"/>
          <w:color w:val="auto"/>
        </w:rPr>
        <w:tab/>
      </w: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Notices shall be addressed and delivered:</w:t>
      </w:r>
    </w:p>
    <w:p>
      <w:pPr>
        <w:spacing w:after="0" w:line="192" w:lineRule="exact"/>
        <w:rPr>
          <w:sz w:val="20"/>
          <w:szCs w:val="20"/>
          <w:color w:val="auto"/>
        </w:rPr>
      </w:pPr>
    </w:p>
    <w:p>
      <w:pPr>
        <w:ind w:left="1760" w:hanging="463"/>
        <w:spacing w:after="0"/>
        <w:tabs>
          <w:tab w:leader="none" w:pos="1760" w:val="left"/>
        </w:tabs>
        <w:numPr>
          <w:ilvl w:val="0"/>
          <w:numId w:val="1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to the Company, to:</w:t>
      </w:r>
    </w:p>
    <w:p>
      <w:pPr>
        <w:spacing w:after="0" w:line="1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GM Cruise Holdings LLC</w:t>
      </w:r>
    </w:p>
    <w:p>
      <w:pPr>
        <w:ind w:left="1940"/>
        <w:spacing w:after="0" w:line="213" w:lineRule="auto"/>
        <w:rPr>
          <w:sz w:val="20"/>
          <w:szCs w:val="20"/>
          <w:color w:val="auto"/>
        </w:rPr>
      </w:pPr>
      <w:r>
        <w:rPr>
          <w:rFonts w:ascii="Times New Roman" w:cs="Times New Roman" w:eastAsia="Times New Roman" w:hAnsi="Times New Roman"/>
          <w:sz w:val="21"/>
          <w:szCs w:val="21"/>
          <w:color w:val="auto"/>
        </w:rPr>
        <w:t>333 Brannan Street</w:t>
      </w:r>
    </w:p>
    <w:p>
      <w:pPr>
        <w:ind w:left="1940"/>
        <w:spacing w:after="0" w:line="214" w:lineRule="auto"/>
        <w:rPr>
          <w:sz w:val="20"/>
          <w:szCs w:val="20"/>
          <w:color w:val="auto"/>
        </w:rPr>
      </w:pPr>
      <w:r>
        <w:rPr>
          <w:rFonts w:ascii="Times New Roman" w:cs="Times New Roman" w:eastAsia="Times New Roman" w:hAnsi="Times New Roman"/>
          <w:sz w:val="21"/>
          <w:szCs w:val="21"/>
          <w:color w:val="auto"/>
        </w:rPr>
        <w:t>San Francisco, CA 94107</w:t>
      </w:r>
    </w:p>
    <w:p>
      <w:pPr>
        <w:ind w:left="1940"/>
        <w:spacing w:after="0" w:line="214" w:lineRule="auto"/>
        <w:rPr>
          <w:sz w:val="20"/>
          <w:szCs w:val="20"/>
          <w:color w:val="auto"/>
        </w:rPr>
      </w:pPr>
      <w:r>
        <w:rPr>
          <w:rFonts w:ascii="Times New Roman" w:cs="Times New Roman" w:eastAsia="Times New Roman" w:hAnsi="Times New Roman"/>
          <w:sz w:val="21"/>
          <w:szCs w:val="21"/>
          <w:color w:val="auto"/>
        </w:rPr>
        <w:t>Attention: Chief Financial Officer, Chief Legal Officer</w:t>
      </w:r>
    </w:p>
    <w:p>
      <w:pPr>
        <w:ind w:left="1940"/>
        <w:spacing w:after="0"/>
        <w:rPr>
          <w:sz w:val="20"/>
          <w:szCs w:val="20"/>
          <w:color w:val="auto"/>
        </w:rPr>
      </w:pPr>
      <w:r>
        <w:rPr>
          <w:rFonts w:ascii="Times New Roman" w:cs="Times New Roman" w:eastAsia="Times New Roman" w:hAnsi="Times New Roman"/>
          <w:sz w:val="21"/>
          <w:szCs w:val="21"/>
          <w:color w:val="auto"/>
        </w:rPr>
        <w:t>Email: legal-notices@getcruise.com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388" w:right="339" w:bottom="1440" w:gutter="0" w:footer="0" w:header="0"/>
        </w:sectPr>
      </w:pPr>
    </w:p>
    <w:bookmarkStart w:id="120" w:name="page121"/>
    <w:bookmarkEnd w:id="120"/>
    <w:p>
      <w:pPr>
        <w:ind w:left="1300"/>
        <w:spacing w:after="0"/>
        <w:rPr>
          <w:sz w:val="20"/>
          <w:szCs w:val="20"/>
          <w:color w:val="auto"/>
        </w:rPr>
      </w:pPr>
      <w:r>
        <w:rPr>
          <w:rFonts w:ascii="Times New Roman" w:cs="Times New Roman" w:eastAsia="Times New Roman" w:hAnsi="Times New Roman"/>
          <w:sz w:val="21"/>
          <w:szCs w:val="21"/>
          <w:color w:val="auto"/>
        </w:rPr>
        <w:t>with copies (which shall not constitute notice) to:</w:t>
      </w:r>
    </w:p>
    <w:p>
      <w:pPr>
        <w:spacing w:after="0" w:line="1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General Motors Holdings LLC</w:t>
      </w:r>
    </w:p>
    <w:p>
      <w:pPr>
        <w:ind w:left="1940"/>
        <w:spacing w:after="0" w:line="213" w:lineRule="auto"/>
        <w:rPr>
          <w:sz w:val="20"/>
          <w:szCs w:val="20"/>
          <w:color w:val="auto"/>
        </w:rPr>
      </w:pPr>
      <w:r>
        <w:rPr>
          <w:rFonts w:ascii="Times New Roman" w:cs="Times New Roman" w:eastAsia="Times New Roman" w:hAnsi="Times New Roman"/>
          <w:sz w:val="21"/>
          <w:szCs w:val="21"/>
          <w:color w:val="auto"/>
        </w:rPr>
        <w:t>300 GM Renaissance Center</w:t>
      </w:r>
    </w:p>
    <w:p>
      <w:pPr>
        <w:ind w:left="1940"/>
        <w:spacing w:after="0" w:line="214" w:lineRule="auto"/>
        <w:rPr>
          <w:sz w:val="20"/>
          <w:szCs w:val="20"/>
          <w:color w:val="auto"/>
        </w:rPr>
      </w:pPr>
      <w:r>
        <w:rPr>
          <w:rFonts w:ascii="Times New Roman" w:cs="Times New Roman" w:eastAsia="Times New Roman" w:hAnsi="Times New Roman"/>
          <w:sz w:val="21"/>
          <w:szCs w:val="21"/>
          <w:color w:val="auto"/>
        </w:rPr>
        <w:t>Mail Code: 482-C22-A68</w:t>
      </w:r>
    </w:p>
    <w:p>
      <w:pPr>
        <w:ind w:left="1940"/>
        <w:spacing w:after="0" w:line="214" w:lineRule="auto"/>
        <w:rPr>
          <w:sz w:val="20"/>
          <w:szCs w:val="20"/>
          <w:color w:val="auto"/>
        </w:rPr>
      </w:pPr>
      <w:r>
        <w:rPr>
          <w:rFonts w:ascii="Times New Roman" w:cs="Times New Roman" w:eastAsia="Times New Roman" w:hAnsi="Times New Roman"/>
          <w:sz w:val="21"/>
          <w:szCs w:val="21"/>
          <w:color w:val="auto"/>
        </w:rPr>
        <w:t>Detroit, Michigan, 48265</w:t>
      </w:r>
    </w:p>
    <w:p>
      <w:pPr>
        <w:ind w:left="1940"/>
        <w:spacing w:after="0" w:line="213" w:lineRule="auto"/>
        <w:rPr>
          <w:sz w:val="20"/>
          <w:szCs w:val="20"/>
          <w:color w:val="auto"/>
        </w:rPr>
      </w:pPr>
      <w:r>
        <w:rPr>
          <w:rFonts w:ascii="Times New Roman" w:cs="Times New Roman" w:eastAsia="Times New Roman" w:hAnsi="Times New Roman"/>
          <w:sz w:val="21"/>
          <w:szCs w:val="21"/>
          <w:color w:val="auto"/>
        </w:rPr>
        <w:t xml:space="preserve">Attention: </w:t>
      </w:r>
      <w:r>
        <w:rPr>
          <w:rFonts w:ascii="Times New Roman" w:cs="Times New Roman" w:eastAsia="Times New Roman" w:hAnsi="Times New Roman"/>
          <w:sz w:val="21"/>
          <w:szCs w:val="21"/>
          <w:color w:val="333333"/>
        </w:rPr>
        <w:t>Assistant General Counsel, Corporate Finance &amp; Global Innovation</w:t>
      </w:r>
    </w:p>
    <w:p>
      <w:pPr>
        <w:spacing w:after="0" w:line="1" w:lineRule="exact"/>
        <w:rPr>
          <w:sz w:val="20"/>
          <w:szCs w:val="20"/>
          <w:color w:val="auto"/>
        </w:rPr>
      </w:pPr>
    </w:p>
    <w:p>
      <w:pPr>
        <w:ind w:left="1940"/>
        <w:spacing w:after="0"/>
        <w:tabs>
          <w:tab w:leader="none" w:pos="2720" w:val="left"/>
        </w:tabs>
        <w:rPr>
          <w:sz w:val="20"/>
          <w:szCs w:val="20"/>
          <w:color w:val="auto"/>
        </w:rPr>
      </w:pPr>
      <w:r>
        <w:rPr>
          <w:rFonts w:ascii="Times New Roman" w:cs="Times New Roman" w:eastAsia="Times New Roman" w:hAnsi="Times New Roman"/>
          <w:sz w:val="21"/>
          <w:szCs w:val="21"/>
          <w:color w:val="auto"/>
        </w:rPr>
        <w:t>Email:</w:t>
        <w:tab/>
        <w:t>GMCruiseNotices@gm.com</w:t>
      </w:r>
    </w:p>
    <w:p>
      <w:pPr>
        <w:spacing w:after="0" w:line="19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and</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Latham &amp; Watkins, LLP</w:t>
      </w:r>
    </w:p>
    <w:p>
      <w:pPr>
        <w:ind w:left="1940"/>
        <w:spacing w:after="0" w:line="213" w:lineRule="auto"/>
        <w:rPr>
          <w:sz w:val="20"/>
          <w:szCs w:val="20"/>
          <w:color w:val="auto"/>
        </w:rPr>
      </w:pPr>
      <w:r>
        <w:rPr>
          <w:rFonts w:ascii="Times New Roman" w:cs="Times New Roman" w:eastAsia="Times New Roman" w:hAnsi="Times New Roman"/>
          <w:sz w:val="21"/>
          <w:szCs w:val="21"/>
          <w:color w:val="auto"/>
        </w:rPr>
        <w:t>140 Scott Dr.</w:t>
      </w:r>
    </w:p>
    <w:p>
      <w:pPr>
        <w:ind w:left="1940"/>
        <w:spacing w:after="0" w:line="214" w:lineRule="auto"/>
        <w:rPr>
          <w:sz w:val="20"/>
          <w:szCs w:val="20"/>
          <w:color w:val="auto"/>
        </w:rPr>
      </w:pPr>
      <w:r>
        <w:rPr>
          <w:rFonts w:ascii="Times New Roman" w:cs="Times New Roman" w:eastAsia="Times New Roman" w:hAnsi="Times New Roman"/>
          <w:sz w:val="21"/>
          <w:szCs w:val="21"/>
          <w:color w:val="auto"/>
        </w:rPr>
        <w:t>Menlo Park, CA 94025</w:t>
      </w:r>
    </w:p>
    <w:p>
      <w:pPr>
        <w:ind w:left="1940"/>
        <w:spacing w:after="0" w:line="214" w:lineRule="auto"/>
        <w:rPr>
          <w:sz w:val="20"/>
          <w:szCs w:val="20"/>
          <w:color w:val="auto"/>
        </w:rPr>
      </w:pPr>
      <w:r>
        <w:rPr>
          <w:rFonts w:ascii="Times New Roman" w:cs="Times New Roman" w:eastAsia="Times New Roman" w:hAnsi="Times New Roman"/>
          <w:sz w:val="21"/>
          <w:szCs w:val="21"/>
          <w:color w:val="auto"/>
        </w:rPr>
        <w:t>Attention: Tad Freese and Jim Morrone</w:t>
      </w:r>
    </w:p>
    <w:p>
      <w:pPr>
        <w:ind w:left="1940"/>
        <w:spacing w:after="0"/>
        <w:rPr>
          <w:sz w:val="20"/>
          <w:szCs w:val="20"/>
          <w:color w:val="auto"/>
        </w:rPr>
      </w:pPr>
      <w:r>
        <w:rPr>
          <w:rFonts w:ascii="Times New Roman" w:cs="Times New Roman" w:eastAsia="Times New Roman" w:hAnsi="Times New Roman"/>
          <w:sz w:val="21"/>
          <w:szCs w:val="21"/>
          <w:color w:val="auto"/>
        </w:rPr>
        <w:t>Email: tad.freese@lw.com and jim.morrone@lw.com</w:t>
      </w:r>
    </w:p>
    <w:p>
      <w:pPr>
        <w:spacing w:after="0" w:line="164" w:lineRule="exact"/>
        <w:rPr>
          <w:sz w:val="20"/>
          <w:szCs w:val="20"/>
          <w:color w:val="auto"/>
        </w:rPr>
      </w:pPr>
    </w:p>
    <w:p>
      <w:pPr>
        <w:jc w:val="both"/>
        <w:ind w:firstLine="1297"/>
        <w:spacing w:after="0" w:line="221" w:lineRule="auto"/>
        <w:tabs>
          <w:tab w:leader="none" w:pos="1863" w:val="left"/>
        </w:tabs>
        <w:numPr>
          <w:ilvl w:val="0"/>
          <w:numId w:val="1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to a Member, to such Member or his personal representative at his or their last address known to the Company as disclosed on the records of the Company. Notices shall be in writing and shall be sent by pdf e-mail (if promptly confirmed by personal delivery, telephone call or mail), by mailed postage prepaid, registered or certified, by United States mail, return receipt requested, by nationally recognized private courier or by personal delivery. Notices shall be effective, (i) if sent by pdf e-mail, on the day sent, if sent before 5:00 p.m. New York, New York time, or on the next Business Day, if sent after 5:00 p.m. New York, New York time, in each case, subject to acknowledgement of receipt (not to be unreasonably withheld, conditioned or delayed), (ii) if sent by nationally recognized private courier, on the next Business Day, (iii) if mailed, three (3) Business Days after mailing or (iv) if personally delivered, when delivered.</w:t>
      </w:r>
    </w:p>
    <w:p>
      <w:pPr>
        <w:spacing w:after="0" w:line="152" w:lineRule="exact"/>
        <w:rPr>
          <w:sz w:val="20"/>
          <w:szCs w:val="20"/>
          <w:color w:val="auto"/>
        </w:rPr>
      </w:pPr>
    </w:p>
    <w:p>
      <w:pPr>
        <w:jc w:val="both"/>
        <w:ind w:firstLine="645"/>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12.07 </w:t>
      </w:r>
      <w:r>
        <w:rPr>
          <w:rFonts w:ascii="Times New Roman" w:cs="Times New Roman" w:eastAsia="Times New Roman" w:hAnsi="Times New Roman"/>
          <w:sz w:val="21"/>
          <w:szCs w:val="21"/>
          <w:b w:val="1"/>
          <w:bCs w:val="1"/>
          <w:u w:val="single" w:color="auto"/>
          <w:color w:val="auto"/>
        </w:rPr>
        <w:t>Electronic Mail</w:t>
      </w:r>
      <w:r>
        <w:rPr>
          <w:rFonts w:ascii="Times New Roman" w:cs="Times New Roman" w:eastAsia="Times New Roman" w:hAnsi="Times New Roman"/>
          <w:sz w:val="21"/>
          <w:szCs w:val="21"/>
          <w:color w:val="auto"/>
        </w:rPr>
        <w:t>. This Agreement, the agreements referred to herein, and each other agreement or instrument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entered into in connection herewith or therewith or contemplated hereby or thereby, and any amendments hereto or thereto, to the extent signed and delivered by means of electronic transmission in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hereto. No party hereto or to any such agreement or instrument shall raise the use of an electronic transmission in pdf to deliver a signature or the fact that any signature or agreement or instrument was transmitted or communicated through the use of an electronic transmission in pdf as a defense to the formation or enforceability of a contract and each such party forever waives any such defense. The words “writing”, “written” and comparable terms contained in this Agreement refer to printing, typing and other means of reproducing words (including electronic media or transmission) in visible form.</w:t>
      </w:r>
    </w:p>
    <w:p>
      <w:pPr>
        <w:spacing w:after="0" w:line="156" w:lineRule="exact"/>
        <w:rPr>
          <w:sz w:val="20"/>
          <w:szCs w:val="20"/>
          <w:color w:val="auto"/>
        </w:rPr>
      </w:pPr>
    </w:p>
    <w:p>
      <w:pPr>
        <w:jc w:val="both"/>
        <w:ind w:firstLine="645"/>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12.08 </w:t>
      </w:r>
      <w:r>
        <w:rPr>
          <w:rFonts w:ascii="Times New Roman" w:cs="Times New Roman" w:eastAsia="Times New Roman" w:hAnsi="Times New Roman"/>
          <w:sz w:val="21"/>
          <w:szCs w:val="21"/>
          <w:b w:val="1"/>
          <w:bCs w:val="1"/>
          <w:u w:val="single" w:color="auto"/>
          <w:color w:val="auto"/>
        </w:rPr>
        <w:t>Amendment</w:t>
      </w:r>
      <w:r>
        <w:rPr>
          <w:rFonts w:ascii="Times New Roman" w:cs="Times New Roman" w:eastAsia="Times New Roman" w:hAnsi="Times New Roman"/>
          <w:sz w:val="21"/>
          <w:szCs w:val="21"/>
          <w:color w:val="auto"/>
        </w:rPr>
        <w:t>. Subject to Sections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5.12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5.13</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5.14</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6.13(a)</w:t>
      </w:r>
      <w:r>
        <w:rPr>
          <w:rFonts w:ascii="Times New Roman" w:cs="Times New Roman" w:eastAsia="Times New Roman" w:hAnsi="Times New Roman"/>
          <w:sz w:val="21"/>
          <w:szCs w:val="21"/>
          <w:color w:val="auto"/>
        </w:rPr>
        <w:t>, this Agreement may be amended, modified,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waived only by the approval of both a Majority of the Members and the Board of Directors. Notwithstanding any other provision of this Agreement, each Additional Buyer (as defined in the Class G Purchase Agreement) purchasing Class G Preferred Shares at an Additional Closing (as defined in the Class G Purchase Agreement) shall become a party to this Agreement, without any amendment of this Agreement or without any consent or approval of any other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388" w:right="339" w:bottom="1440" w:gutter="0" w:footer="0" w:header="0"/>
        </w:sectPr>
      </w:pPr>
    </w:p>
    <w:bookmarkStart w:id="121" w:name="page122"/>
    <w:bookmarkEnd w:id="121"/>
    <w:p>
      <w:pPr>
        <w:jc w:val="both"/>
        <w:ind w:firstLine="645"/>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12.09 </w:t>
      </w:r>
      <w:r>
        <w:rPr>
          <w:rFonts w:ascii="Times New Roman" w:cs="Times New Roman" w:eastAsia="Times New Roman" w:hAnsi="Times New Roman"/>
          <w:sz w:val="21"/>
          <w:szCs w:val="21"/>
          <w:b w:val="1"/>
          <w:bCs w:val="1"/>
          <w:u w:val="single" w:color="auto"/>
          <w:color w:val="auto"/>
        </w:rPr>
        <w:t>Tax and Other Advice</w:t>
      </w:r>
      <w:r>
        <w:rPr>
          <w:rFonts w:ascii="Times New Roman" w:cs="Times New Roman" w:eastAsia="Times New Roman" w:hAnsi="Times New Roman"/>
          <w:sz w:val="21"/>
          <w:szCs w:val="21"/>
          <w:color w:val="auto"/>
        </w:rPr>
        <w:t>. Each Member has had the opportunity to consult with such Member’s own tax and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advisors with respect to the consequences to such Member of the purchase, receipt or ownership of the Shares, including the tax consequences under federal, state, local, and other income tax laws of the United States or any other country and the possible effects of changes in such tax laws. Such Member acknowledges that none of the Company, its Subsidiaries, Affiliates, successors, beneficiaries, heirs and assigns and its and their past and present directors, officers, employees, and agents (including their attorneys) makes or has made any representations or warranties to such Member regarding the consequences to such Member of the purchase, receipt or ownership of the Shares, including the tax consequences under federal, state, local and other tax laws of the United States or any other country and the possible effects of changes in such tax laws.</w:t>
      </w:r>
    </w:p>
    <w:p>
      <w:pPr>
        <w:spacing w:after="0" w:line="148" w:lineRule="exact"/>
        <w:rPr>
          <w:sz w:val="20"/>
          <w:szCs w:val="20"/>
          <w:color w:val="auto"/>
        </w:rPr>
      </w:pPr>
    </w:p>
    <w:p>
      <w:pPr>
        <w:jc w:val="both"/>
        <w:ind w:firstLine="645"/>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12.10 </w:t>
      </w:r>
      <w:r>
        <w:rPr>
          <w:rFonts w:ascii="Times New Roman" w:cs="Times New Roman" w:eastAsia="Times New Roman" w:hAnsi="Times New Roman"/>
          <w:sz w:val="21"/>
          <w:szCs w:val="21"/>
          <w:b w:val="1"/>
          <w:bCs w:val="1"/>
          <w:u w:val="single" w:color="auto"/>
          <w:color w:val="auto"/>
        </w:rPr>
        <w:t>Acknowledgments</w:t>
      </w:r>
      <w:r>
        <w:rPr>
          <w:rFonts w:ascii="Times New Roman" w:cs="Times New Roman" w:eastAsia="Times New Roman" w:hAnsi="Times New Roman"/>
          <w:sz w:val="21"/>
          <w:szCs w:val="21"/>
          <w:color w:val="auto"/>
        </w:rPr>
        <w:t>. Upon execution and delivery of a counterpart to this Agreement or a joinder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each Member (including any of its successors or assigns, each Assignee and each Additional Member) shall be deemed to acknowledge to the Company as follows: (i) the determination of such Member to acquire Shares pursuant to this Agreement or any other agreement has been made by such Member independent of any other Member and independent of any statements or opinions as to the advisability of such purchase or as to the properties, business, prospects or condition (financial or otherwise) of the Company and its Subsidiaries which may have been made or given by any other Member or by any agent or employee of any other Member, (ii) no other Member has acted as an agent of such Member in connection with making its investment hereunder and that no other Member shall be acting as an agent of such Member in connection with monitoring its investment hereunder, (iii) each of the GM Investor and GM Parent has retained Kirkland &amp; Ellis LLP in connection with the transactions contemplated hereby and expect to retain Kirkland &amp; Ellis LLP as legal counsel in connection with the management and operation of the investment in the Company and its Subsidiaries, (iv) Kirkland &amp; Ellis LLP is not representing and will not represent any other Member in connection with the transactions contemplated hereby or any dispute which may arise between the GM Investor, on the one hand, and any other Member, on the other hand, and (v) such Member will, if it wishes counsel on the transactions contemplated hereby, retain its own independent counsel.</w:t>
      </w:r>
    </w:p>
    <w:p>
      <w:pPr>
        <w:spacing w:after="0" w:line="15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t>12.11</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ind w:right="20" w:firstLine="1297"/>
        <w:spacing w:after="0" w:line="251" w:lineRule="auto"/>
        <w:tabs>
          <w:tab w:leader="none" w:pos="1985" w:val="left"/>
        </w:tabs>
        <w:numPr>
          <w:ilvl w:val="0"/>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Descriptive Headings</w:t>
      </w:r>
      <w:r>
        <w:rPr>
          <w:rFonts w:ascii="Times New Roman" w:cs="Times New Roman" w:eastAsia="Times New Roman" w:hAnsi="Times New Roman"/>
          <w:sz w:val="21"/>
          <w:szCs w:val="21"/>
          <w:color w:val="auto"/>
        </w:rPr>
        <w:t>. The article or section titles or captions contained in this Agreement are for convenience only and shall not be deemed a part of this Agreement.</w:t>
      </w:r>
    </w:p>
    <w:p>
      <w:pPr>
        <w:spacing w:after="0" w:line="139" w:lineRule="exact"/>
        <w:rPr>
          <w:rFonts w:ascii="Times New Roman" w:cs="Times New Roman" w:eastAsia="Times New Roman" w:hAnsi="Times New Roman"/>
          <w:sz w:val="21"/>
          <w:szCs w:val="21"/>
          <w:color w:val="010000"/>
        </w:rPr>
      </w:pPr>
    </w:p>
    <w:p>
      <w:pPr>
        <w:jc w:val="both"/>
        <w:ind w:firstLine="1297"/>
        <w:spacing w:after="0" w:line="219" w:lineRule="auto"/>
        <w:tabs>
          <w:tab w:leader="none" w:pos="1796" w:val="left"/>
        </w:tabs>
        <w:numPr>
          <w:ilvl w:val="0"/>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Wherever possible, each provision of this Agreement shall be interpreted in such manner as to be effective and valid under applicable law and references to any law shall include all statutory and regulatory provisions consolidating, amending, replacing, supplementing or interpreting such law, but if any provision of this Agreement shall be unenforceable or invalid under applicable law in any jurisdiction or with respect to any Member, such provision shall be ineffective only to the extent of such unenforceability or invalidity and shall not affect the enforceability of any other provision in such jurisdiction or the enforcement of the entirety of this Agreement in any other jurisdiction or with respect to any other Member, but this Agreement will be reformed, construed and enforced in such jurisdiction and with respect to the applicable Member as if such invalid or unenforceable provision had never been contained herein. Notwithstanding the foregoing, if any court determines that any of the covenants or agreements set forth in this Agreement are overbroad under applicable law in time, geographical scope or otherwise, the Members specifically agree and authorize such court to rewrite this Agreement to reflect the maximum time, geographical and/or other restrictions permitted under applicable law to be reasonable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384" w:right="339" w:bottom="1440" w:gutter="0" w:footer="0" w:header="0"/>
        </w:sectPr>
      </w:pPr>
    </w:p>
    <w:bookmarkStart w:id="122" w:name="page123"/>
    <w:bookmarkEnd w:id="122"/>
    <w:p>
      <w:pPr>
        <w:jc w:val="both"/>
        <w:ind w:firstLine="1297"/>
        <w:spacing w:after="0" w:line="224" w:lineRule="auto"/>
        <w:tabs>
          <w:tab w:leader="none" w:pos="1757" w:val="left"/>
        </w:tabs>
        <w:numPr>
          <w:ilvl w:val="0"/>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The failure of any Person to insist in one or more instances on performance by another Person of any obligation, condition or other term of this Agreement in strict accordance with the provisions hereof shall not be construed as a waiver of any right granted hereunder or of the future performance of any obligation, condition or other term of this Agreement in strict accordance with the provisions hereof, and no waiver with respect thereto shall be effective unless contained in a writing signed by or on behalf of the waiving party. The remedies in this Agreement shall be cumulative and are not exclusive of any other remedies provided by law.</w:t>
      </w:r>
    </w:p>
    <w:p>
      <w:pPr>
        <w:spacing w:after="0" w:line="152" w:lineRule="exact"/>
        <w:rPr>
          <w:rFonts w:ascii="Times New Roman" w:cs="Times New Roman" w:eastAsia="Times New Roman" w:hAnsi="Times New Roman"/>
          <w:sz w:val="21"/>
          <w:szCs w:val="21"/>
          <w:color w:val="010000"/>
        </w:rPr>
      </w:pPr>
    </w:p>
    <w:p>
      <w:pPr>
        <w:jc w:val="both"/>
        <w:ind w:firstLine="1297"/>
        <w:spacing w:after="0" w:line="224" w:lineRule="auto"/>
        <w:tabs>
          <w:tab w:leader="none" w:pos="1769" w:val="left"/>
        </w:tabs>
        <w:numPr>
          <w:ilvl w:val="0"/>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This Agreement shall be binding upon, and inure to the benefit of, the parties hereto and their respective heirs, representatives, successors and permitted assigns. Notwithstanding the foregoing or anything in this Agreement to the contrary, none of the Members may, without the prior written approval of the Board of Directors, assign or delegate any of his, her or its rights or obligations under this Agreement to any Person other than a Permitted Transferee (provided that, for clarity, SoftBank may not assign its obligations in </w:t>
      </w:r>
      <w:r>
        <w:rPr>
          <w:rFonts w:ascii="Times New Roman" w:cs="Times New Roman" w:eastAsia="Times New Roman" w:hAnsi="Times New Roman"/>
          <w:sz w:val="21"/>
          <w:szCs w:val="21"/>
          <w:u w:val="single" w:color="auto"/>
          <w:color w:val="auto"/>
        </w:rPr>
        <w:t>Section 2.02(c)(i)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foregoing shall not prohibit or otherwise affect the ability of a Member to effect a Transfer of Shares in accordance with this Agreement.</w:t>
      </w:r>
    </w:p>
    <w:p>
      <w:pPr>
        <w:spacing w:after="0" w:line="152"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770" w:val="left"/>
        </w:tabs>
        <w:numPr>
          <w:ilvl w:val="0"/>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the appendices, exhibits and schedules attached hereto, which are hereby incorporated herein by reference) and the other agreements referred to in or contemplated by this Agreement constitute the entire agreement of the parties hereto with respect to the subject matter hereof and thereof and supersedes all prior agreements, negotiations or representations with respect to the subject matter hereof and thereof.</w:t>
      </w:r>
    </w:p>
    <w:p>
      <w:pPr>
        <w:spacing w:after="0" w:line="153"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760" w:val="left"/>
        </w:tabs>
        <w:numPr>
          <w:ilvl w:val="0"/>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the laws of the State of Delaware, including the Act, without giving effect to any choice of law or conflict of law provision or rule (whether of the State of Delaware or any other jurisdiction) that would cause the application of the laws of any jurisdiction other than the State of Delaware.</w:t>
      </w:r>
    </w:p>
    <w:p>
      <w:pPr>
        <w:spacing w:after="0" w:line="150" w:lineRule="exact"/>
        <w:rPr>
          <w:rFonts w:ascii="Times New Roman" w:cs="Times New Roman" w:eastAsia="Times New Roman" w:hAnsi="Times New Roman"/>
          <w:sz w:val="21"/>
          <w:szCs w:val="21"/>
          <w:color w:val="010000"/>
        </w:rPr>
      </w:pPr>
    </w:p>
    <w:p>
      <w:pPr>
        <w:jc w:val="both"/>
        <w:ind w:firstLine="1297"/>
        <w:spacing w:after="0" w:line="229" w:lineRule="auto"/>
        <w:tabs>
          <w:tab w:leader="none" w:pos="1796" w:val="left"/>
        </w:tabs>
        <w:numPr>
          <w:ilvl w:val="0"/>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The parties hereto acknowledge and agree that each has negotiated and reviewed the terms of this Agreement, assisted by such legal and tax counsel as they desired, and has contributed to its revisions. The parties hereto further agree that the rule of construction that any ambiguities are resolved against the drafting party will be subordinated to the principle that the terms and provisions of this Agreement will be construed fairly as to all parties hereto and not in favor of or against any party. The word “including” and other words of similar import means “including, without limitation” and where specific language is used to clarify by example a general statement contained herein, such specific language shall not be deemed to modify, limit or restrict in any manner the construction of the general statement to which it relates. All pronouns shall be deemed to refer to the masculine, feminine, neuter, singular or plural, as the identity of the Person may require in the context thereof. The words “herein,” “hereof,” “hereunder” and other words of similar import refer to this Agreement as a whole, and not to any particular section, subsection, paragraph, subparagraph or clause contained in this Agreement. Any law, statute, rule or regulation defined or referred to herein means such law, statute, rule or regulation as from time to time amended, modified or supplemented. The terms “$” and “dollars” means United States Dollars. A reference herein to this Agreement refers to this Agreement as it may hereafter be amended, modified, extended, restated or replaced from time to time in accordance with the provisions hereof and a reference to any other agreement refers to such other agreement as it may hereafter be amended, modified, extended, restated or replaced from time to time in accordance with the provisions thereof and the applicable limitations (if any) set forth in this Agreement. With respect to any matter requiring the approval, decision, determination or consent of any Person(s) hereunder (including the Members and the Board of Directors), if no other standard for granting, denying or making such approval, decision, determination or consent is provided in this Agreement, such approval, decision, determination or consent shall be made by such Person(s) in their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388" w:right="339" w:bottom="1440" w:gutter="0" w:footer="0" w:header="0"/>
        </w:sectPr>
      </w:pPr>
    </w:p>
    <w:bookmarkStart w:id="123" w:name="page124"/>
    <w:bookmarkEnd w:id="123"/>
    <w:p>
      <w:pPr>
        <w:jc w:val="both"/>
        <w:ind w:firstLine="1297"/>
        <w:spacing w:after="0" w:line="220" w:lineRule="auto"/>
        <w:tabs>
          <w:tab w:leader="none" w:pos="1756" w:val="left"/>
        </w:tabs>
        <w:numPr>
          <w:ilvl w:val="0"/>
          <w:numId w:val="1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Venue; Waiver of Jury Trial</w:t>
      </w:r>
      <w:r>
        <w:rPr>
          <w:rFonts w:ascii="Times New Roman" w:cs="Times New Roman" w:eastAsia="Times New Roman" w:hAnsi="Times New Roman"/>
          <w:sz w:val="21"/>
          <w:szCs w:val="21"/>
          <w:color w:val="auto"/>
        </w:rPr>
        <w:t>. This Agreement has been executed and delivered in and shall be deemed to have been made in Delaware. Each Member agrees to the exclusive jurisdiction of any state or federal court within Delaware, with respect to any claim or cause of action arising under or relating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order from any such court may be enforced in any other jurisdiction), and waives personal service of any and all process upon it, and consents that all services of process be made by registered mail, directed to it at its address as set forth in </w:t>
      </w:r>
      <w:r>
        <w:rPr>
          <w:rFonts w:ascii="Times New Roman" w:cs="Times New Roman" w:eastAsia="Times New Roman" w:hAnsi="Times New Roman"/>
          <w:sz w:val="21"/>
          <w:szCs w:val="21"/>
          <w:u w:val="single" w:color="auto"/>
          <w:color w:val="auto"/>
        </w:rPr>
        <w:t>Section 12.06</w:t>
      </w:r>
      <w:r>
        <w:rPr>
          <w:rFonts w:ascii="Times New Roman" w:cs="Times New Roman" w:eastAsia="Times New Roman" w:hAnsi="Times New Roman"/>
          <w:sz w:val="21"/>
          <w:szCs w:val="21"/>
          <w:color w:val="auto"/>
        </w:rPr>
        <w:t xml:space="preserve">, and service so made shall be deemed to be completed when received. Each Member waives any objection based on </w:t>
      </w:r>
      <w:r>
        <w:rPr>
          <w:rFonts w:ascii="Times New Roman" w:cs="Times New Roman" w:eastAsia="Times New Roman" w:hAnsi="Times New Roman"/>
          <w:sz w:val="21"/>
          <w:szCs w:val="21"/>
          <w:i w:val="1"/>
          <w:iCs w:val="1"/>
          <w:color w:val="auto"/>
        </w:rPr>
        <w:t>forum non conveniens</w:t>
      </w:r>
      <w:r>
        <w:rPr>
          <w:rFonts w:ascii="Times New Roman" w:cs="Times New Roman" w:eastAsia="Times New Roman" w:hAnsi="Times New Roman"/>
          <w:sz w:val="21"/>
          <w:szCs w:val="21"/>
          <w:color w:val="auto"/>
        </w:rPr>
        <w:t xml:space="preserve"> and waives any objection to venue of any action instituted hereunder. Nothing in this paragraph shall affect the right to serve legal process in any other manner permitted by law. EACH OF THE PARTIES HERETO (INCLUDING EACH MEMBER) IRREVOCABLY WAIVES ALL RIGHT TO A TRIAL BY JURY IN ANY SUIT, ACTION OR OTHER PROCEEDING INSTITUTED BY OR AGAINST SUCH PARTY IN RESPECT OF ITS, HIS OR HER OBLIGATIONS HEREUNDER.</w:t>
      </w:r>
    </w:p>
    <w:p>
      <w:pPr>
        <w:spacing w:after="0" w:line="151" w:lineRule="exact"/>
        <w:rPr>
          <w:rFonts w:ascii="Times New Roman" w:cs="Times New Roman" w:eastAsia="Times New Roman" w:hAnsi="Times New Roman"/>
          <w:sz w:val="21"/>
          <w:szCs w:val="21"/>
          <w:color w:val="010000"/>
        </w:rPr>
      </w:pPr>
    </w:p>
    <w:p>
      <w:pPr>
        <w:ind w:firstLine="1297"/>
        <w:spacing w:after="0" w:line="251" w:lineRule="auto"/>
        <w:tabs>
          <w:tab w:leader="none" w:pos="1762" w:val="left"/>
        </w:tabs>
        <w:numPr>
          <w:ilvl w:val="0"/>
          <w:numId w:val="1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multiple counterparts, each of which shall be deemed an original and all of which together shall constitute one instrument.</w:t>
      </w:r>
    </w:p>
    <w:p>
      <w:pPr>
        <w:spacing w:after="0" w:line="139" w:lineRule="exact"/>
        <w:rPr>
          <w:rFonts w:ascii="Times New Roman" w:cs="Times New Roman" w:eastAsia="Times New Roman" w:hAnsi="Times New Roman"/>
          <w:sz w:val="21"/>
          <w:szCs w:val="21"/>
          <w:color w:val="010000"/>
        </w:rPr>
      </w:pPr>
    </w:p>
    <w:p>
      <w:pPr>
        <w:jc w:val="both"/>
        <w:ind w:firstLine="1297"/>
        <w:spacing w:after="0" w:line="235" w:lineRule="auto"/>
        <w:tabs>
          <w:tab w:leader="none" w:pos="1842" w:val="left"/>
        </w:tabs>
        <w:numPr>
          <w:ilvl w:val="0"/>
          <w:numId w:val="1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Third Parties</w:t>
      </w:r>
      <w:r>
        <w:rPr>
          <w:rFonts w:ascii="Times New Roman" w:cs="Times New Roman" w:eastAsia="Times New Roman" w:hAnsi="Times New Roman"/>
          <w:sz w:val="21"/>
          <w:szCs w:val="21"/>
          <w:color w:val="auto"/>
        </w:rPr>
        <w:t>. The agreements, covenants and representations contained herein are for the benefit of the Company and the Members and are not for the benefit of any third parties, including any creditors of the Company, except to the extent that any other Person is expressly granted any rights under this Agreement.</w:t>
      </w:r>
    </w:p>
    <w:p>
      <w:pPr>
        <w:spacing w:after="0" w:line="147" w:lineRule="exact"/>
        <w:rPr>
          <w:sz w:val="20"/>
          <w:szCs w:val="20"/>
          <w:color w:val="auto"/>
        </w:rPr>
      </w:pPr>
    </w:p>
    <w:p>
      <w:pPr>
        <w:jc w:val="both"/>
        <w:ind w:firstLine="645"/>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12.12 </w:t>
      </w:r>
      <w:r>
        <w:rPr>
          <w:rFonts w:ascii="Times New Roman" w:cs="Times New Roman" w:eastAsia="Times New Roman" w:hAnsi="Times New Roman"/>
          <w:sz w:val="21"/>
          <w:szCs w:val="21"/>
          <w:b w:val="1"/>
          <w:bCs w:val="1"/>
          <w:u w:val="single" w:color="auto"/>
          <w:color w:val="auto"/>
        </w:rPr>
        <w:t>Title to Company Assets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Company assets shall be deemed to be owned by the Company as an entity, and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 individually or collectively, shall have any ownership interest in such Company assets or any portion thereof. Legal title to any or all Company assets may be held in the name of the Company or one or more nominees, as the Board of Directors may determine. The Board of Directors hereby declares and warrants that any Company assets for which legal title is held in the name of any nominee shall be held in trust by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49" w:lineRule="exact"/>
        <w:rPr>
          <w:sz w:val="20"/>
          <w:szCs w:val="20"/>
          <w:color w:val="auto"/>
        </w:rPr>
      </w:pPr>
    </w:p>
    <w:p>
      <w:pPr>
        <w:jc w:val="both"/>
        <w:ind w:firstLine="645"/>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12.13 </w:t>
      </w:r>
      <w:r>
        <w:rPr>
          <w:rFonts w:ascii="Times New Roman" w:cs="Times New Roman" w:eastAsia="Times New Roman" w:hAnsi="Times New Roman"/>
          <w:sz w:val="21"/>
          <w:szCs w:val="21"/>
          <w:b w:val="1"/>
          <w:bCs w:val="1"/>
          <w:u w:val="single" w:color="auto"/>
          <w:color w:val="auto"/>
        </w:rPr>
        <w:t>Creditors</w:t>
      </w:r>
      <w:r>
        <w:rPr>
          <w:rFonts w:ascii="Times New Roman" w:cs="Times New Roman" w:eastAsia="Times New Roman" w:hAnsi="Times New Roman"/>
          <w:sz w:val="21"/>
          <w:szCs w:val="21"/>
          <w:color w:val="auto"/>
        </w:rPr>
        <w:t>. None of the provisions of this Agreement shall be for the benefit of or enforceable by any non-Member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creditors of the Company or any of its Affiliates, and no non-Member creditor who makes a loan to the Company or any of its Affiliates may have or acquire (except pursuant to the terms of a separate agreement executed by the Company in favor of such creditor) at any time as a result of making the loan any direct or indirect interest in Distributions, capital or property or the rights of the Board of Directors to require Capital Contributions other than as a secured creditor. Notwithstanding anything to the contrary in this Agreement, any Member who is, or whose Affiliates are, a creditor or lender of the Company or its Subsidiaries (including a trade creditor pursuant to any Commercial Agreement) shall be entitled to exercise all of its rights as a creditor of lender of the Company or its Subsidiaries, as set forth in the applicable credit document or other agreement between such Member (or its Affiliates) and the Company or its Subsidiaries, or otherwise available to such Member (or its Affiliates) in such capacity. Without limiting the generality of the foregoing, any such Member (or its Affiliates), in exercising its rights as a creditor or lender, will have no duty to consider (i) its or its Affiliates’ status as a direct or indirect equity owner of the Company or its Subsidiaries,</w:t>
      </w:r>
    </w:p>
    <w:p>
      <w:pPr>
        <w:spacing w:after="0" w:line="2" w:lineRule="exact"/>
        <w:rPr>
          <w:sz w:val="20"/>
          <w:szCs w:val="20"/>
          <w:color w:val="auto"/>
        </w:rPr>
      </w:pPr>
    </w:p>
    <w:p>
      <w:pPr>
        <w:jc w:val="both"/>
        <w:ind w:firstLine="7"/>
        <w:spacing w:after="0" w:line="227" w:lineRule="auto"/>
        <w:tabs>
          <w:tab w:leader="none" w:pos="322"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interests of the Company or its Subsidiaries, or (iii) any duty it or any of its Affiliates may have hereunder or otherwise to any other Member, except as may be required under the applicable credit or other documents or by commercial law applicable to creditors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388" w:right="339" w:bottom="1440" w:gutter="0" w:footer="0" w:header="0"/>
        </w:sectPr>
      </w:pPr>
    </w:p>
    <w:bookmarkStart w:id="124" w:name="page125"/>
    <w:bookmarkEnd w:id="124"/>
    <w:p>
      <w:pPr>
        <w:jc w:val="both"/>
        <w:ind w:firstLine="645"/>
        <w:spacing w:after="0" w:line="233" w:lineRule="auto"/>
        <w:rPr>
          <w:sz w:val="20"/>
          <w:szCs w:val="20"/>
          <w:color w:val="auto"/>
        </w:rPr>
      </w:pPr>
      <w:r>
        <w:rPr>
          <w:rFonts w:ascii="Times New Roman" w:cs="Times New Roman" w:eastAsia="Times New Roman" w:hAnsi="Times New Roman"/>
          <w:sz w:val="21"/>
          <w:szCs w:val="21"/>
          <w:b w:val="1"/>
          <w:bCs w:val="1"/>
          <w:color w:val="auto"/>
        </w:rPr>
        <w:t xml:space="preserve">12.14 </w:t>
      </w:r>
      <w:r>
        <w:rPr>
          <w:rFonts w:ascii="Times New Roman" w:cs="Times New Roman" w:eastAsia="Times New Roman" w:hAnsi="Times New Roman"/>
          <w:sz w:val="21"/>
          <w:szCs w:val="21"/>
          <w:b w:val="1"/>
          <w:bCs w:val="1"/>
          <w:u w:val="single" w:color="auto"/>
          <w:color w:val="auto"/>
        </w:rPr>
        <w:t>Remedies</w:t>
      </w:r>
      <w:r>
        <w:rPr>
          <w:rFonts w:ascii="Times New Roman" w:cs="Times New Roman" w:eastAsia="Times New Roman" w:hAnsi="Times New Roman"/>
          <w:sz w:val="21"/>
          <w:szCs w:val="21"/>
          <w:color w:val="auto"/>
        </w:rPr>
        <w:t>. The Company and the Members shall be entitled to enforce their respective rights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specifically, to recover damages by reason of any breach of any provision of this Agreement (including costs of enforcement) and to exercise any and all other rights at law or at equity existing in their respective favor. The Company and each Assignee and Member further agrees and acknowledges that money damages shall not be an adequate remedy for any breach of the provisions of this Agreement (and thus waive as defense that there is an adequate remedy at law), and that, accordingly, the Company or any Member shall, in the event of any breach or threatened breach of this Agreement, be entitled (without posting a bond or other security) to seek an injunction or injunctions to prevent or restrain threatened breaches of, and to specifically enforce the terms and provisions of this Agreement to prevent breaches or threatened breaches of, or to enforce compliance with, the covenants and obligations under this Agreement. The Company and each Member and Assignee hereby waives any right to claim that specific performance should not be ordered to prevent or remedy a breach or threatened breach of this Agreement, and agrees not to raise any objections on the basis that a remedy at laws would be adequate or on any other basis, (a) to the availability or appropriateness of the equitable remedy of specific performance, or (b) to the rights of the Company and the Members to specifically enforce the terms and provisions of this Agreement to prevent breaches or threatened breaches of, or to enforce compliance with, the covenants and obligations of this Agreement. The remedies in this Agreement shall be cumulative and are not exclusive of any other remedies provided by law.</w:t>
      </w:r>
    </w:p>
    <w:p>
      <w:pPr>
        <w:spacing w:after="0" w:line="158" w:lineRule="exact"/>
        <w:rPr>
          <w:sz w:val="20"/>
          <w:szCs w:val="20"/>
          <w:color w:val="auto"/>
        </w:rPr>
      </w:pPr>
    </w:p>
    <w:p>
      <w:pPr>
        <w:jc w:val="both"/>
        <w:ind w:firstLine="645"/>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12.15 </w:t>
      </w:r>
      <w:r>
        <w:rPr>
          <w:rFonts w:ascii="Times New Roman" w:cs="Times New Roman" w:eastAsia="Times New Roman" w:hAnsi="Times New Roman"/>
          <w:sz w:val="21"/>
          <w:szCs w:val="21"/>
          <w:b w:val="1"/>
          <w:bCs w:val="1"/>
          <w:u w:val="single" w:color="auto"/>
          <w:color w:val="auto"/>
        </w:rPr>
        <w:t>Time is of the Essence; Computation of Time</w:t>
      </w:r>
      <w:r>
        <w:rPr>
          <w:rFonts w:ascii="Times New Roman" w:cs="Times New Roman" w:eastAsia="Times New Roman" w:hAnsi="Times New Roman"/>
          <w:sz w:val="21"/>
          <w:szCs w:val="21"/>
          <w:color w:val="auto"/>
        </w:rPr>
        <w:t>. Time is of the essence for each and every provision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Whenever the last day for the exercise of any privilege or the discharge of any duty hereunder shall fall upon a day other than a Business Day, the party having such privilege or duty may exercise such privilege or discharge such duty on the next succeeding day which is a Business Day.</w:t>
      </w:r>
    </w:p>
    <w:p>
      <w:pPr>
        <w:spacing w:after="0" w:line="149" w:lineRule="exact"/>
        <w:rPr>
          <w:sz w:val="20"/>
          <w:szCs w:val="20"/>
          <w:color w:val="auto"/>
        </w:rPr>
      </w:pPr>
    </w:p>
    <w:p>
      <w:pPr>
        <w:jc w:val="both"/>
        <w:ind w:firstLine="645"/>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12.16 </w:t>
      </w:r>
      <w:r>
        <w:rPr>
          <w:rFonts w:ascii="Times New Roman" w:cs="Times New Roman" w:eastAsia="Times New Roman" w:hAnsi="Times New Roman"/>
          <w:sz w:val="21"/>
          <w:szCs w:val="21"/>
          <w:b w:val="1"/>
          <w:bCs w:val="1"/>
          <w:u w:val="single" w:color="auto"/>
          <w:color w:val="auto"/>
        </w:rPr>
        <w:t>Notice to Members of Provisions</w:t>
      </w:r>
      <w:r>
        <w:rPr>
          <w:rFonts w:ascii="Times New Roman" w:cs="Times New Roman" w:eastAsia="Times New Roman" w:hAnsi="Times New Roman"/>
          <w:sz w:val="21"/>
          <w:szCs w:val="21"/>
          <w:color w:val="auto"/>
        </w:rPr>
        <w:t>. By executing this Agreement (in its current or prior form), each Member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acknowledges that it has actual notice of (i) all of the provisions hereof (including the restrictions on transfer set forth in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and (ii) all of the provisions of the Certificate of Formation.</w:t>
      </w:r>
    </w:p>
    <w:p>
      <w:pPr>
        <w:spacing w:after="0" w:line="148" w:lineRule="exact"/>
        <w:rPr>
          <w:sz w:val="20"/>
          <w:szCs w:val="20"/>
          <w:color w:val="auto"/>
        </w:rPr>
      </w:pPr>
    </w:p>
    <w:p>
      <w:pPr>
        <w:jc w:val="both"/>
        <w:ind w:firstLine="645"/>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12.17 </w:t>
      </w: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color w:val="auto"/>
        </w:rPr>
        <w:t>. In connection with this Agreement and the transactions contemplated hereby, each Member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execute and deliver any additional documents and instruments and perform any additional acts that may be necessary to effectuate and perform the provisions of this Agreement and those transactions.</w:t>
      </w:r>
    </w:p>
    <w:p>
      <w:pPr>
        <w:spacing w:after="0" w:line="148" w:lineRule="exact"/>
        <w:rPr>
          <w:sz w:val="20"/>
          <w:szCs w:val="20"/>
          <w:color w:val="auto"/>
        </w:rPr>
      </w:pPr>
    </w:p>
    <w:p>
      <w:pPr>
        <w:jc w:val="both"/>
        <w:ind w:firstLine="645"/>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12.18 </w:t>
      </w: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color w:val="auto"/>
        </w:rPr>
        <w:t>. Upon consummation of an IPO or a Sale of the Company, this Agreement will be terminated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replaced, in the case of an IPO, by a suitable replacement stockholders’ agreement as reasonably determined by the Board of Directors immediately prior to the IPO) and each of the Members will be fully, finally and forever discharged and released from any and all agreements, terms, covenants, conditions, representations, warranties and other obligations arising under this Agreement and all rights and benefits of the Members arising under this Agreement shall be fully, finally and forever terminated and extinguished;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 xml:space="preserve"> (and, solely in the case of a Sale of the Company,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to the extent any obligations thereunder have not been fully performed) shall survive and continue to apply in accordance with the their terms.</w:t>
      </w:r>
    </w:p>
    <w:p>
      <w:pPr>
        <w:spacing w:after="0" w:line="152" w:lineRule="exact"/>
        <w:rPr>
          <w:sz w:val="20"/>
          <w:szCs w:val="20"/>
          <w:color w:val="auto"/>
        </w:rPr>
      </w:pPr>
    </w:p>
    <w:p>
      <w:pPr>
        <w:jc w:val="center"/>
        <w:spacing w:after="0"/>
        <w:tabs>
          <w:tab w:leader="none" w:pos="200" w:val="left"/>
          <w:tab w:leader="none" w:pos="200" w:val="left"/>
        </w:tabs>
        <w:rPr>
          <w:sz w:val="20"/>
          <w:szCs w:val="20"/>
          <w:color w:val="auto"/>
        </w:rPr>
      </w:pPr>
      <w:r>
        <w:rPr>
          <w:rFonts w:ascii="Times New Roman" w:cs="Times New Roman" w:eastAsia="Times New Roman" w:hAnsi="Times New Roman"/>
          <w:sz w:val="21"/>
          <w:szCs w:val="21"/>
          <w:color w:val="auto"/>
        </w:rPr>
        <w:t>*</w:t>
        <w:tab/>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384" w:right="339" w:bottom="1440" w:gutter="0" w:footer="0" w:header="0"/>
        </w:sectPr>
      </w:pPr>
    </w:p>
    <w:bookmarkStart w:id="125" w:name="page126"/>
    <w:bookmarkEnd w:id="125"/>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this Agreement as of the date first above written.</w:t>
      </w:r>
    </w:p>
    <w:p>
      <w:pPr>
        <w:sectPr>
          <w:pgSz w:w="11900" w:h="16838" w:orient="portrait"/>
          <w:cols w:equalWidth="0" w:num="1">
            <w:col w:w="9919"/>
          </w:cols>
          <w:pgMar w:left="540" w:top="1440" w:right="1440" w:bottom="1440" w:gutter="0" w:footer="0" w:header="0"/>
        </w:sectPr>
      </w:pPr>
    </w:p>
    <w:p>
      <w:pPr>
        <w:spacing w:after="0" w:line="21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GM CRUISE HOLDINGS LLC</w:t>
      </w:r>
    </w:p>
    <w:p>
      <w:pPr>
        <w:spacing w:after="0" w:line="200" w:lineRule="exact"/>
        <w:rPr>
          <w:sz w:val="20"/>
          <w:szCs w:val="20"/>
          <w:color w:val="auto"/>
        </w:rPr>
      </w:pPr>
    </w:p>
    <w:p>
      <w:pPr>
        <w:spacing w:after="0" w:line="259" w:lineRule="exact"/>
        <w:rPr>
          <w:sz w:val="20"/>
          <w:szCs w:val="20"/>
          <w:color w:val="auto"/>
        </w:rPr>
      </w:pPr>
    </w:p>
    <w:p>
      <w:pPr>
        <w:ind w:left="3660"/>
        <w:spacing w:after="0"/>
        <w:tabs>
          <w:tab w:leader="none" w:pos="42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William Nash</w:t>
      </w:r>
      <w:r>
        <w:rPr>
          <w:rFonts w:ascii="Times New Roman" w:cs="Times New Roman" w:eastAsia="Times New Roman" w:hAnsi="Times New Roman"/>
          <w:sz w:val="21"/>
          <w:szCs w:val="21"/>
          <w:color w:val="auto"/>
        </w:rPr>
        <w:t>_____________________</w:t>
      </w:r>
    </w:p>
    <w:p>
      <w:pPr>
        <w:ind w:left="3660"/>
        <w:spacing w:after="0" w:line="213" w:lineRule="auto"/>
        <w:tabs>
          <w:tab w:leader="none" w:pos="4420" w:val="left"/>
        </w:tabs>
        <w:rPr>
          <w:sz w:val="20"/>
          <w:szCs w:val="20"/>
          <w:color w:val="auto"/>
        </w:rPr>
      </w:pPr>
      <w:r>
        <w:rPr>
          <w:rFonts w:ascii="Times New Roman" w:cs="Times New Roman" w:eastAsia="Times New Roman" w:hAnsi="Times New Roman"/>
          <w:sz w:val="21"/>
          <w:szCs w:val="21"/>
          <w:color w:val="auto"/>
        </w:rPr>
        <w:t>Name:</w:t>
        <w:tab/>
        <w:t>William Nash</w:t>
      </w:r>
    </w:p>
    <w:p>
      <w:pPr>
        <w:spacing w:after="0" w:line="1" w:lineRule="exact"/>
        <w:rPr>
          <w:sz w:val="20"/>
          <w:szCs w:val="20"/>
          <w:color w:val="auto"/>
        </w:rPr>
      </w:pPr>
    </w:p>
    <w:p>
      <w:pPr>
        <w:ind w:left="3660"/>
        <w:spacing w:after="0"/>
        <w:tabs>
          <w:tab w:leader="none" w:pos="4320" w:val="left"/>
        </w:tabs>
        <w:rPr>
          <w:sz w:val="20"/>
          <w:szCs w:val="20"/>
          <w:color w:val="auto"/>
        </w:rPr>
      </w:pPr>
      <w:r>
        <w:rPr>
          <w:rFonts w:ascii="Times New Roman" w:cs="Times New Roman" w:eastAsia="Times New Roman" w:hAnsi="Times New Roman"/>
          <w:sz w:val="21"/>
          <w:szCs w:val="21"/>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i w:val="1"/>
          <w:iCs w:val="1"/>
          <w:color w:val="auto"/>
        </w:rPr>
        <w:t>[Signature Page of GM Cruise Holdings LLC</w:t>
      </w:r>
    </w:p>
    <w:p>
      <w:pPr>
        <w:spacing w:after="0" w:line="42"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i w:val="1"/>
          <w:iCs w:val="1"/>
          <w:color w:val="auto"/>
        </w:rPr>
        <w:t>Eighth Amended and Restated Limited Liability Company Agreement]</w:t>
      </w:r>
    </w:p>
    <w:p>
      <w:pPr>
        <w:sectPr>
          <w:pgSz w:w="11900" w:h="16838" w:orient="portrait"/>
          <w:cols w:equalWidth="0" w:num="1">
            <w:col w:w="9919"/>
          </w:cols>
          <w:pgMar w:left="540" w:top="1440" w:right="1440" w:bottom="1440" w:gutter="0" w:footer="0" w:header="0"/>
          <w:type w:val="continuous"/>
        </w:sectPr>
      </w:pPr>
    </w:p>
    <w:bookmarkStart w:id="126" w:name="page127"/>
    <w:bookmarkEnd w:id="126"/>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this Agreement as of the date first above written.</w:t>
      </w:r>
    </w:p>
    <w:p>
      <w:pPr>
        <w:sectPr>
          <w:pgSz w:w="11900" w:h="16838" w:orient="portrait"/>
          <w:cols w:equalWidth="0" w:num="1">
            <w:col w:w="9919"/>
          </w:cols>
          <w:pgMar w:left="540" w:top="1440" w:right="1440" w:bottom="1440" w:gutter="0" w:footer="0" w:header="0"/>
        </w:sectPr>
      </w:pPr>
    </w:p>
    <w:p>
      <w:pPr>
        <w:spacing w:after="0" w:line="21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b w:val="1"/>
          <w:bCs w:val="1"/>
          <w:color w:val="auto"/>
        </w:rPr>
        <w:t>MEMBER:</w:t>
      </w:r>
    </w:p>
    <w:p>
      <w:pPr>
        <w:spacing w:after="0" w:line="21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b w:val="1"/>
          <w:bCs w:val="1"/>
          <w:color w:val="auto"/>
        </w:rPr>
        <w:t>GENERAL MOTORS HOLDINGS LLC</w:t>
      </w:r>
    </w:p>
    <w:p>
      <w:pPr>
        <w:spacing w:after="0" w:line="200" w:lineRule="exact"/>
        <w:rPr>
          <w:sz w:val="20"/>
          <w:szCs w:val="20"/>
          <w:color w:val="auto"/>
        </w:rPr>
      </w:pPr>
    </w:p>
    <w:p>
      <w:pPr>
        <w:spacing w:after="0" w:line="259" w:lineRule="exact"/>
        <w:rPr>
          <w:sz w:val="20"/>
          <w:szCs w:val="20"/>
          <w:color w:val="auto"/>
        </w:rPr>
      </w:pPr>
    </w:p>
    <w:p>
      <w:pPr>
        <w:ind w:left="3660"/>
        <w:spacing w:after="0"/>
        <w:tabs>
          <w:tab w:leader="none" w:pos="42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Paul Jacobson</w:t>
      </w:r>
      <w:r>
        <w:rPr>
          <w:rFonts w:ascii="Times New Roman" w:cs="Times New Roman" w:eastAsia="Times New Roman" w:hAnsi="Times New Roman"/>
          <w:sz w:val="21"/>
          <w:szCs w:val="21"/>
          <w:color w:val="auto"/>
        </w:rPr>
        <w:t>_____________________</w:t>
      </w:r>
    </w:p>
    <w:p>
      <w:pPr>
        <w:ind w:left="3660"/>
        <w:spacing w:after="0" w:line="213" w:lineRule="auto"/>
        <w:tabs>
          <w:tab w:leader="none" w:pos="4420" w:val="left"/>
        </w:tabs>
        <w:rPr>
          <w:sz w:val="20"/>
          <w:szCs w:val="20"/>
          <w:color w:val="auto"/>
        </w:rPr>
      </w:pPr>
      <w:r>
        <w:rPr>
          <w:rFonts w:ascii="Times New Roman" w:cs="Times New Roman" w:eastAsia="Times New Roman" w:hAnsi="Times New Roman"/>
          <w:sz w:val="21"/>
          <w:szCs w:val="21"/>
          <w:color w:val="auto"/>
        </w:rPr>
        <w:t>Name:</w:t>
        <w:tab/>
        <w:t>Paul Jacobson</w:t>
      </w:r>
    </w:p>
    <w:p>
      <w:pPr>
        <w:spacing w:after="0" w:line="1" w:lineRule="exact"/>
        <w:rPr>
          <w:sz w:val="20"/>
          <w:szCs w:val="20"/>
          <w:color w:val="auto"/>
        </w:rPr>
      </w:pPr>
    </w:p>
    <w:p>
      <w:pPr>
        <w:ind w:left="3660"/>
        <w:spacing w:after="0"/>
        <w:tabs>
          <w:tab w:leader="none" w:pos="4360" w:val="left"/>
        </w:tabs>
        <w:rPr>
          <w:sz w:val="20"/>
          <w:szCs w:val="20"/>
          <w:color w:val="auto"/>
        </w:rPr>
      </w:pPr>
      <w:r>
        <w:rPr>
          <w:rFonts w:ascii="Times New Roman" w:cs="Times New Roman" w:eastAsia="Times New Roman" w:hAnsi="Times New Roman"/>
          <w:sz w:val="21"/>
          <w:szCs w:val="21"/>
          <w:color w:val="auto"/>
        </w:rPr>
        <w:t>Title:</w:t>
        <w:tab/>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i w:val="1"/>
          <w:iCs w:val="1"/>
          <w:color w:val="auto"/>
        </w:rPr>
        <w:t>[Signature Page of GM Cruise Holdings LLC</w:t>
      </w:r>
    </w:p>
    <w:p>
      <w:pPr>
        <w:spacing w:after="0" w:line="42"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i w:val="1"/>
          <w:iCs w:val="1"/>
          <w:color w:val="auto"/>
        </w:rPr>
        <w:t>Eighth Amended and Restated Limited Liability Company Agreement]</w:t>
      </w:r>
    </w:p>
    <w:p>
      <w:pPr>
        <w:sectPr>
          <w:pgSz w:w="11900" w:h="16838" w:orient="portrait"/>
          <w:cols w:equalWidth="0" w:num="1">
            <w:col w:w="9919"/>
          </w:cols>
          <w:pgMar w:left="540" w:top="1440" w:right="1440" w:bottom="144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I</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For the purposes of this Agreement:</w:t>
      </w:r>
    </w:p>
    <w:p>
      <w:pPr>
        <w:spacing w:after="0" w:line="184" w:lineRule="exact"/>
        <w:rPr>
          <w:sz w:val="20"/>
          <w:szCs w:val="20"/>
          <w:color w:val="auto"/>
        </w:rPr>
      </w:pPr>
    </w:p>
    <w:p>
      <w:pPr>
        <w:ind w:left="1100" w:hanging="448"/>
        <w:spacing w:after="0"/>
        <w:tabs>
          <w:tab w:leader="none" w:pos="110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2018 Incentive Plan</w:t>
      </w:r>
      <w:r>
        <w:rPr>
          <w:rFonts w:ascii="Times New Roman" w:cs="Times New Roman" w:eastAsia="Times New Roman" w:hAnsi="Times New Roman"/>
          <w:sz w:val="21"/>
          <w:szCs w:val="21"/>
          <w:color w:val="auto"/>
        </w:rPr>
        <w:t>” shall mean the Company’s 2018 Incentive Plan, as may be amended from time to time.</w:t>
      </w:r>
    </w:p>
    <w:p>
      <w:pPr>
        <w:spacing w:after="0" w:line="188" w:lineRule="exact"/>
        <w:rPr>
          <w:rFonts w:ascii="Times New Roman" w:cs="Times New Roman" w:eastAsia="Times New Roman" w:hAnsi="Times New Roman"/>
          <w:sz w:val="21"/>
          <w:szCs w:val="21"/>
          <w:color w:val="auto"/>
        </w:rPr>
      </w:pPr>
    </w:p>
    <w:p>
      <w:pPr>
        <w:jc w:val="both"/>
        <w:ind w:firstLine="652"/>
        <w:spacing w:after="0" w:line="227" w:lineRule="auto"/>
        <w:tabs>
          <w:tab w:leader="none" w:pos="113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A-1-A Preferred Share Conversion Ratio</w:t>
      </w:r>
      <w:r>
        <w:rPr>
          <w:rFonts w:ascii="Times New Roman" w:cs="Times New Roman" w:eastAsia="Times New Roman" w:hAnsi="Times New Roman"/>
          <w:sz w:val="21"/>
          <w:szCs w:val="21"/>
          <w:color w:val="auto"/>
        </w:rPr>
        <w:t xml:space="preserve">” shall mean a multiple (which, for the avoidance of doubt, unless, and solely to the extent, </w:t>
      </w:r>
      <w:r>
        <w:rPr>
          <w:rFonts w:ascii="Times New Roman" w:cs="Times New Roman" w:eastAsia="Times New Roman" w:hAnsi="Times New Roman"/>
          <w:sz w:val="21"/>
          <w:szCs w:val="21"/>
          <w:u w:val="single" w:color="auto"/>
          <w:color w:val="auto"/>
        </w:rPr>
        <w:t>Section 2.02(d)(ii)</w:t>
      </w:r>
      <w:r>
        <w:rPr>
          <w:rFonts w:ascii="Times New Roman" w:cs="Times New Roman" w:eastAsia="Times New Roman" w:hAnsi="Times New Roman"/>
          <w:sz w:val="21"/>
          <w:szCs w:val="21"/>
          <w:color w:val="auto"/>
        </w:rPr>
        <w:t xml:space="preserve"> applies, may not be less than one (1)) equal to (i) the </w:t>
      </w:r>
      <w:r>
        <w:rPr>
          <w:rFonts w:ascii="Times New Roman" w:cs="Times New Roman" w:eastAsia="Times New Roman" w:hAnsi="Times New Roman"/>
          <w:sz w:val="21"/>
          <w:szCs w:val="21"/>
          <w:u w:val="single" w:color="auto"/>
          <w:color w:val="auto"/>
        </w:rPr>
        <w:t>sum of</w:t>
      </w:r>
      <w:r>
        <w:rPr>
          <w:rFonts w:ascii="Times New Roman" w:cs="Times New Roman" w:eastAsia="Times New Roman" w:hAnsi="Times New Roman"/>
          <w:sz w:val="21"/>
          <w:szCs w:val="21"/>
          <w:color w:val="auto"/>
        </w:rPr>
        <w:t xml:space="preserve"> the Class A-1-A Preferred Unpaid Return and the Class A-1-A Preferred Capital Value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(ii) $10 (as adjusted, as necessary, to reflect appropriate and proportional adjustments to take into account any subdivision, reorganization, reclassification, recapitalization, stock split, reverse stock split, combination of shares or similar event).</w:t>
      </w:r>
    </w:p>
    <w:p>
      <w:pPr>
        <w:spacing w:after="0" w:line="147" w:lineRule="exact"/>
        <w:rPr>
          <w:rFonts w:ascii="Times New Roman" w:cs="Times New Roman" w:eastAsia="Times New Roman" w:hAnsi="Times New Roman"/>
          <w:sz w:val="21"/>
          <w:szCs w:val="21"/>
          <w:color w:val="auto"/>
        </w:rPr>
      </w:pPr>
    </w:p>
    <w:p>
      <w:pPr>
        <w:jc w:val="both"/>
        <w:ind w:firstLine="652"/>
        <w:spacing w:after="0"/>
        <w:tabs>
          <w:tab w:leader="none" w:pos="1139"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A-1-B Preferred Share Conversion Ratio</w:t>
      </w:r>
      <w:r>
        <w:rPr>
          <w:rFonts w:ascii="Times New Roman" w:cs="Times New Roman" w:eastAsia="Times New Roman" w:hAnsi="Times New Roman"/>
          <w:sz w:val="21"/>
          <w:szCs w:val="21"/>
          <w:color w:val="auto"/>
        </w:rPr>
        <w:t xml:space="preserve">” shall mean a multiple (which, for the avoidance of doubt, may not be less than one (1)) equal to (i) the </w:t>
      </w:r>
      <w:r>
        <w:rPr>
          <w:rFonts w:ascii="Times New Roman" w:cs="Times New Roman" w:eastAsia="Times New Roman" w:hAnsi="Times New Roman"/>
          <w:sz w:val="21"/>
          <w:szCs w:val="21"/>
          <w:u w:val="single" w:color="auto"/>
          <w:color w:val="auto"/>
        </w:rPr>
        <w:t>sum of</w:t>
      </w:r>
      <w:r>
        <w:rPr>
          <w:rFonts w:ascii="Times New Roman" w:cs="Times New Roman" w:eastAsia="Times New Roman" w:hAnsi="Times New Roman"/>
          <w:sz w:val="21"/>
          <w:szCs w:val="21"/>
          <w:color w:val="auto"/>
        </w:rPr>
        <w:t xml:space="preserve"> the Class A-1-B Preferred Unpaid Return and the Class A-1-B Preferred Capital Value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(ii) $15.15 (as adjusted, as necessary, to reflect appropriate and proportional adjustments to take into account any subdivision, reorganization, reclassification, recapitalization, stock split, reverse stock split, combination of shares or similar event).</w:t>
      </w:r>
    </w:p>
    <w:p>
      <w:pPr>
        <w:spacing w:after="0" w:line="323" w:lineRule="exact"/>
        <w:rPr>
          <w:rFonts w:ascii="Times New Roman" w:cs="Times New Roman" w:eastAsia="Times New Roman" w:hAnsi="Times New Roman"/>
          <w:sz w:val="21"/>
          <w:szCs w:val="21"/>
          <w:color w:val="auto"/>
        </w:rPr>
      </w:pPr>
    </w:p>
    <w:p>
      <w:pPr>
        <w:jc w:val="both"/>
        <w:ind w:firstLine="652"/>
        <w:spacing w:after="0" w:line="222" w:lineRule="auto"/>
        <w:tabs>
          <w:tab w:leader="none" w:pos="113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shall mean,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voting securities, by contract or otherwise. Notwithstanding the foregoing or anything in this Agreement to the contrary, (i) none of the Members shall be deemed to be an “Affiliate” of any other Member solely by virtue of owning Shares, (ii) none of the Members shall be deemed to be an “Affiliate” of the Company and (iii) neither the Company nor any of its Subsidiaries shall be deemed to be an “Affiliate” of any of the Members or any of their Affiliates.</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166"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shall mean this Eighth Amended and Restated Limited Liability Company Agreement, including all appendices, exhibits and schedules hereto, as it may be amended, supplemented or otherwise modified from time to time.</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07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AGSA</w:t>
      </w:r>
      <w:r>
        <w:rPr>
          <w:rFonts w:ascii="Times New Roman" w:cs="Times New Roman" w:eastAsia="Times New Roman" w:hAnsi="Times New Roman"/>
          <w:sz w:val="21"/>
          <w:szCs w:val="21"/>
          <w:color w:val="auto"/>
        </w:rPr>
        <w:t>” shall mean the Administrative and General Services Agreement entered into between GM and the Company dated as of June 28, 2018.</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16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“Applicable ABAC Laws” </w:t>
      </w:r>
      <w:r>
        <w:rPr>
          <w:rFonts w:ascii="Times New Roman" w:cs="Times New Roman" w:eastAsia="Times New Roman" w:hAnsi="Times New Roman"/>
          <w:sz w:val="21"/>
          <w:szCs w:val="21"/>
          <w:color w:val="auto"/>
        </w:rPr>
        <w:t>means all laws and regulations applying to the Company, any of its Subsidiaries or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Associated Person of either the Company or any of its Subsidiaries prohibiting bribery or some other form of corruption, including fraud and tax evasion.</w:t>
      </w:r>
    </w:p>
    <w:p>
      <w:pPr>
        <w:spacing w:after="0" w:line="147" w:lineRule="exact"/>
        <w:rPr>
          <w:rFonts w:ascii="Times New Roman" w:cs="Times New Roman" w:eastAsia="Times New Roman" w:hAnsi="Times New Roman"/>
          <w:sz w:val="21"/>
          <w:szCs w:val="21"/>
          <w:color w:val="auto"/>
        </w:rPr>
      </w:pPr>
    </w:p>
    <w:p>
      <w:pPr>
        <w:jc w:val="both"/>
        <w:ind w:firstLine="652"/>
        <w:spacing w:after="0" w:line="236" w:lineRule="auto"/>
        <w:tabs>
          <w:tab w:leader="none" w:pos="1191"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AML Laws</w:t>
      </w:r>
      <w:r>
        <w:rPr>
          <w:rFonts w:ascii="Times New Roman" w:cs="Times New Roman" w:eastAsia="Times New Roman" w:hAnsi="Times New Roman"/>
          <w:sz w:val="21"/>
          <w:szCs w:val="21"/>
          <w:color w:val="auto"/>
        </w:rPr>
        <w:t>” means all laws and regulations applying to the Company, any of its Subsidiaries or an Associated Person of either the Company or any of its Subsidiaries prohibiting money laundering, including attempting to conceal or disguise the identity of illegally obtained proceeds.</w:t>
      </w:r>
    </w:p>
    <w:p>
      <w:pPr>
        <w:spacing w:after="0" w:line="147" w:lineRule="exact"/>
        <w:rPr>
          <w:rFonts w:ascii="Times New Roman" w:cs="Times New Roman" w:eastAsia="Times New Roman" w:hAnsi="Times New Roman"/>
          <w:sz w:val="21"/>
          <w:szCs w:val="21"/>
          <w:color w:val="auto"/>
        </w:rPr>
      </w:pPr>
    </w:p>
    <w:p>
      <w:pPr>
        <w:jc w:val="both"/>
        <w:ind w:firstLine="652"/>
        <w:spacing w:after="0" w:line="236" w:lineRule="auto"/>
        <w:tabs>
          <w:tab w:leader="none" w:pos="118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Trade Laws</w:t>
      </w:r>
      <w:r>
        <w:rPr>
          <w:rFonts w:ascii="Times New Roman" w:cs="Times New Roman" w:eastAsia="Times New Roman" w:hAnsi="Times New Roman"/>
          <w:sz w:val="21"/>
          <w:szCs w:val="21"/>
          <w:color w:val="auto"/>
        </w:rPr>
        <w:t>” means all import and export laws and regulations, including economic and financial sanctions, export controls, anti-boycott and customs laws and regulations applying to the Company, any of its Subsidiaries or an Associated Person of either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1</w:t>
      </w:r>
    </w:p>
    <w:p>
      <w:pPr>
        <w:sectPr>
          <w:pgSz w:w="11900" w:h="16838" w:orient="portrait"/>
          <w:cols w:equalWidth="0" w:num="1">
            <w:col w:w="11240"/>
          </w:cols>
          <w:pgMar w:left="320" w:top="1384" w:right="339" w:bottom="1440" w:gutter="0" w:footer="0" w:header="0"/>
        </w:sectPr>
      </w:pPr>
    </w:p>
    <w:bookmarkStart w:id="128" w:name="page129"/>
    <w:bookmarkEnd w:id="128"/>
    <w:p>
      <w:pPr>
        <w:jc w:val="both"/>
        <w:ind w:firstLine="652"/>
        <w:spacing w:after="0" w:line="230" w:lineRule="auto"/>
        <w:tabs>
          <w:tab w:leader="none" w:pos="113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Associated Person</w:t>
      </w:r>
      <w:r>
        <w:rPr>
          <w:rFonts w:ascii="Times New Roman" w:cs="Times New Roman" w:eastAsia="Times New Roman" w:hAnsi="Times New Roman"/>
          <w:sz w:val="21"/>
          <w:szCs w:val="21"/>
          <w:color w:val="auto"/>
        </w:rPr>
        <w:t>” means, in relation to a company or other entity, an individual or entity (including a director, officer, employee, consultant, agent or other representative) who or that has acted or performed services for or on behalf of that company or other entity but only with respect to actions or the performance of services for or on behalf of that company or other entity.</w:t>
      </w:r>
    </w:p>
    <w:p>
      <w:pPr>
        <w:spacing w:after="0" w:line="149" w:lineRule="exact"/>
        <w:rPr>
          <w:rFonts w:ascii="Times New Roman" w:cs="Times New Roman" w:eastAsia="Times New Roman" w:hAnsi="Times New Roman"/>
          <w:sz w:val="21"/>
          <w:szCs w:val="21"/>
          <w:color w:val="auto"/>
        </w:rPr>
      </w:pPr>
    </w:p>
    <w:p>
      <w:pPr>
        <w:ind w:left="1120" w:hanging="468"/>
        <w:spacing w:after="0"/>
        <w:tabs>
          <w:tab w:leader="none" w:pos="112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AVCo Business</w:t>
      </w:r>
      <w:r>
        <w:rPr>
          <w:rFonts w:ascii="Times New Roman" w:cs="Times New Roman" w:eastAsia="Times New Roman" w:hAnsi="Times New Roman"/>
          <w:sz w:val="21"/>
          <w:szCs w:val="21"/>
          <w:color w:val="auto"/>
        </w:rPr>
        <w:t>” shall have the meaning given to it in the IPMA.</w:t>
      </w:r>
    </w:p>
    <w:p>
      <w:pPr>
        <w:spacing w:after="0" w:line="188" w:lineRule="exact"/>
        <w:rPr>
          <w:rFonts w:ascii="Times New Roman" w:cs="Times New Roman" w:eastAsia="Times New Roman" w:hAnsi="Times New Roman"/>
          <w:sz w:val="21"/>
          <w:szCs w:val="21"/>
          <w:color w:val="auto"/>
        </w:rPr>
      </w:pPr>
    </w:p>
    <w:p>
      <w:pPr>
        <w:ind w:firstLine="652"/>
        <w:spacing w:after="0" w:line="255" w:lineRule="auto"/>
        <w:tabs>
          <w:tab w:leader="none" w:pos="1076"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shall mean any written agreement entered into between the Company and any Person issued an Equity Award, evidencing the terms and conditions of an individual Equity Award grant.</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17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Baron</w:t>
      </w:r>
      <w:r>
        <w:rPr>
          <w:rFonts w:ascii="Times New Roman" w:cs="Times New Roman" w:eastAsia="Times New Roman" w:hAnsi="Times New Roman"/>
          <w:sz w:val="21"/>
          <w:szCs w:val="21"/>
          <w:color w:val="auto"/>
        </w:rPr>
        <w:t>” means, collectively, BAMCO, Inc., Baron Opportunity Fund, Baron Fifth Avenue Growth Fund, and Baron Global Advantage Fund.</w:t>
      </w:r>
    </w:p>
    <w:p>
      <w:pPr>
        <w:spacing w:after="0" w:line="131" w:lineRule="exact"/>
        <w:rPr>
          <w:rFonts w:ascii="Times New Roman" w:cs="Times New Roman" w:eastAsia="Times New Roman" w:hAnsi="Times New Roman"/>
          <w:sz w:val="21"/>
          <w:szCs w:val="21"/>
          <w:color w:val="auto"/>
        </w:rPr>
      </w:pPr>
    </w:p>
    <w:p>
      <w:pPr>
        <w:jc w:val="both"/>
        <w:ind w:firstLine="652"/>
        <w:spacing w:after="0" w:line="230" w:lineRule="auto"/>
        <w:tabs>
          <w:tab w:leader="none" w:pos="1111"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Blocked Person</w:t>
      </w:r>
      <w:r>
        <w:rPr>
          <w:rFonts w:ascii="Times New Roman" w:cs="Times New Roman" w:eastAsia="Times New Roman" w:hAnsi="Times New Roman"/>
          <w:sz w:val="21"/>
          <w:szCs w:val="21"/>
          <w:color w:val="auto"/>
        </w:rPr>
        <w:t>” means any of the following: (a) a Person included in a restricted or prohibited list pursuant to one or more of the Applicable Trade Laws, including any Sanctioned Person; (b) an entity in which one or more Sanctioned Persons has in the aggregate, whether directly or indirectly, a fifty percent (50%) or greater equity interest; or (c) an entity that is controlled by a Sanctioned Person such that the entity, itself, would be considered a Sanctioned Person.</w:t>
      </w:r>
    </w:p>
    <w:p>
      <w:pPr>
        <w:spacing w:after="0" w:line="149" w:lineRule="exact"/>
        <w:rPr>
          <w:rFonts w:ascii="Times New Roman" w:cs="Times New Roman" w:eastAsia="Times New Roman" w:hAnsi="Times New Roman"/>
          <w:sz w:val="21"/>
          <w:szCs w:val="21"/>
          <w:color w:val="auto"/>
        </w:rPr>
      </w:pPr>
    </w:p>
    <w:p>
      <w:pPr>
        <w:ind w:firstLine="652"/>
        <w:spacing w:after="0" w:line="255" w:lineRule="auto"/>
        <w:tabs>
          <w:tab w:leader="none" w:pos="1111"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shall mean a day other than a Saturday, a Sunday, or any day on which commercial banks New York City, New York, Detroit, Michigan or Tokyo, Japan are permitted to be closed.</w:t>
      </w:r>
    </w:p>
    <w:p>
      <w:pPr>
        <w:spacing w:after="0" w:line="131" w:lineRule="exact"/>
        <w:rPr>
          <w:rFonts w:ascii="Times New Roman" w:cs="Times New Roman" w:eastAsia="Times New Roman" w:hAnsi="Times New Roman"/>
          <w:sz w:val="21"/>
          <w:szCs w:val="21"/>
          <w:color w:val="auto"/>
        </w:rPr>
      </w:pPr>
    </w:p>
    <w:p>
      <w:pPr>
        <w:ind w:left="1120" w:hanging="468"/>
        <w:spacing w:after="0"/>
        <w:tabs>
          <w:tab w:leader="none" w:pos="112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Call Notice/Optional SoftBank Conversion Notice Fair Market Value</w:t>
      </w:r>
      <w:r>
        <w:rPr>
          <w:rFonts w:ascii="Times New Roman" w:cs="Times New Roman" w:eastAsia="Times New Roman" w:hAnsi="Times New Roman"/>
          <w:sz w:val="21"/>
          <w:szCs w:val="21"/>
          <w:color w:val="auto"/>
        </w:rPr>
        <w:t xml:space="preserve">” has the meaning given to it in </w:t>
      </w:r>
      <w:r>
        <w:rPr>
          <w:rFonts w:ascii="Times New Roman" w:cs="Times New Roman" w:eastAsia="Times New Roman" w:hAnsi="Times New Roman"/>
          <w:sz w:val="21"/>
          <w:szCs w:val="21"/>
          <w:u w:val="single" w:color="auto"/>
          <w:color w:val="010000"/>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auto"/>
        </w:rPr>
      </w:pPr>
    </w:p>
    <w:p>
      <w:pPr>
        <w:ind w:firstLine="652"/>
        <w:spacing w:after="0" w:line="255" w:lineRule="auto"/>
        <w:tabs>
          <w:tab w:leader="none" w:pos="1259"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 Contribution</w:t>
      </w:r>
      <w:r>
        <w:rPr>
          <w:rFonts w:ascii="Times New Roman" w:cs="Times New Roman" w:eastAsia="Times New Roman" w:hAnsi="Times New Roman"/>
          <w:sz w:val="21"/>
          <w:szCs w:val="21"/>
          <w:color w:val="auto"/>
        </w:rPr>
        <w:t>” shall mean a transfer of money or property by a Member to the Company, either as consideration for Shares or as additional capital without a requirement for the issuance of additional Shares.</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14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mean, with respect to a Participant and/or Employee Member, the definition of “Cause” set forth in such Participant and/or Employee Member’s Award Agreement, but will also include a breach of this Agreement by an Employee Member.</w:t>
      </w:r>
    </w:p>
    <w:p>
      <w:pPr>
        <w:spacing w:after="0" w:line="147" w:lineRule="exact"/>
        <w:rPr>
          <w:rFonts w:ascii="Times New Roman" w:cs="Times New Roman" w:eastAsia="Times New Roman" w:hAnsi="Times New Roman"/>
          <w:sz w:val="21"/>
          <w:szCs w:val="21"/>
          <w:color w:val="auto"/>
        </w:rPr>
      </w:pPr>
    </w:p>
    <w:p>
      <w:pPr>
        <w:ind w:left="1100" w:hanging="448"/>
        <w:spacing w:after="0"/>
        <w:tabs>
          <w:tab w:leader="none" w:pos="110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CFIUS</w:t>
      </w:r>
      <w:r>
        <w:rPr>
          <w:rFonts w:ascii="Times New Roman" w:cs="Times New Roman" w:eastAsia="Times New Roman" w:hAnsi="Times New Roman"/>
          <w:sz w:val="21"/>
          <w:szCs w:val="21"/>
          <w:color w:val="auto"/>
        </w:rPr>
        <w:t>” means the Committee on Foreign Investment in the United States.</w:t>
      </w:r>
    </w:p>
    <w:p>
      <w:pPr>
        <w:spacing w:after="0" w:line="188" w:lineRule="exact"/>
        <w:rPr>
          <w:rFonts w:ascii="Times New Roman" w:cs="Times New Roman" w:eastAsia="Times New Roman" w:hAnsi="Times New Roman"/>
          <w:sz w:val="21"/>
          <w:szCs w:val="21"/>
          <w:color w:val="auto"/>
        </w:rPr>
      </w:pPr>
    </w:p>
    <w:p>
      <w:pPr>
        <w:ind w:left="1080" w:hanging="428"/>
        <w:spacing w:after="0"/>
        <w:tabs>
          <w:tab w:leader="none" w:pos="108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CFIUS Monitoring Agency</w:t>
      </w:r>
      <w:r>
        <w:rPr>
          <w:rFonts w:ascii="Times New Roman" w:cs="Times New Roman" w:eastAsia="Times New Roman" w:hAnsi="Times New Roman"/>
          <w:sz w:val="21"/>
          <w:szCs w:val="21"/>
          <w:color w:val="auto"/>
        </w:rPr>
        <w:t>” shall have the meaning given to it in the NSA.</w:t>
      </w:r>
    </w:p>
    <w:p>
      <w:pPr>
        <w:spacing w:after="0" w:line="188" w:lineRule="exact"/>
        <w:rPr>
          <w:rFonts w:ascii="Times New Roman" w:cs="Times New Roman" w:eastAsia="Times New Roman" w:hAnsi="Times New Roman"/>
          <w:sz w:val="21"/>
          <w:szCs w:val="21"/>
          <w:color w:val="auto"/>
        </w:rPr>
      </w:pPr>
    </w:p>
    <w:p>
      <w:pPr>
        <w:jc w:val="both"/>
        <w:ind w:firstLine="652"/>
        <w:spacing w:after="0" w:line="222" w:lineRule="auto"/>
        <w:tabs>
          <w:tab w:leader="none" w:pos="1191"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(i) any “person” or “group” (within the meaning of Sections 13(d) and 14(d) of the Exchange Act) becomes the “beneficial owner” (as defined in Rule 13d-3 under the Exchange Act), directly or indirectly, of more than fifty percent (50%) of the outstanding voting securities of a Person (the “</w:t>
      </w:r>
      <w:r>
        <w:rPr>
          <w:rFonts w:ascii="Times New Roman" w:cs="Times New Roman" w:eastAsia="Times New Roman" w:hAnsi="Times New Roman"/>
          <w:sz w:val="21"/>
          <w:szCs w:val="21"/>
          <w:b w:val="1"/>
          <w:bCs w:val="1"/>
          <w:color w:val="auto"/>
        </w:rPr>
        <w:t>Target</w:t>
      </w:r>
      <w:r>
        <w:rPr>
          <w:rFonts w:ascii="Times New Roman" w:cs="Times New Roman" w:eastAsia="Times New Roman" w:hAnsi="Times New Roman"/>
          <w:sz w:val="21"/>
          <w:szCs w:val="21"/>
          <w:color w:val="auto"/>
        </w:rPr>
        <w:t>”), (ii) any reorganization, merger or consolidation of a Person, other than a transaction or series of related transactions in which the holders of the voting securities of such Person outstanding immediately prior to such transaction or series of related transactions retain, immediately after such transaction or series of related transactions, at least a majority of the total voting power represented by the outstanding voting securities of such Person or such other surviving or resulting entity, or (iii) a sale, lease or other disposition of a majority of the assets of the Target and its Subsidiaries.</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16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 Liquidation Preference Amount</w:t>
      </w:r>
      <w:r>
        <w:rPr>
          <w:rFonts w:ascii="Times New Roman" w:cs="Times New Roman" w:eastAsia="Times New Roman" w:hAnsi="Times New Roman"/>
          <w:sz w:val="21"/>
          <w:szCs w:val="21"/>
          <w:color w:val="auto"/>
        </w:rPr>
        <w:t xml:space="preserve">” shall mean, as applicable, (i) the </w:t>
      </w:r>
      <w:r>
        <w:rPr>
          <w:rFonts w:ascii="Times New Roman" w:cs="Times New Roman" w:eastAsia="Times New Roman" w:hAnsi="Times New Roman"/>
          <w:sz w:val="21"/>
          <w:szCs w:val="21"/>
          <w:u w:val="single" w:color="auto"/>
          <w:color w:val="auto"/>
        </w:rPr>
        <w:t>sum of</w:t>
      </w:r>
      <w:r>
        <w:rPr>
          <w:rFonts w:ascii="Times New Roman" w:cs="Times New Roman" w:eastAsia="Times New Roman" w:hAnsi="Times New Roman"/>
          <w:sz w:val="21"/>
          <w:szCs w:val="21"/>
          <w:color w:val="auto"/>
        </w:rPr>
        <w:t xml:space="preserve"> the Class A-1-A Preferred Unpaid Return and the Class A-1-A Preferred Capital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2</w:t>
      </w:r>
    </w:p>
    <w:p>
      <w:pPr>
        <w:sectPr>
          <w:pgSz w:w="11900" w:h="16838" w:orient="portrait"/>
          <w:cols w:equalWidth="0" w:num="1">
            <w:col w:w="11240"/>
          </w:cols>
          <w:pgMar w:left="320" w:top="1384" w:right="339" w:bottom="1440" w:gutter="0" w:footer="0" w:header="0"/>
        </w:sectPr>
      </w:pPr>
    </w:p>
    <w:bookmarkStart w:id="129" w:name="page130"/>
    <w:bookmarkEnd w:id="129"/>
    <w:p>
      <w:pPr>
        <w:jc w:val="both"/>
        <w:spacing w:after="0" w:line="236" w:lineRule="auto"/>
        <w:rPr>
          <w:sz w:val="20"/>
          <w:szCs w:val="20"/>
          <w:color w:val="auto"/>
        </w:rPr>
      </w:pPr>
      <w:r>
        <w:rPr>
          <w:rFonts w:ascii="Times New Roman" w:cs="Times New Roman" w:eastAsia="Times New Roman" w:hAnsi="Times New Roman"/>
          <w:sz w:val="21"/>
          <w:szCs w:val="21"/>
          <w:color w:val="auto"/>
        </w:rPr>
        <w:t>applicable to a Class A-1-A Preferred Share (the “</w:t>
      </w:r>
      <w:r>
        <w:rPr>
          <w:rFonts w:ascii="Times New Roman" w:cs="Times New Roman" w:eastAsia="Times New Roman" w:hAnsi="Times New Roman"/>
          <w:sz w:val="21"/>
          <w:szCs w:val="21"/>
          <w:b w:val="1"/>
          <w:bCs w:val="1"/>
          <w:color w:val="auto"/>
        </w:rPr>
        <w:t>Class A-1-A Liquidation Preference Amount</w:t>
      </w:r>
      <w:r>
        <w:rPr>
          <w:rFonts w:ascii="Times New Roman" w:cs="Times New Roman" w:eastAsia="Times New Roman" w:hAnsi="Times New Roman"/>
          <w:sz w:val="21"/>
          <w:szCs w:val="21"/>
          <w:color w:val="auto"/>
        </w:rPr>
        <w:t xml:space="preserve">”), and (ii) the </w:t>
      </w:r>
      <w:r>
        <w:rPr>
          <w:rFonts w:ascii="Times New Roman" w:cs="Times New Roman" w:eastAsia="Times New Roman" w:hAnsi="Times New Roman"/>
          <w:sz w:val="21"/>
          <w:szCs w:val="21"/>
          <w:u w:val="single" w:color="auto"/>
          <w:color w:val="auto"/>
        </w:rPr>
        <w:t>sum of</w:t>
      </w:r>
      <w:r>
        <w:rPr>
          <w:rFonts w:ascii="Times New Roman" w:cs="Times New Roman" w:eastAsia="Times New Roman" w:hAnsi="Times New Roman"/>
          <w:sz w:val="21"/>
          <w:szCs w:val="21"/>
          <w:color w:val="auto"/>
        </w:rPr>
        <w:t xml:space="preserve"> the Class A-1-B Preferred Unpaid Return and the Class A-1-B Preferred Capital Value applicable to a Class A-1-B Preferred Share (the “</w:t>
      </w:r>
      <w:r>
        <w:rPr>
          <w:rFonts w:ascii="Times New Roman" w:cs="Times New Roman" w:eastAsia="Times New Roman" w:hAnsi="Times New Roman"/>
          <w:sz w:val="21"/>
          <w:szCs w:val="21"/>
          <w:b w:val="1"/>
          <w:bCs w:val="1"/>
          <w:color w:val="auto"/>
        </w:rPr>
        <w:t>Class A-1-B Liquidation Preference Amount</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ind w:firstLine="652"/>
        <w:spacing w:after="0" w:line="255" w:lineRule="auto"/>
        <w:tabs>
          <w:tab w:leader="none" w:pos="1199"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 Preferred Capital</w:t>
      </w:r>
      <w:r>
        <w:rPr>
          <w:rFonts w:ascii="Times New Roman" w:cs="Times New Roman" w:eastAsia="Times New Roman" w:hAnsi="Times New Roman"/>
          <w:sz w:val="21"/>
          <w:szCs w:val="21"/>
          <w:color w:val="auto"/>
        </w:rPr>
        <w:t>” shall mean the Class A-1-A Preferred Capital Value and the Class A-1-B Preferred Capital Value (as applicable).</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16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 Preferred Capital Value</w:t>
      </w:r>
      <w:r>
        <w:rPr>
          <w:rFonts w:ascii="Times New Roman" w:cs="Times New Roman" w:eastAsia="Times New Roman" w:hAnsi="Times New Roman"/>
          <w:sz w:val="21"/>
          <w:szCs w:val="21"/>
          <w:color w:val="auto"/>
        </w:rPr>
        <w:t>” shall mean the weighted average of the Class A-1-A Liquidation Preference Amount and the Class A-1-B Liquidation Preference Amount, based on the relative numbers of Class A-1-A Preferred Shares and Class A-1-B Preferred Shares.</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20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 Preferred Member</w:t>
      </w:r>
      <w:r>
        <w:rPr>
          <w:rFonts w:ascii="Times New Roman" w:cs="Times New Roman" w:eastAsia="Times New Roman" w:hAnsi="Times New Roman"/>
          <w:sz w:val="21"/>
          <w:szCs w:val="21"/>
          <w:color w:val="auto"/>
        </w:rPr>
        <w:t>” shall mean each Person admitted to the Company as a Member and who holds Class A-1-A Preferred Shares and/or Class A-1-B Preferred Shares.</w:t>
      </w:r>
    </w:p>
    <w:p>
      <w:pPr>
        <w:spacing w:after="0" w:line="131" w:lineRule="exact"/>
        <w:rPr>
          <w:rFonts w:ascii="Times New Roman" w:cs="Times New Roman" w:eastAsia="Times New Roman" w:hAnsi="Times New Roman"/>
          <w:sz w:val="21"/>
          <w:szCs w:val="21"/>
          <w:color w:val="auto"/>
        </w:rPr>
      </w:pPr>
    </w:p>
    <w:p>
      <w:pPr>
        <w:jc w:val="both"/>
        <w:ind w:firstLine="652"/>
        <w:spacing w:after="0" w:line="225" w:lineRule="auto"/>
        <w:tabs>
          <w:tab w:leader="none" w:pos="1099"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 Preferred Return</w:t>
      </w:r>
      <w:r>
        <w:rPr>
          <w:rFonts w:ascii="Times New Roman" w:cs="Times New Roman" w:eastAsia="Times New Roman" w:hAnsi="Times New Roman"/>
          <w:sz w:val="21"/>
          <w:szCs w:val="21"/>
          <w:color w:val="auto"/>
        </w:rPr>
        <w:t xml:space="preserve">” shall mean, with respect to each Class A-1 Preferred Share, the amount accruing for a particular Quarter on such Class A-1 Preferred Share at the rate of seven percent (7%) per annum, compounded on the last day of such Quarter, on (i) the Class A-1 Preferred Capital of such Class A-1 Preferred Share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as the case may be, the Class A-1 Preferred Unpaid Return thereon. In calculating the amount of any Distribution to be made during a period, the portion of the Class A-1 Preferred Return with respect to such Class A-1 Preferred Share for the portion of the Quarterly period elapsing before such Distribution is made shall be taken into account in determining the amount of such Distribution.</w:t>
      </w:r>
    </w:p>
    <w:p>
      <w:pPr>
        <w:spacing w:after="0" w:line="147" w:lineRule="exact"/>
        <w:rPr>
          <w:sz w:val="20"/>
          <w:szCs w:val="20"/>
          <w:color w:val="auto"/>
        </w:rPr>
      </w:pPr>
    </w:p>
    <w:p>
      <w:pPr>
        <w:ind w:firstLine="652"/>
        <w:spacing w:after="0" w:line="255" w:lineRule="auto"/>
        <w:tabs>
          <w:tab w:leader="none" w:pos="123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 Preferred Unpaid Return</w:t>
      </w:r>
      <w:r>
        <w:rPr>
          <w:rFonts w:ascii="Times New Roman" w:cs="Times New Roman" w:eastAsia="Times New Roman" w:hAnsi="Times New Roman"/>
          <w:sz w:val="21"/>
          <w:szCs w:val="21"/>
          <w:color w:val="auto"/>
        </w:rPr>
        <w:t>” shall mean the Class A-1-A Preferred Unpaid Return and the Class A-1-B Preferred Unpaid Return (as applicable).</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245"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A-1-A Preferred Capital Value</w:t>
      </w:r>
      <w:r>
        <w:rPr>
          <w:rFonts w:ascii="Times New Roman" w:cs="Times New Roman" w:eastAsia="Times New Roman" w:hAnsi="Times New Roman"/>
          <w:sz w:val="21"/>
          <w:szCs w:val="21"/>
          <w:color w:val="auto"/>
        </w:rPr>
        <w:t>” shall mean $10 for each Class A-1-A Preferred Share issued with respect to the SoftBank Commitment, subject to appropriate and proportional adjustments to take into account any subdivision, reorganization, reclassification, recapitalization, stock split, reverse stock split, combination of shares or similar event.</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221"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A-1-A Preferred Member</w:t>
      </w:r>
      <w:r>
        <w:rPr>
          <w:rFonts w:ascii="Times New Roman" w:cs="Times New Roman" w:eastAsia="Times New Roman" w:hAnsi="Times New Roman"/>
          <w:sz w:val="21"/>
          <w:szCs w:val="21"/>
          <w:color w:val="auto"/>
        </w:rPr>
        <w:t>” shall mean each Person admitted to the Company as a Member and who holds Class A-1-A Preferred Shares.</w:t>
      </w:r>
    </w:p>
    <w:p>
      <w:pPr>
        <w:spacing w:after="0" w:line="131" w:lineRule="exact"/>
        <w:rPr>
          <w:rFonts w:ascii="Times New Roman" w:cs="Times New Roman" w:eastAsia="Times New Roman" w:hAnsi="Times New Roman"/>
          <w:sz w:val="21"/>
          <w:szCs w:val="21"/>
          <w:color w:val="auto"/>
        </w:rPr>
      </w:pPr>
    </w:p>
    <w:p>
      <w:pPr>
        <w:jc w:val="both"/>
        <w:ind w:firstLine="652"/>
        <w:spacing w:after="0" w:line="230" w:lineRule="auto"/>
        <w:tabs>
          <w:tab w:leader="none" w:pos="125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A-1-A Preferred Unpaid Return</w:t>
      </w:r>
      <w:r>
        <w:rPr>
          <w:rFonts w:ascii="Times New Roman" w:cs="Times New Roman" w:eastAsia="Times New Roman" w:hAnsi="Times New Roman"/>
          <w:sz w:val="21"/>
          <w:szCs w:val="21"/>
          <w:color w:val="auto"/>
        </w:rPr>
        <w:t xml:space="preserve">” shall mean, with respect to any Class A-1-A Preferred Share as of any determination date, an amount not less than zero equal to (i) the aggregate Class A-1 Preferred Return for all prior Quarterly periods on such Class A-1-A Preferred Share as of such date, less (ii) the aggregate amount of cash Distributions made in respect of such Class A-1-A Preferred Share pursuant to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3.01(b)(iii)</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652"/>
        <w:spacing w:after="0"/>
        <w:tabs>
          <w:tab w:leader="none" w:pos="1315"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A-1-B Preferred Capital Value</w:t>
      </w:r>
      <w:r>
        <w:rPr>
          <w:rFonts w:ascii="Times New Roman" w:cs="Times New Roman" w:eastAsia="Times New Roman" w:hAnsi="Times New Roman"/>
          <w:sz w:val="21"/>
          <w:szCs w:val="21"/>
          <w:color w:val="auto"/>
        </w:rPr>
        <w:t>” shall mean $15.15 for each Class A-1-B Preferred Share issued with respect to the Subsequent SoftBank Commitment, subject to appropriate and proportional adjustments to take into account any subdivision, reorganization, reclassification, recapitalization, stock split, reverse stock split, combination of shares or similar event.</w:t>
      </w:r>
    </w:p>
    <w:p>
      <w:pPr>
        <w:spacing w:after="0" w:line="350" w:lineRule="exact"/>
        <w:rPr>
          <w:rFonts w:ascii="Times New Roman" w:cs="Times New Roman" w:eastAsia="Times New Roman" w:hAnsi="Times New Roman"/>
          <w:sz w:val="21"/>
          <w:szCs w:val="21"/>
          <w:color w:val="auto"/>
        </w:rPr>
      </w:pPr>
    </w:p>
    <w:p>
      <w:pPr>
        <w:ind w:firstLine="652"/>
        <w:spacing w:after="0" w:line="255" w:lineRule="auto"/>
        <w:tabs>
          <w:tab w:leader="none" w:pos="1183"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A-1-B Preferred Member</w:t>
      </w:r>
      <w:r>
        <w:rPr>
          <w:rFonts w:ascii="Times New Roman" w:cs="Times New Roman" w:eastAsia="Times New Roman" w:hAnsi="Times New Roman"/>
          <w:sz w:val="21"/>
          <w:szCs w:val="21"/>
          <w:color w:val="auto"/>
        </w:rPr>
        <w:t>” shall mean each Person admitted to the Company as a Member and who holds Class A-1-B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3</w:t>
      </w:r>
    </w:p>
    <w:p>
      <w:pPr>
        <w:sectPr>
          <w:pgSz w:w="11900" w:h="16838" w:orient="portrait"/>
          <w:cols w:equalWidth="0" w:num="1">
            <w:col w:w="11240"/>
          </w:cols>
          <w:pgMar w:left="320" w:top="1384" w:right="339" w:bottom="1440" w:gutter="0" w:footer="0" w:header="0"/>
        </w:sectPr>
      </w:pPr>
    </w:p>
    <w:bookmarkStart w:id="130" w:name="page131"/>
    <w:bookmarkEnd w:id="130"/>
    <w:p>
      <w:pPr>
        <w:jc w:val="both"/>
        <w:ind w:firstLine="652"/>
        <w:spacing w:after="0" w:line="230" w:lineRule="auto"/>
        <w:tabs>
          <w:tab w:leader="none" w:pos="127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A-1-B Preferred Unpaid Return</w:t>
      </w:r>
      <w:r>
        <w:rPr>
          <w:rFonts w:ascii="Times New Roman" w:cs="Times New Roman" w:eastAsia="Times New Roman" w:hAnsi="Times New Roman"/>
          <w:sz w:val="21"/>
          <w:szCs w:val="21"/>
          <w:color w:val="auto"/>
        </w:rPr>
        <w:t xml:space="preserve">” shall mean, with respect to any Class A-1-B Preferred Share as of any determination date, an amount not less than zero equal to (i) the aggregate Class A-1 Preferred Return for all prior Quarterly periods on such Class A-1-B Preferred Share as of such date, less (ii) the aggregate amount of cash Distributions made in respect of such Class A-1-B Preferred Share pursuant to </w:t>
      </w:r>
      <w:r>
        <w:rPr>
          <w:rFonts w:ascii="Times New Roman" w:cs="Times New Roman" w:eastAsia="Times New Roman" w:hAnsi="Times New Roman"/>
          <w:sz w:val="21"/>
          <w:szCs w:val="21"/>
          <w:u w:val="single" w:color="auto"/>
          <w:color w:val="auto"/>
        </w:rPr>
        <w:t>Section 3.01(b)(i)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3.01(b)(iii)</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ind w:right="20" w:firstLine="652"/>
        <w:spacing w:after="0" w:line="255" w:lineRule="auto"/>
        <w:tabs>
          <w:tab w:leader="none" w:pos="123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A-2 Liquidation Preference Amount</w:t>
      </w:r>
      <w:r>
        <w:rPr>
          <w:rFonts w:ascii="Times New Roman" w:cs="Times New Roman" w:eastAsia="Times New Roman" w:hAnsi="Times New Roman"/>
          <w:sz w:val="21"/>
          <w:szCs w:val="21"/>
          <w:color w:val="auto"/>
        </w:rPr>
        <w:t>” shall mean the Class A-2 Preferred Capital Value applicable to such Class A-2 Preferred Share.</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15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A-2 Preferred Capital Value</w:t>
      </w:r>
      <w:r>
        <w:rPr>
          <w:rFonts w:ascii="Times New Roman" w:cs="Times New Roman" w:eastAsia="Times New Roman" w:hAnsi="Times New Roman"/>
          <w:sz w:val="21"/>
          <w:szCs w:val="21"/>
          <w:color w:val="auto"/>
        </w:rPr>
        <w:t>” shall mean $10 for each Class A-2 Preferred Share issued with respect to the GM Commitment, subject to appropriate and proportional adjustments to take into account any subdivision, reorganization, reclassification, recapitalization, stock split, reverse stock split, combination of shares or similar event.</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21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A-2 Preferred Member</w:t>
      </w:r>
      <w:r>
        <w:rPr>
          <w:rFonts w:ascii="Times New Roman" w:cs="Times New Roman" w:eastAsia="Times New Roman" w:hAnsi="Times New Roman"/>
          <w:sz w:val="21"/>
          <w:szCs w:val="21"/>
          <w:color w:val="auto"/>
        </w:rPr>
        <w:t>” shall mean each Person admitted to the Company as a Member and who holds Class A-2 Preferred Shares.</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35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B Member</w:t>
      </w:r>
      <w:r>
        <w:rPr>
          <w:rFonts w:ascii="Times New Roman" w:cs="Times New Roman" w:eastAsia="Times New Roman" w:hAnsi="Times New Roman"/>
          <w:sz w:val="21"/>
          <w:szCs w:val="21"/>
          <w:color w:val="auto"/>
        </w:rPr>
        <w:t>” shall mean each Person admitted to the Company as a Member and who holds Class B Common Shares.</w:t>
      </w:r>
    </w:p>
    <w:p>
      <w:pPr>
        <w:spacing w:after="0" w:line="131" w:lineRule="exact"/>
        <w:rPr>
          <w:rFonts w:ascii="Times New Roman" w:cs="Times New Roman" w:eastAsia="Times New Roman" w:hAnsi="Times New Roman"/>
          <w:sz w:val="21"/>
          <w:szCs w:val="21"/>
          <w:color w:val="auto"/>
        </w:rPr>
      </w:pPr>
    </w:p>
    <w:p>
      <w:pPr>
        <w:ind w:left="1140" w:hanging="488"/>
        <w:spacing w:after="0"/>
        <w:tabs>
          <w:tab w:leader="none" w:pos="114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C Member</w:t>
      </w:r>
      <w:r>
        <w:rPr>
          <w:rFonts w:ascii="Times New Roman" w:cs="Times New Roman" w:eastAsia="Times New Roman" w:hAnsi="Times New Roman"/>
          <w:sz w:val="21"/>
          <w:szCs w:val="21"/>
          <w:color w:val="auto"/>
        </w:rPr>
        <w:t>” shall mean each Person admitted to the Company as a Member and who holds Class C Common</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w:t>
      </w:r>
    </w:p>
    <w:p>
      <w:pPr>
        <w:spacing w:after="0" w:line="160" w:lineRule="exact"/>
        <w:rPr>
          <w:rFonts w:ascii="Times New Roman" w:cs="Times New Roman" w:eastAsia="Times New Roman" w:hAnsi="Times New Roman"/>
          <w:sz w:val="21"/>
          <w:szCs w:val="21"/>
          <w:color w:val="auto"/>
        </w:rPr>
      </w:pPr>
    </w:p>
    <w:p>
      <w:pPr>
        <w:ind w:firstLine="652"/>
        <w:spacing w:after="0" w:line="255" w:lineRule="auto"/>
        <w:tabs>
          <w:tab w:leader="none" w:pos="1459"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D Member</w:t>
      </w:r>
      <w:r>
        <w:rPr>
          <w:rFonts w:ascii="Times New Roman" w:cs="Times New Roman" w:eastAsia="Times New Roman" w:hAnsi="Times New Roman"/>
          <w:sz w:val="21"/>
          <w:szCs w:val="21"/>
          <w:color w:val="auto"/>
        </w:rPr>
        <w:t>” shall mean each Person admitted to the Company as a Member and who holds Class D Common Shares.</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36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E Member</w:t>
      </w:r>
      <w:r>
        <w:rPr>
          <w:rFonts w:ascii="Times New Roman" w:cs="Times New Roman" w:eastAsia="Times New Roman" w:hAnsi="Times New Roman"/>
          <w:sz w:val="21"/>
          <w:szCs w:val="21"/>
          <w:color w:val="auto"/>
        </w:rPr>
        <w:t>” shall mean each Person admitted to the Company as a Member and who holds Class E Common Shares.</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23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F Preferred Member</w:t>
      </w:r>
      <w:r>
        <w:rPr>
          <w:rFonts w:ascii="Times New Roman" w:cs="Times New Roman" w:eastAsia="Times New Roman" w:hAnsi="Times New Roman"/>
          <w:sz w:val="21"/>
          <w:szCs w:val="21"/>
          <w:color w:val="auto"/>
        </w:rPr>
        <w:t>” shall mean each Person admitted to the Company as a Member and who holds Class F Preferred Shares.</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31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F Liquidation Preference Amount</w:t>
      </w:r>
      <w:r>
        <w:rPr>
          <w:rFonts w:ascii="Times New Roman" w:cs="Times New Roman" w:eastAsia="Times New Roman" w:hAnsi="Times New Roman"/>
          <w:sz w:val="21"/>
          <w:szCs w:val="21"/>
          <w:color w:val="auto"/>
        </w:rPr>
        <w:t>” shall mean the Class F Preferred Capital Value applicable to such Class F Preferred Share.</w:t>
      </w:r>
    </w:p>
    <w:p>
      <w:pPr>
        <w:spacing w:after="0" w:line="131" w:lineRule="exact"/>
        <w:rPr>
          <w:rFonts w:ascii="Times New Roman" w:cs="Times New Roman" w:eastAsia="Times New Roman" w:hAnsi="Times New Roman"/>
          <w:sz w:val="21"/>
          <w:szCs w:val="21"/>
          <w:color w:val="auto"/>
        </w:rPr>
      </w:pPr>
    </w:p>
    <w:p>
      <w:pPr>
        <w:jc w:val="both"/>
        <w:ind w:firstLine="652"/>
        <w:spacing w:after="0" w:line="220" w:lineRule="auto"/>
        <w:tabs>
          <w:tab w:leader="none" w:pos="1285"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F New Member</w:t>
      </w:r>
      <w:r>
        <w:rPr>
          <w:rFonts w:ascii="Times New Roman" w:cs="Times New Roman" w:eastAsia="Times New Roman" w:hAnsi="Times New Roman"/>
          <w:sz w:val="21"/>
          <w:szCs w:val="21"/>
          <w:color w:val="auto"/>
        </w:rPr>
        <w:t>” means each of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and together with any other Person that the Board of Directors designates as a “</w:t>
      </w:r>
      <w:r>
        <w:rPr>
          <w:rFonts w:ascii="Times New Roman" w:cs="Times New Roman" w:eastAsia="Times New Roman" w:hAnsi="Times New Roman"/>
          <w:sz w:val="21"/>
          <w:szCs w:val="21"/>
          <w:b w:val="1"/>
          <w:bCs w:val="1"/>
          <w:color w:val="auto"/>
        </w:rPr>
        <w:t>Class F New Member</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jc w:val="both"/>
        <w:ind w:firstLine="652"/>
        <w:spacing w:after="0" w:line="236" w:lineRule="auto"/>
        <w:tabs>
          <w:tab w:leader="none" w:pos="118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F Preferred Capital Value</w:t>
      </w:r>
      <w:r>
        <w:rPr>
          <w:rFonts w:ascii="Times New Roman" w:cs="Times New Roman" w:eastAsia="Times New Roman" w:hAnsi="Times New Roman"/>
          <w:sz w:val="21"/>
          <w:szCs w:val="21"/>
          <w:color w:val="auto"/>
        </w:rPr>
        <w:t>” shall mean $18.25 for each Class F Preferred Share issued with respect to the Class F Commitment (and any other Class F Preferred Shares issued pursuant to the Class F Purchase Agreement), subject to appropriate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4</w:t>
      </w:r>
    </w:p>
    <w:p>
      <w:pPr>
        <w:sectPr>
          <w:pgSz w:w="11900" w:h="16838" w:orient="portrait"/>
          <w:cols w:equalWidth="0" w:num="1">
            <w:col w:w="11240"/>
          </w:cols>
          <w:pgMar w:left="320" w:top="1384" w:right="339" w:bottom="1440" w:gutter="0" w:footer="0" w:header="0"/>
        </w:sectPr>
      </w:pPr>
    </w:p>
    <w:bookmarkStart w:id="131" w:name="page132"/>
    <w:bookmarkEnd w:id="131"/>
    <w:p>
      <w:pPr>
        <w:spacing w:after="0" w:line="251" w:lineRule="auto"/>
        <w:rPr>
          <w:sz w:val="20"/>
          <w:szCs w:val="20"/>
          <w:color w:val="auto"/>
        </w:rPr>
      </w:pPr>
      <w:r>
        <w:rPr>
          <w:rFonts w:ascii="Times New Roman" w:cs="Times New Roman" w:eastAsia="Times New Roman" w:hAnsi="Times New Roman"/>
          <w:sz w:val="21"/>
          <w:szCs w:val="21"/>
          <w:color w:val="auto"/>
        </w:rPr>
        <w:t>proportional adjustments to take into account any subdivision, reorganization, reclassification, recapitalization, stock split, reverse stock split, combination of shares or similar event.</w:t>
      </w:r>
    </w:p>
    <w:p>
      <w:pPr>
        <w:spacing w:after="0" w:line="136" w:lineRule="exact"/>
        <w:rPr>
          <w:sz w:val="20"/>
          <w:szCs w:val="20"/>
          <w:color w:val="auto"/>
        </w:rPr>
      </w:pPr>
    </w:p>
    <w:p>
      <w:pPr>
        <w:jc w:val="both"/>
        <w:ind w:firstLine="652"/>
        <w:spacing w:after="0"/>
        <w:tabs>
          <w:tab w:leader="none" w:pos="1184"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F Trigger Date</w:t>
      </w:r>
      <w:r>
        <w:rPr>
          <w:rFonts w:ascii="Times New Roman" w:cs="Times New Roman" w:eastAsia="Times New Roman" w:hAnsi="Times New Roman"/>
          <w:sz w:val="21"/>
          <w:szCs w:val="21"/>
          <w:color w:val="auto"/>
        </w:rPr>
        <w:t xml:space="preserve">” shall mean May 7, 2023;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 Class F Preferred Member, solely in its capacity as a holder of Class F Preferred Shares, such date will be reduced to the Maximum Permitted Lockup Date if such Class F Preferred Member can provide evidence reasonably satisfactory to the Company that it is prohibited (across investments in U.S. private companies generally) from agreeing to Transfer restrictions with respect to its holding of shares in private companies that have a duration of at least four (4) years (the “</w:t>
      </w:r>
      <w:r>
        <w:rPr>
          <w:rFonts w:ascii="Times New Roman" w:cs="Times New Roman" w:eastAsia="Times New Roman" w:hAnsi="Times New Roman"/>
          <w:sz w:val="21"/>
          <w:szCs w:val="21"/>
          <w:b w:val="1"/>
          <w:bCs w:val="1"/>
          <w:color w:val="auto"/>
        </w:rPr>
        <w:t>Lockup Evidence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 reduction in the Class F Trigger Date for a Class F Preferred Member with respect to its Class F Preferred Shares will not be applicable to any other Class F Preferred Member with respect to its Class F Preferred Shares unless such other Class F Preferred Member provides Lockup Evidence. For the purpose of this definition, “</w:t>
      </w:r>
      <w:r>
        <w:rPr>
          <w:rFonts w:ascii="Times New Roman" w:cs="Times New Roman" w:eastAsia="Times New Roman" w:hAnsi="Times New Roman"/>
          <w:sz w:val="21"/>
          <w:szCs w:val="21"/>
          <w:b w:val="1"/>
          <w:bCs w:val="1"/>
          <w:color w:val="auto"/>
        </w:rPr>
        <w:t>Maximum Permitted Lockup Date</w:t>
      </w:r>
      <w:r>
        <w:rPr>
          <w:rFonts w:ascii="Times New Roman" w:cs="Times New Roman" w:eastAsia="Times New Roman" w:hAnsi="Times New Roman"/>
          <w:sz w:val="21"/>
          <w:szCs w:val="21"/>
          <w:color w:val="auto"/>
        </w:rPr>
        <w:t xml:space="preserve">” shall mean the longest period such Class F Preferred Member can be subject to the transfer restrictions in </w:t>
      </w:r>
      <w:r>
        <w:rPr>
          <w:rFonts w:ascii="Times New Roman" w:cs="Times New Roman" w:eastAsia="Times New Roman" w:hAnsi="Times New Roman"/>
          <w:sz w:val="21"/>
          <w:szCs w:val="21"/>
          <w:u w:val="single" w:color="auto"/>
          <w:color w:val="auto"/>
        </w:rPr>
        <w:t>Section 9.01(a)</w:t>
      </w:r>
      <w:r>
        <w:rPr>
          <w:rFonts w:ascii="Times New Roman" w:cs="Times New Roman" w:eastAsia="Times New Roman" w:hAnsi="Times New Roman"/>
          <w:sz w:val="21"/>
          <w:szCs w:val="21"/>
          <w:color w:val="auto"/>
        </w:rPr>
        <w:t xml:space="preserve"> taking into account restrictions applicable to its holding of shares in U.S. private companies generally;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no event shall the Maximum Permitted Lockup Date be sooner than May 7, 2021.</w:t>
      </w:r>
    </w:p>
    <w:p>
      <w:pPr>
        <w:spacing w:after="0" w:line="165" w:lineRule="exact"/>
        <w:rPr>
          <w:rFonts w:ascii="Times New Roman" w:cs="Times New Roman" w:eastAsia="Times New Roman" w:hAnsi="Times New Roman"/>
          <w:sz w:val="21"/>
          <w:szCs w:val="21"/>
          <w:color w:val="auto"/>
        </w:rPr>
      </w:pPr>
    </w:p>
    <w:p>
      <w:pPr>
        <w:jc w:val="both"/>
        <w:ind w:firstLine="652"/>
        <w:spacing w:after="0" w:line="236" w:lineRule="auto"/>
        <w:tabs>
          <w:tab w:leader="none" w:pos="120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G New Member</w:t>
      </w:r>
      <w:r>
        <w:rPr>
          <w:rFonts w:ascii="Times New Roman" w:cs="Times New Roman" w:eastAsia="Times New Roman" w:hAnsi="Times New Roman"/>
          <w:sz w:val="21"/>
          <w:szCs w:val="21"/>
          <w:color w:val="auto"/>
        </w:rPr>
        <w:t>” shall mean Microsoft, Baron, and any other Member who purchases Class G Preferred Shares pursuant to the Class G Purchase Agreement and who did not hold any other Equity Securities immediately prior to the date of this Agreement.</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218"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G Preferred Member</w:t>
      </w:r>
      <w:r>
        <w:rPr>
          <w:rFonts w:ascii="Times New Roman" w:cs="Times New Roman" w:eastAsia="Times New Roman" w:hAnsi="Times New Roman"/>
          <w:sz w:val="21"/>
          <w:szCs w:val="21"/>
          <w:color w:val="auto"/>
        </w:rPr>
        <w:t>” shall mean each Person admitted to the Company as a Member and who holds Class G Preferred Shares.</w:t>
      </w:r>
    </w:p>
    <w:p>
      <w:pPr>
        <w:spacing w:after="0" w:line="131" w:lineRule="exact"/>
        <w:rPr>
          <w:rFonts w:ascii="Times New Roman" w:cs="Times New Roman" w:eastAsia="Times New Roman" w:hAnsi="Times New Roman"/>
          <w:sz w:val="21"/>
          <w:szCs w:val="21"/>
          <w:color w:val="auto"/>
        </w:rPr>
      </w:pPr>
    </w:p>
    <w:p>
      <w:pPr>
        <w:ind w:right="20" w:firstLine="652"/>
        <w:spacing w:after="0" w:line="255" w:lineRule="auto"/>
        <w:tabs>
          <w:tab w:leader="none" w:pos="1299"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G Liquidation Preference Amount</w:t>
      </w:r>
      <w:r>
        <w:rPr>
          <w:rFonts w:ascii="Times New Roman" w:cs="Times New Roman" w:eastAsia="Times New Roman" w:hAnsi="Times New Roman"/>
          <w:sz w:val="21"/>
          <w:szCs w:val="21"/>
          <w:color w:val="auto"/>
        </w:rPr>
        <w:t>” shall mean the Class G Preferred Capital Value applicable to such Class G Preferred Share.</w:t>
      </w:r>
    </w:p>
    <w:p>
      <w:pPr>
        <w:spacing w:after="0" w:line="131" w:lineRule="exact"/>
        <w:rPr>
          <w:rFonts w:ascii="Times New Roman" w:cs="Times New Roman" w:eastAsia="Times New Roman" w:hAnsi="Times New Roman"/>
          <w:sz w:val="21"/>
          <w:szCs w:val="21"/>
          <w:color w:val="auto"/>
        </w:rPr>
      </w:pPr>
    </w:p>
    <w:p>
      <w:pPr>
        <w:jc w:val="both"/>
        <w:ind w:firstLine="652"/>
        <w:spacing w:after="0" w:line="230" w:lineRule="auto"/>
        <w:tabs>
          <w:tab w:leader="none" w:pos="1314"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G Preferred Capital Value</w:t>
      </w:r>
      <w:r>
        <w:rPr>
          <w:rFonts w:ascii="Times New Roman" w:cs="Times New Roman" w:eastAsia="Times New Roman" w:hAnsi="Times New Roman"/>
          <w:sz w:val="21"/>
          <w:szCs w:val="21"/>
          <w:color w:val="auto"/>
        </w:rPr>
        <w:t>” shall mean $26.35 for each Class G Preferred Share issued with respect to the Class G Commitment (and any other Class G Preferred Shares issued pursuant to the Class G Purchase Agreement), subject to appropriate and proportional adjustments to take into account any subdivision, reorganization, reclassification, recapitalization, stock split, reverse stock split, combination of shares or similar event.</w:t>
      </w:r>
    </w:p>
    <w:p>
      <w:pPr>
        <w:spacing w:after="0" w:line="149" w:lineRule="exact"/>
        <w:rPr>
          <w:rFonts w:ascii="Times New Roman" w:cs="Times New Roman" w:eastAsia="Times New Roman" w:hAnsi="Times New Roman"/>
          <w:sz w:val="21"/>
          <w:szCs w:val="21"/>
          <w:color w:val="auto"/>
        </w:rPr>
      </w:pPr>
    </w:p>
    <w:p>
      <w:pPr>
        <w:ind w:firstLine="652"/>
        <w:spacing w:after="0" w:line="255" w:lineRule="auto"/>
        <w:tabs>
          <w:tab w:leader="none" w:pos="1232"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G Trigger Date</w:t>
      </w:r>
      <w:r>
        <w:rPr>
          <w:rFonts w:ascii="Times New Roman" w:cs="Times New Roman" w:eastAsia="Times New Roman" w:hAnsi="Times New Roman"/>
          <w:sz w:val="21"/>
          <w:szCs w:val="21"/>
          <w:color w:val="auto"/>
        </w:rPr>
        <w:t>” shall mean the four (4) year anniversary of the date that such Class G Preferred Share was issued pursuant to the Class G Purchase Agreement.</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35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H Member</w:t>
      </w:r>
      <w:r>
        <w:rPr>
          <w:rFonts w:ascii="Times New Roman" w:cs="Times New Roman" w:eastAsia="Times New Roman" w:hAnsi="Times New Roman"/>
          <w:sz w:val="21"/>
          <w:szCs w:val="21"/>
          <w:color w:val="auto"/>
        </w:rPr>
        <w:t>” shall mean each Person admitted to the Company as a Member and who holds Class H Common Shares.</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328"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 H Trigger Date</w:t>
      </w:r>
      <w:r>
        <w:rPr>
          <w:rFonts w:ascii="Times New Roman" w:cs="Times New Roman" w:eastAsia="Times New Roman" w:hAnsi="Times New Roman"/>
          <w:sz w:val="21"/>
          <w:szCs w:val="21"/>
          <w:color w:val="auto"/>
        </w:rPr>
        <w:t>” shall mean, with respect to a particular Class H Common Share, the seven (7) year anniversary of the date that such Class H Common Share was issued.</w:t>
      </w:r>
    </w:p>
    <w:p>
      <w:pPr>
        <w:spacing w:after="0" w:line="132" w:lineRule="exact"/>
        <w:rPr>
          <w:sz w:val="20"/>
          <w:szCs w:val="20"/>
          <w:color w:val="auto"/>
        </w:rPr>
      </w:pPr>
    </w:p>
    <w:p>
      <w:pPr>
        <w:ind w:left="1300" w:hanging="648"/>
        <w:spacing w:after="0"/>
        <w:tabs>
          <w:tab w:leader="none" w:pos="130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188" w:lineRule="exact"/>
        <w:rPr>
          <w:rFonts w:ascii="Times New Roman" w:cs="Times New Roman" w:eastAsia="Times New Roman" w:hAnsi="Times New Roman"/>
          <w:sz w:val="21"/>
          <w:szCs w:val="21"/>
          <w:color w:val="auto"/>
        </w:rPr>
      </w:pPr>
    </w:p>
    <w:p>
      <w:pPr>
        <w:ind w:left="1340" w:hanging="688"/>
        <w:spacing w:after="0"/>
        <w:tabs>
          <w:tab w:leader="none" w:pos="134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 Agreements</w:t>
      </w:r>
      <w:r>
        <w:rPr>
          <w:rFonts w:ascii="Times New Roman" w:cs="Times New Roman" w:eastAsia="Times New Roman" w:hAnsi="Times New Roman"/>
          <w:sz w:val="21"/>
          <w:szCs w:val="21"/>
          <w:color w:val="auto"/>
        </w:rPr>
        <w:t>” shall have the meaning given to “Commercial Agreements” in the SoftBank Purchase</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160" w:lineRule="exact"/>
        <w:rPr>
          <w:rFonts w:ascii="Times New Roman" w:cs="Times New Roman" w:eastAsia="Times New Roman" w:hAnsi="Times New Roman"/>
          <w:sz w:val="21"/>
          <w:szCs w:val="21"/>
          <w:color w:val="auto"/>
        </w:rPr>
      </w:pPr>
    </w:p>
    <w:p>
      <w:pPr>
        <w:jc w:val="both"/>
        <w:ind w:firstLine="652"/>
        <w:spacing w:after="0" w:line="230" w:lineRule="auto"/>
        <w:tabs>
          <w:tab w:leader="none" w:pos="1437"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Commitments</w:t>
      </w:r>
      <w:r>
        <w:rPr>
          <w:rFonts w:ascii="Times New Roman" w:cs="Times New Roman" w:eastAsia="Times New Roman" w:hAnsi="Times New Roman"/>
          <w:sz w:val="21"/>
          <w:szCs w:val="21"/>
          <w:color w:val="auto"/>
        </w:rPr>
        <w:t>” shall mean, collectively, the GM Commitment, the SoftBank Commitment, the Subsequent SoftBank Commitment, the Honda Commitment, the Class F Commitment, Class G Commitment, and any additional commitment from an existing or new investor (which, in each case, represents (or in the case of any additional commitments, will represent) the aggregate amount of Capital Contributions that such investor has committed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5</w:t>
      </w:r>
    </w:p>
    <w:p>
      <w:pPr>
        <w:sectPr>
          <w:pgSz w:w="11900" w:h="16838" w:orient="portrait"/>
          <w:cols w:equalWidth="0" w:num="1">
            <w:col w:w="11240"/>
          </w:cols>
          <w:pgMar w:left="320" w:top="1388" w:right="339" w:bottom="1440" w:gutter="0" w:footer="0" w:header="0"/>
        </w:sectPr>
      </w:pPr>
    </w:p>
    <w:bookmarkStart w:id="132" w:name="page133"/>
    <w:bookmarkEnd w:id="132"/>
    <w:p>
      <w:pPr>
        <w:jc w:val="both"/>
        <w:spacing w:after="0" w:line="229" w:lineRule="auto"/>
        <w:rPr>
          <w:sz w:val="20"/>
          <w:szCs w:val="20"/>
          <w:color w:val="auto"/>
        </w:rPr>
      </w:pPr>
      <w:r>
        <w:rPr>
          <w:rFonts w:ascii="Times New Roman" w:cs="Times New Roman" w:eastAsia="Times New Roman" w:hAnsi="Times New Roman"/>
          <w:sz w:val="21"/>
          <w:szCs w:val="21"/>
          <w:color w:val="auto"/>
        </w:rPr>
        <w:t>the case of any additional commitments, will commit) to make to the Company in exchange for the issuance of Shares and subject in all respects to the terms and conditions set forth in this Agreement and the SoftBank Purchase Agreement, Honda Purchase Agreement, the Class F Purchase Agreement, the Class G Purchase Agreement, or the applicable subscription agreement, as applicable).</w:t>
      </w:r>
    </w:p>
    <w:p>
      <w:pPr>
        <w:spacing w:after="0" w:line="149" w:lineRule="exact"/>
        <w:rPr>
          <w:sz w:val="20"/>
          <w:szCs w:val="20"/>
          <w:color w:val="auto"/>
        </w:rPr>
      </w:pPr>
    </w:p>
    <w:p>
      <w:pPr>
        <w:ind w:firstLine="652"/>
        <w:spacing w:after="0" w:line="255" w:lineRule="auto"/>
        <w:tabs>
          <w:tab w:leader="none" w:pos="143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shall mean, collectively, the Class B Common Shares, Class C Common Shares, Class D Common Shares, Class E Common Shares, and Class H Common Shares.</w:t>
      </w:r>
    </w:p>
    <w:p>
      <w:pPr>
        <w:spacing w:after="0" w:line="131" w:lineRule="exact"/>
        <w:rPr>
          <w:rFonts w:ascii="Times New Roman" w:cs="Times New Roman" w:eastAsia="Times New Roman" w:hAnsi="Times New Roman"/>
          <w:sz w:val="21"/>
          <w:szCs w:val="21"/>
          <w:color w:val="auto"/>
        </w:rPr>
      </w:pPr>
    </w:p>
    <w:p>
      <w:pPr>
        <w:jc w:val="both"/>
        <w:ind w:firstLine="652"/>
        <w:spacing w:after="0" w:line="225" w:lineRule="auto"/>
        <w:tabs>
          <w:tab w:leader="none" w:pos="1316"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 Period</w:t>
      </w:r>
      <w:r>
        <w:rPr>
          <w:rFonts w:ascii="Times New Roman" w:cs="Times New Roman" w:eastAsia="Times New Roman" w:hAnsi="Times New Roman"/>
          <w:sz w:val="21"/>
          <w:szCs w:val="21"/>
          <w:color w:val="auto"/>
        </w:rPr>
        <w:t xml:space="preserve">” shall mean the period from the date of this Agreement until the earlier of (i) the consummation of an IPO, and (ii) the date on which the GM Investor holds less than fifty percent (50%) of the total number of Shares (on an as-converted basis as if all Non-A-1 Interests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firstLine="652"/>
        <w:spacing w:after="0" w:line="230" w:lineRule="auto"/>
        <w:tabs>
          <w:tab w:leader="none" w:pos="1277"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Covered Person</w:t>
      </w:r>
      <w:r>
        <w:rPr>
          <w:rFonts w:ascii="Times New Roman" w:cs="Times New Roman" w:eastAsia="Times New Roman" w:hAnsi="Times New Roman"/>
          <w:sz w:val="21"/>
          <w:szCs w:val="21"/>
          <w:color w:val="auto"/>
        </w:rPr>
        <w:t>” shall mean a Person who is or was (i) a Member or a Director, Officer, director, shareholder, partner, member, trustee, investment adviser, fiduciary or beneficiary of the Company or any Subsidiary of the Company or of a Member, or (ii) a director, officer, shareholder, partner, trustee, fiduciary or beneficiary of another Person serving as such at the request of the Company or any Subsidiary of the Company, for the Company’s or any of its Subsidiary’s benefit.</w:t>
      </w:r>
    </w:p>
    <w:p>
      <w:pPr>
        <w:spacing w:after="0" w:line="149" w:lineRule="exact"/>
        <w:rPr>
          <w:rFonts w:ascii="Times New Roman" w:cs="Times New Roman" w:eastAsia="Times New Roman" w:hAnsi="Times New Roman"/>
          <w:sz w:val="21"/>
          <w:szCs w:val="21"/>
          <w:color w:val="auto"/>
        </w:rPr>
      </w:pPr>
    </w:p>
    <w:p>
      <w:pPr>
        <w:jc w:val="both"/>
        <w:ind w:firstLine="652"/>
        <w:spacing w:after="0" w:line="236" w:lineRule="auto"/>
        <w:tabs>
          <w:tab w:leader="none" w:pos="139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Designated Matter</w:t>
      </w:r>
      <w:r>
        <w:rPr>
          <w:rFonts w:ascii="Times New Roman" w:cs="Times New Roman" w:eastAsia="Times New Roman" w:hAnsi="Times New Roman"/>
          <w:sz w:val="21"/>
          <w:szCs w:val="21"/>
          <w:color w:val="auto"/>
        </w:rPr>
        <w:t>” with respect to a Covered Person shall mean a matter that is or is claimed to be a matter related to his or her duties to the Company, any of its Subsidiaries or any related entity or the performance of (or failure to perform) duties for the Company or any of its Subsidiaries.</w:t>
      </w:r>
    </w:p>
    <w:p>
      <w:pPr>
        <w:spacing w:after="0" w:line="147" w:lineRule="exact"/>
        <w:rPr>
          <w:rFonts w:ascii="Times New Roman" w:cs="Times New Roman" w:eastAsia="Times New Roman" w:hAnsi="Times New Roman"/>
          <w:sz w:val="21"/>
          <w:szCs w:val="21"/>
          <w:color w:val="auto"/>
        </w:rPr>
      </w:pPr>
    </w:p>
    <w:p>
      <w:pPr>
        <w:ind w:left="1340" w:hanging="688"/>
        <w:spacing w:after="0"/>
        <w:tabs>
          <w:tab w:leader="none" w:pos="134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DGCL</w:t>
      </w:r>
      <w:r>
        <w:rPr>
          <w:rFonts w:ascii="Times New Roman" w:cs="Times New Roman" w:eastAsia="Times New Roman" w:hAnsi="Times New Roman"/>
          <w:sz w:val="21"/>
          <w:szCs w:val="21"/>
          <w:color w:val="auto"/>
        </w:rPr>
        <w:t>” shall mean the State of Delaware General Corporation Law, as amended from time to time.</w:t>
      </w:r>
    </w:p>
    <w:p>
      <w:pPr>
        <w:spacing w:after="0" w:line="188" w:lineRule="exact"/>
        <w:rPr>
          <w:rFonts w:ascii="Times New Roman" w:cs="Times New Roman" w:eastAsia="Times New Roman" w:hAnsi="Times New Roman"/>
          <w:sz w:val="21"/>
          <w:szCs w:val="21"/>
          <w:color w:val="auto"/>
        </w:rPr>
      </w:pPr>
    </w:p>
    <w:p>
      <w:pPr>
        <w:ind w:left="1200" w:hanging="548"/>
        <w:spacing w:after="0"/>
        <w:tabs>
          <w:tab w:leader="none" w:pos="120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xml:space="preserve">” shall mean a Person designated to the Board of Directors pursuant to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auto"/>
        </w:rPr>
      </w:pPr>
    </w:p>
    <w:p>
      <w:pPr>
        <w:jc w:val="both"/>
        <w:ind w:firstLine="652"/>
        <w:spacing w:after="0" w:line="225" w:lineRule="auto"/>
        <w:tabs>
          <w:tab w:leader="none" w:pos="129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Distribution</w:t>
      </w:r>
      <w:r>
        <w:rPr>
          <w:rFonts w:ascii="Times New Roman" w:cs="Times New Roman" w:eastAsia="Times New Roman" w:hAnsi="Times New Roman"/>
          <w:sz w:val="21"/>
          <w:szCs w:val="21"/>
          <w:color w:val="auto"/>
        </w:rPr>
        <w:t xml:space="preserve">” shall mean each distribution made by the Company to a Member with respect to such Person’s Shares, whether in cash, property or securities of the Company and whether by dividend, redemption, repurchase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none of the following shall be deemed a Distribution: (i) any redemption or repurchase by the Company of any securities of the Company in connection with the termination of employment of an employee of the Company or any of its Subsidiaries or otherwise pursuant to an Award Agreement and (ii) any recapitalization, exchange or conversion of Shares, and any subdivision (by share split or otherwise) or any combination (by reverse share split or otherwise) of any outstanding Shares.</w:t>
      </w:r>
    </w:p>
    <w:p>
      <w:pPr>
        <w:spacing w:after="0" w:line="146" w:lineRule="exact"/>
        <w:rPr>
          <w:rFonts w:ascii="Times New Roman" w:cs="Times New Roman" w:eastAsia="Times New Roman" w:hAnsi="Times New Roman"/>
          <w:sz w:val="21"/>
          <w:szCs w:val="21"/>
          <w:color w:val="auto"/>
        </w:rPr>
      </w:pPr>
    </w:p>
    <w:p>
      <w:pPr>
        <w:ind w:firstLine="652"/>
        <w:spacing w:after="0" w:line="255" w:lineRule="auto"/>
        <w:tabs>
          <w:tab w:leader="none" w:pos="156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EDSA</w:t>
      </w:r>
      <w:r>
        <w:rPr>
          <w:rFonts w:ascii="Times New Roman" w:cs="Times New Roman" w:eastAsia="Times New Roman" w:hAnsi="Times New Roman"/>
          <w:sz w:val="21"/>
          <w:szCs w:val="21"/>
          <w:color w:val="auto"/>
        </w:rPr>
        <w:t>” shall mean the Engineering and Design Services Agreement entered into between GM Global Technology Operations LLC and the Company dated as of June 28, 2018.</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196"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Employee Member</w:t>
      </w:r>
      <w:r>
        <w:rPr>
          <w:rFonts w:ascii="Times New Roman" w:cs="Times New Roman" w:eastAsia="Times New Roman" w:hAnsi="Times New Roman"/>
          <w:sz w:val="21"/>
          <w:szCs w:val="21"/>
          <w:color w:val="auto"/>
        </w:rPr>
        <w:t>” shall mean a Member who is or was an employee, officer, director, manager or other service provider of the Company or one of its Subsidiaries or who is wholly owned by or is a Family Trust or other similar entity of one or more of the current or former employees, officers, directors, managers or other services providers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6</w:t>
      </w:r>
    </w:p>
    <w:p>
      <w:pPr>
        <w:sectPr>
          <w:pgSz w:w="11900" w:h="16838" w:orient="portrait"/>
          <w:cols w:equalWidth="0" w:num="1">
            <w:col w:w="11240"/>
          </w:cols>
          <w:pgMar w:left="320" w:top="1388" w:right="339" w:bottom="1440" w:gutter="0" w:footer="0" w:header="0"/>
        </w:sectPr>
      </w:pPr>
    </w:p>
    <w:bookmarkStart w:id="133" w:name="page134"/>
    <w:bookmarkEnd w:id="133"/>
    <w:p>
      <w:pPr>
        <w:jc w:val="both"/>
        <w:spacing w:after="0" w:line="222" w:lineRule="auto"/>
        <w:rPr>
          <w:sz w:val="20"/>
          <w:szCs w:val="20"/>
          <w:color w:val="auto"/>
        </w:rPr>
      </w:pPr>
      <w:r>
        <w:rPr>
          <w:rFonts w:ascii="Times New Roman" w:cs="Times New Roman" w:eastAsia="Times New Roman" w:hAnsi="Times New Roman"/>
          <w:sz w:val="21"/>
          <w:szCs w:val="21"/>
          <w:color w:val="auto"/>
        </w:rPr>
        <w:t>one of its Subsidiaries. Any reference in this Agreement to an Employee Member shall mean, in the case of a Member who is wholly owned by or is a member of the Family Group of one or more of the current or former employees, officers, directors, managers or other service providers of the Company or one of its Subsidiaries, the current or former employee, officer, director, manager or other service provider of the Company or one of its Subsidiaries, or such Member that is wholly owned or is a member of the Family Group or other similar entity of such Person (regardless of whether such current or former employee, officer, director, manager or other service provider or such wholly owned entity, member of the Family Group or other similar entity is a Member), as the context so requires.</w:t>
      </w:r>
    </w:p>
    <w:p>
      <w:pPr>
        <w:spacing w:after="0" w:line="152" w:lineRule="exact"/>
        <w:rPr>
          <w:sz w:val="20"/>
          <w:szCs w:val="20"/>
          <w:color w:val="auto"/>
        </w:rPr>
      </w:pPr>
    </w:p>
    <w:p>
      <w:pPr>
        <w:jc w:val="both"/>
        <w:ind w:firstLine="652"/>
        <w:spacing w:after="0" w:line="230" w:lineRule="auto"/>
        <w:tabs>
          <w:tab w:leader="none" w:pos="150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Equity Securities</w:t>
      </w:r>
      <w:r>
        <w:rPr>
          <w:rFonts w:ascii="Times New Roman" w:cs="Times New Roman" w:eastAsia="Times New Roman" w:hAnsi="Times New Roman"/>
          <w:sz w:val="21"/>
          <w:szCs w:val="21"/>
          <w:color w:val="auto"/>
        </w:rPr>
        <w:t>” shall mean all forms of equity securities in the Company, its Subsidiaries or their successors (including Shares), all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49" w:lineRule="exact"/>
        <w:rPr>
          <w:rFonts w:ascii="Times New Roman" w:cs="Times New Roman" w:eastAsia="Times New Roman" w:hAnsi="Times New Roman"/>
          <w:sz w:val="21"/>
          <w:szCs w:val="21"/>
          <w:color w:val="auto"/>
        </w:rPr>
      </w:pPr>
    </w:p>
    <w:p>
      <w:pPr>
        <w:jc w:val="both"/>
        <w:ind w:firstLine="652"/>
        <w:spacing w:after="0" w:line="227" w:lineRule="auto"/>
        <w:tabs>
          <w:tab w:leader="none" w:pos="133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Equivalent Terms</w:t>
      </w:r>
      <w:r>
        <w:rPr>
          <w:rFonts w:ascii="Times New Roman" w:cs="Times New Roman" w:eastAsia="Times New Roman" w:hAnsi="Times New Roman"/>
          <w:sz w:val="21"/>
          <w:szCs w:val="21"/>
          <w:color w:val="auto"/>
        </w:rPr>
        <w:t xml:space="preserve">” shall mean a proposal on terms, including all legal, financial, regulatory and other aspects of such proposal, including termination fee and/or expense reimbursement provisions, conditionality, financing, antitrust, timing, indemnification and post-closing limitations of liability and such other factors, events or circumstances as the Board of Directors considers in good faith to be appropriate, that is (i) reasonably likely to be consummated in accordance with its terms and (ii) at least as favorable to the Transferor(s) pursuant to </w:t>
      </w:r>
      <w:r>
        <w:rPr>
          <w:rFonts w:ascii="Times New Roman" w:cs="Times New Roman" w:eastAsia="Times New Roman" w:hAnsi="Times New Roman"/>
          <w:sz w:val="21"/>
          <w:szCs w:val="21"/>
          <w:u w:val="single" w:color="auto"/>
          <w:color w:val="auto"/>
        </w:rPr>
        <w:t>Section 9.01(a)(ix)</w:t>
      </w:r>
      <w:r>
        <w:rPr>
          <w:rFonts w:ascii="Times New Roman" w:cs="Times New Roman" w:eastAsia="Times New Roman" w:hAnsi="Times New Roman"/>
          <w:sz w:val="21"/>
          <w:szCs w:val="21"/>
          <w:color w:val="auto"/>
        </w:rPr>
        <w:t xml:space="preserve"> as the terms set forth in the ROFR Sale Notice.</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33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Agreement</w:t>
      </w:r>
      <w:r>
        <w:rPr>
          <w:rFonts w:ascii="Times New Roman" w:cs="Times New Roman" w:eastAsia="Times New Roman" w:hAnsi="Times New Roman"/>
          <w:sz w:val="21"/>
          <w:szCs w:val="21"/>
          <w:color w:val="auto"/>
        </w:rPr>
        <w:t>” shall mean the Exchange Agreement in the form agreed to by the then existing Members and the Company on the date of the SoftBank Purchase Agreement.</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35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Common Shares</w:t>
      </w:r>
      <w:r>
        <w:rPr>
          <w:rFonts w:ascii="Times New Roman" w:cs="Times New Roman" w:eastAsia="Times New Roman" w:hAnsi="Times New Roman"/>
          <w:sz w:val="21"/>
          <w:szCs w:val="21"/>
          <w:color w:val="auto"/>
        </w:rPr>
        <w:t>” shall mean any (i) issued or issuable Class B Common Shares and (ii) outstanding Class H Common Shares.</w:t>
      </w:r>
    </w:p>
    <w:p>
      <w:pPr>
        <w:spacing w:after="0" w:line="131" w:lineRule="exact"/>
        <w:rPr>
          <w:rFonts w:ascii="Times New Roman" w:cs="Times New Roman" w:eastAsia="Times New Roman" w:hAnsi="Times New Roman"/>
          <w:sz w:val="21"/>
          <w:szCs w:val="21"/>
          <w:color w:val="auto"/>
        </w:rPr>
      </w:pPr>
    </w:p>
    <w:p>
      <w:pPr>
        <w:jc w:val="both"/>
        <w:ind w:firstLine="652"/>
        <w:spacing w:after="0" w:line="227" w:lineRule="auto"/>
        <w:tabs>
          <w:tab w:leader="none" w:pos="136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Fair Market Value</w:t>
      </w:r>
      <w:r>
        <w:rPr>
          <w:rFonts w:ascii="Times New Roman" w:cs="Times New Roman" w:eastAsia="Times New Roman" w:hAnsi="Times New Roman"/>
          <w:sz w:val="21"/>
          <w:szCs w:val="21"/>
          <w:color w:val="auto"/>
        </w:rPr>
        <w:t>” with respect to securities traded on a stock exchange or over-the-counter market as of any date shall be the mean between the highest and lowest quoted selling prices, or if none, the mean between the bona fide bid and asked prices, on the valuation date, or if the foregoing is not applicable, otherwise determined in a manner not inconsistent with Treasury Regulation §20.2031-2. Fair Market Value of any other assets shall be their fair market value as determined in good faith by the Board of Directors.</w:t>
      </w:r>
    </w:p>
    <w:p>
      <w:pPr>
        <w:spacing w:after="0" w:line="147" w:lineRule="exact"/>
        <w:rPr>
          <w:rFonts w:ascii="Times New Roman" w:cs="Times New Roman" w:eastAsia="Times New Roman" w:hAnsi="Times New Roman"/>
          <w:sz w:val="21"/>
          <w:szCs w:val="21"/>
          <w:color w:val="auto"/>
        </w:rPr>
      </w:pPr>
    </w:p>
    <w:p>
      <w:pPr>
        <w:jc w:val="both"/>
        <w:ind w:firstLine="652"/>
        <w:spacing w:after="0"/>
        <w:tabs>
          <w:tab w:leader="none" w:pos="136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Family Group</w:t>
      </w:r>
      <w:r>
        <w:rPr>
          <w:rFonts w:ascii="Times New Roman" w:cs="Times New Roman" w:eastAsia="Times New Roman" w:hAnsi="Times New Roman"/>
          <w:sz w:val="21"/>
          <w:szCs w:val="21"/>
          <w:color w:val="auto"/>
        </w:rPr>
        <w:t>” shall mean, for any individual, such individual’s current or former spouse, their respective parents, descendants of such parents (whether natural or adopted) and the spouses of such descendants, and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w:t>
      </w:r>
    </w:p>
    <w:p>
      <w:pPr>
        <w:spacing w:after="0" w:line="323" w:lineRule="exact"/>
        <w:rPr>
          <w:rFonts w:ascii="Times New Roman" w:cs="Times New Roman" w:eastAsia="Times New Roman" w:hAnsi="Times New Roman"/>
          <w:sz w:val="21"/>
          <w:szCs w:val="21"/>
          <w:color w:val="auto"/>
        </w:rPr>
      </w:pPr>
    </w:p>
    <w:p>
      <w:pPr>
        <w:ind w:left="1260" w:hanging="608"/>
        <w:spacing w:after="0"/>
        <w:tabs>
          <w:tab w:leader="none" w:pos="12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Fiscal Year</w:t>
      </w:r>
      <w:r>
        <w:rPr>
          <w:rFonts w:ascii="Times New Roman" w:cs="Times New Roman" w:eastAsia="Times New Roman" w:hAnsi="Times New Roman"/>
          <w:sz w:val="21"/>
          <w:szCs w:val="21"/>
          <w:color w:val="auto"/>
        </w:rPr>
        <w:t>” shall mean the calendar year.</w:t>
      </w:r>
    </w:p>
    <w:p>
      <w:pPr>
        <w:spacing w:after="0" w:line="188" w:lineRule="exact"/>
        <w:rPr>
          <w:rFonts w:ascii="Times New Roman" w:cs="Times New Roman" w:eastAsia="Times New Roman" w:hAnsi="Times New Roman"/>
          <w:sz w:val="21"/>
          <w:szCs w:val="21"/>
          <w:color w:val="auto"/>
        </w:rPr>
      </w:pPr>
    </w:p>
    <w:p>
      <w:pPr>
        <w:jc w:val="both"/>
        <w:ind w:firstLine="652"/>
        <w:spacing w:after="0" w:line="230" w:lineRule="auto"/>
        <w:tabs>
          <w:tab w:leader="none" w:pos="119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Fully Diluted Basis</w:t>
      </w:r>
      <w:r>
        <w:rPr>
          <w:rFonts w:ascii="Times New Roman" w:cs="Times New Roman" w:eastAsia="Times New Roman" w:hAnsi="Times New Roman"/>
          <w:sz w:val="21"/>
          <w:szCs w:val="21"/>
          <w:color w:val="auto"/>
        </w:rPr>
        <w:t>” shall mean the number of Shares which would be outstanding, as of the date of computation, if all convertible obligations, options, RSUs, warrants and like rights, and other instruments to acquire Shares had been converted or exercised (or, if not then granted and reserved for grant or issuance, all such obligations, options, RSUs, warrants and other instruments which are so reserved for grant or issuance, calculated in accordance with the treasury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7</w:t>
      </w:r>
    </w:p>
    <w:p>
      <w:pPr>
        <w:sectPr>
          <w:pgSz w:w="11900" w:h="16838" w:orient="portrait"/>
          <w:cols w:equalWidth="0" w:num="1">
            <w:col w:w="11240"/>
          </w:cols>
          <w:pgMar w:left="320" w:top="1388" w:right="339" w:bottom="1440" w:gutter="0" w:footer="0" w:header="0"/>
        </w:sectPr>
      </w:pPr>
    </w:p>
    <w:bookmarkStart w:id="134" w:name="page135"/>
    <w:bookmarkEnd w:id="134"/>
    <w:p>
      <w:pPr>
        <w:ind w:left="1340" w:hanging="688"/>
        <w:spacing w:after="0"/>
        <w:tabs>
          <w:tab w:leader="none" w:pos="134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shall mean generally accepted accounting principles applied in the United States.</w:t>
      </w:r>
    </w:p>
    <w:p>
      <w:pPr>
        <w:spacing w:after="0" w:line="188" w:lineRule="exact"/>
        <w:rPr>
          <w:rFonts w:ascii="Times New Roman" w:cs="Times New Roman" w:eastAsia="Times New Roman" w:hAnsi="Times New Roman"/>
          <w:sz w:val="21"/>
          <w:szCs w:val="21"/>
          <w:color w:val="auto"/>
        </w:rPr>
      </w:pPr>
    </w:p>
    <w:p>
      <w:pPr>
        <w:jc w:val="both"/>
        <w:ind w:firstLine="652"/>
        <w:spacing w:after="0" w:line="222" w:lineRule="auto"/>
        <w:tabs>
          <w:tab w:leader="none" w:pos="137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General Floor Amount</w:t>
      </w:r>
      <w:r>
        <w:rPr>
          <w:rFonts w:ascii="Times New Roman" w:cs="Times New Roman" w:eastAsia="Times New Roman" w:hAnsi="Times New Roman"/>
          <w:sz w:val="21"/>
          <w:szCs w:val="21"/>
          <w:color w:val="auto"/>
        </w:rPr>
        <w:t>” shall mean, for each Class F New Member, such number of Class F Preferred Shares and Class G Preferred Shares equal to at least fifty percent (50%) of the originally issued Class F Preferred Shares to such Class F New Member (as adjusted, as necessary, to reflect appropriate and proportional adjustments to take into account any subdivision, reorganization, reclassification, recapitalization, stock split, reverse stock split, combination of shares or similar event), and for each Class G New Member (other than Microsoft), such number of Class G Preferred Shares equal to at least fifty percent (50%) of the originally issued Class G Preferred Shares to such Class G New Member (as adjusted, as necessary, to reflect appropriate and proportional adjustments to take into account any subdivision, reorganization, reclassification, recapitalization, stock split, reverse stock split, combination of shares or similar event).</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53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GM Affiliated Group</w:t>
      </w:r>
      <w:r>
        <w:rPr>
          <w:rFonts w:ascii="Times New Roman" w:cs="Times New Roman" w:eastAsia="Times New Roman" w:hAnsi="Times New Roman"/>
          <w:sz w:val="21"/>
          <w:szCs w:val="21"/>
          <w:color w:val="auto"/>
        </w:rPr>
        <w:t>” shall mean the affiliated group of corporations of which GM Parent is the “common parent,” within the meaning of Section 1504 of the Code.</w:t>
      </w:r>
    </w:p>
    <w:p>
      <w:pPr>
        <w:spacing w:after="0" w:line="131" w:lineRule="exact"/>
        <w:rPr>
          <w:rFonts w:ascii="Times New Roman" w:cs="Times New Roman" w:eastAsia="Times New Roman" w:hAnsi="Times New Roman"/>
          <w:sz w:val="21"/>
          <w:szCs w:val="21"/>
          <w:color w:val="auto"/>
        </w:rPr>
      </w:pPr>
    </w:p>
    <w:p>
      <w:pPr>
        <w:ind w:left="1340" w:hanging="688"/>
        <w:spacing w:after="0"/>
        <w:tabs>
          <w:tab w:leader="none" w:pos="134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GM Business</w:t>
      </w:r>
      <w:r>
        <w:rPr>
          <w:rFonts w:ascii="Times New Roman" w:cs="Times New Roman" w:eastAsia="Times New Roman" w:hAnsi="Times New Roman"/>
          <w:sz w:val="21"/>
          <w:szCs w:val="21"/>
          <w:color w:val="auto"/>
        </w:rPr>
        <w:t>” shall have the meaning given to it in the IPMA.</w:t>
      </w:r>
    </w:p>
    <w:p>
      <w:pPr>
        <w:spacing w:after="0" w:line="188" w:lineRule="exact"/>
        <w:rPr>
          <w:rFonts w:ascii="Times New Roman" w:cs="Times New Roman" w:eastAsia="Times New Roman" w:hAnsi="Times New Roman"/>
          <w:sz w:val="21"/>
          <w:szCs w:val="21"/>
          <w:color w:val="auto"/>
        </w:rPr>
      </w:pPr>
    </w:p>
    <w:p>
      <w:pPr>
        <w:ind w:firstLine="652"/>
        <w:spacing w:after="0" w:line="255" w:lineRule="auto"/>
        <w:tabs>
          <w:tab w:leader="none" w:pos="1447"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GM Consolidated Return</w:t>
      </w:r>
      <w:r>
        <w:rPr>
          <w:rFonts w:ascii="Times New Roman" w:cs="Times New Roman" w:eastAsia="Times New Roman" w:hAnsi="Times New Roman"/>
          <w:sz w:val="21"/>
          <w:szCs w:val="21"/>
          <w:color w:val="auto"/>
        </w:rPr>
        <w:t>” shall mean the consolidated U.S. federal income tax return of GM Parent filed pursuant to Section 1501 of the Code.</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303"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GM Investor</w:t>
      </w:r>
      <w:r>
        <w:rPr>
          <w:rFonts w:ascii="Times New Roman" w:cs="Times New Roman" w:eastAsia="Times New Roman" w:hAnsi="Times New Roman"/>
          <w:sz w:val="21"/>
          <w:szCs w:val="21"/>
          <w:color w:val="auto"/>
        </w:rPr>
        <w:t>” shall mean (i) GM, (ii) to the extent they are Members, any of Affiliate of GM, and (iii) any other Person not an Affiliate of GM to whom GM or any of its Affiliates have transferred Shares and who has been admitted as a Member of the Company.</w:t>
      </w:r>
    </w:p>
    <w:p>
      <w:pPr>
        <w:spacing w:after="0" w:line="148" w:lineRule="exact"/>
        <w:rPr>
          <w:sz w:val="20"/>
          <w:szCs w:val="20"/>
          <w:color w:val="auto"/>
        </w:rPr>
      </w:pPr>
    </w:p>
    <w:p>
      <w:pPr>
        <w:jc w:val="both"/>
        <w:ind w:firstLine="652"/>
        <w:spacing w:after="0" w:line="236" w:lineRule="auto"/>
        <w:tabs>
          <w:tab w:leader="none" w:pos="1412"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GM Parent</w:t>
      </w:r>
      <w:r>
        <w:rPr>
          <w:rFonts w:ascii="Times New Roman" w:cs="Times New Roman" w:eastAsia="Times New Roman" w:hAnsi="Times New Roman"/>
          <w:sz w:val="21"/>
          <w:szCs w:val="21"/>
          <w:color w:val="auto"/>
        </w:rPr>
        <w:t>” shall mean General Motors Company or, if General Motors Company has merged or consolidated into any other Person (or sold all or substantially all of its assets in any one or a series of related to transactions to such other Person), then the parent company of such other Person.</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447"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shall mean any government or governmental or regulatory body thereof, or political subdivision thereof, whether foreign, federal, state, or local or any agency, instrumentality or authority thereof or any court.</w:t>
      </w:r>
    </w:p>
    <w:p>
      <w:pPr>
        <w:spacing w:after="0" w:line="131" w:lineRule="exact"/>
        <w:rPr>
          <w:rFonts w:ascii="Times New Roman" w:cs="Times New Roman" w:eastAsia="Times New Roman" w:hAnsi="Times New Roman"/>
          <w:sz w:val="21"/>
          <w:szCs w:val="21"/>
          <w:color w:val="auto"/>
        </w:rPr>
      </w:pPr>
    </w:p>
    <w:p>
      <w:pPr>
        <w:jc w:val="both"/>
        <w:ind w:firstLine="652"/>
        <w:spacing w:after="0" w:line="230" w:lineRule="auto"/>
        <w:tabs>
          <w:tab w:leader="none" w:pos="146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Honda Call Trigger Date</w:t>
      </w:r>
      <w:r>
        <w:rPr>
          <w:rFonts w:ascii="Times New Roman" w:cs="Times New Roman" w:eastAsia="Times New Roman" w:hAnsi="Times New Roman"/>
          <w:sz w:val="21"/>
          <w:szCs w:val="21"/>
          <w:color w:val="auto"/>
        </w:rPr>
        <w:t>” shall mean the date on which (i) Honda terminates all of the Honda Commercial Agreements, excluding the Marketing and Network Access Fee Agreement, to which the Company is a party or (ii) the Company and/or GM terminate all of the Honda Commercial Agreements, excluding the Marketing and Network Access Fee Agreement, to which the Company is a party pursuant to the terms and conditions thereof due to a breach of such agreements by Honda.</w:t>
      </w:r>
    </w:p>
    <w:p>
      <w:pPr>
        <w:spacing w:after="0" w:line="149" w:lineRule="exact"/>
        <w:rPr>
          <w:rFonts w:ascii="Times New Roman" w:cs="Times New Roman" w:eastAsia="Times New Roman" w:hAnsi="Times New Roman"/>
          <w:sz w:val="21"/>
          <w:szCs w:val="21"/>
          <w:color w:val="auto"/>
        </w:rPr>
      </w:pPr>
    </w:p>
    <w:p>
      <w:pPr>
        <w:jc w:val="both"/>
        <w:ind w:firstLine="652"/>
        <w:spacing w:after="0" w:line="221" w:lineRule="auto"/>
        <w:tabs>
          <w:tab w:leader="none" w:pos="1487"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Honda CFIUS Approval</w:t>
      </w:r>
      <w:r>
        <w:rPr>
          <w:rFonts w:ascii="Times New Roman" w:cs="Times New Roman" w:eastAsia="Times New Roman" w:hAnsi="Times New Roman"/>
          <w:sz w:val="21"/>
          <w:szCs w:val="21"/>
          <w:color w:val="auto"/>
        </w:rPr>
        <w:t>” shall mean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8</w:t>
      </w:r>
    </w:p>
    <w:p>
      <w:pPr>
        <w:sectPr>
          <w:pgSz w:w="11900" w:h="16838" w:orient="portrait"/>
          <w:cols w:equalWidth="0" w:num="1">
            <w:col w:w="11240"/>
          </w:cols>
          <w:pgMar w:left="320" w:top="1384" w:right="339" w:bottom="1440" w:gutter="0" w:footer="0" w:header="0"/>
        </w:sectPr>
      </w:pPr>
    </w:p>
    <w:bookmarkStart w:id="135" w:name="page136"/>
    <w:bookmarkEnd w:id="135"/>
    <w:p>
      <w:pPr>
        <w:jc w:val="both"/>
        <w:spacing w:after="0" w:line="235" w:lineRule="auto"/>
        <w:rPr>
          <w:sz w:val="20"/>
          <w:szCs w:val="20"/>
          <w:color w:val="auto"/>
        </w:rPr>
      </w:pPr>
      <w:r>
        <w:rPr>
          <w:rFonts w:ascii="Times New Roman" w:cs="Times New Roman" w:eastAsia="Times New Roman" w:hAnsi="Times New Roman"/>
          <w:sz w:val="21"/>
          <w:szCs w:val="21"/>
          <w:color w:val="auto"/>
        </w:rPr>
        <w:t>not to take any action to suspend or prohibit the relevant transaction; or (iv) Honda and GM, following consultation with CFIUS, shall have agreed to proceed without filing a formal notice to CFIUS. For the purpose of this definition, “relevant transaction” shall mean the grant to Honda of the rights and obligations granted to its hereunder for which CFIUS Approval is required.</w:t>
      </w:r>
    </w:p>
    <w:p>
      <w:pPr>
        <w:spacing w:after="0" w:line="147" w:lineRule="exact"/>
        <w:rPr>
          <w:sz w:val="20"/>
          <w:szCs w:val="20"/>
          <w:color w:val="auto"/>
        </w:rPr>
      </w:pPr>
    </w:p>
    <w:p>
      <w:pPr>
        <w:jc w:val="both"/>
        <w:ind w:firstLine="652"/>
        <w:spacing w:after="0" w:line="227" w:lineRule="auto"/>
        <w:tabs>
          <w:tab w:leader="none" w:pos="158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Honda Commercial Agreements</w:t>
      </w:r>
      <w:r>
        <w:rPr>
          <w:rFonts w:ascii="Times New Roman" w:cs="Times New Roman" w:eastAsia="Times New Roman" w:hAnsi="Times New Roman"/>
          <w:sz w:val="21"/>
          <w:szCs w:val="21"/>
          <w:color w:val="auto"/>
        </w:rPr>
        <w:t>” shall mean, collectively, (i) that certain Shared Autonomous Vehicle Development Agreement, dated October 3, 2018, by and among the Company, GM, GM Global Technology Operations LLC, Honda and Honda R&amp;D Co, (ii) that certain ZEV Credit Agreement, dated October 3, 2018, by and between General Motors LLC and American Honda Motor Co., Inc., (iii) the Marketing and Network Access Fee Agreement and (iv) any other agreement that the Company and Honda agree will be a Honda Commercial Agreement.</w:t>
      </w:r>
    </w:p>
    <w:p>
      <w:pPr>
        <w:spacing w:after="0" w:line="147" w:lineRule="exact"/>
        <w:rPr>
          <w:rFonts w:ascii="Times New Roman" w:cs="Times New Roman" w:eastAsia="Times New Roman" w:hAnsi="Times New Roman"/>
          <w:sz w:val="21"/>
          <w:szCs w:val="21"/>
          <w:color w:val="auto"/>
        </w:rPr>
      </w:pPr>
    </w:p>
    <w:p>
      <w:pPr>
        <w:jc w:val="both"/>
        <w:ind w:firstLine="652"/>
        <w:spacing w:after="0" w:line="230" w:lineRule="auto"/>
        <w:tabs>
          <w:tab w:leader="none" w:pos="142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Honda Competitively Sensitive Information</w:t>
      </w:r>
      <w:r>
        <w:rPr>
          <w:rFonts w:ascii="Times New Roman" w:cs="Times New Roman" w:eastAsia="Times New Roman" w:hAnsi="Times New Roman"/>
          <w:sz w:val="21"/>
          <w:szCs w:val="21"/>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Honda prior to the execution of the Honda Purchase Agreement).</w:t>
      </w:r>
    </w:p>
    <w:p>
      <w:pPr>
        <w:spacing w:after="0" w:line="149" w:lineRule="exact"/>
        <w:rPr>
          <w:rFonts w:ascii="Times New Roman" w:cs="Times New Roman" w:eastAsia="Times New Roman" w:hAnsi="Times New Roman"/>
          <w:sz w:val="21"/>
          <w:szCs w:val="21"/>
          <w:color w:val="auto"/>
        </w:rPr>
      </w:pPr>
    </w:p>
    <w:p>
      <w:pPr>
        <w:jc w:val="both"/>
        <w:ind w:firstLine="652"/>
        <w:spacing w:after="0" w:line="236" w:lineRule="auto"/>
        <w:tabs>
          <w:tab w:leader="none" w:pos="150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Honda Floor Amount</w:t>
      </w:r>
      <w:r>
        <w:rPr>
          <w:rFonts w:ascii="Times New Roman" w:cs="Times New Roman" w:eastAsia="Times New Roman" w:hAnsi="Times New Roman"/>
          <w:sz w:val="21"/>
          <w:szCs w:val="21"/>
          <w:color w:val="auto"/>
        </w:rPr>
        <w:t>” shall mean 49,500,000 Class E Common Shares (as adjusted, as necessary, to reflect appropriate and proportional adjustments to take into account any subdivision, reorganization, reclassification, recapitalization, stock split, reverse stock split, combination of shares or similar event).</w:t>
      </w:r>
    </w:p>
    <w:p>
      <w:pPr>
        <w:spacing w:after="0" w:line="147" w:lineRule="exact"/>
        <w:rPr>
          <w:rFonts w:ascii="Times New Roman" w:cs="Times New Roman" w:eastAsia="Times New Roman" w:hAnsi="Times New Roman"/>
          <w:sz w:val="21"/>
          <w:szCs w:val="21"/>
          <w:color w:val="auto"/>
        </w:rPr>
      </w:pPr>
    </w:p>
    <w:p>
      <w:pPr>
        <w:jc w:val="both"/>
        <w:ind w:firstLine="652"/>
        <w:spacing w:after="0" w:line="230" w:lineRule="auto"/>
        <w:tabs>
          <w:tab w:leader="none" w:pos="156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Honda Trigger Date</w:t>
      </w:r>
      <w:r>
        <w:rPr>
          <w:rFonts w:ascii="Times New Roman" w:cs="Times New Roman" w:eastAsia="Times New Roman" w:hAnsi="Times New Roman"/>
          <w:sz w:val="21"/>
          <w:szCs w:val="21"/>
          <w:color w:val="auto"/>
        </w:rPr>
        <w:t xml:space="preserve">” shall mean the later of (i) October 3, 2025 and (ii) the termination (or expiration, pursuant to their terms) of all of the Honda Commercial Agreements to which the Company is a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Honda Commercial Agreement was terminated by the Company or GM pursuant to the terms and conditions thereof due to breach by Honda of its obligations thereunder, the Honda Trigger Date will be October 3, 2025.</w:t>
      </w:r>
    </w:p>
    <w:p>
      <w:pPr>
        <w:spacing w:after="0" w:line="149" w:lineRule="exact"/>
        <w:rPr>
          <w:rFonts w:ascii="Times New Roman" w:cs="Times New Roman" w:eastAsia="Times New Roman" w:hAnsi="Times New Roman"/>
          <w:sz w:val="21"/>
          <w:szCs w:val="21"/>
          <w:color w:val="auto"/>
        </w:rPr>
      </w:pPr>
    </w:p>
    <w:p>
      <w:pPr>
        <w:ind w:firstLine="652"/>
        <w:spacing w:after="0" w:line="255" w:lineRule="auto"/>
        <w:tabs>
          <w:tab w:leader="none" w:pos="135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HSR Act</w:t>
      </w:r>
      <w:r>
        <w:rPr>
          <w:rFonts w:ascii="Times New Roman" w:cs="Times New Roman" w:eastAsia="Times New Roman" w:hAnsi="Times New Roman"/>
          <w:sz w:val="21"/>
          <w:szCs w:val="21"/>
          <w:color w:val="auto"/>
        </w:rPr>
        <w:t>” means the Hart-Scott-Rodino Antitrust Improvements Act of 1976, as amended, and the rules and regulations promulgated thereunder.</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282"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Indemnity Agreement</w:t>
      </w:r>
      <w:r>
        <w:rPr>
          <w:rFonts w:ascii="Times New Roman" w:cs="Times New Roman" w:eastAsia="Times New Roman" w:hAnsi="Times New Roman"/>
          <w:sz w:val="21"/>
          <w:szCs w:val="21"/>
          <w:color w:val="auto"/>
        </w:rPr>
        <w:t>” shall mean the Indemnity Agreement entered into between GM and the Company dated the date as of June 28, 2018.</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447"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Independent Director</w:t>
      </w:r>
      <w:r>
        <w:rPr>
          <w:rFonts w:ascii="Times New Roman" w:cs="Times New Roman" w:eastAsia="Times New Roman" w:hAnsi="Times New Roman"/>
          <w:sz w:val="21"/>
          <w:szCs w:val="21"/>
          <w:color w:val="auto"/>
        </w:rPr>
        <w:t>” shall mean a Director who is not an executive officer or employee of the Company and its Subsidiaries or the GM Investor and who has no relationship which would interfere with the exercise of independent judgment in carrying out the responsibilities of a director.</w:t>
      </w:r>
    </w:p>
    <w:p>
      <w:pPr>
        <w:spacing w:after="0" w:line="147" w:lineRule="exact"/>
        <w:rPr>
          <w:rFonts w:ascii="Times New Roman" w:cs="Times New Roman" w:eastAsia="Times New Roman" w:hAnsi="Times New Roman"/>
          <w:sz w:val="21"/>
          <w:szCs w:val="21"/>
          <w:color w:val="auto"/>
        </w:rPr>
      </w:pPr>
    </w:p>
    <w:p>
      <w:pPr>
        <w:jc w:val="both"/>
        <w:ind w:firstLine="652"/>
        <w:spacing w:after="0" w:line="236" w:lineRule="auto"/>
        <w:tabs>
          <w:tab w:leader="none" w:pos="129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Independent Third Party</w:t>
      </w:r>
      <w:r>
        <w:rPr>
          <w:rFonts w:ascii="Times New Roman" w:cs="Times New Roman" w:eastAsia="Times New Roman" w:hAnsi="Times New Roman"/>
          <w:sz w:val="21"/>
          <w:szCs w:val="21"/>
          <w:color w:val="auto"/>
        </w:rPr>
        <w:t>” shall mean any Person who, immediately before the contemplated transaction, (i) is not a Member (ii) is not an Affiliate of any Member, (iii) is not the spouse or descendent (by birth or adoption) or the spouse of a descendant of any Member, and (iv) is not a trust for the benefit of any Member and/or such other Persons.</w:t>
      </w:r>
    </w:p>
    <w:p>
      <w:pPr>
        <w:spacing w:after="0" w:line="147" w:lineRule="exact"/>
        <w:rPr>
          <w:rFonts w:ascii="Times New Roman" w:cs="Times New Roman" w:eastAsia="Times New Roman" w:hAnsi="Times New Roman"/>
          <w:sz w:val="21"/>
          <w:szCs w:val="21"/>
          <w:color w:val="auto"/>
        </w:rPr>
      </w:pPr>
    </w:p>
    <w:p>
      <w:pPr>
        <w:ind w:firstLine="652"/>
        <w:spacing w:after="0" w:line="255" w:lineRule="auto"/>
        <w:tabs>
          <w:tab w:leader="none" w:pos="1699"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IPMA</w:t>
      </w:r>
      <w:r>
        <w:rPr>
          <w:rFonts w:ascii="Times New Roman" w:cs="Times New Roman" w:eastAsia="Times New Roman" w:hAnsi="Times New Roman"/>
          <w:sz w:val="21"/>
          <w:szCs w:val="21"/>
          <w:color w:val="auto"/>
        </w:rPr>
        <w:t>” shall mean the Intellectual Property Matters Agreement entered into between GM and the Company dated June 28, 2018.</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46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IPO</w:t>
      </w:r>
      <w:r>
        <w:rPr>
          <w:rFonts w:ascii="Times New Roman" w:cs="Times New Roman" w:eastAsia="Times New Roman" w:hAnsi="Times New Roman"/>
          <w:sz w:val="21"/>
          <w:szCs w:val="21"/>
          <w:color w:val="auto"/>
        </w:rPr>
        <w:t>” shall mean (i) an initial public offering of the Company’s, or any parent’s or successor entity’s, securities of any class (other than debt securities containing no equity features and not convertible into equity securities) in accordance with the provisions of the Securities Act, other than pursuant to a registration statement on Form S-4 or Form S-8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9</w:t>
      </w:r>
    </w:p>
    <w:p>
      <w:pPr>
        <w:sectPr>
          <w:pgSz w:w="11900" w:h="16838" w:orient="portrait"/>
          <w:cols w:equalWidth="0" w:num="1">
            <w:col w:w="11240"/>
          </w:cols>
          <w:pgMar w:left="320" w:top="1388" w:right="339" w:bottom="1440" w:gutter="0" w:footer="0" w:header="0"/>
        </w:sectPr>
      </w:pPr>
    </w:p>
    <w:bookmarkStart w:id="136" w:name="page137"/>
    <w:bookmarkEnd w:id="136"/>
    <w:p>
      <w:pPr>
        <w:jc w:val="both"/>
        <w:spacing w:after="0" w:line="235" w:lineRule="auto"/>
        <w:rPr>
          <w:sz w:val="20"/>
          <w:szCs w:val="20"/>
          <w:color w:val="auto"/>
        </w:rPr>
      </w:pPr>
      <w:r>
        <w:rPr>
          <w:rFonts w:ascii="Times New Roman" w:cs="Times New Roman" w:eastAsia="Times New Roman" w:hAnsi="Times New Roman"/>
          <w:sz w:val="21"/>
          <w:szCs w:val="21"/>
          <w:color w:val="auto"/>
        </w:rPr>
        <w:t>similar or successor form, (ii) a distribution of IPO Shares to the stockholders of GM’s ultimate parent company pursuant to a Form 10 (or successor form), (iii) the registration of the resale of IPO Shares by certain Members of the Company pursuant to a Form S-1 (or successor form) filed by the Company or (iv) a SPAC Transaction.</w:t>
      </w:r>
    </w:p>
    <w:p>
      <w:pPr>
        <w:spacing w:after="0" w:line="147" w:lineRule="exact"/>
        <w:rPr>
          <w:sz w:val="20"/>
          <w:szCs w:val="20"/>
          <w:color w:val="auto"/>
        </w:rPr>
      </w:pPr>
    </w:p>
    <w:p>
      <w:pPr>
        <w:ind w:firstLine="652"/>
        <w:spacing w:after="0" w:line="255" w:lineRule="auto"/>
        <w:tabs>
          <w:tab w:leader="none" w:pos="158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Liquidity Program Purchase Agreement</w:t>
      </w:r>
      <w:r>
        <w:rPr>
          <w:rFonts w:ascii="Times New Roman" w:cs="Times New Roman" w:eastAsia="Times New Roman" w:hAnsi="Times New Roman"/>
          <w:sz w:val="21"/>
          <w:szCs w:val="21"/>
          <w:color w:val="auto"/>
        </w:rPr>
        <w:t>” shall mean the Liquidity Program Purchase Agreement, dated March 18, 2022, by and between the Company and GM, as amended and/or restated from time to time.</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43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Majority of a Committee</w:t>
      </w:r>
      <w:r>
        <w:rPr>
          <w:rFonts w:ascii="Times New Roman" w:cs="Times New Roman" w:eastAsia="Times New Roman" w:hAnsi="Times New Roman"/>
          <w:sz w:val="21"/>
          <w:szCs w:val="21"/>
          <w:color w:val="auto"/>
        </w:rPr>
        <w:t>” shall mean, with respect to any committee of the Board of Directors, as of any given time, the members of such committee having a majority of the votes of such committee.</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43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Majority of the Board</w:t>
      </w:r>
      <w:r>
        <w:rPr>
          <w:rFonts w:ascii="Times New Roman" w:cs="Times New Roman" w:eastAsia="Times New Roman" w:hAnsi="Times New Roman"/>
          <w:sz w:val="21"/>
          <w:szCs w:val="21"/>
          <w:color w:val="auto"/>
        </w:rPr>
        <w:t>” shall mean as of any given time, the Directors having the right to cast a majority of the votes of the Board of Directors.</w:t>
      </w:r>
    </w:p>
    <w:p>
      <w:pPr>
        <w:spacing w:after="0" w:line="131" w:lineRule="exact"/>
        <w:rPr>
          <w:rFonts w:ascii="Times New Roman" w:cs="Times New Roman" w:eastAsia="Times New Roman" w:hAnsi="Times New Roman"/>
          <w:sz w:val="21"/>
          <w:szCs w:val="21"/>
          <w:color w:val="auto"/>
        </w:rPr>
      </w:pPr>
    </w:p>
    <w:p>
      <w:pPr>
        <w:jc w:val="both"/>
        <w:ind w:firstLine="652"/>
        <w:spacing w:after="0"/>
        <w:tabs>
          <w:tab w:leader="none" w:pos="141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Majority of the Class A-1 Preferred</w:t>
      </w:r>
      <w:r>
        <w:rPr>
          <w:rFonts w:ascii="Times New Roman" w:cs="Times New Roman" w:eastAsia="Times New Roman" w:hAnsi="Times New Roman"/>
          <w:sz w:val="21"/>
          <w:szCs w:val="21"/>
          <w:color w:val="auto"/>
        </w:rPr>
        <w:t>” shall mean, as of any given time, the Class A-1 Preferred Members holding a majority of the then outstanding Class A-1 Preferred Shares. For clarity, a written consent, signed by Class A-1 Preferred Members holding a majority of the then outstanding Class A-1 Preferred Shares, shall constitute a Majority of the Class A-1 Preferred.</w:t>
      </w:r>
    </w:p>
    <w:p>
      <w:pPr>
        <w:spacing w:after="0" w:line="350" w:lineRule="exact"/>
        <w:rPr>
          <w:rFonts w:ascii="Times New Roman" w:cs="Times New Roman" w:eastAsia="Times New Roman" w:hAnsi="Times New Roman"/>
          <w:sz w:val="21"/>
          <w:szCs w:val="21"/>
          <w:color w:val="auto"/>
        </w:rPr>
      </w:pPr>
    </w:p>
    <w:p>
      <w:pPr>
        <w:jc w:val="both"/>
        <w:ind w:firstLine="652"/>
        <w:spacing w:after="0"/>
        <w:tabs>
          <w:tab w:leader="none" w:pos="144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Majority of the Class A-2 Preferred</w:t>
      </w:r>
      <w:r>
        <w:rPr>
          <w:rFonts w:ascii="Times New Roman" w:cs="Times New Roman" w:eastAsia="Times New Roman" w:hAnsi="Times New Roman"/>
          <w:sz w:val="21"/>
          <w:szCs w:val="21"/>
          <w:color w:val="auto"/>
        </w:rPr>
        <w:t>” shall mean, as of any given time, the Class A-2 Preferred Members holding a majority of the then outstanding Class A-2 Preferred Shares. For clarity, a written consent, signed by Class A-2 Preferred Members holding a majority of the then outstanding Class A-2 Preferred Shares, shall constitute a Majority of the Class A-2 Preferred.</w:t>
      </w:r>
    </w:p>
    <w:p>
      <w:pPr>
        <w:spacing w:after="0" w:line="350" w:lineRule="exact"/>
        <w:rPr>
          <w:rFonts w:ascii="Times New Roman" w:cs="Times New Roman" w:eastAsia="Times New Roman" w:hAnsi="Times New Roman"/>
          <w:sz w:val="21"/>
          <w:szCs w:val="21"/>
          <w:color w:val="auto"/>
        </w:rPr>
      </w:pPr>
    </w:p>
    <w:p>
      <w:pPr>
        <w:ind w:firstLine="652"/>
        <w:spacing w:after="0" w:line="255" w:lineRule="auto"/>
        <w:tabs>
          <w:tab w:leader="none" w:pos="1242"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Majority of the Class C Common</w:t>
      </w:r>
      <w:r>
        <w:rPr>
          <w:rFonts w:ascii="Times New Roman" w:cs="Times New Roman" w:eastAsia="Times New Roman" w:hAnsi="Times New Roman"/>
          <w:sz w:val="21"/>
          <w:szCs w:val="21"/>
          <w:color w:val="auto"/>
        </w:rPr>
        <w:t>” shall mean, as of any given time, the Members holding a majority of the then outstanding Class C Common Shares.</w:t>
      </w:r>
    </w:p>
    <w:p>
      <w:pPr>
        <w:spacing w:after="0" w:line="131" w:lineRule="exact"/>
        <w:rPr>
          <w:rFonts w:ascii="Times New Roman" w:cs="Times New Roman" w:eastAsia="Times New Roman" w:hAnsi="Times New Roman"/>
          <w:sz w:val="21"/>
          <w:szCs w:val="21"/>
          <w:color w:val="auto"/>
        </w:rPr>
      </w:pPr>
    </w:p>
    <w:p>
      <w:pPr>
        <w:jc w:val="both"/>
        <w:ind w:firstLine="652"/>
        <w:spacing w:after="0" w:line="236" w:lineRule="auto"/>
        <w:tabs>
          <w:tab w:leader="none" w:pos="1514"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Majority of the Class F Preferred</w:t>
      </w:r>
      <w:r>
        <w:rPr>
          <w:rFonts w:ascii="Times New Roman" w:cs="Times New Roman" w:eastAsia="Times New Roman" w:hAnsi="Times New Roman"/>
          <w:sz w:val="21"/>
          <w:szCs w:val="21"/>
          <w:color w:val="auto"/>
        </w:rPr>
        <w:t>” shall mean, as of any given time, the Members (other than GM and its Affiliates) holding a majority of the then outstanding Class F Preferred Shares (excluding Class F Preferred Shares held by GM and its Affiliates).</w:t>
      </w:r>
    </w:p>
    <w:p>
      <w:pPr>
        <w:spacing w:after="0" w:line="147" w:lineRule="exact"/>
        <w:rPr>
          <w:rFonts w:ascii="Times New Roman" w:cs="Times New Roman" w:eastAsia="Times New Roman" w:hAnsi="Times New Roman"/>
          <w:sz w:val="21"/>
          <w:szCs w:val="21"/>
          <w:color w:val="auto"/>
        </w:rPr>
      </w:pPr>
    </w:p>
    <w:p>
      <w:pPr>
        <w:jc w:val="both"/>
        <w:ind w:firstLine="652"/>
        <w:spacing w:after="0" w:line="236" w:lineRule="auto"/>
        <w:tabs>
          <w:tab w:leader="none" w:pos="150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Majority of the Class G Preferred</w:t>
      </w:r>
      <w:r>
        <w:rPr>
          <w:rFonts w:ascii="Times New Roman" w:cs="Times New Roman" w:eastAsia="Times New Roman" w:hAnsi="Times New Roman"/>
          <w:sz w:val="21"/>
          <w:szCs w:val="21"/>
          <w:color w:val="auto"/>
        </w:rPr>
        <w:t>” shall mean, as of any given time, the Members (other than GM and its Affiliates) holding a majority of the then outstanding Class G Preferred Shares (excluding Class G Preferred Shares held by GM and its Affiliates).</w:t>
      </w:r>
    </w:p>
    <w:p>
      <w:pPr>
        <w:spacing w:after="0" w:line="147" w:lineRule="exact"/>
        <w:rPr>
          <w:rFonts w:ascii="Times New Roman" w:cs="Times New Roman" w:eastAsia="Times New Roman" w:hAnsi="Times New Roman"/>
          <w:sz w:val="21"/>
          <w:szCs w:val="21"/>
          <w:color w:val="auto"/>
        </w:rPr>
      </w:pPr>
    </w:p>
    <w:p>
      <w:pPr>
        <w:jc w:val="both"/>
        <w:ind w:firstLine="652"/>
        <w:spacing w:after="0" w:line="223" w:lineRule="auto"/>
        <w:tabs>
          <w:tab w:leader="none" w:pos="165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Majority of the Common Shares</w:t>
      </w:r>
      <w:r>
        <w:rPr>
          <w:rFonts w:ascii="Times New Roman" w:cs="Times New Roman" w:eastAsia="Times New Roman" w:hAnsi="Times New Roman"/>
          <w:sz w:val="21"/>
          <w:szCs w:val="21"/>
          <w:color w:val="auto"/>
        </w:rPr>
        <w:t xml:space="preserve">” shall mean, as of any given time, the Members holding a majority of the votes of the then outstanding Class G Preferred Shares, Class F Preferred Shares and Common Shares. For clarity, (i) a written consent, signed by Members holding a majority of the votes of the then outstanding Class G Preferred Shares, Class F Preferred Shares and Common Shares shall constitute a Majority of the Common Shares, and (ii) pursuant to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in determining the Majority of the Common Shares each Class B Common Share, Class D Common Share, Class E Common Share, Class H Common Share, Class F Preferred Share, and Class G Preferred Share will carry one (1) vote per Share and each Class C Common Share will carry ten (10) votes per Share.</w:t>
      </w:r>
    </w:p>
    <w:p>
      <w:pPr>
        <w:spacing w:after="0" w:line="149" w:lineRule="exact"/>
        <w:rPr>
          <w:rFonts w:ascii="Times New Roman" w:cs="Times New Roman" w:eastAsia="Times New Roman" w:hAnsi="Times New Roman"/>
          <w:sz w:val="21"/>
          <w:szCs w:val="21"/>
          <w:color w:val="auto"/>
        </w:rPr>
      </w:pPr>
    </w:p>
    <w:p>
      <w:pPr>
        <w:ind w:firstLine="652"/>
        <w:spacing w:after="0" w:line="255" w:lineRule="auto"/>
        <w:tabs>
          <w:tab w:leader="none" w:pos="1474"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Majority of the Members</w:t>
      </w:r>
      <w:r>
        <w:rPr>
          <w:rFonts w:ascii="Times New Roman" w:cs="Times New Roman" w:eastAsia="Times New Roman" w:hAnsi="Times New Roman"/>
          <w:sz w:val="21"/>
          <w:szCs w:val="21"/>
          <w:color w:val="auto"/>
        </w:rPr>
        <w:t xml:space="preserve">” shall mean, as of any given time, the Members holding the majority of the voting rights with respect to then outstanding Shares, as such voting rights are allocated pursuant to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10</w:t>
      </w:r>
    </w:p>
    <w:p>
      <w:pPr>
        <w:sectPr>
          <w:pgSz w:w="11900" w:h="16838" w:orient="portrait"/>
          <w:cols w:equalWidth="0" w:num="1">
            <w:col w:w="11240"/>
          </w:cols>
          <w:pgMar w:left="320" w:top="1388" w:right="339" w:bottom="1440" w:gutter="0" w:footer="0" w:header="0"/>
        </w:sectPr>
      </w:pPr>
    </w:p>
    <w:bookmarkStart w:id="137" w:name="page138"/>
    <w:bookmarkEnd w:id="137"/>
    <w:p>
      <w:pPr>
        <w:ind w:right="20" w:firstLine="652"/>
        <w:spacing w:after="0" w:line="255" w:lineRule="auto"/>
        <w:tabs>
          <w:tab w:leader="none" w:pos="146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Marketing and Network Access Fee Agreement</w:t>
      </w:r>
      <w:r>
        <w:rPr>
          <w:rFonts w:ascii="Times New Roman" w:cs="Times New Roman" w:eastAsia="Times New Roman" w:hAnsi="Times New Roman"/>
          <w:sz w:val="21"/>
          <w:szCs w:val="21"/>
          <w:color w:val="auto"/>
        </w:rPr>
        <w:t>” shall mean that certain Marketing and Network Access Fee Agreement, dated October 3, 2018, by and between the Company and Honda.</w:t>
      </w:r>
    </w:p>
    <w:p>
      <w:pPr>
        <w:spacing w:after="0" w:line="131" w:lineRule="exact"/>
        <w:rPr>
          <w:rFonts w:ascii="Times New Roman" w:cs="Times New Roman" w:eastAsia="Times New Roman" w:hAnsi="Times New Roman"/>
          <w:sz w:val="21"/>
          <w:szCs w:val="21"/>
          <w:color w:val="auto"/>
        </w:rPr>
      </w:pPr>
    </w:p>
    <w:p>
      <w:pPr>
        <w:ind w:firstLine="652"/>
        <w:spacing w:after="0" w:line="255" w:lineRule="auto"/>
        <w:tabs>
          <w:tab w:leader="none" w:pos="1398"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Non-Public Information</w:t>
      </w:r>
      <w:r>
        <w:rPr>
          <w:rFonts w:ascii="Times New Roman" w:cs="Times New Roman" w:eastAsia="Times New Roman" w:hAnsi="Times New Roman"/>
          <w:sz w:val="21"/>
          <w:szCs w:val="21"/>
          <w:color w:val="auto"/>
        </w:rPr>
        <w:t>” shall mean any material non-public information (as the same relates to GM Parent), as determined in the discretion of the Company or GM Parent (each acting reasonably and in good faith).</w:t>
      </w:r>
    </w:p>
    <w:p>
      <w:pPr>
        <w:spacing w:after="0" w:line="132" w:lineRule="exact"/>
        <w:rPr>
          <w:sz w:val="20"/>
          <w:szCs w:val="20"/>
          <w:color w:val="auto"/>
        </w:rPr>
      </w:pPr>
    </w:p>
    <w:p>
      <w:pPr>
        <w:jc w:val="both"/>
        <w:ind w:firstLine="652"/>
        <w:spacing w:after="0"/>
        <w:tabs>
          <w:tab w:leader="none" w:pos="1628"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Member</w:t>
      </w:r>
      <w:r>
        <w:rPr>
          <w:rFonts w:ascii="Times New Roman" w:cs="Times New Roman" w:eastAsia="Times New Roman" w:hAnsi="Times New Roman"/>
          <w:sz w:val="21"/>
          <w:szCs w:val="21"/>
          <w:color w:val="auto"/>
        </w:rPr>
        <w:t>” shall mean the GM Investor, SoftBank, Honda, the Class F New Members, the Class G New Members, and any other Person that is a Member as of the date hereof and each other Person admitted as a Substituted Member or Additional Member in accordance with this Agreement, but in each case only so long as such Person continually holds any Shares.</w:t>
      </w:r>
    </w:p>
    <w:p>
      <w:pPr>
        <w:spacing w:after="0" w:line="350" w:lineRule="exact"/>
        <w:rPr>
          <w:rFonts w:ascii="Times New Roman" w:cs="Times New Roman" w:eastAsia="Times New Roman" w:hAnsi="Times New Roman"/>
          <w:sz w:val="21"/>
          <w:szCs w:val="21"/>
          <w:color w:val="auto"/>
        </w:rPr>
      </w:pPr>
    </w:p>
    <w:p>
      <w:pPr>
        <w:ind w:right="20" w:firstLine="652"/>
        <w:spacing w:after="0" w:line="255" w:lineRule="auto"/>
        <w:tabs>
          <w:tab w:leader="none" w:pos="1554"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Microsoft Commercial Agreement</w:t>
      </w:r>
      <w:r>
        <w:rPr>
          <w:rFonts w:ascii="Times New Roman" w:cs="Times New Roman" w:eastAsia="Times New Roman" w:hAnsi="Times New Roman"/>
          <w:sz w:val="21"/>
          <w:szCs w:val="21"/>
          <w:color w:val="auto"/>
        </w:rPr>
        <w:t>” shall mean that certain Three-Party Letter Agreement, dated on or about January 18, 2021, by and among Cruise LLC, Microsoft, and General Motors LLC.</w:t>
      </w:r>
    </w:p>
    <w:p>
      <w:pPr>
        <w:spacing w:after="0" w:line="131" w:lineRule="exact"/>
        <w:rPr>
          <w:rFonts w:ascii="Times New Roman" w:cs="Times New Roman" w:eastAsia="Times New Roman" w:hAnsi="Times New Roman"/>
          <w:sz w:val="21"/>
          <w:szCs w:val="21"/>
          <w:color w:val="auto"/>
        </w:rPr>
      </w:pPr>
    </w:p>
    <w:p>
      <w:pPr>
        <w:jc w:val="both"/>
        <w:ind w:firstLine="652"/>
        <w:spacing w:after="0" w:line="230" w:lineRule="auto"/>
        <w:tabs>
          <w:tab w:leader="none" w:pos="1521"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Microsoft Competitively Sensitive Information</w:t>
      </w:r>
      <w:r>
        <w:rPr>
          <w:rFonts w:ascii="Times New Roman" w:cs="Times New Roman" w:eastAsia="Times New Roman" w:hAnsi="Times New Roman"/>
          <w:sz w:val="21"/>
          <w:szCs w:val="21"/>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Microsoft prior to the execution of the Class G Purchase Agreement).</w:t>
      </w:r>
    </w:p>
    <w:p>
      <w:pPr>
        <w:spacing w:after="0" w:line="149" w:lineRule="exact"/>
        <w:rPr>
          <w:rFonts w:ascii="Times New Roman" w:cs="Times New Roman" w:eastAsia="Times New Roman" w:hAnsi="Times New Roman"/>
          <w:sz w:val="21"/>
          <w:szCs w:val="21"/>
          <w:color w:val="auto"/>
        </w:rPr>
      </w:pPr>
    </w:p>
    <w:p>
      <w:pPr>
        <w:jc w:val="both"/>
        <w:ind w:firstLine="652"/>
        <w:spacing w:after="0" w:line="236" w:lineRule="auto"/>
        <w:tabs>
          <w:tab w:leader="none" w:pos="1648"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Microsoft Floor Amount</w:t>
      </w:r>
      <w:r>
        <w:rPr>
          <w:rFonts w:ascii="Times New Roman" w:cs="Times New Roman" w:eastAsia="Times New Roman" w:hAnsi="Times New Roman"/>
          <w:sz w:val="21"/>
          <w:szCs w:val="21"/>
          <w:color w:val="auto"/>
        </w:rPr>
        <w:t>” shall mean 30,360,500 Class G Preferred Shares (as adjusted, as necessary, to reflect appropriate and proportional adjustments to take into account any subdivision, reorganization, reclassification, recapitalization, stock split, reverse stock split, combination of shares or similar event).</w:t>
      </w:r>
    </w:p>
    <w:p>
      <w:pPr>
        <w:spacing w:after="0" w:line="147" w:lineRule="exact"/>
        <w:rPr>
          <w:rFonts w:ascii="Times New Roman" w:cs="Times New Roman" w:eastAsia="Times New Roman" w:hAnsi="Times New Roman"/>
          <w:sz w:val="21"/>
          <w:szCs w:val="21"/>
          <w:color w:val="auto"/>
        </w:rPr>
      </w:pPr>
    </w:p>
    <w:p>
      <w:pPr>
        <w:jc w:val="both"/>
        <w:ind w:firstLine="652"/>
        <w:spacing w:after="0" w:line="236" w:lineRule="auto"/>
        <w:tabs>
          <w:tab w:leader="none" w:pos="1588"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Non-A-1 Interests</w:t>
      </w:r>
      <w:r>
        <w:rPr>
          <w:rFonts w:ascii="Times New Roman" w:cs="Times New Roman" w:eastAsia="Times New Roman" w:hAnsi="Times New Roman"/>
          <w:sz w:val="21"/>
          <w:szCs w:val="21"/>
          <w:color w:val="auto"/>
        </w:rPr>
        <w:t>” shall mean the Class A-2 Preferred Shares, the Class B Common Shares, the Class C Common Shares, the Class D Common Shares, the Class E Common Shares, Class H Common Shares, the Class F Preferred Shares, the Class G Preferred Shares, and any other Equity Securities designated as Non-A-1 Interests by the Board of Directors.</w:t>
      </w:r>
    </w:p>
    <w:p>
      <w:pPr>
        <w:spacing w:after="0" w:line="147" w:lineRule="exact"/>
        <w:rPr>
          <w:rFonts w:ascii="Times New Roman" w:cs="Times New Roman" w:eastAsia="Times New Roman" w:hAnsi="Times New Roman"/>
          <w:sz w:val="21"/>
          <w:szCs w:val="21"/>
          <w:color w:val="auto"/>
        </w:rPr>
      </w:pPr>
    </w:p>
    <w:p>
      <w:pPr>
        <w:jc w:val="both"/>
        <w:ind w:firstLine="652"/>
        <w:spacing w:after="0" w:line="236" w:lineRule="auto"/>
        <w:tabs>
          <w:tab w:leader="none" w:pos="1359"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Non-A-1 Members</w:t>
      </w:r>
      <w:r>
        <w:rPr>
          <w:rFonts w:ascii="Times New Roman" w:cs="Times New Roman" w:eastAsia="Times New Roman" w:hAnsi="Times New Roman"/>
          <w:sz w:val="21"/>
          <w:szCs w:val="21"/>
          <w:color w:val="auto"/>
        </w:rPr>
        <w:t>” shall mean the Class A-2 Preferred Members, the Class B Members, the Class C Members, the Class D Members, the Class E Members, the Class H Members, the Class F Preferred Members, Class G Preferred Members, and any other Members designated as Non-A-1 Members by the Board of Directors.</w:t>
      </w:r>
    </w:p>
    <w:p>
      <w:pPr>
        <w:spacing w:after="0" w:line="147" w:lineRule="exact"/>
        <w:rPr>
          <w:rFonts w:ascii="Times New Roman" w:cs="Times New Roman" w:eastAsia="Times New Roman" w:hAnsi="Times New Roman"/>
          <w:sz w:val="21"/>
          <w:szCs w:val="21"/>
          <w:color w:val="auto"/>
        </w:rPr>
      </w:pPr>
    </w:p>
    <w:p>
      <w:pPr>
        <w:jc w:val="both"/>
        <w:ind w:firstLine="652"/>
        <w:spacing w:after="0" w:line="236" w:lineRule="auto"/>
        <w:tabs>
          <w:tab w:leader="none" w:pos="1541"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Non-EIP Class B Common Shares</w:t>
      </w:r>
      <w:r>
        <w:rPr>
          <w:rFonts w:ascii="Times New Roman" w:cs="Times New Roman" w:eastAsia="Times New Roman" w:hAnsi="Times New Roman"/>
          <w:sz w:val="21"/>
          <w:szCs w:val="21"/>
          <w:color w:val="auto"/>
        </w:rPr>
        <w:t>” shall mean all Class B Common Shares, other than EIP Class B Common Shares. Each EIP Class B Common Share shall become a Non-EIP Class B Common Share upon being transferred to the applicable purchaser pursuant a Tender Offer.</w:t>
      </w:r>
    </w:p>
    <w:p>
      <w:pPr>
        <w:spacing w:after="0" w:line="147" w:lineRule="exact"/>
        <w:rPr>
          <w:rFonts w:ascii="Times New Roman" w:cs="Times New Roman" w:eastAsia="Times New Roman" w:hAnsi="Times New Roman"/>
          <w:sz w:val="21"/>
          <w:szCs w:val="21"/>
          <w:color w:val="auto"/>
        </w:rPr>
      </w:pPr>
    </w:p>
    <w:p>
      <w:pPr>
        <w:ind w:right="20" w:firstLine="652"/>
        <w:spacing w:after="0" w:line="255" w:lineRule="auto"/>
        <w:tabs>
          <w:tab w:leader="none" w:pos="1554"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Non-EIP Class B Transfer Trigger Date</w:t>
      </w:r>
      <w:r>
        <w:rPr>
          <w:rFonts w:ascii="Times New Roman" w:cs="Times New Roman" w:eastAsia="Times New Roman" w:hAnsi="Times New Roman"/>
          <w:sz w:val="21"/>
          <w:szCs w:val="21"/>
          <w:color w:val="auto"/>
        </w:rPr>
        <w:t>” shall mean, with respect to a particular Non-EIP Class B Common Share, the ten (10) year anniversary of the date that such Non-EIP Class B Common Share was issued.</w:t>
      </w:r>
    </w:p>
    <w:p>
      <w:pPr>
        <w:spacing w:after="0" w:line="131" w:lineRule="exact"/>
        <w:rPr>
          <w:rFonts w:ascii="Times New Roman" w:cs="Times New Roman" w:eastAsia="Times New Roman" w:hAnsi="Times New Roman"/>
          <w:sz w:val="21"/>
          <w:szCs w:val="21"/>
          <w:color w:val="auto"/>
        </w:rPr>
      </w:pPr>
    </w:p>
    <w:p>
      <w:pPr>
        <w:ind w:right="20" w:firstLine="652"/>
        <w:spacing w:after="0" w:line="255" w:lineRule="auto"/>
        <w:tabs>
          <w:tab w:leader="none" w:pos="1329"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NSA</w:t>
      </w:r>
      <w:r>
        <w:rPr>
          <w:rFonts w:ascii="Times New Roman" w:cs="Times New Roman" w:eastAsia="Times New Roman" w:hAnsi="Times New Roman"/>
          <w:sz w:val="21"/>
          <w:szCs w:val="21"/>
          <w:color w:val="auto"/>
        </w:rPr>
        <w:t>” shall mean the National Security Agreement entered into by and among GM, SoftBank, the Company, the U.S. Department of Defense, and the U.S. Department of Treasury, dated July 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11</w:t>
      </w:r>
    </w:p>
    <w:p>
      <w:pPr>
        <w:sectPr>
          <w:pgSz w:w="11900" w:h="16838" w:orient="portrait"/>
          <w:cols w:equalWidth="0" w:num="1">
            <w:col w:w="11240"/>
          </w:cols>
          <w:pgMar w:left="320" w:top="1384" w:right="339" w:bottom="1440" w:gutter="0" w:footer="0" w:header="0"/>
        </w:sectPr>
      </w:pPr>
    </w:p>
    <w:bookmarkStart w:id="138" w:name="page139"/>
    <w:bookmarkEnd w:id="138"/>
    <w:p>
      <w:pPr>
        <w:jc w:val="both"/>
        <w:ind w:firstLine="652"/>
        <w:spacing w:after="0" w:line="227" w:lineRule="auto"/>
        <w:tabs>
          <w:tab w:leader="none" w:pos="1409"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OEM Acquisition</w:t>
      </w:r>
      <w:r>
        <w:rPr>
          <w:rFonts w:ascii="Times New Roman" w:cs="Times New Roman" w:eastAsia="Times New Roman" w:hAnsi="Times New Roman"/>
          <w:sz w:val="21"/>
          <w:szCs w:val="21"/>
          <w:color w:val="auto"/>
        </w:rPr>
        <w:t>” shall mean (i) the GM Investor, together with its Subsidiaries, becoming the “beneficial owner” (as defined in Rule 13d-3 under the Exchange Act), directly or indirectly, of more than fifty percent (50%) of the outstanding voting securities of an automotive OEM having the right to vote for the election of members of the board of directors (or equivalent body) of the automotive OEM or (ii) a sale, lease or other disposition to the GM Investor and its Subsidiaries (collectively) of all or substantially all of the assets of an automotive OEM.</w:t>
      </w:r>
    </w:p>
    <w:p>
      <w:pPr>
        <w:spacing w:after="0" w:line="147" w:lineRule="exact"/>
        <w:rPr>
          <w:rFonts w:ascii="Times New Roman" w:cs="Times New Roman" w:eastAsia="Times New Roman" w:hAnsi="Times New Roman"/>
          <w:sz w:val="21"/>
          <w:szCs w:val="21"/>
          <w:color w:val="auto"/>
        </w:rPr>
      </w:pPr>
    </w:p>
    <w:p>
      <w:pPr>
        <w:ind w:left="1660" w:hanging="1008"/>
        <w:spacing w:after="0"/>
        <w:tabs>
          <w:tab w:leader="none" w:pos="1660"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OEM Investment</w:t>
      </w:r>
      <w:r>
        <w:rPr>
          <w:rFonts w:ascii="Times New Roman" w:cs="Times New Roman" w:eastAsia="Times New Roman" w:hAnsi="Times New Roman"/>
          <w:sz w:val="21"/>
          <w:szCs w:val="21"/>
          <w:color w:val="auto"/>
        </w:rPr>
        <w:t>” shall mean the acquisition of a material percentage of the outstanding Shares by any</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automotive OEM.</w:t>
      </w:r>
    </w:p>
    <w:p>
      <w:pPr>
        <w:spacing w:after="0" w:line="160" w:lineRule="exact"/>
        <w:rPr>
          <w:rFonts w:ascii="Times New Roman" w:cs="Times New Roman" w:eastAsia="Times New Roman" w:hAnsi="Times New Roman"/>
          <w:sz w:val="21"/>
          <w:szCs w:val="21"/>
          <w:color w:val="auto"/>
        </w:rPr>
      </w:pPr>
    </w:p>
    <w:p>
      <w:pPr>
        <w:jc w:val="both"/>
        <w:ind w:firstLine="652"/>
        <w:spacing w:after="0" w:line="230" w:lineRule="auto"/>
        <w:tabs>
          <w:tab w:leader="none" w:pos="1329"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OEM Restricted Investment</w:t>
      </w:r>
      <w:r>
        <w:rPr>
          <w:rFonts w:ascii="Times New Roman" w:cs="Times New Roman" w:eastAsia="Times New Roman" w:hAnsi="Times New Roman"/>
          <w:sz w:val="21"/>
          <w:szCs w:val="21"/>
          <w:color w:val="auto"/>
        </w:rPr>
        <w:t>” shall mean the acquisition of a number of Shares of the Company greater than or equal to the lesser of (i) Honda’s fully diluted ownership, as of the date of the signing of the definitive agreement for such acquisition, and (ii) 5% of the Shares of the Company (on a Fully Diluted Basis), in each case by any automotive OEM previously identified to Honda prior to the execution of the Honda Purchase Agreement.</w:t>
      </w:r>
    </w:p>
    <w:p>
      <w:pPr>
        <w:spacing w:after="0" w:line="149" w:lineRule="exact"/>
        <w:rPr>
          <w:rFonts w:ascii="Times New Roman" w:cs="Times New Roman" w:eastAsia="Times New Roman" w:hAnsi="Times New Roman"/>
          <w:sz w:val="21"/>
          <w:szCs w:val="21"/>
          <w:color w:val="auto"/>
        </w:rPr>
      </w:pPr>
    </w:p>
    <w:p>
      <w:pPr>
        <w:ind w:right="20" w:firstLine="652"/>
        <w:spacing w:after="0" w:line="255" w:lineRule="auto"/>
        <w:tabs>
          <w:tab w:leader="none" w:pos="1840"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Optional SoftBank Conversion Share Price</w:t>
      </w:r>
      <w:r>
        <w:rPr>
          <w:rFonts w:ascii="Times New Roman" w:cs="Times New Roman" w:eastAsia="Times New Roman" w:hAnsi="Times New Roman"/>
          <w:sz w:val="21"/>
          <w:szCs w:val="21"/>
          <w:color w:val="auto"/>
        </w:rPr>
        <w:t>” shall mean the value, per Class A-1 Preferred Share or Class D Common Share (as applicable), calculated as follows:</w:t>
      </w:r>
    </w:p>
    <w:p>
      <w:pPr>
        <w:spacing w:after="0" w:line="135" w:lineRule="exact"/>
        <w:rPr>
          <w:rFonts w:ascii="Times New Roman" w:cs="Times New Roman" w:eastAsia="Times New Roman" w:hAnsi="Times New Roman"/>
          <w:sz w:val="21"/>
          <w:szCs w:val="21"/>
          <w:color w:val="auto"/>
        </w:rPr>
      </w:pPr>
    </w:p>
    <w:p>
      <w:pPr>
        <w:jc w:val="both"/>
        <w:ind w:firstLine="1426"/>
        <w:spacing w:after="0" w:line="222" w:lineRule="auto"/>
        <w:tabs>
          <w:tab w:leader="none" w:pos="1837" w:val="left"/>
        </w:tabs>
        <w:numPr>
          <w:ilvl w:val="2"/>
          <w:numId w:val="1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all Non-A-1 Interests shall be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(collectively the number of Class D Common Shares resulting from the deemed conversion, the “</w:t>
      </w:r>
      <w:r>
        <w:rPr>
          <w:rFonts w:ascii="Times New Roman" w:cs="Times New Roman" w:eastAsia="Times New Roman" w:hAnsi="Times New Roman"/>
          <w:sz w:val="21"/>
          <w:szCs w:val="21"/>
          <w:b w:val="1"/>
          <w:bCs w:val="1"/>
          <w:color w:val="auto"/>
        </w:rPr>
        <w:t>Total Optional Conversion Shares</w:t>
      </w:r>
      <w:r>
        <w:rPr>
          <w:rFonts w:ascii="Times New Roman" w:cs="Times New Roman" w:eastAsia="Times New Roman" w:hAnsi="Times New Roman"/>
          <w:sz w:val="21"/>
          <w:szCs w:val="21"/>
          <w:color w:val="auto"/>
        </w:rPr>
        <w:t>”). For clarity, such “deemed” conversion pursuant to this definition shall solely be for the purposes of calculating the Optional SoftBank Conversion Share Price, and no actual conversion shall occur pursuant to this definition.</w:t>
      </w:r>
    </w:p>
    <w:p>
      <w:pPr>
        <w:spacing w:after="0" w:line="156" w:lineRule="exact"/>
        <w:rPr>
          <w:rFonts w:ascii="Times New Roman" w:cs="Times New Roman" w:eastAsia="Times New Roman" w:hAnsi="Times New Roman"/>
          <w:sz w:val="21"/>
          <w:szCs w:val="21"/>
          <w:color w:val="010000"/>
        </w:rPr>
      </w:pPr>
    </w:p>
    <w:p>
      <w:pPr>
        <w:jc w:val="both"/>
        <w:ind w:firstLine="1426"/>
        <w:spacing w:after="0" w:line="219" w:lineRule="auto"/>
        <w:tabs>
          <w:tab w:leader="none" w:pos="1910" w:val="left"/>
        </w:tabs>
        <w:numPr>
          <w:ilvl w:val="2"/>
          <w:numId w:val="1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the Optional SoftBank Conversion Share Price shall be: (A) for each Class A-1-A Preferred Share, the Call Notice/Optional SoftBank Conversion Notice Fair Market Value,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a fraction (1) the numerator of which is the number of Class D Common Shares into which each Class A-1-A Preferred Share of such Class A-1 Preferred Member was deemed converted pursuant to subsection (i) above, and (2) the denominator of which is the Total Optional Conversion Shares;</w:t>
      </w:r>
    </w:p>
    <w:p>
      <w:pPr>
        <w:spacing w:after="0" w:line="2" w:lineRule="exact"/>
        <w:rPr>
          <w:rFonts w:ascii="Times New Roman" w:cs="Times New Roman" w:eastAsia="Times New Roman" w:hAnsi="Times New Roman"/>
          <w:sz w:val="21"/>
          <w:szCs w:val="21"/>
          <w:color w:val="010000"/>
        </w:rPr>
      </w:pPr>
    </w:p>
    <w:p>
      <w:pPr>
        <w:jc w:val="both"/>
        <w:ind w:firstLine="7"/>
        <w:spacing w:after="0" w:line="220" w:lineRule="auto"/>
        <w:tabs>
          <w:tab w:leader="none" w:pos="343"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each Class A-1-B Preferred Share, the Call Notice/Optional SoftBank Conversion Notice Fair Market Value,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a fraction (1) the numerator of which is the number of Class D Common Shares into which each Class A-1-B Preferred Share of such Class A-1 Preferred Member was deemed converted pursuant to subsection (i) above, and (2) the denominator of which is the Total Optional Conversion Shares; and (C) for each Class D Common Share, the Call Notice/Optional SoftBank Conversion Notice Fair Market Value multiplied by a fraction (1) the numerator of which is such number of Class D Common Shares and (2) the denominator of which is the Total Optional Conversion Shares.</w:t>
      </w:r>
    </w:p>
    <w:p>
      <w:pPr>
        <w:spacing w:after="0" w:line="148" w:lineRule="exact"/>
        <w:rPr>
          <w:rFonts w:ascii="Times New Roman" w:cs="Times New Roman" w:eastAsia="Times New Roman" w:hAnsi="Times New Roman"/>
          <w:sz w:val="21"/>
          <w:szCs w:val="21"/>
          <w:color w:val="auto"/>
        </w:rPr>
      </w:pPr>
    </w:p>
    <w:p>
      <w:pPr>
        <w:ind w:firstLine="652"/>
        <w:spacing w:after="0" w:line="255" w:lineRule="auto"/>
        <w:tabs>
          <w:tab w:leader="none" w:pos="1568"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Party</w:t>
      </w:r>
      <w:r>
        <w:rPr>
          <w:rFonts w:ascii="Times New Roman" w:cs="Times New Roman" w:eastAsia="Times New Roman" w:hAnsi="Times New Roman"/>
          <w:sz w:val="21"/>
          <w:szCs w:val="21"/>
          <w:color w:val="auto"/>
        </w:rPr>
        <w:t>” shall mean (i) with respect to the Company or any of its Subsidiaries, the GM Investor and (ii) with respect to the GM Investor, the Company.</w:t>
      </w:r>
    </w:p>
    <w:p>
      <w:pPr>
        <w:spacing w:after="0" w:line="131" w:lineRule="exact"/>
        <w:rPr>
          <w:rFonts w:ascii="Times New Roman" w:cs="Times New Roman" w:eastAsia="Times New Roman" w:hAnsi="Times New Roman"/>
          <w:sz w:val="21"/>
          <w:szCs w:val="21"/>
          <w:color w:val="auto"/>
        </w:rPr>
      </w:pPr>
    </w:p>
    <w:p>
      <w:pPr>
        <w:jc w:val="both"/>
        <w:ind w:firstLine="652"/>
        <w:spacing w:after="0" w:line="227" w:lineRule="auto"/>
        <w:tabs>
          <w:tab w:leader="none" w:pos="1594"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 Class A-1 Preferred Share FMV</w:t>
      </w:r>
      <w:r>
        <w:rPr>
          <w:rFonts w:ascii="Times New Roman" w:cs="Times New Roman" w:eastAsia="Times New Roman" w:hAnsi="Times New Roman"/>
          <w:sz w:val="21"/>
          <w:szCs w:val="21"/>
          <w:color w:val="auto"/>
        </w:rPr>
        <w:t xml:space="preserve">” shall mean the Standardized FMV (as defined in, and determined in accordance with, </w:t>
      </w:r>
      <w:r>
        <w:rPr>
          <w:rFonts w:ascii="Times New Roman" w:cs="Times New Roman" w:eastAsia="Times New Roman" w:hAnsi="Times New Roman"/>
          <w:sz w:val="21"/>
          <w:szCs w:val="21"/>
          <w:b w:val="1"/>
          <w:bCs w:val="1"/>
          <w:u w:val="single" w:color="auto"/>
          <w:color w:val="010000"/>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the total outstanding Shares as of the time of the determination of the Call Notice/Optional SoftBank Conversion Notice Fair Market Value as if each Share (on a Fully Diluted Basis) was converted into a Class D Common Share (with Non-A-1 Interests being converted on a 1:1 basis (as adjusted, as necessary, to reflect appropriate and proportional adjustments to take into account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12</w:t>
      </w:r>
    </w:p>
    <w:p>
      <w:pPr>
        <w:sectPr>
          <w:pgSz w:w="11900" w:h="16838" w:orient="portrait"/>
          <w:cols w:equalWidth="0" w:num="1">
            <w:col w:w="11240"/>
          </w:cols>
          <w:pgMar w:left="320" w:top="1384" w:right="339" w:bottom="1440" w:gutter="0" w:footer="0" w:header="0"/>
        </w:sectPr>
      </w:pPr>
    </w:p>
    <w:bookmarkStart w:id="139" w:name="page140"/>
    <w:bookmarkEnd w:id="139"/>
    <w:p>
      <w:pPr>
        <w:spacing w:after="0" w:line="251" w:lineRule="auto"/>
        <w:rPr>
          <w:sz w:val="20"/>
          <w:szCs w:val="20"/>
          <w:color w:val="auto"/>
        </w:rPr>
      </w:pPr>
      <w:r>
        <w:rPr>
          <w:rFonts w:ascii="Times New Roman" w:cs="Times New Roman" w:eastAsia="Times New Roman" w:hAnsi="Times New Roman"/>
          <w:sz w:val="21"/>
          <w:szCs w:val="21"/>
          <w:color w:val="auto"/>
        </w:rPr>
        <w:t xml:space="preserve">subdivision, reorganization, reclassification, recapitalization, stock split, reverse stock split, combination of shares or similar event) and Class A-1 Preferred Shares being converted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ind w:firstLine="652"/>
        <w:spacing w:after="0" w:line="225" w:lineRule="auto"/>
        <w:tabs>
          <w:tab w:leader="none" w:pos="1635"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 Class E FMV</w:t>
      </w:r>
      <w:r>
        <w:rPr>
          <w:rFonts w:ascii="Times New Roman" w:cs="Times New Roman" w:eastAsia="Times New Roman" w:hAnsi="Times New Roman"/>
          <w:sz w:val="21"/>
          <w:szCs w:val="21"/>
          <w:color w:val="auto"/>
        </w:rPr>
        <w:t xml:space="preserve">” shall mean the Standardized FMV (as defined in, and determined in accordance with, </w:t>
      </w:r>
      <w:r>
        <w:rPr>
          <w:rFonts w:ascii="Times New Roman" w:cs="Times New Roman" w:eastAsia="Times New Roman" w:hAnsi="Times New Roman"/>
          <w:sz w:val="21"/>
          <w:szCs w:val="21"/>
          <w:b w:val="1"/>
          <w:bCs w:val="1"/>
          <w:u w:val="single" w:color="auto"/>
          <w:color w:val="010000"/>
        </w:rPr>
        <w:t>Exhibit</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b w:val="1"/>
          <w:bCs w:val="1"/>
          <w:u w:val="single" w:color="auto"/>
          <w:color w:val="000000"/>
        </w:rPr>
        <w:t>II</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u w:val="single" w:color="auto"/>
          <w:color w:val="000000"/>
        </w:rPr>
        <w:t>divided by</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the total outstanding Shares as of the time of the determination of the Call Notice/Optional SoftBank</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 xml:space="preserve">Conversion Notice Fair Market Value as if each Share (on a Fully Diluted Basis)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w:t>
      </w:r>
      <w:r>
        <w:rPr>
          <w:rFonts w:ascii="Times New Roman" w:cs="Times New Roman" w:eastAsia="Times New Roman" w:hAnsi="Times New Roman"/>
          <w:sz w:val="21"/>
          <w:szCs w:val="21"/>
          <w:u w:val="single" w:color="auto"/>
          <w:color w:val="000000"/>
        </w:rPr>
        <w:t>Section 2.10(b)</w:t>
      </w:r>
      <w:r>
        <w:rPr>
          <w:rFonts w:ascii="Times New Roman" w:cs="Times New Roman" w:eastAsia="Times New Roman" w:hAnsi="Times New Roman"/>
          <w:sz w:val="21"/>
          <w:szCs w:val="21"/>
          <w:color w:val="000000"/>
        </w:rPr>
        <w:t>).</w:t>
      </w:r>
    </w:p>
    <w:p>
      <w:pPr>
        <w:spacing w:after="0" w:line="146" w:lineRule="exact"/>
        <w:rPr>
          <w:rFonts w:ascii="Times New Roman" w:cs="Times New Roman" w:eastAsia="Times New Roman" w:hAnsi="Times New Roman"/>
          <w:sz w:val="21"/>
          <w:szCs w:val="21"/>
          <w:color w:val="auto"/>
        </w:rPr>
      </w:pPr>
    </w:p>
    <w:p>
      <w:pPr>
        <w:jc w:val="both"/>
        <w:ind w:firstLine="652"/>
        <w:spacing w:after="0" w:line="230" w:lineRule="auto"/>
        <w:tabs>
          <w:tab w:leader="none" w:pos="1742"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shall mean an individual, a partnership, a corporation, a limited liability company or limited partnership, an association, a joint stock company, a trust, a joint venture, an unincorporated organization, or the United States of America or any other nation, any state or other political subdivision thereof, or any entity exercising executive, legislative, judicial, regulatory or administrative functions of government.</w:t>
      </w:r>
    </w:p>
    <w:p>
      <w:pPr>
        <w:spacing w:after="0" w:line="149" w:lineRule="exact"/>
        <w:rPr>
          <w:rFonts w:ascii="Times New Roman" w:cs="Times New Roman" w:eastAsia="Times New Roman" w:hAnsi="Times New Roman"/>
          <w:sz w:val="21"/>
          <w:szCs w:val="21"/>
          <w:color w:val="auto"/>
        </w:rPr>
      </w:pPr>
    </w:p>
    <w:p>
      <w:pPr>
        <w:jc w:val="both"/>
        <w:ind w:firstLine="652"/>
        <w:spacing w:after="0"/>
        <w:tabs>
          <w:tab w:leader="none" w:pos="1442"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Preemptive Proportion</w:t>
      </w:r>
      <w:r>
        <w:rPr>
          <w:rFonts w:ascii="Times New Roman" w:cs="Times New Roman" w:eastAsia="Times New Roman" w:hAnsi="Times New Roman"/>
          <w:sz w:val="21"/>
          <w:szCs w:val="21"/>
          <w:color w:val="auto"/>
        </w:rPr>
        <w:t xml:space="preserve">” shall mean, with respect to a holder of Preemptive Shares as of any given time, an amount, expressed as a decimal, equal to (i) the number of Class D Common Shares held by such Member as if all Non-A-1 Interests (excluding any Excluded Common Shares) owned by such holder of Preemptive Shares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held by such holder of Preemptive Shares are converted to Class D Common Shares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(ii) the Total Conversion Shares (excluding, for the purpose of calculating the Total Conversion Shares, any Excluded Common Shares); provided, that, with respect to any Excess New Securities subject to a Supplemental Preemptive Rights Notice pursuant to </w:t>
      </w:r>
      <w:r>
        <w:rPr>
          <w:rFonts w:ascii="Times New Roman" w:cs="Times New Roman" w:eastAsia="Times New Roman" w:hAnsi="Times New Roman"/>
          <w:sz w:val="21"/>
          <w:szCs w:val="21"/>
          <w:u w:val="single" w:color="auto"/>
          <w:color w:val="auto"/>
        </w:rPr>
        <w:t>Section 2.07(g)(ii)</w:t>
      </w:r>
      <w:r>
        <w:rPr>
          <w:rFonts w:ascii="Times New Roman" w:cs="Times New Roman" w:eastAsia="Times New Roman" w:hAnsi="Times New Roman"/>
          <w:sz w:val="21"/>
          <w:szCs w:val="21"/>
          <w:color w:val="auto"/>
        </w:rPr>
        <w:t>, the Class F Preferred Shares and Class G Preferred Shares will not be taken into account in the determination of Preemptive Proportion (including the Total Conversion Shares used therefor).</w:t>
      </w:r>
    </w:p>
    <w:p>
      <w:pPr>
        <w:spacing w:after="0" w:line="165" w:lineRule="exact"/>
        <w:rPr>
          <w:rFonts w:ascii="Times New Roman" w:cs="Times New Roman" w:eastAsia="Times New Roman" w:hAnsi="Times New Roman"/>
          <w:sz w:val="21"/>
          <w:szCs w:val="21"/>
          <w:color w:val="auto"/>
        </w:rPr>
      </w:pPr>
    </w:p>
    <w:p>
      <w:pPr>
        <w:jc w:val="both"/>
        <w:ind w:firstLine="652"/>
        <w:spacing w:after="0" w:line="236" w:lineRule="auto"/>
        <w:tabs>
          <w:tab w:leader="none" w:pos="1462"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Preemptive Shares</w:t>
      </w:r>
      <w:r>
        <w:rPr>
          <w:rFonts w:ascii="Times New Roman" w:cs="Times New Roman" w:eastAsia="Times New Roman" w:hAnsi="Times New Roman"/>
          <w:sz w:val="21"/>
          <w:szCs w:val="21"/>
          <w:color w:val="auto"/>
        </w:rPr>
        <w:t xml:space="preserve">” shall mean each class of Shares, excluding all Excluded Common Shares; provided, that, with respect to any Excess New Securities subject to a Supplemental Preemptive Rights Notice pursuant to </w:t>
      </w:r>
      <w:r>
        <w:rPr>
          <w:rFonts w:ascii="Times New Roman" w:cs="Times New Roman" w:eastAsia="Times New Roman" w:hAnsi="Times New Roman"/>
          <w:sz w:val="21"/>
          <w:szCs w:val="21"/>
          <w:u w:val="single" w:color="auto"/>
          <w:color w:val="auto"/>
        </w:rPr>
        <w:t>Section 2.07(g)(ii)</w:t>
      </w:r>
      <w:r>
        <w:rPr>
          <w:rFonts w:ascii="Times New Roman" w:cs="Times New Roman" w:eastAsia="Times New Roman" w:hAnsi="Times New Roman"/>
          <w:sz w:val="21"/>
          <w:szCs w:val="21"/>
          <w:color w:val="auto"/>
        </w:rPr>
        <w:t>, the Class F Preferred Shares and Class G Preferred Shares will not be Preemptive Shares.</w:t>
      </w:r>
    </w:p>
    <w:p>
      <w:pPr>
        <w:spacing w:after="0" w:line="147"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Prime Rate</w:t>
      </w:r>
      <w:r>
        <w:rPr>
          <w:rFonts w:ascii="Times New Roman" w:cs="Times New Roman" w:eastAsia="Times New Roman" w:hAnsi="Times New Roman"/>
          <w:sz w:val="21"/>
          <w:szCs w:val="21"/>
          <w:color w:val="auto"/>
        </w:rPr>
        <w:t>” shall mean the prime rate in effect at the time at the New York City offices of Citibank, N.A.</w:t>
      </w:r>
    </w:p>
    <w:p>
      <w:pPr>
        <w:spacing w:after="0" w:line="188" w:lineRule="exact"/>
        <w:rPr>
          <w:rFonts w:ascii="Times New Roman" w:cs="Times New Roman" w:eastAsia="Times New Roman" w:hAnsi="Times New Roman"/>
          <w:sz w:val="21"/>
          <w:szCs w:val="21"/>
          <w:color w:val="auto"/>
        </w:rPr>
      </w:pPr>
    </w:p>
    <w:p>
      <w:pPr>
        <w:jc w:val="both"/>
        <w:ind w:firstLine="652"/>
        <w:spacing w:after="0" w:line="227" w:lineRule="auto"/>
        <w:tabs>
          <w:tab w:leader="none" w:pos="1581"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Appraiser</w:t>
      </w:r>
      <w:r>
        <w:rPr>
          <w:rFonts w:ascii="Times New Roman" w:cs="Times New Roman" w:eastAsia="Times New Roman" w:hAnsi="Times New Roman"/>
          <w:sz w:val="21"/>
          <w:szCs w:val="21"/>
          <w:color w:val="auto"/>
        </w:rPr>
        <w:t xml:space="preserve">” shall mean a globally recognized investment banking firm;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if such firm is the third “Qualified Appraiser” referred to in </w:t>
      </w:r>
      <w:r>
        <w:rPr>
          <w:rFonts w:ascii="Times New Roman" w:cs="Times New Roman" w:eastAsia="Times New Roman" w:hAnsi="Times New Roman"/>
          <w:sz w:val="21"/>
          <w:szCs w:val="21"/>
          <w:b w:val="1"/>
          <w:bCs w:val="1"/>
          <w:u w:val="single" w:color="auto"/>
          <w:color w:val="010000"/>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II</w:t>
      </w:r>
      <w:r>
        <w:rPr>
          <w:rFonts w:ascii="Times New Roman" w:cs="Times New Roman" w:eastAsia="Times New Roman" w:hAnsi="Times New Roman"/>
          <w:sz w:val="21"/>
          <w:szCs w:val="21"/>
          <w:color w:val="auto"/>
        </w:rPr>
        <w:t>, then it shall not have (i) been engaged for any merger and acquisition advisory or other similar services or (ii) served as a lead or co-lead “bookrunner” for a debt or equity issuance in excess of $500,000,000 by or for the GM Investor, SoftBank, SoftBank UK or any Affiliate of the foregoing during the three (3) year period preceding such firm’s appointment.</w:t>
      </w:r>
    </w:p>
    <w:p>
      <w:pPr>
        <w:spacing w:after="0" w:line="147" w:lineRule="exact"/>
        <w:rPr>
          <w:rFonts w:ascii="Times New Roman" w:cs="Times New Roman" w:eastAsia="Times New Roman" w:hAnsi="Times New Roman"/>
          <w:sz w:val="21"/>
          <w:szCs w:val="21"/>
          <w:color w:val="auto"/>
        </w:rPr>
      </w:pPr>
    </w:p>
    <w:p>
      <w:pPr>
        <w:ind w:left="1540" w:hanging="888"/>
        <w:spacing w:after="0"/>
        <w:tabs>
          <w:tab w:leader="none" w:pos="15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Quarter</w:t>
      </w:r>
      <w:r>
        <w:rPr>
          <w:rFonts w:ascii="Times New Roman" w:cs="Times New Roman" w:eastAsia="Times New Roman" w:hAnsi="Times New Roman"/>
          <w:sz w:val="21"/>
          <w:szCs w:val="21"/>
          <w:color w:val="auto"/>
        </w:rPr>
        <w:t>” shall mean each calendar quarter.</w:t>
      </w:r>
    </w:p>
    <w:p>
      <w:pPr>
        <w:spacing w:after="0" w:line="188" w:lineRule="exact"/>
        <w:rPr>
          <w:rFonts w:ascii="Times New Roman" w:cs="Times New Roman" w:eastAsia="Times New Roman" w:hAnsi="Times New Roman"/>
          <w:sz w:val="21"/>
          <w:szCs w:val="21"/>
          <w:color w:val="auto"/>
        </w:rPr>
      </w:pPr>
    </w:p>
    <w:p>
      <w:pPr>
        <w:jc w:val="both"/>
        <w:ind w:firstLine="652"/>
        <w:spacing w:after="0" w:line="236" w:lineRule="auto"/>
        <w:tabs>
          <w:tab w:leader="none" w:pos="1887"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Registrable Equity Securities</w:t>
      </w:r>
      <w:r>
        <w:rPr>
          <w:rFonts w:ascii="Times New Roman" w:cs="Times New Roman" w:eastAsia="Times New Roman" w:hAnsi="Times New Roman"/>
          <w:sz w:val="21"/>
          <w:szCs w:val="21"/>
          <w:color w:val="auto"/>
        </w:rPr>
        <w:t>” shall mean, at any time, any Equity Securities of the Company, or any corporate successor to the Company by way of conversion, or any of their respective Subsidiaries which effects the IPO held by any Member until (i)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13</w:t>
      </w:r>
    </w:p>
    <w:p>
      <w:pPr>
        <w:sectPr>
          <w:pgSz w:w="11900" w:h="16838" w:orient="portrait"/>
          <w:cols w:equalWidth="0" w:num="1">
            <w:col w:w="11240"/>
          </w:cols>
          <w:pgMar w:left="320" w:top="1388" w:right="339" w:bottom="1440" w:gutter="0" w:footer="0" w:header="0"/>
        </w:sectPr>
      </w:pPr>
    </w:p>
    <w:bookmarkStart w:id="140" w:name="page141"/>
    <w:bookmarkEnd w:id="140"/>
    <w:p>
      <w:pPr>
        <w:jc w:val="both"/>
        <w:spacing w:after="0" w:line="226" w:lineRule="auto"/>
        <w:rPr>
          <w:sz w:val="20"/>
          <w:szCs w:val="20"/>
          <w:color w:val="auto"/>
        </w:rPr>
      </w:pPr>
      <w:r>
        <w:rPr>
          <w:rFonts w:ascii="Times New Roman" w:cs="Times New Roman" w:eastAsia="Times New Roman" w:hAnsi="Times New Roman"/>
          <w:sz w:val="21"/>
          <w:szCs w:val="21"/>
          <w:color w:val="auto"/>
        </w:rPr>
        <w:t>registration statement covering such Equity Securities has been declared effective by the SEC and such Equity Securities have been disposed of pursuant to such effective registration statement, (ii) such Equity Securities are sold under Rule 144 under the Securities Act or (iii) such Equity Securities are otherwise Transferred, the Company has delivered a new certificate or other evidence of ownership for such Equity Securities not bearing the legend required pursuant to this Agreement and such Equity Securities may be resold without subsequent registration under the Securities Act.</w:t>
      </w:r>
    </w:p>
    <w:p>
      <w:pPr>
        <w:spacing w:after="0" w:line="149" w:lineRule="exact"/>
        <w:rPr>
          <w:sz w:val="20"/>
          <w:szCs w:val="20"/>
          <w:color w:val="auto"/>
        </w:rPr>
      </w:pPr>
    </w:p>
    <w:p>
      <w:pPr>
        <w:jc w:val="both"/>
        <w:ind w:firstLine="652"/>
        <w:spacing w:after="0"/>
        <w:tabs>
          <w:tab w:leader="none" w:pos="1675"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Remaining Preemptive Proportion</w:t>
      </w:r>
      <w:r>
        <w:rPr>
          <w:rFonts w:ascii="Times New Roman" w:cs="Times New Roman" w:eastAsia="Times New Roman" w:hAnsi="Times New Roman"/>
          <w:sz w:val="21"/>
          <w:szCs w:val="21"/>
          <w:color w:val="auto"/>
        </w:rPr>
        <w:t xml:space="preserve">” shall mean an amount, expressed as a decimal, equal to (i) (a) the number of Class D Common Shares held by such Overallotment Investor (calculated as if all Non-A-1 Interests (excluding any Excluded Common Shares) owned by such Overallotment Investor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any Class D Common Shares issued or issuable upon conversion of any Class F Preferred Shares and Class G Preferred Shares) and (b) all Class A-1 Preferred Shares held by such holder of Preemptive Shares are converted to Class D Common Shares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divided</w:t>
      </w:r>
      <w:r>
        <w:rPr>
          <w:rFonts w:ascii="Times New Roman" w:cs="Times New Roman" w:eastAsia="Times New Roman" w:hAnsi="Times New Roman"/>
          <w:sz w:val="21"/>
          <w:szCs w:val="21"/>
          <w:color w:val="auto"/>
        </w:rPr>
        <w:t xml:space="preserve"> by (ii) the Total Conversion Shares (excluding (a) any Excluded Common Shares, (b) all Shares of each holder of Preemptive Shares who did not elect to purchase his, her or its entire proportion of the New Securities allocated to such holder pursuant to </w:t>
      </w:r>
      <w:r>
        <w:rPr>
          <w:rFonts w:ascii="Times New Roman" w:cs="Times New Roman" w:eastAsia="Times New Roman" w:hAnsi="Times New Roman"/>
          <w:sz w:val="21"/>
          <w:szCs w:val="21"/>
          <w:u w:val="single" w:color="auto"/>
          <w:color w:val="auto"/>
        </w:rPr>
        <w:t>Section 2.07(a)</w:t>
      </w:r>
      <w:r>
        <w:rPr>
          <w:rFonts w:ascii="Times New Roman" w:cs="Times New Roman" w:eastAsia="Times New Roman" w:hAnsi="Times New Roman"/>
          <w:sz w:val="21"/>
          <w:szCs w:val="21"/>
          <w:color w:val="auto"/>
        </w:rPr>
        <w:t>, (c) Class F Preferred Shares, and (d) Class G Preferred Shares).</w:t>
      </w:r>
    </w:p>
    <w:p>
      <w:pPr>
        <w:spacing w:after="0" w:line="165" w:lineRule="exact"/>
        <w:rPr>
          <w:rFonts w:ascii="Times New Roman" w:cs="Times New Roman" w:eastAsia="Times New Roman" w:hAnsi="Times New Roman"/>
          <w:sz w:val="21"/>
          <w:szCs w:val="21"/>
          <w:color w:val="auto"/>
        </w:rPr>
      </w:pPr>
    </w:p>
    <w:p>
      <w:pPr>
        <w:ind w:firstLine="652"/>
        <w:spacing w:after="0" w:line="255" w:lineRule="auto"/>
        <w:tabs>
          <w:tab w:leader="none" w:pos="1554"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Business</w:t>
      </w:r>
      <w:r>
        <w:rPr>
          <w:rFonts w:ascii="Times New Roman" w:cs="Times New Roman" w:eastAsia="Times New Roman" w:hAnsi="Times New Roman"/>
          <w:sz w:val="21"/>
          <w:szCs w:val="21"/>
          <w:color w:val="auto"/>
        </w:rPr>
        <w:t>” shall mean, (i) with respect to the Company or any of its Subsidiaries, the GM Business and (ii) with respect to the GM Investor or any of its Subsidiaries, the AVCo Business.</w:t>
      </w:r>
    </w:p>
    <w:p>
      <w:pPr>
        <w:spacing w:after="0" w:line="131" w:lineRule="exact"/>
        <w:rPr>
          <w:rFonts w:ascii="Times New Roman" w:cs="Times New Roman" w:eastAsia="Times New Roman" w:hAnsi="Times New Roman"/>
          <w:sz w:val="21"/>
          <w:szCs w:val="21"/>
          <w:color w:val="auto"/>
        </w:rPr>
      </w:pPr>
    </w:p>
    <w:p>
      <w:pPr>
        <w:jc w:val="both"/>
        <w:ind w:firstLine="652"/>
        <w:spacing w:after="0" w:line="218" w:lineRule="auto"/>
        <w:tabs>
          <w:tab w:leader="none" w:pos="1615"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Person</w:t>
      </w:r>
      <w:r>
        <w:rPr>
          <w:rFonts w:ascii="Times New Roman" w:cs="Times New Roman" w:eastAsia="Times New Roman" w:hAnsi="Times New Roman"/>
          <w:sz w:val="21"/>
          <w:szCs w:val="21"/>
          <w:color w:val="auto"/>
        </w:rPr>
        <w:t xml:space="preserve">” shall mean any Person who, either directly or indirectly or through an Affiliate, is a competitor of either (i) the Company or any of its Subsidiaries as reasonably determined by the Board of Directors, or (ii) the GM Investor or any of its Affiliates as reasonably determined by the GM Investor in good faith;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Person who is not otherwise (either directly or indirectly or through an Affiliate) a competitor shall not be deemed a Restricted Person solely as a result of owning, directly or indirectly, less than five percent (5%) of the outstanding capital stock of a publicly traded company that is a competitor of the Company, the GM Investor or any of their respective Affiliates. Restricted Persons includes</w:t>
      </w:r>
    </w:p>
    <w:p>
      <w:pPr>
        <w:spacing w:after="0" w:line="1" w:lineRule="exact"/>
        <w:rPr>
          <w:rFonts w:ascii="Times New Roman" w:cs="Times New Roman" w:eastAsia="Times New Roman" w:hAnsi="Times New Roman"/>
          <w:sz w:val="21"/>
          <w:szCs w:val="21"/>
          <w:color w:val="auto"/>
        </w:rPr>
      </w:pPr>
    </w:p>
    <w:p>
      <w:pPr>
        <w:jc w:val="both"/>
        <w:ind w:firstLine="7"/>
        <w:spacing w:after="0" w:line="227" w:lineRule="auto"/>
        <w:tabs>
          <w:tab w:leader="none" w:pos="353"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Persons on the list provided to each Member on or about the date of this Agreement and (B) any Person that is developing or commercializing or selling autonomous vehicles for any use. A list of Restricted Persons shall be maintained by the Company and made available to any Member from time to time upon the request of such Member.</w:t>
      </w:r>
    </w:p>
    <w:p>
      <w:pPr>
        <w:spacing w:after="0" w:line="146" w:lineRule="exact"/>
        <w:rPr>
          <w:rFonts w:ascii="Times New Roman" w:cs="Times New Roman" w:eastAsia="Times New Roman" w:hAnsi="Times New Roman"/>
          <w:sz w:val="21"/>
          <w:szCs w:val="21"/>
          <w:color w:val="auto"/>
        </w:rPr>
      </w:pPr>
    </w:p>
    <w:p>
      <w:pPr>
        <w:jc w:val="both"/>
        <w:ind w:firstLine="652"/>
        <w:spacing w:after="0" w:line="225" w:lineRule="auto"/>
        <w:tabs>
          <w:tab w:leader="none" w:pos="1589"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Sale of GM Parent</w:t>
      </w:r>
      <w:r>
        <w:rPr>
          <w:rFonts w:ascii="Times New Roman" w:cs="Times New Roman" w:eastAsia="Times New Roman" w:hAnsi="Times New Roman"/>
          <w:sz w:val="21"/>
          <w:szCs w:val="21"/>
          <w:color w:val="auto"/>
        </w:rPr>
        <w:t>” shall mean a transaction with an Independent Third Party or group of Independent Third Parties acting in concert, pursuant to which such Person or Persons acquire (the “</w:t>
      </w:r>
      <w:r>
        <w:rPr>
          <w:rFonts w:ascii="Times New Roman" w:cs="Times New Roman" w:eastAsia="Times New Roman" w:hAnsi="Times New Roman"/>
          <w:sz w:val="21"/>
          <w:szCs w:val="21"/>
          <w:b w:val="1"/>
          <w:bCs w:val="1"/>
          <w:color w:val="auto"/>
        </w:rPr>
        <w:t>GM Acquirer</w:t>
      </w:r>
      <w:r>
        <w:rPr>
          <w:rFonts w:ascii="Times New Roman" w:cs="Times New Roman" w:eastAsia="Times New Roman" w:hAnsi="Times New Roman"/>
          <w:sz w:val="21"/>
          <w:szCs w:val="21"/>
          <w:color w:val="auto"/>
        </w:rPr>
        <w:t>”), in any single transaction or series of related transactions, (i) more than fifty percent (50%) of the issued and outstanding voting securities of GM Parent (or any surviving or resulting company) or (ii) all or substantially all of the GM Parent’s assets determined on a consolidated basis (in either case, whether by merger, consolidation, sale, exchange, issuance, Transfer or redemption of GM Parent’s equity securities, by sale, exchange or Transfer of the GM Parent’s consolidated assets or otherwise).</w:t>
      </w:r>
    </w:p>
    <w:p>
      <w:pPr>
        <w:spacing w:after="0" w:line="146" w:lineRule="exact"/>
        <w:rPr>
          <w:rFonts w:ascii="Times New Roman" w:cs="Times New Roman" w:eastAsia="Times New Roman" w:hAnsi="Times New Roman"/>
          <w:sz w:val="21"/>
          <w:szCs w:val="21"/>
          <w:color w:val="auto"/>
        </w:rPr>
      </w:pPr>
    </w:p>
    <w:p>
      <w:pPr>
        <w:jc w:val="both"/>
        <w:ind w:firstLine="652"/>
        <w:spacing w:after="0" w:line="230" w:lineRule="auto"/>
        <w:tabs>
          <w:tab w:leader="none" w:pos="1662"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Sale of the Company</w:t>
      </w:r>
      <w:r>
        <w:rPr>
          <w:rFonts w:ascii="Times New Roman" w:cs="Times New Roman" w:eastAsia="Times New Roman" w:hAnsi="Times New Roman"/>
          <w:sz w:val="21"/>
          <w:szCs w:val="21"/>
          <w:color w:val="auto"/>
        </w:rPr>
        <w:t>” shall mean any transaction or series of related transactions with an Independent Third Party or group of Independent Third Parties acting in concert, pursuant to which such Person or Persons acquire (i) more than fifty percent (50%) of the issued and outstanding Equity Securities or (ii) all or substantially all of the Company’s assets determined on a consolidated basis (in either case, whether by merger, consolidation,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14</w:t>
      </w:r>
    </w:p>
    <w:p>
      <w:pPr>
        <w:sectPr>
          <w:pgSz w:w="11900" w:h="16838" w:orient="portrait"/>
          <w:cols w:equalWidth="0" w:num="1">
            <w:col w:w="11240"/>
          </w:cols>
          <w:pgMar w:left="320" w:top="1388" w:right="339" w:bottom="1440" w:gutter="0" w:footer="0" w:header="0"/>
        </w:sectPr>
      </w:pPr>
    </w:p>
    <w:bookmarkStart w:id="141" w:name="page142"/>
    <w:bookmarkEnd w:id="141"/>
    <w:p>
      <w:pPr>
        <w:jc w:val="both"/>
        <w:spacing w:after="0" w:line="235" w:lineRule="auto"/>
        <w:rPr>
          <w:sz w:val="20"/>
          <w:szCs w:val="20"/>
          <w:color w:val="auto"/>
        </w:rPr>
      </w:pPr>
      <w:r>
        <w:rPr>
          <w:rFonts w:ascii="Times New Roman" w:cs="Times New Roman" w:eastAsia="Times New Roman" w:hAnsi="Times New Roman"/>
          <w:sz w:val="21"/>
          <w:szCs w:val="21"/>
          <w:color w:val="auto"/>
        </w:rPr>
        <w:t>exchange, issuance, Transfer or redemption of the Company’s Equity Securities, by sale, exchange or Transfer of the Company’s consolidated assets or otherwise). For clarity, an IPO will not be a Sale of the Company (except in the case of a SPAC Transaction that would otherwise constitute a Sale of the Company under this definition).</w:t>
      </w:r>
    </w:p>
    <w:p>
      <w:pPr>
        <w:spacing w:after="0" w:line="147" w:lineRule="exact"/>
        <w:rPr>
          <w:sz w:val="20"/>
          <w:szCs w:val="20"/>
          <w:color w:val="auto"/>
        </w:rPr>
      </w:pPr>
    </w:p>
    <w:p>
      <w:pPr>
        <w:jc w:val="both"/>
        <w:ind w:firstLine="652"/>
        <w:spacing w:after="0" w:line="227" w:lineRule="auto"/>
        <w:tabs>
          <w:tab w:leader="none" w:pos="1629"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Sanctioned Person</w:t>
      </w:r>
      <w:r>
        <w:rPr>
          <w:rFonts w:ascii="Times New Roman" w:cs="Times New Roman" w:eastAsia="Times New Roman" w:hAnsi="Times New Roman"/>
          <w:sz w:val="21"/>
          <w:szCs w:val="21"/>
          <w:color w:val="auto"/>
        </w:rPr>
        <w:t>” shall mean (i) (A) any Persons identified in the List of Specially Designated Nationals and Blocked Persons, the Foreign Sanctions Evaders List, the E.O. 13599 List, or the Sectoral Sanctions Identifications List, in</w:t>
      </w:r>
    </w:p>
    <w:p>
      <w:pPr>
        <w:spacing w:after="0" w:line="1" w:lineRule="exact"/>
        <w:rPr>
          <w:rFonts w:ascii="Times New Roman" w:cs="Times New Roman" w:eastAsia="Times New Roman" w:hAnsi="Times New Roman"/>
          <w:sz w:val="21"/>
          <w:szCs w:val="21"/>
          <w:color w:val="auto"/>
        </w:rPr>
      </w:pPr>
    </w:p>
    <w:p>
      <w:pPr>
        <w:jc w:val="both"/>
        <w:spacing w:after="0" w:line="21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case administered by OFAC, and any other sanctions or similar lists administered by any agency of the U.S. Government, including the U.S. Department of State and the U.S. Department of Commerce and (B) any Persons owned or controlled, directly</w:t>
      </w:r>
    </w:p>
    <w:p>
      <w:pPr>
        <w:spacing w:after="0" w:line="1" w:lineRule="exact"/>
        <w:rPr>
          <w:rFonts w:ascii="Times New Roman" w:cs="Times New Roman" w:eastAsia="Times New Roman" w:hAnsi="Times New Roman"/>
          <w:sz w:val="21"/>
          <w:szCs w:val="21"/>
          <w:color w:val="auto"/>
        </w:rPr>
      </w:pPr>
    </w:p>
    <w:p>
      <w:pPr>
        <w:jc w:val="both"/>
        <w:spacing w:after="0" w:line="21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indirectly, by such Person or Persons; (ii) any Persons identified on any sanctions lists of the European Union, the United Kingdom or any other jurisdiction; (iii) Persons identified on any list of sanctioned parties identified in a resolution of the United</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Nations Security Council; and (iv) any Persons located, organized or a resident in a Sanctioned Territory.</w:t>
      </w:r>
    </w:p>
    <w:p>
      <w:pPr>
        <w:spacing w:after="0" w:line="160" w:lineRule="exact"/>
        <w:rPr>
          <w:rFonts w:ascii="Times New Roman" w:cs="Times New Roman" w:eastAsia="Times New Roman" w:hAnsi="Times New Roman"/>
          <w:sz w:val="21"/>
          <w:szCs w:val="21"/>
          <w:color w:val="auto"/>
        </w:rPr>
      </w:pPr>
    </w:p>
    <w:p>
      <w:pPr>
        <w:jc w:val="both"/>
        <w:ind w:firstLine="652"/>
        <w:spacing w:after="0" w:line="227" w:lineRule="auto"/>
        <w:tabs>
          <w:tab w:leader="none" w:pos="1715"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Sanctioned Territory</w:t>
      </w:r>
      <w:r>
        <w:rPr>
          <w:rFonts w:ascii="Times New Roman" w:cs="Times New Roman" w:eastAsia="Times New Roman" w:hAnsi="Times New Roman"/>
          <w:sz w:val="21"/>
          <w:szCs w:val="21"/>
          <w:color w:val="auto"/>
        </w:rPr>
        <w:t>” shall mean, at any time, a country or geographic region that is itself the subject or target of any comprehensive Sanctions within the past five years, which includes: Crimea, Cuba, Iran, North Korea, Sudan, and</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Syria.</w:t>
      </w:r>
    </w:p>
    <w:p>
      <w:pPr>
        <w:spacing w:after="0" w:line="160" w:lineRule="exact"/>
        <w:rPr>
          <w:rFonts w:ascii="Times New Roman" w:cs="Times New Roman" w:eastAsia="Times New Roman" w:hAnsi="Times New Roman"/>
          <w:sz w:val="21"/>
          <w:szCs w:val="21"/>
          <w:color w:val="auto"/>
        </w:rPr>
      </w:pPr>
    </w:p>
    <w:p>
      <w:pPr>
        <w:jc w:val="both"/>
        <w:ind w:firstLine="652"/>
        <w:spacing w:after="0" w:line="227" w:lineRule="auto"/>
        <w:tabs>
          <w:tab w:leader="none" w:pos="1643"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Sanctions</w:t>
      </w:r>
      <w:r>
        <w:rPr>
          <w:rFonts w:ascii="Times New Roman" w:cs="Times New Roman" w:eastAsia="Times New Roman" w:hAnsi="Times New Roman"/>
          <w:sz w:val="21"/>
          <w:szCs w:val="21"/>
          <w:color w:val="auto"/>
        </w:rPr>
        <w:t>” shall mean (i) the economic sanctions and trade embargo laws, rules, regulations, and executive orders of the United States, including those administered or enforced from time to time by OFAC or the U.S. Department of State,</w:t>
      </w:r>
    </w:p>
    <w:p>
      <w:pPr>
        <w:spacing w:after="0" w:line="1" w:lineRule="exact"/>
        <w:rPr>
          <w:rFonts w:ascii="Times New Roman" w:cs="Times New Roman" w:eastAsia="Times New Roman" w:hAnsi="Times New Roman"/>
          <w:sz w:val="21"/>
          <w:szCs w:val="21"/>
          <w:color w:val="auto"/>
        </w:rPr>
      </w:pPr>
    </w:p>
    <w:p>
      <w:pPr>
        <w:jc w:val="both"/>
        <w:spacing w:after="0" w:line="21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International Emergency Economic Powers Act (50 U.S.C. §§1701 et seq.), and the Trading with the Enemy Act (50 App. U.S.C. §§1 et seq.); and (ii) any other similar and applicable economic sanctions and trade embargo laws, rules, or regulations of</w:t>
      </w:r>
    </w:p>
    <w:p>
      <w:pPr>
        <w:spacing w:after="0" w:line="1" w:lineRule="exact"/>
        <w:rPr>
          <w:rFonts w:ascii="Times New Roman" w:cs="Times New Roman" w:eastAsia="Times New Roman" w:hAnsi="Times New Roman"/>
          <w:sz w:val="21"/>
          <w:szCs w:val="21"/>
          <w:color w:val="auto"/>
        </w:rPr>
      </w:pPr>
    </w:p>
    <w:p>
      <w:pPr>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Governmental Authority, including but not limited to, the European Union, the United Kingdom, and the United Nations Security Council.</w:t>
      </w:r>
    </w:p>
    <w:p>
      <w:pPr>
        <w:spacing w:after="0" w:line="148" w:lineRule="exact"/>
        <w:rPr>
          <w:rFonts w:ascii="Times New Roman" w:cs="Times New Roman" w:eastAsia="Times New Roman" w:hAnsi="Times New Roman"/>
          <w:sz w:val="21"/>
          <w:szCs w:val="21"/>
          <w:color w:val="auto"/>
        </w:rPr>
      </w:pPr>
    </w:p>
    <w:p>
      <w:pPr>
        <w:ind w:left="1420" w:hanging="768"/>
        <w:spacing w:after="0"/>
        <w:tabs>
          <w:tab w:leader="none" w:pos="142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shall mean the United States Securities and Exchange Commission.</w:t>
      </w:r>
    </w:p>
    <w:p>
      <w:pPr>
        <w:spacing w:after="0" w:line="188" w:lineRule="exact"/>
        <w:rPr>
          <w:rFonts w:ascii="Times New Roman" w:cs="Times New Roman" w:eastAsia="Times New Roman" w:hAnsi="Times New Roman"/>
          <w:sz w:val="21"/>
          <w:szCs w:val="21"/>
          <w:color w:val="auto"/>
        </w:rPr>
      </w:pPr>
    </w:p>
    <w:p>
      <w:pPr>
        <w:jc w:val="both"/>
        <w:ind w:firstLine="652"/>
        <w:spacing w:after="0" w:line="227" w:lineRule="auto"/>
        <w:tabs>
          <w:tab w:leader="none" w:pos="1702"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Preemptive Proportion</w:t>
      </w:r>
      <w:r>
        <w:rPr>
          <w:rFonts w:ascii="Times New Roman" w:cs="Times New Roman" w:eastAsia="Times New Roman" w:hAnsi="Times New Roman"/>
          <w:sz w:val="21"/>
          <w:szCs w:val="21"/>
          <w:color w:val="auto"/>
        </w:rPr>
        <w:t>” shall mean an amount, expressed as a decimal equal to (i) the number of Class F Preferred Shares and Class G Preferred Shares held by such Overallotment Investor as if all such Class F Preferred Shares</w:t>
      </w:r>
    </w:p>
    <w:p>
      <w:pPr>
        <w:spacing w:after="0" w:line="1" w:lineRule="exact"/>
        <w:rPr>
          <w:rFonts w:ascii="Times New Roman" w:cs="Times New Roman" w:eastAsia="Times New Roman" w:hAnsi="Times New Roman"/>
          <w:sz w:val="21"/>
          <w:szCs w:val="21"/>
          <w:color w:val="auto"/>
        </w:rPr>
      </w:pPr>
    </w:p>
    <w:p>
      <w:pPr>
        <w:jc w:val="both"/>
        <w:spacing w:after="0" w:line="21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Class G Preferred Shares are deemed converted to Class D Common Shares on a 1:1 basis (as adjusted, as necessary, to reflect appropriate and proportional adjustments to take into account any subdivision, reorganization, reclassification,</w:t>
      </w:r>
    </w:p>
    <w:p>
      <w:pPr>
        <w:spacing w:after="0" w:line="1" w:lineRule="exact"/>
        <w:rPr>
          <w:rFonts w:ascii="Times New Roman" w:cs="Times New Roman" w:eastAsia="Times New Roman" w:hAnsi="Times New Roman"/>
          <w:sz w:val="21"/>
          <w:szCs w:val="21"/>
          <w:color w:val="auto"/>
        </w:rPr>
      </w:pPr>
    </w:p>
    <w:p>
      <w:pPr>
        <w:jc w:val="both"/>
        <w:spacing w:after="0" w:line="21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recapitalization, stock split, reverse stock split, combination of shares or similar event),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(ii) the total number of issued and outstanding Shares calculated on an as-converted basis as if all Non-A-1 Interests are converted on a 1:1 basis (as adjusted, as</w:t>
      </w:r>
    </w:p>
    <w:p>
      <w:pPr>
        <w:spacing w:after="0" w:line="1" w:lineRule="exact"/>
        <w:rPr>
          <w:rFonts w:ascii="Times New Roman" w:cs="Times New Roman" w:eastAsia="Times New Roman" w:hAnsi="Times New Roman"/>
          <w:sz w:val="21"/>
          <w:szCs w:val="21"/>
          <w:color w:val="auto"/>
        </w:rPr>
      </w:pPr>
    </w:p>
    <w:p>
      <w:pPr>
        <w:jc w:val="both"/>
        <w:spacing w:after="0" w:line="21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necessary, to reflect appropriate and proportional adjustments to take into account any subdivision, reorganization, reclassification, recapitalization, stock split, reverse stock split, combination of shares or similar event) and all Class A-1</w:t>
      </w:r>
    </w:p>
    <w:p>
      <w:pPr>
        <w:spacing w:after="0" w:line="1" w:lineRule="exact"/>
        <w:rPr>
          <w:rFonts w:ascii="Times New Roman" w:cs="Times New Roman" w:eastAsia="Times New Roman" w:hAnsi="Times New Roman"/>
          <w:sz w:val="21"/>
          <w:szCs w:val="21"/>
          <w:color w:val="auto"/>
        </w:rPr>
      </w:pPr>
    </w:p>
    <w:p>
      <w:pPr>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Preferred Shares are converted in accordance with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(excluding, for the purpose of calculating the total number of issued and outstanding Shares, any Excluded Common Shares).</w:t>
      </w:r>
    </w:p>
    <w:p>
      <w:pPr>
        <w:spacing w:after="0" w:line="148" w:lineRule="exact"/>
        <w:rPr>
          <w:rFonts w:ascii="Times New Roman" w:cs="Times New Roman" w:eastAsia="Times New Roman" w:hAnsi="Times New Roman"/>
          <w:sz w:val="21"/>
          <w:szCs w:val="21"/>
          <w:color w:val="auto"/>
        </w:rPr>
      </w:pPr>
    </w:p>
    <w:p>
      <w:pPr>
        <w:ind w:left="1700" w:hanging="1048"/>
        <w:spacing w:after="0"/>
        <w:tabs>
          <w:tab w:leader="none" w:pos="170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Tranche Conditions</w:t>
      </w:r>
      <w:r>
        <w:rPr>
          <w:rFonts w:ascii="Times New Roman" w:cs="Times New Roman" w:eastAsia="Times New Roman" w:hAnsi="Times New Roman"/>
          <w:sz w:val="21"/>
          <w:szCs w:val="21"/>
          <w:color w:val="auto"/>
        </w:rPr>
        <w:t>” shall mean the following conditions: (i) the SoftBank CFIUS Condition, and</w:t>
      </w:r>
    </w:p>
    <w:p>
      <w:pPr>
        <w:spacing w:after="0" w:line="1" w:lineRule="exact"/>
        <w:rPr>
          <w:rFonts w:ascii="Times New Roman" w:cs="Times New Roman" w:eastAsia="Times New Roman" w:hAnsi="Times New Roman"/>
          <w:sz w:val="21"/>
          <w:szCs w:val="21"/>
          <w:color w:val="auto"/>
        </w:rPr>
      </w:pPr>
    </w:p>
    <w:p>
      <w:pPr>
        <w:jc w:val="both"/>
        <w:ind w:firstLine="7"/>
        <w:spacing w:after="0" w:line="213" w:lineRule="auto"/>
        <w:tabs>
          <w:tab w:leader="none" w:pos="333"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there shall not, at the time of consummation of the transactions contemplated by </w:t>
      </w:r>
      <w:r>
        <w:rPr>
          <w:rFonts w:ascii="Times New Roman" w:cs="Times New Roman" w:eastAsia="Times New Roman" w:hAnsi="Times New Roman"/>
          <w:sz w:val="21"/>
          <w:szCs w:val="21"/>
          <w:u w:val="single" w:color="auto"/>
          <w:color w:val="auto"/>
        </w:rPr>
        <w:t>Section 2.02(c)(i)</w:t>
      </w:r>
      <w:r>
        <w:rPr>
          <w:rFonts w:ascii="Times New Roman" w:cs="Times New Roman" w:eastAsia="Times New Roman" w:hAnsi="Times New Roman"/>
          <w:sz w:val="21"/>
          <w:szCs w:val="21"/>
          <w:color w:val="auto"/>
        </w:rPr>
        <w:t>, be in effect and Law or Order (each as defined in the SoftBank Purchase Agreement) enacted or entered by a Governmental Authority of competent</w:t>
      </w:r>
    </w:p>
    <w:p>
      <w:pPr>
        <w:spacing w:after="0" w:line="1" w:lineRule="exact"/>
        <w:rPr>
          <w:rFonts w:ascii="Times New Roman" w:cs="Times New Roman" w:eastAsia="Times New Roman" w:hAnsi="Times New Roman"/>
          <w:sz w:val="21"/>
          <w:szCs w:val="21"/>
          <w:color w:val="auto"/>
        </w:rPr>
      </w:pPr>
    </w:p>
    <w:p>
      <w:pPr>
        <w:spacing w:after="0" w:line="21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jurisdiction restraining, enjoining or otherwise prohibiting the consummation of the transactions contemplated by </w:t>
      </w:r>
      <w:r>
        <w:rPr>
          <w:rFonts w:ascii="Times New Roman" w:cs="Times New Roman" w:eastAsia="Times New Roman" w:hAnsi="Times New Roman"/>
          <w:sz w:val="21"/>
          <w:szCs w:val="21"/>
          <w:u w:val="single" w:color="auto"/>
          <w:color w:val="auto"/>
        </w:rPr>
        <w:t>Section 2.02(c)</w:t>
      </w:r>
    </w:p>
    <w:p>
      <w:pPr>
        <w:spacing w:after="0"/>
        <w:tabs>
          <w:tab w:leader="none" w:pos="0" w:val="left"/>
        </w:tabs>
        <w:numPr>
          <w:ilvl w:val="0"/>
          <w:numId w:val="167"/>
        </w:numPr>
        <w:rPr>
          <w:rFonts w:ascii="Times New Roman" w:cs="Times New Roman" w:eastAsia="Times New Roman" w:hAnsi="Times New Roman"/>
          <w:sz w:val="21"/>
          <w:szCs w:val="21"/>
          <w:u w:val="single" w:color="auto"/>
          <w:color w:val="auto"/>
        </w:rPr>
      </w:pPr>
    </w:p>
    <w:p>
      <w:pPr>
        <w:spacing w:after="0" w:line="160" w:lineRule="exact"/>
        <w:rPr>
          <w:rFonts w:ascii="Times New Roman" w:cs="Times New Roman" w:eastAsia="Times New Roman" w:hAnsi="Times New Roman"/>
          <w:sz w:val="21"/>
          <w:szCs w:val="21"/>
          <w:u w:val="single" w:color="auto"/>
          <w:color w:val="auto"/>
        </w:rPr>
      </w:pPr>
    </w:p>
    <w:p>
      <w:pPr>
        <w:ind w:left="1360" w:hanging="708"/>
        <w:spacing w:after="0"/>
        <w:tabs>
          <w:tab w:leader="none" w:pos="1360"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Security Director</w:t>
      </w:r>
      <w:r>
        <w:rPr>
          <w:rFonts w:ascii="Times New Roman" w:cs="Times New Roman" w:eastAsia="Times New Roman" w:hAnsi="Times New Roman"/>
          <w:sz w:val="21"/>
          <w:szCs w:val="21"/>
          <w:color w:val="auto"/>
        </w:rPr>
        <w:t>” shall have the meaning given to it in the NSA.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15</w:t>
      </w:r>
    </w:p>
    <w:p>
      <w:pPr>
        <w:sectPr>
          <w:pgSz w:w="11900" w:h="16838" w:orient="portrait"/>
          <w:cols w:equalWidth="0" w:num="1">
            <w:col w:w="11240"/>
          </w:cols>
          <w:pgMar w:left="320" w:top="1388" w:right="339" w:bottom="1440" w:gutter="0" w:footer="0" w:header="0"/>
        </w:sectPr>
      </w:pPr>
    </w:p>
    <w:bookmarkStart w:id="142" w:name="page143"/>
    <w:bookmarkEnd w:id="142"/>
    <w:p>
      <w:pPr>
        <w:ind w:left="1360" w:hanging="708"/>
        <w:spacing w:after="0"/>
        <w:tabs>
          <w:tab w:leader="none" w:pos="13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shall mean the Securities Act of 1933, as amended.</w:t>
      </w:r>
    </w:p>
    <w:p>
      <w:pPr>
        <w:spacing w:after="0" w:line="188" w:lineRule="exact"/>
        <w:rPr>
          <w:rFonts w:ascii="Times New Roman" w:cs="Times New Roman" w:eastAsia="Times New Roman" w:hAnsi="Times New Roman"/>
          <w:sz w:val="21"/>
          <w:szCs w:val="21"/>
          <w:color w:val="auto"/>
        </w:rPr>
      </w:pPr>
    </w:p>
    <w:p>
      <w:pPr>
        <w:jc w:val="both"/>
        <w:ind w:firstLine="652"/>
        <w:spacing w:after="0" w:line="216" w:lineRule="auto"/>
        <w:tabs>
          <w:tab w:leader="none" w:pos="1688"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SoftBank CFIUS Approval</w:t>
      </w:r>
      <w:r>
        <w:rPr>
          <w:rFonts w:ascii="Times New Roman" w:cs="Times New Roman" w:eastAsia="Times New Roman" w:hAnsi="Times New Roman"/>
          <w:sz w:val="21"/>
          <w:szCs w:val="21"/>
          <w:color w:val="auto"/>
        </w:rPr>
        <w:t xml:space="preserve">”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or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For the purpose of this definition, “relevant transaction” shall mean (i) the grant to SoftBank (and its Affiliates) of the rights and obligations granted to them hereunder for which CFIUS Approval is required, and (ii) the consummation of the transactions contemplated by </w:t>
      </w:r>
      <w:r>
        <w:rPr>
          <w:rFonts w:ascii="Times New Roman" w:cs="Times New Roman" w:eastAsia="Times New Roman" w:hAnsi="Times New Roman"/>
          <w:sz w:val="21"/>
          <w:szCs w:val="21"/>
          <w:u w:val="single" w:color="auto"/>
          <w:color w:val="auto"/>
        </w:rPr>
        <w:t>Section 2.02(c)</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652"/>
        <w:spacing w:after="0" w:line="236" w:lineRule="auto"/>
        <w:tabs>
          <w:tab w:leader="none" w:pos="1483"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SoftBank CFIUS Condition</w:t>
      </w:r>
      <w:r>
        <w:rPr>
          <w:rFonts w:ascii="Times New Roman" w:cs="Times New Roman" w:eastAsia="Times New Roman" w:hAnsi="Times New Roman"/>
          <w:sz w:val="21"/>
          <w:szCs w:val="21"/>
          <w:color w:val="auto"/>
        </w:rPr>
        <w:t>” shall mean: (i) SoftBank CFIUS Approval has been received and (ii) unless waived by SoftBank, CFIUS shall not have required or imposed any Burdensome Conditions (as defined in the SoftBank Purchase Agreement).</w:t>
      </w:r>
    </w:p>
    <w:p>
      <w:pPr>
        <w:spacing w:after="0" w:line="147" w:lineRule="exact"/>
        <w:rPr>
          <w:rFonts w:ascii="Times New Roman" w:cs="Times New Roman" w:eastAsia="Times New Roman" w:hAnsi="Times New Roman"/>
          <w:sz w:val="21"/>
          <w:szCs w:val="21"/>
          <w:color w:val="auto"/>
        </w:rPr>
      </w:pPr>
    </w:p>
    <w:p>
      <w:pPr>
        <w:jc w:val="both"/>
        <w:ind w:firstLine="652"/>
        <w:spacing w:after="0" w:line="227" w:lineRule="auto"/>
        <w:tabs>
          <w:tab w:leader="none" w:pos="2047"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SoftBank Competitively Sensitive Information</w:t>
      </w:r>
      <w:r>
        <w:rPr>
          <w:rFonts w:ascii="Times New Roman" w:cs="Times New Roman" w:eastAsia="Times New Roman" w:hAnsi="Times New Roman"/>
          <w:sz w:val="21"/>
          <w:szCs w:val="21"/>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SoftBank UK prior to the execution of the SoftBank Purchase Agreement (and subsequently acknowledged and agreed to by SoftBank)).</w:t>
      </w:r>
    </w:p>
    <w:p>
      <w:pPr>
        <w:spacing w:after="0" w:line="147" w:lineRule="exact"/>
        <w:rPr>
          <w:rFonts w:ascii="Times New Roman" w:cs="Times New Roman" w:eastAsia="Times New Roman" w:hAnsi="Times New Roman"/>
          <w:sz w:val="21"/>
          <w:szCs w:val="21"/>
          <w:color w:val="auto"/>
        </w:rPr>
      </w:pPr>
    </w:p>
    <w:p>
      <w:pPr>
        <w:jc w:val="both"/>
        <w:ind w:firstLine="652"/>
        <w:spacing w:after="0"/>
        <w:tabs>
          <w:tab w:leader="none" w:pos="1662"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SoftBank Floor Amount</w:t>
      </w:r>
      <w:r>
        <w:rPr>
          <w:rFonts w:ascii="Times New Roman" w:cs="Times New Roman" w:eastAsia="Times New Roman" w:hAnsi="Times New Roman"/>
          <w:sz w:val="21"/>
          <w:szCs w:val="21"/>
          <w:color w:val="auto"/>
        </w:rPr>
        <w:t xml:space="preserve">” shall mean the lesser of (i) five percent (5%) of the total outstanding Shares in the Company as of the relevant date, and (ii) eighty percent (80%) of the total outstanding Shares in the Company held by SoftBank as at May 8, 2019 (as deemed adjusted for the Share Split), in each case of (i) and (ii) calculated as if each Share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w:t>
      </w:r>
    </w:p>
    <w:p>
      <w:pPr>
        <w:spacing w:after="0" w:line="270" w:lineRule="exact"/>
        <w:rPr>
          <w:rFonts w:ascii="Times New Roman" w:cs="Times New Roman" w:eastAsia="Times New Roman" w:hAnsi="Times New Roman"/>
          <w:sz w:val="21"/>
          <w:szCs w:val="21"/>
          <w:color w:val="auto"/>
        </w:rPr>
      </w:pPr>
    </w:p>
    <w:p>
      <w:pPr>
        <w:ind w:left="1740" w:hanging="1088"/>
        <w:spacing w:after="0"/>
        <w:tabs>
          <w:tab w:leader="none" w:pos="174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SoftBank Group Corp.</w:t>
      </w:r>
      <w:r>
        <w:rPr>
          <w:rFonts w:ascii="Times New Roman" w:cs="Times New Roman" w:eastAsia="Times New Roman" w:hAnsi="Times New Roman"/>
          <w:sz w:val="21"/>
          <w:szCs w:val="21"/>
          <w:color w:val="auto"/>
        </w:rPr>
        <w:t>” shall mean SoftBank Group Corp., a corporation incorporated under the laws of</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Japan.</w:t>
      </w:r>
    </w:p>
    <w:p>
      <w:pPr>
        <w:spacing w:after="0" w:line="160" w:lineRule="exact"/>
        <w:rPr>
          <w:rFonts w:ascii="Times New Roman" w:cs="Times New Roman" w:eastAsia="Times New Roman" w:hAnsi="Times New Roman"/>
          <w:sz w:val="21"/>
          <w:szCs w:val="21"/>
          <w:color w:val="auto"/>
        </w:rPr>
      </w:pPr>
    </w:p>
    <w:p>
      <w:pPr>
        <w:jc w:val="both"/>
        <w:ind w:firstLine="652"/>
        <w:spacing w:after="0" w:line="223" w:lineRule="auto"/>
        <w:tabs>
          <w:tab w:leader="none" w:pos="1675"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SoftBank Party</w:t>
      </w:r>
      <w:r>
        <w:rPr>
          <w:rFonts w:ascii="Times New Roman" w:cs="Times New Roman" w:eastAsia="Times New Roman" w:hAnsi="Times New Roman"/>
          <w:sz w:val="21"/>
          <w:szCs w:val="21"/>
          <w:color w:val="auto"/>
        </w:rPr>
        <w:t>” shall mean (i) any investment fund, investment vehicle or other account that is, directly or indirectly, managed or advised by SB Investment Holdings (UK) Limited or any of its Affiliates, and shall include SoftBank Vision Fund (AIV M2) L.P., a Delaware limited partnership, and SoftBank Vision Fund (AIV S1) L.P., a Delaware limited partnership (each, a “</w:t>
      </w:r>
      <w:r>
        <w:rPr>
          <w:rFonts w:ascii="Times New Roman" w:cs="Times New Roman" w:eastAsia="Times New Roman" w:hAnsi="Times New Roman"/>
          <w:sz w:val="21"/>
          <w:szCs w:val="21"/>
          <w:b w:val="1"/>
          <w:bCs w:val="1"/>
          <w:color w:val="auto"/>
        </w:rPr>
        <w:t>SoftBank Fund</w:t>
      </w:r>
      <w:r>
        <w:rPr>
          <w:rFonts w:ascii="Times New Roman" w:cs="Times New Roman" w:eastAsia="Times New Roman" w:hAnsi="Times New Roman"/>
          <w:sz w:val="21"/>
          <w:szCs w:val="21"/>
          <w:color w:val="auto"/>
        </w:rPr>
        <w:t>”), (ii) each Affiliate of each SoftBank Fund, (iii) SoftBank Group Corp. and each Affiliate of SoftBank or SoftBank Group Corp., (iv) each portfolio company of any SoftBank Fund, SoftBank, SoftBank Group Corp. or any of their Affiliates and (v) any Person in which any SoftBank Fund, SoftBank, SoftBank Group Corp. or any of their Affiliates holds a non-controlling and minority position.</w:t>
      </w:r>
    </w:p>
    <w:p>
      <w:pPr>
        <w:spacing w:after="0" w:line="149" w:lineRule="exact"/>
        <w:rPr>
          <w:rFonts w:ascii="Times New Roman" w:cs="Times New Roman" w:eastAsia="Times New Roman" w:hAnsi="Times New Roman"/>
          <w:sz w:val="21"/>
          <w:szCs w:val="21"/>
          <w:color w:val="auto"/>
        </w:rPr>
      </w:pPr>
    </w:p>
    <w:p>
      <w:pPr>
        <w:ind w:firstLine="652"/>
        <w:spacing w:after="0" w:line="255" w:lineRule="auto"/>
        <w:tabs>
          <w:tab w:leader="none" w:pos="1662"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SoftBank Purchase Agreement</w:t>
      </w:r>
      <w:r>
        <w:rPr>
          <w:rFonts w:ascii="Times New Roman" w:cs="Times New Roman" w:eastAsia="Times New Roman" w:hAnsi="Times New Roman"/>
          <w:sz w:val="21"/>
          <w:szCs w:val="21"/>
          <w:color w:val="auto"/>
        </w:rPr>
        <w:t>” shall mean that certain Purchase Agreement, dated as of May 31, 2018, by and among the Company, GM and SoftBank.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Appx. 16</w:t>
      </w:r>
    </w:p>
    <w:p>
      <w:pPr>
        <w:sectPr>
          <w:pgSz w:w="11900" w:h="16838" w:orient="portrait"/>
          <w:cols w:equalWidth="0" w:num="1">
            <w:col w:w="11240"/>
          </w:cols>
          <w:pgMar w:left="320" w:top="1384" w:right="339" w:bottom="1440" w:gutter="0" w:footer="0" w:header="0"/>
        </w:sectPr>
      </w:pPr>
    </w:p>
    <w:bookmarkStart w:id="143" w:name="page144"/>
    <w:bookmarkEnd w:id="143"/>
    <w:p>
      <w:pPr>
        <w:ind w:left="1440" w:hanging="788"/>
        <w:spacing w:after="0"/>
        <w:tabs>
          <w:tab w:leader="none" w:pos="144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SoftBank Trigger Date</w:t>
      </w:r>
      <w:r>
        <w:rPr>
          <w:rFonts w:ascii="Times New Roman" w:cs="Times New Roman" w:eastAsia="Times New Roman" w:hAnsi="Times New Roman"/>
          <w:sz w:val="21"/>
          <w:szCs w:val="21"/>
          <w:color w:val="auto"/>
        </w:rPr>
        <w:t>” shall mean June 28, 2025.</w:t>
      </w:r>
    </w:p>
    <w:p>
      <w:pPr>
        <w:spacing w:after="0" w:line="188" w:lineRule="exact"/>
        <w:rPr>
          <w:rFonts w:ascii="Times New Roman" w:cs="Times New Roman" w:eastAsia="Times New Roman" w:hAnsi="Times New Roman"/>
          <w:sz w:val="21"/>
          <w:szCs w:val="21"/>
          <w:color w:val="auto"/>
        </w:rPr>
      </w:pPr>
    </w:p>
    <w:p>
      <w:pPr>
        <w:jc w:val="both"/>
        <w:ind w:right="20" w:firstLine="652"/>
        <w:spacing w:after="0" w:line="225" w:lineRule="auto"/>
        <w:tabs>
          <w:tab w:leader="none" w:pos="1505"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SPAC Transaction</w:t>
      </w:r>
      <w:r>
        <w:rPr>
          <w:rFonts w:ascii="Times New Roman" w:cs="Times New Roman" w:eastAsia="Times New Roman" w:hAnsi="Times New Roman"/>
          <w:sz w:val="21"/>
          <w:szCs w:val="21"/>
          <w:color w:val="auto"/>
        </w:rPr>
        <w:t>” shall mean any transaction or series of related transactions by merger, consolidation, share exchange or similar transaction in which the Company or any wholly-owned subsidiary of the Company merges or combines with a publicly-traded “special purpose acquisition company” or a subsidiary thereof (collectively, a “</w:t>
      </w:r>
      <w:r>
        <w:rPr>
          <w:rFonts w:ascii="Times New Roman" w:cs="Times New Roman" w:eastAsia="Times New Roman" w:hAnsi="Times New Roman"/>
          <w:sz w:val="21"/>
          <w:szCs w:val="21"/>
          <w:b w:val="1"/>
          <w:bCs w:val="1"/>
          <w:color w:val="auto"/>
        </w:rPr>
        <w:t>SPAC</w:t>
      </w:r>
      <w:r>
        <w:rPr>
          <w:rFonts w:ascii="Times New Roman" w:cs="Times New Roman" w:eastAsia="Times New Roman" w:hAnsi="Times New Roman"/>
          <w:sz w:val="21"/>
          <w:szCs w:val="21"/>
          <w:color w:val="auto"/>
        </w:rPr>
        <w:t xml:space="preserve">”), and as a result of such combination all Shares are converted into or exchanged for common stock of the SPAC or its successor entity that are listed on the Nasdaq Stock Market, the New York Stock Exchange or another exchange or marketplace approved by the Board of Directors or the GM Investor, in each case approved pursuant to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right="20" w:firstLine="652"/>
        <w:spacing w:after="0" w:line="219" w:lineRule="auto"/>
        <w:tabs>
          <w:tab w:leader="none" w:pos="1483"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shall mean with respect to any Person, any corporation, partnership, limited liability company,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a majority of the partnership or other similar ownership interest thereof is at the time owned or controlled, directly or indirectly, by any Person or one or more Subsidiaries of that Person or a combination thereof. For the purposes hereof, a Person or Persons shall be deemed to have a majority ownership interest in a partnership, limited liability company, association or other business entity if such Person or Persons shall be allocated a majority of partnership, limited liability company, association or other business entity gains or losses or shall be or control or have the right to appoint, as the case may be, the managing director, manager, board of advisors, a company or other governing body of such partnership, limited liability company, association or other business entity by means of ownership interest, agreement or otherwise.</w:t>
      </w:r>
    </w:p>
    <w:p>
      <w:pPr>
        <w:spacing w:after="0" w:line="150" w:lineRule="exact"/>
        <w:rPr>
          <w:rFonts w:ascii="Times New Roman" w:cs="Times New Roman" w:eastAsia="Times New Roman" w:hAnsi="Times New Roman"/>
          <w:sz w:val="21"/>
          <w:szCs w:val="21"/>
          <w:color w:val="auto"/>
        </w:rPr>
      </w:pPr>
    </w:p>
    <w:p>
      <w:pPr>
        <w:jc w:val="both"/>
        <w:ind w:right="20" w:firstLine="652"/>
        <w:spacing w:after="0" w:line="227" w:lineRule="auto"/>
        <w:tabs>
          <w:tab w:leader="none" w:pos="1675"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Technical Information</w:t>
      </w:r>
      <w:r>
        <w:rPr>
          <w:rFonts w:ascii="Times New Roman" w:cs="Times New Roman" w:eastAsia="Times New Roman" w:hAnsi="Times New Roman"/>
          <w:sz w:val="21"/>
          <w:szCs w:val="21"/>
          <w:color w:val="auto"/>
        </w:rPr>
        <w:t xml:space="preserve">” shall mean all information of the Company or any of its Subsidiaries that is related to the technology, intellectual property, data, know-how, software, trade secrets, hardware, algorithms, technical processes, source code, and any other information that could reasonably enable a third party to reverse engineer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Technical Information shall not include information pertaining to the performance and general characteristics of the technology, software, and hardware of the Company or any of its Subsidiaries.</w:t>
      </w:r>
    </w:p>
    <w:p>
      <w:pPr>
        <w:spacing w:after="0" w:line="147" w:lineRule="exact"/>
        <w:rPr>
          <w:rFonts w:ascii="Times New Roman" w:cs="Times New Roman" w:eastAsia="Times New Roman" w:hAnsi="Times New Roman"/>
          <w:sz w:val="21"/>
          <w:szCs w:val="21"/>
          <w:color w:val="auto"/>
        </w:rPr>
      </w:pPr>
    </w:p>
    <w:p>
      <w:pPr>
        <w:ind w:right="20" w:firstLine="652"/>
        <w:spacing w:after="0" w:line="255" w:lineRule="auto"/>
        <w:tabs>
          <w:tab w:leader="none" w:pos="1756"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 Documents</w:t>
      </w:r>
      <w:r>
        <w:rPr>
          <w:rFonts w:ascii="Times New Roman" w:cs="Times New Roman" w:eastAsia="Times New Roman" w:hAnsi="Times New Roman"/>
          <w:sz w:val="21"/>
          <w:szCs w:val="21"/>
          <w:color w:val="auto"/>
        </w:rPr>
        <w:t>” shall mean this Agreement, the SoftBank Purchase Agreement, the IPMA, the EDSA, the AGSA, the Indemnity Agreement and the Award Agreements entered into in connection herewith.</w:t>
      </w:r>
    </w:p>
    <w:p>
      <w:pPr>
        <w:spacing w:after="0" w:line="131" w:lineRule="exact"/>
        <w:rPr>
          <w:rFonts w:ascii="Times New Roman" w:cs="Times New Roman" w:eastAsia="Times New Roman" w:hAnsi="Times New Roman"/>
          <w:sz w:val="21"/>
          <w:szCs w:val="21"/>
          <w:color w:val="auto"/>
        </w:rPr>
      </w:pPr>
    </w:p>
    <w:p>
      <w:pPr>
        <w:jc w:val="both"/>
        <w:ind w:right="20" w:firstLine="652"/>
        <w:spacing w:after="0" w:line="230" w:lineRule="auto"/>
        <w:tabs>
          <w:tab w:leader="none" w:pos="1948"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shall mean any transfer, sale, assignment, pledge, encumbrance or other disposition, directly or indirectly (including by merger or sale of equity in any direct or indirect holding company (including a corporation) or otherwise), irrespective of whether any of the foregoing are effected voluntarily or involuntarily, by operation of law or otherwise, or whether inter vivos or upon death.</w:t>
      </w:r>
    </w:p>
    <w:p>
      <w:pPr>
        <w:spacing w:after="0" w:line="149" w:lineRule="exact"/>
        <w:rPr>
          <w:rFonts w:ascii="Times New Roman" w:cs="Times New Roman" w:eastAsia="Times New Roman" w:hAnsi="Times New Roman"/>
          <w:sz w:val="21"/>
          <w:szCs w:val="21"/>
          <w:color w:val="auto"/>
        </w:rPr>
      </w:pPr>
    </w:p>
    <w:p>
      <w:pPr>
        <w:ind w:left="1700" w:hanging="1048"/>
        <w:spacing w:after="0"/>
        <w:tabs>
          <w:tab w:leader="none" w:pos="170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Treasury Regulations</w:t>
      </w:r>
      <w:r>
        <w:rPr>
          <w:rFonts w:ascii="Times New Roman" w:cs="Times New Roman" w:eastAsia="Times New Roman" w:hAnsi="Times New Roman"/>
          <w:sz w:val="21"/>
          <w:szCs w:val="21"/>
          <w:color w:val="auto"/>
        </w:rPr>
        <w:t>” shall mean the income tax regulations promulgated under the Code and effective as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date hereof.</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Other defined terms are contained in the following sections of this Agreement:</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8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Defined Term</w:t>
            </w:r>
          </w:p>
        </w:tc>
        <w:tc>
          <w:tcPr>
            <w:tcW w:w="3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Section Where Found</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A-1-B Antitrust Approvals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2.02(b)(i)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Appx. 17</w:t>
      </w:r>
    </w:p>
    <w:p>
      <w:pPr>
        <w:sectPr>
          <w:pgSz w:w="11900" w:h="16838" w:orient="portrait"/>
          <w:cols w:equalWidth="0" w:num="1">
            <w:col w:w="11260"/>
          </w:cols>
          <w:pgMar w:left="320" w:top="1384" w:right="319" w:bottom="1440" w:gutter="0" w:footer="0" w:header="0"/>
        </w:sectPr>
      </w:pPr>
    </w:p>
    <w:bookmarkStart w:id="144" w:name="page145"/>
    <w:bookmarkEnd w:id="144"/>
    <w:tbl>
      <w:tblPr>
        <w:tblLayout w:type="fixed"/>
        <w:tblInd w:w="10" w:type="dxa"/>
        <w:tblCellMar>
          <w:top w:w="0" w:type="dxa"/>
          <w:left w:w="0" w:type="dxa"/>
          <w:bottom w:w="0" w:type="dxa"/>
          <w:right w:w="0" w:type="dxa"/>
        </w:tblCellMar>
      </w:tblPr>
      <w:tr>
        <w:trPr>
          <w:trHeight w:val="334"/>
        </w:trPr>
        <w:tc>
          <w:tcPr>
            <w:tcW w:w="81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A-2 Preferred Directors</w:t>
            </w:r>
          </w:p>
        </w:tc>
        <w:tc>
          <w:tcPr>
            <w:tcW w:w="30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6.03(a)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Acceptance Period</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2.07(a)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Accounting Firm</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4.03(f)</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Acquired Person</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11.02(b)(v)</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Act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1.02</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Additional Member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9.04(b)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Admission Date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9.03(c)</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Advance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2.02(c)(i)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Aggregate Company Hypothetical Pre-Deconsolidation Tax Amount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Amended Tag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9.07(c)</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Applicable FMV Parties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 xml:space="preserve">Exhibit </w:t>
            </w:r>
            <w:r>
              <w:rPr>
                <w:rFonts w:ascii="Times New Roman" w:cs="Times New Roman" w:eastAsia="Times New Roman" w:hAnsi="Times New Roman"/>
                <w:sz w:val="21"/>
                <w:szCs w:val="21"/>
                <w:color w:val="000000"/>
              </w:rPr>
              <w:t>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Assignee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9.03(a)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Binding Transaction Agreement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9.01(a)(ix)</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Board Observers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6.04</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Board of Directors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Call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9.12(b)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Cash Election</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9.13(b)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CD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2.02(c)(i)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Certificated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2.08</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Chairman</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6.03(b)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A-1 Preferred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A-1/D Purchase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A-1-A Liquidation Preference Amount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Appendix 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A-1-A Preferred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A-1-B Liquidation Preference Amount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Appendix 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A-1-B Preferred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A-2 Preferred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B Common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C Common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D Common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E Common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E Purchase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9.12(b)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F Commitment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2.04(b)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F Preferred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F Purchase Agreement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G Commitment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2.04(c)</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G Preferred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G Purchase Agreement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H Call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9.12(f)</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H Common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Class H Purchase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9.12(f)</w:t>
            </w:r>
          </w:p>
        </w:tc>
      </w:tr>
    </w:tbl>
    <w:p>
      <w:pPr>
        <w:spacing w:after="0" w:line="200" w:lineRule="exact"/>
        <w:rPr>
          <w:sz w:val="20"/>
          <w:szCs w:val="20"/>
          <w:color w:val="auto"/>
        </w:rPr>
      </w:pPr>
    </w:p>
    <w:p>
      <w:pPr>
        <w:sectPr>
          <w:pgSz w:w="11900" w:h="16838" w:orient="portrait"/>
          <w:cols w:equalWidth="0" w:num="1">
            <w:col w:w="11260"/>
          </w:cols>
          <w:pgMar w:left="320" w:top="143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Appx. 18</w:t>
      </w:r>
    </w:p>
    <w:p>
      <w:pPr>
        <w:sectPr>
          <w:pgSz w:w="11900" w:h="16838" w:orient="portrait"/>
          <w:cols w:equalWidth="0" w:num="1">
            <w:col w:w="11260"/>
          </w:cols>
          <w:pgMar w:left="320" w:top="1436" w:right="319" w:bottom="0" w:gutter="0" w:footer="0" w:header="0"/>
          <w:type w:val="continuous"/>
        </w:sectPr>
      </w:pPr>
    </w:p>
    <w:bookmarkStart w:id="145" w:name="page146"/>
    <w:bookmarkEnd w:id="145"/>
    <w:tbl>
      <w:tblPr>
        <w:tblLayout w:type="fixed"/>
        <w:tblInd w:w="10" w:type="dxa"/>
        <w:tblCellMar>
          <w:top w:w="0" w:type="dxa"/>
          <w:left w:w="0" w:type="dxa"/>
          <w:bottom w:w="0" w:type="dxa"/>
          <w:right w:w="0" w:type="dxa"/>
        </w:tblCellMar>
      </w:tblPr>
      <w:tr>
        <w:trPr>
          <w:trHeight w:val="334"/>
        </w:trPr>
        <w:tc>
          <w:tcPr>
            <w:tcW w:w="81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Commercial Deployment</w:t>
            </w:r>
          </w:p>
        </w:tc>
        <w:tc>
          <w:tcPr>
            <w:tcW w:w="30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2.02(b)(i)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Common Director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6.03(a)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Company</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Preamble; Section 12.03</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Company Hypothetical Pre-Deconsolidation Tax Amount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Cure Period</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2.02(c)(ii)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Deconsolidation</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4.03(n)(iii)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Deemed Liquidation Event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3.02(b)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Drag Percentage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9.09(a)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Drag-Along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9.09(a)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Drag-Along Sale Transaction</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9.09(a)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Dragees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9.09(a)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EIP Class B Common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2.03(a)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Emergency Meeting</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6.11</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Entity</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9.10(c)</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Equity Awards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2.03(a)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Excess New Securities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2.07(a)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Excess NOL Tax Increase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4.03(n)(iv)</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Excluded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9.01(a)(v)</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Exempt Class F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Exempt Class G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Exempt Class H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Exempt Class H Affiliate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Exempt Class H Family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Exempt Employee Member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Exempt Honda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Exempt Microsoft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Exempt SoftBank Transfer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FAW-GM</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Fifth A&amp;R Agreement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11.01(a)</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First A&amp;R Agreement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6"/>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First Overallotment Process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Fourth A&amp;R Agreement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2.07(b)(i)</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GM</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6"/>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GM Acquirer</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Preamble</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GM Commitment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Appendix 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GM Consolidated Group</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2.02(e)</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GM Consolidated Return</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4.03(n)(v)</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GM Cruise Holdings LLC</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4.03(n)(v)</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GM ROFR Date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1.03</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GM ROFR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9.01(a)(x)</w:t>
            </w:r>
          </w:p>
        </w:tc>
      </w:tr>
    </w:tbl>
    <w:p>
      <w:pPr>
        <w:spacing w:after="0" w:line="200" w:lineRule="exact"/>
        <w:rPr>
          <w:sz w:val="20"/>
          <w:szCs w:val="20"/>
          <w:color w:val="auto"/>
        </w:rPr>
      </w:pPr>
    </w:p>
    <w:p>
      <w:pPr>
        <w:sectPr>
          <w:pgSz w:w="11900" w:h="16838" w:orient="portrait"/>
          <w:cols w:equalWidth="0" w:num="1">
            <w:col w:w="11260"/>
          </w:cols>
          <w:pgMar w:left="320" w:top="143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Appx. 19</w:t>
      </w:r>
    </w:p>
    <w:p>
      <w:pPr>
        <w:sectPr>
          <w:pgSz w:w="11900" w:h="16838" w:orient="portrait"/>
          <w:cols w:equalWidth="0" w:num="1">
            <w:col w:w="11260"/>
          </w:cols>
          <w:pgMar w:left="320" w:top="1436" w:right="319" w:bottom="0" w:gutter="0" w:footer="0" w:header="0"/>
          <w:type w:val="continuous"/>
        </w:sectPr>
      </w:pPr>
    </w:p>
    <w:bookmarkStart w:id="146" w:name="page147"/>
    <w:bookmarkEnd w:id="146"/>
    <w:tbl>
      <w:tblPr>
        <w:tblLayout w:type="fixed"/>
        <w:tblInd w:w="10" w:type="dxa"/>
        <w:tblCellMar>
          <w:top w:w="0" w:type="dxa"/>
          <w:left w:w="0" w:type="dxa"/>
          <w:bottom w:w="0" w:type="dxa"/>
          <w:right w:w="0" w:type="dxa"/>
        </w:tblCellMar>
      </w:tblPr>
      <w:tr>
        <w:trPr>
          <w:trHeight w:val="334"/>
        </w:trPr>
        <w:tc>
          <w:tcPr>
            <w:tcW w:w="81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Holder Shares</w:t>
            </w:r>
          </w:p>
        </w:tc>
        <w:tc>
          <w:tcPr>
            <w:tcW w:w="30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9.01(a)(x)</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Honda</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 xml:space="preserve">Exhibit </w:t>
            </w:r>
            <w:r>
              <w:rPr>
                <w:rFonts w:ascii="Times New Roman" w:cs="Times New Roman" w:eastAsia="Times New Roman" w:hAnsi="Times New Roman"/>
                <w:sz w:val="21"/>
                <w:szCs w:val="21"/>
                <w:color w:val="000000"/>
              </w:rPr>
              <w:t>I</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Honda Board Observer</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Preamble</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Honda Call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6.04</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Honda Commitment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9.12(b)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Honda Purchase Agreement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2.04</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Honda R&amp;D Co</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Hypothetical Deconsolidated Company NOL Amount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6.05</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Incremental GM Tax Amount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4.03(n)(vii)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IP Upsized FMV</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4.03(n)(viii)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IP Upsizing</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 xml:space="preserve">Exhibit </w:t>
            </w:r>
            <w:r>
              <w:rPr>
                <w:rFonts w:ascii="Times New Roman" w:cs="Times New Roman" w:eastAsia="Times New Roman" w:hAnsi="Times New Roman"/>
                <w:sz w:val="21"/>
                <w:szCs w:val="21"/>
                <w:color w:val="000000"/>
              </w:rPr>
              <w:t>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IPO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 xml:space="preserve">Exhibit </w:t>
            </w:r>
            <w:r>
              <w:rPr>
                <w:rFonts w:ascii="Times New Roman" w:cs="Times New Roman" w:eastAsia="Times New Roman" w:hAnsi="Times New Roman"/>
                <w:sz w:val="21"/>
                <w:szCs w:val="21"/>
                <w:color w:val="000000"/>
              </w:rPr>
              <w:t>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IPO Shortfall</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9.10(a)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IRS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4.02</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Joinder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Exhibit 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LLC Agreement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Section 12.03</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Member Group Persons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5.08(a)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Members Schedule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2.01(b)</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Microsoft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Preamble</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Microsoft Board Observer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6.04</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New Securities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2.07(a)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NOL Deficit Amount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4.03(n)(ix)</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Non-Compete Period</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11.02(a)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Officers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6.15</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Optional SoftBank Conversion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9.13(a)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Optional SoftBank Conversion Purchase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9.13(c)</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Options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2.03(a)</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Original Agreement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6"/>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Original Closing Date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Other Business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5.08(a)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Other Tax Credits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4.03(n)(x)</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Overallotment Investors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2.07(b)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Par Securities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6.13(c)</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Participation Members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9.07(a)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PATAC</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11.01(a)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Payment Period</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2.02(c)(i)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Permitted Transferee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9.02(b)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Preemptive Rights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2.07(a)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Proceeding</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7.02(a)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R&amp;D Tax Credits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4.03(n)(xi)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ROFR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9.01(a)(ix)</w:t>
            </w:r>
          </w:p>
        </w:tc>
      </w:tr>
    </w:tbl>
    <w:p>
      <w:pPr>
        <w:spacing w:after="0" w:line="200" w:lineRule="exact"/>
        <w:rPr>
          <w:sz w:val="20"/>
          <w:szCs w:val="20"/>
          <w:color w:val="auto"/>
        </w:rPr>
      </w:pPr>
    </w:p>
    <w:p>
      <w:pPr>
        <w:sectPr>
          <w:pgSz w:w="11900" w:h="16838" w:orient="portrait"/>
          <w:cols w:equalWidth="0" w:num="1">
            <w:col w:w="11260"/>
          </w:cols>
          <w:pgMar w:left="320" w:top="143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Appx. 20</w:t>
      </w:r>
    </w:p>
    <w:p>
      <w:pPr>
        <w:sectPr>
          <w:pgSz w:w="11900" w:h="16838" w:orient="portrait"/>
          <w:cols w:equalWidth="0" w:num="1">
            <w:col w:w="11260"/>
          </w:cols>
          <w:pgMar w:left="320" w:top="1436" w:right="319" w:bottom="0" w:gutter="0" w:footer="0" w:header="0"/>
          <w:type w:val="continuous"/>
        </w:sectPr>
      </w:pPr>
    </w:p>
    <w:bookmarkStart w:id="147" w:name="page148"/>
    <w:bookmarkEnd w:id="147"/>
    <w:tbl>
      <w:tblPr>
        <w:tblLayout w:type="fixed"/>
        <w:tblInd w:w="10" w:type="dxa"/>
        <w:tblCellMar>
          <w:top w:w="0" w:type="dxa"/>
          <w:left w:w="0" w:type="dxa"/>
          <w:bottom w:w="0" w:type="dxa"/>
          <w:right w:w="0" w:type="dxa"/>
        </w:tblCellMar>
      </w:tblPr>
      <w:tr>
        <w:trPr>
          <w:trHeight w:val="334"/>
        </w:trPr>
        <w:tc>
          <w:tcPr>
            <w:tcW w:w="81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ROFR Offered Shares</w:t>
            </w:r>
          </w:p>
        </w:tc>
        <w:tc>
          <w:tcPr>
            <w:tcW w:w="30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9.01(a)(ix)</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RSUs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2.03(a)</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Second A&amp;R Agreement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Section 59(e) Benefit Amount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Section 4.03(n)(xii)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Section 59(e) Detriment Amount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Section 4.03(n)(xiii)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Section 59(e) Election</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4.03(d)</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Senior Securities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Section 2.02(d)(iv)</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SGM</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11.01(a)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Share and/or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2.01(a)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Share Awards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2.03(a)</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SoftBank</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SoftBank Board Observer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6.04</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SoftBank Call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SoftBank Commitment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SoftBank Director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6.03(a)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SoftBank Fund</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Appendix 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Standardized FMV</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 xml:space="preserve">Exhibit </w:t>
            </w:r>
            <w:r>
              <w:rPr>
                <w:rFonts w:ascii="Times New Roman" w:cs="Times New Roman" w:eastAsia="Times New Roman" w:hAnsi="Times New Roman"/>
                <w:sz w:val="21"/>
                <w:szCs w:val="21"/>
                <w:color w:val="000000"/>
              </w:rPr>
              <w:t>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State Acts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Section 12.03</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Stock Election</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9.13(b)</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Subsequent SoftBank Commitment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2.02(c)(i)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Subsequent SoftBank Commitment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2.02(c)(i)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Substituted Member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9.04(a)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Supplemental Preemptive Rights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2.07(a)</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SoftBank</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Preamble</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Tag Notice</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9.07(a)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Tagged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9.07(a)</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Target</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Appendix 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Tax Materials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4.03(m)</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Tax Period</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4.03(n)(xiv)</w:t>
            </w:r>
          </w:p>
        </w:tc>
      </w:tr>
      <w:tr>
        <w:trPr>
          <w:trHeight w:val="287"/>
        </w:trPr>
        <w:tc>
          <w:tcPr>
            <w:tcW w:w="8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Third A&amp;R Agreement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4"/>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Total Optional Conversion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Appendix 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Total Conversion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9.07(a)(i)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Total Tagged Shares</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9.07(a)(ii)</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Transferor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9.01(a)(ix)</w:t>
            </w:r>
          </w:p>
        </w:tc>
      </w:tr>
      <w:tr>
        <w:trPr>
          <w:trHeight w:val="316"/>
        </w:trPr>
        <w:tc>
          <w:tcPr>
            <w:tcW w:w="8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Transferring Holder</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010000"/>
              </w:rPr>
              <w:t>Section 9.07(a)</w:t>
            </w:r>
          </w:p>
        </w:tc>
      </w:tr>
    </w:tbl>
    <w:p>
      <w:pPr>
        <w:spacing w:after="0" w:line="200" w:lineRule="exact"/>
        <w:rPr>
          <w:sz w:val="20"/>
          <w:szCs w:val="20"/>
          <w:color w:val="auto"/>
        </w:rPr>
      </w:pPr>
    </w:p>
    <w:p>
      <w:pPr>
        <w:sectPr>
          <w:pgSz w:w="11900" w:h="16838" w:orient="portrait"/>
          <w:cols w:equalWidth="0" w:num="1">
            <w:col w:w="11260"/>
          </w:cols>
          <w:pgMar w:left="320" w:top="14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Appx. 21</w:t>
      </w:r>
    </w:p>
    <w:p>
      <w:pPr>
        <w:sectPr>
          <w:pgSz w:w="11900" w:h="16838" w:orient="portrait"/>
          <w:cols w:equalWidth="0" w:num="1">
            <w:col w:w="11260"/>
          </w:cols>
          <w:pgMar w:left="320" w:top="1436" w:right="319" w:bottom="1440" w:gutter="0" w:footer="0" w:header="0"/>
          <w:type w:val="continuous"/>
        </w:sectPr>
      </w:pPr>
    </w:p>
    <w:bookmarkStart w:id="148" w:name="page149"/>
    <w:bookmarkEnd w:id="148"/>
    <w:p>
      <w:pPr>
        <w:ind w:left="5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I</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JOINDER TO THE EIGHTH AMENDED AND RESTATED LIMITED LIABILITY COMPANY AGREEMENT OF GM</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CRUISE HOLDINGS LLC</w:t>
      </w:r>
    </w:p>
    <w:p>
      <w:pPr>
        <w:spacing w:after="0" w:line="160" w:lineRule="exact"/>
        <w:rPr>
          <w:sz w:val="20"/>
          <w:szCs w:val="20"/>
          <w:color w:val="auto"/>
        </w:rPr>
      </w:pPr>
    </w:p>
    <w:p>
      <w:pPr>
        <w:jc w:val="both"/>
        <w:ind w:firstLine="645"/>
        <w:spacing w:after="0" w:line="227" w:lineRule="auto"/>
        <w:rPr>
          <w:sz w:val="20"/>
          <w:szCs w:val="20"/>
          <w:color w:val="auto"/>
        </w:rPr>
      </w:pPr>
      <w:r>
        <w:rPr>
          <w:rFonts w:ascii="Times New Roman" w:cs="Times New Roman" w:eastAsia="Times New Roman" w:hAnsi="Times New Roman"/>
          <w:sz w:val="21"/>
          <w:szCs w:val="21"/>
          <w:color w:val="auto"/>
        </w:rPr>
        <w:t>THIS JOINDER (this “</w:t>
      </w:r>
      <w:r>
        <w:rPr>
          <w:rFonts w:ascii="Times New Roman" w:cs="Times New Roman" w:eastAsia="Times New Roman" w:hAnsi="Times New Roman"/>
          <w:sz w:val="21"/>
          <w:szCs w:val="21"/>
          <w:b w:val="1"/>
          <w:bCs w:val="1"/>
          <w:color w:val="auto"/>
        </w:rPr>
        <w:t>Joinder</w:t>
      </w:r>
      <w:r>
        <w:rPr>
          <w:rFonts w:ascii="Times New Roman" w:cs="Times New Roman" w:eastAsia="Times New Roman" w:hAnsi="Times New Roman"/>
          <w:sz w:val="21"/>
          <w:szCs w:val="21"/>
          <w:color w:val="auto"/>
        </w:rPr>
        <w:t>”) to that certain Eighth Amended and Restated Limited Liability Company Agreement, dated as of March 18, 2022, by and among GM Cruise Holdings LLC, a Delaware limited liability company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certain Members of the Company (the “</w:t>
      </w:r>
      <w:r>
        <w:rPr>
          <w:rFonts w:ascii="Times New Roman" w:cs="Times New Roman" w:eastAsia="Times New Roman" w:hAnsi="Times New Roman"/>
          <w:sz w:val="21"/>
          <w:szCs w:val="21"/>
          <w:b w:val="1"/>
          <w:bCs w:val="1"/>
          <w:color w:val="auto"/>
        </w:rPr>
        <w:t>Limited Liability Company Agreement</w:t>
      </w:r>
      <w:r>
        <w:rPr>
          <w:rFonts w:ascii="Times New Roman" w:cs="Times New Roman" w:eastAsia="Times New Roman" w:hAnsi="Times New Roman"/>
          <w:sz w:val="21"/>
          <w:szCs w:val="21"/>
          <w:color w:val="auto"/>
        </w:rPr>
        <w:t>”), is made and entered into as of [●], by and between the Company and [●] (“</w:t>
      </w:r>
      <w:r>
        <w:rPr>
          <w:rFonts w:ascii="Times New Roman" w:cs="Times New Roman" w:eastAsia="Times New Roman" w:hAnsi="Times New Roman"/>
          <w:sz w:val="21"/>
          <w:szCs w:val="21"/>
          <w:b w:val="1"/>
          <w:bCs w:val="1"/>
          <w:color w:val="auto"/>
        </w:rPr>
        <w:t>Holder</w:t>
      </w:r>
      <w:r>
        <w:rPr>
          <w:rFonts w:ascii="Times New Roman" w:cs="Times New Roman" w:eastAsia="Times New Roman" w:hAnsi="Times New Roman"/>
          <w:sz w:val="21"/>
          <w:szCs w:val="21"/>
          <w:color w:val="auto"/>
        </w:rPr>
        <w:t>”). Capitalized terms used but not otherwise defined herein shall have the meanings set forth in the Limited Liability Company Agreement.</w:t>
      </w:r>
    </w:p>
    <w:p>
      <w:pPr>
        <w:spacing w:after="0" w:line="148" w:lineRule="exact"/>
        <w:rPr>
          <w:sz w:val="20"/>
          <w:szCs w:val="20"/>
          <w:color w:val="auto"/>
        </w:rPr>
      </w:pPr>
    </w:p>
    <w:p>
      <w:pPr>
        <w:jc w:val="both"/>
        <w:ind w:firstLine="645"/>
        <w:spacing w:after="0" w:line="236" w:lineRule="auto"/>
        <w:rPr>
          <w:sz w:val="20"/>
          <w:szCs w:val="20"/>
          <w:color w:val="auto"/>
        </w:rPr>
      </w:pPr>
      <w:r>
        <w:rPr>
          <w:rFonts w:ascii="Times New Roman" w:cs="Times New Roman" w:eastAsia="Times New Roman" w:hAnsi="Times New Roman"/>
          <w:sz w:val="21"/>
          <w:szCs w:val="21"/>
          <w:color w:val="auto"/>
        </w:rPr>
        <w:t>WHEREAS, Holder has acquired certain [</w:t>
      </w:r>
      <w:r>
        <w:rPr>
          <w:rFonts w:ascii="Times New Roman" w:cs="Times New Roman" w:eastAsia="Times New Roman" w:hAnsi="Times New Roman"/>
          <w:sz w:val="21"/>
          <w:szCs w:val="21"/>
          <w:i w:val="1"/>
          <w:iCs w:val="1"/>
          <w:color w:val="auto"/>
        </w:rPr>
        <w:t>class</w:t>
      </w:r>
      <w:r>
        <w:rPr>
          <w:rFonts w:ascii="Times New Roman" w:cs="Times New Roman" w:eastAsia="Times New Roman" w:hAnsi="Times New Roman"/>
          <w:sz w:val="21"/>
          <w:szCs w:val="21"/>
          <w:color w:val="auto"/>
        </w:rPr>
        <w:t>] Shares of the Company (“</w:t>
      </w:r>
      <w:r>
        <w:rPr>
          <w:rFonts w:ascii="Times New Roman" w:cs="Times New Roman" w:eastAsia="Times New Roman" w:hAnsi="Times New Roman"/>
          <w:sz w:val="21"/>
          <w:szCs w:val="21"/>
          <w:b w:val="1"/>
          <w:bCs w:val="1"/>
          <w:color w:val="auto"/>
        </w:rPr>
        <w:t>Holder Shares</w:t>
      </w:r>
      <w:r>
        <w:rPr>
          <w:rFonts w:ascii="Times New Roman" w:cs="Times New Roman" w:eastAsia="Times New Roman" w:hAnsi="Times New Roman"/>
          <w:sz w:val="21"/>
          <w:szCs w:val="21"/>
          <w:color w:val="auto"/>
        </w:rPr>
        <w:t>”) and Holder is required, as a holder of the Holder Shares, to become a party to the Limited Liability Company Agreement, and Holder agrees to do so in accordance with the terms hereof.</w:t>
      </w:r>
    </w:p>
    <w:p>
      <w:pPr>
        <w:spacing w:after="0" w:line="152"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21"/>
          <w:szCs w:val="21"/>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140" w:lineRule="exact"/>
        <w:rPr>
          <w:sz w:val="20"/>
          <w:szCs w:val="20"/>
          <w:color w:val="auto"/>
        </w:rPr>
      </w:pPr>
    </w:p>
    <w:p>
      <w:pPr>
        <w:jc w:val="both"/>
        <w:ind w:firstLine="652"/>
        <w:spacing w:after="0" w:line="229" w:lineRule="auto"/>
        <w:tabs>
          <w:tab w:leader="none" w:pos="111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to be Bound</w:t>
      </w:r>
      <w:r>
        <w:rPr>
          <w:rFonts w:ascii="Times New Roman" w:cs="Times New Roman" w:eastAsia="Times New Roman" w:hAnsi="Times New Roman"/>
          <w:sz w:val="21"/>
          <w:szCs w:val="21"/>
          <w:color w:val="auto"/>
        </w:rPr>
        <w:t>. Holder hereby agrees that upon execution of this Joinder, it shall become a party to the Limited Liability Company Agreement as a [</w:t>
      </w:r>
      <w:r>
        <w:rPr>
          <w:rFonts w:ascii="Times New Roman" w:cs="Times New Roman" w:eastAsia="Times New Roman" w:hAnsi="Times New Roman"/>
          <w:sz w:val="21"/>
          <w:szCs w:val="21"/>
          <w:i w:val="1"/>
          <w:iCs w:val="1"/>
          <w:color w:val="auto"/>
        </w:rPr>
        <w:t>class</w:t>
      </w:r>
      <w:r>
        <w:rPr>
          <w:rFonts w:ascii="Times New Roman" w:cs="Times New Roman" w:eastAsia="Times New Roman" w:hAnsi="Times New Roman"/>
          <w:sz w:val="21"/>
          <w:szCs w:val="21"/>
          <w:color w:val="auto"/>
        </w:rPr>
        <w:t>] Member, and shall be fully bound by, and subject to, all of the covenants, terms and conditions of the Limited Liability Company Agreement as though an original party thereto and shall be deemed a holder of Shares of [</w:t>
      </w:r>
      <w:r>
        <w:rPr>
          <w:rFonts w:ascii="Times New Roman" w:cs="Times New Roman" w:eastAsia="Times New Roman" w:hAnsi="Times New Roman"/>
          <w:sz w:val="21"/>
          <w:szCs w:val="21"/>
          <w:i w:val="1"/>
          <w:iCs w:val="1"/>
          <w:color w:val="auto"/>
        </w:rPr>
        <w:t>class</w:t>
      </w:r>
      <w:r>
        <w:rPr>
          <w:rFonts w:ascii="Times New Roman" w:cs="Times New Roman" w:eastAsia="Times New Roman" w:hAnsi="Times New Roman"/>
          <w:sz w:val="21"/>
          <w:szCs w:val="21"/>
          <w:color w:val="auto"/>
        </w:rPr>
        <w:t>] and a Member for all purposes thereof.</w:t>
      </w:r>
    </w:p>
    <w:p>
      <w:pPr>
        <w:spacing w:after="0" w:line="153" w:lineRule="exact"/>
        <w:rPr>
          <w:rFonts w:ascii="Times New Roman" w:cs="Times New Roman" w:eastAsia="Times New Roman" w:hAnsi="Times New Roman"/>
          <w:sz w:val="21"/>
          <w:szCs w:val="21"/>
          <w:color w:val="auto"/>
        </w:rPr>
      </w:pPr>
    </w:p>
    <w:p>
      <w:pPr>
        <w:jc w:val="both"/>
        <w:ind w:firstLine="652"/>
        <w:spacing w:after="0" w:line="235" w:lineRule="auto"/>
        <w:tabs>
          <w:tab w:leader="none" w:pos="1021"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Joinder shall bind and inure to the benefit of and be enforceable by the Company and its successors and assigns and Holder and any subsequent holders of Shares and the respective successors and assigns of each of them, so long as they hold any Shares.</w:t>
      </w:r>
    </w:p>
    <w:p>
      <w:pPr>
        <w:spacing w:after="0" w:line="150" w:lineRule="exact"/>
        <w:rPr>
          <w:rFonts w:ascii="Times New Roman" w:cs="Times New Roman" w:eastAsia="Times New Roman" w:hAnsi="Times New Roman"/>
          <w:sz w:val="21"/>
          <w:szCs w:val="21"/>
          <w:color w:val="auto"/>
        </w:rPr>
      </w:pPr>
    </w:p>
    <w:p>
      <w:pPr>
        <w:ind w:firstLine="652"/>
        <w:spacing w:after="0" w:line="251" w:lineRule="auto"/>
        <w:tabs>
          <w:tab w:leader="none" w:pos="108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Joinder may be executed in any number of counterparts (including by electronic copy), each of which shall be an original and all of which together shall constitute one and the same agreement.</w:t>
      </w:r>
    </w:p>
    <w:p>
      <w:pPr>
        <w:spacing w:after="0" w:line="139" w:lineRule="exact"/>
        <w:rPr>
          <w:rFonts w:ascii="Times New Roman" w:cs="Times New Roman" w:eastAsia="Times New Roman" w:hAnsi="Times New Roman"/>
          <w:sz w:val="21"/>
          <w:szCs w:val="21"/>
          <w:color w:val="auto"/>
        </w:rPr>
      </w:pPr>
    </w:p>
    <w:p>
      <w:pPr>
        <w:ind w:firstLine="652"/>
        <w:spacing w:after="0" w:line="251" w:lineRule="auto"/>
        <w:tabs>
          <w:tab w:leader="none" w:pos="107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For purposes of </w:t>
      </w:r>
      <w:r>
        <w:rPr>
          <w:rFonts w:ascii="Times New Roman" w:cs="Times New Roman" w:eastAsia="Times New Roman" w:hAnsi="Times New Roman"/>
          <w:sz w:val="21"/>
          <w:szCs w:val="21"/>
          <w:u w:val="single" w:color="auto"/>
          <w:color w:val="auto"/>
        </w:rPr>
        <w:t>Section 12.06</w:t>
      </w:r>
      <w:r>
        <w:rPr>
          <w:rFonts w:ascii="Times New Roman" w:cs="Times New Roman" w:eastAsia="Times New Roman" w:hAnsi="Times New Roman"/>
          <w:sz w:val="21"/>
          <w:szCs w:val="21"/>
          <w:color w:val="auto"/>
        </w:rPr>
        <w:t xml:space="preserve"> of the Limited Liability Company Agreement, all notices, demands or other communications to the Holder shall be directed to the address set forth on the signature page hereto for such Holder.</w:t>
      </w:r>
    </w:p>
    <w:p>
      <w:pPr>
        <w:spacing w:after="0" w:line="139" w:lineRule="exact"/>
        <w:rPr>
          <w:rFonts w:ascii="Times New Roman" w:cs="Times New Roman" w:eastAsia="Times New Roman" w:hAnsi="Times New Roman"/>
          <w:sz w:val="21"/>
          <w:szCs w:val="21"/>
          <w:color w:val="auto"/>
        </w:rPr>
      </w:pPr>
    </w:p>
    <w:p>
      <w:pPr>
        <w:jc w:val="both"/>
        <w:ind w:firstLine="652"/>
        <w:spacing w:after="0" w:line="224" w:lineRule="auto"/>
        <w:tabs>
          <w:tab w:leader="none" w:pos="104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All issues and questions concerning the construction, validity, enforcement and interpretation of the Limited Liability Company Agreement, including this Joinder,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jurisdiction and venue therein.</w:t>
      </w:r>
    </w:p>
    <w:p>
      <w:pPr>
        <w:spacing w:after="0" w:line="152" w:lineRule="exact"/>
        <w:rPr>
          <w:rFonts w:ascii="Times New Roman" w:cs="Times New Roman" w:eastAsia="Times New Roman" w:hAnsi="Times New Roman"/>
          <w:sz w:val="21"/>
          <w:szCs w:val="21"/>
          <w:color w:val="auto"/>
        </w:rPr>
      </w:pPr>
    </w:p>
    <w:p>
      <w:pPr>
        <w:ind w:firstLine="652"/>
        <w:spacing w:after="0" w:line="251" w:lineRule="auto"/>
        <w:tabs>
          <w:tab w:leader="none" w:pos="1021"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Descriptive Headings</w:t>
      </w:r>
      <w:r>
        <w:rPr>
          <w:rFonts w:ascii="Times New Roman" w:cs="Times New Roman" w:eastAsia="Times New Roman" w:hAnsi="Times New Roman"/>
          <w:sz w:val="21"/>
          <w:szCs w:val="21"/>
          <w:color w:val="auto"/>
        </w:rPr>
        <w:t>. The descriptive headings of this Joinder are inserted for convenience only and do not constitute a part of this Joinder.</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I-1</w:t>
      </w:r>
    </w:p>
    <w:p>
      <w:pPr>
        <w:sectPr>
          <w:pgSz w:w="11900" w:h="16838" w:orient="portrait"/>
          <w:cols w:equalWidth="0" w:num="1">
            <w:col w:w="11240"/>
          </w:cols>
          <w:pgMar w:left="320" w:top="1384"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II</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Call Notice/Optional SoftBank Conversion Notice Fair Market Value of the Company</w:t>
      </w:r>
    </w:p>
    <w:p>
      <w:pPr>
        <w:spacing w:after="0" w:line="19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The Call Notice/Optional SoftBank Conversion Notice Fair Market Value of the Company will be the total value, in dollars, of the consideration that would be received by the Members in a sale of one hundred percent (100%) of the Shares (on a Fully Diluted Basis), calculated in accordance with the process, and consistent with the methodologies, set forth below. The calculation of Call Notice/Optional SoftBank Conversion Notice Fair Market Value will consist of two independent valuations, the Standardized FMV and the IP Upsized FMV each calculated, contemporaneously (using the same Qualified Appraisers), in accordance with the process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Process</w:t>
      </w:r>
    </w:p>
    <w:p>
      <w:pPr>
        <w:spacing w:after="0" w:line="188" w:lineRule="exact"/>
        <w:rPr>
          <w:sz w:val="20"/>
          <w:szCs w:val="20"/>
          <w:color w:val="auto"/>
        </w:rPr>
      </w:pPr>
    </w:p>
    <w:p>
      <w:pPr>
        <w:ind w:firstLine="1297"/>
        <w:spacing w:after="0" w:line="251" w:lineRule="auto"/>
        <w:tabs>
          <w:tab w:leader="none" w:pos="184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Qualified Appraiser shall be selected by the GM Investor and the other Qualified Appraiser shall be selected by the Majority of the Class A-1 Preferred (such Members, the “</w:t>
      </w:r>
      <w:r>
        <w:rPr>
          <w:rFonts w:ascii="Times New Roman" w:cs="Times New Roman" w:eastAsia="Times New Roman" w:hAnsi="Times New Roman"/>
          <w:sz w:val="21"/>
          <w:szCs w:val="21"/>
          <w:b w:val="1"/>
          <w:bCs w:val="1"/>
          <w:color w:val="auto"/>
        </w:rPr>
        <w:t>Applicable FMV Parties</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auto"/>
        </w:rPr>
      </w:pPr>
    </w:p>
    <w:p>
      <w:pPr>
        <w:jc w:val="both"/>
        <w:ind w:firstLine="1297"/>
        <w:spacing w:after="0" w:line="229" w:lineRule="auto"/>
        <w:tabs>
          <w:tab w:leader="none" w:pos="192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Qualified Appraisers so selected by the Applicable FMV Parties must be engaged by the Applicable FMV Parties within fifteen (15) days of the delivery of the Call Notice or Optional SoftBank Conversion Notice (as applicable) and the Board of Directors shall, within one (1) Business Day of delivery of the Call Notice or Optional SoftBank Conversion Notice (as applicable), notify each of the Applicable FMV Parties of such event.</w:t>
      </w:r>
    </w:p>
    <w:p>
      <w:pPr>
        <w:spacing w:after="0" w:line="153" w:lineRule="exact"/>
        <w:rPr>
          <w:rFonts w:ascii="Times New Roman" w:cs="Times New Roman" w:eastAsia="Times New Roman" w:hAnsi="Times New Roman"/>
          <w:sz w:val="21"/>
          <w:szCs w:val="21"/>
          <w:color w:val="auto"/>
        </w:rPr>
      </w:pPr>
    </w:p>
    <w:p>
      <w:pPr>
        <w:jc w:val="both"/>
        <w:ind w:firstLine="1297"/>
        <w:spacing w:after="0" w:line="226" w:lineRule="auto"/>
        <w:tabs>
          <w:tab w:leader="none" w:pos="182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Qualified Appraiser shall be (i) required to determine the Call Notice/Optional SoftBank Conversion Notice Fair Market Value within forty-five (45) days after being notified of its selection, (ii) provided with the same access to the management of the Company and its Subsidiaries and the same source documents, books and records (including financial and operating data) and information regarding the Company and its Subsidiaries and (iii) required to determine a single point estimate of Call Notice/Optional SoftBank Conversion Notice Fair Market Value and not a range of values.</w:t>
      </w:r>
    </w:p>
    <w:p>
      <w:pPr>
        <w:spacing w:after="0" w:line="152" w:lineRule="exact"/>
        <w:rPr>
          <w:rFonts w:ascii="Times New Roman" w:cs="Times New Roman" w:eastAsia="Times New Roman" w:hAnsi="Times New Roman"/>
          <w:sz w:val="21"/>
          <w:szCs w:val="21"/>
          <w:color w:val="auto"/>
        </w:rPr>
      </w:pPr>
    </w:p>
    <w:p>
      <w:pPr>
        <w:jc w:val="both"/>
        <w:ind w:firstLine="1297"/>
        <w:spacing w:after="0" w:line="231" w:lineRule="auto"/>
        <w:tabs>
          <w:tab w:leader="none" w:pos="1855"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each Qualified Appraiser’s determination of Call Notice/Optional SoftBank Conversion Notice Fair Market Value (which determination shall be provided to each Applicable FMV Party together with a customary valuation report setting forth in reasonable detail such Qualified Appraiser’s calculation of Call Notice/Optional SoftBank Conversion Notice Fair Market Value prepared consistently with the methodologies set forth below), (i) if the lower of the two determinations by the two Qualified Appraisers is within ten percent (10%) of the higher of the determinations, then the Call Notice/Optional SoftBank Conversion Notice Fair Market Value shall be the average of the two determinations, and will be final and binding on the relevant parties or (ii) if the lower of the two determinations is not within ten percent (10%) of the higher of the determinations, then (A) the Applicable FMV Parties shall negotiate in good faith for a period of thirty (30) days (or such longer period as to which the Applicable FMV Parties may mutually agree) to agree upon the Call Notice/Optional SoftBank Conversion Notice Fair Market Value, any such agreement to be made by each Applicable FMV Party and to be set forth in writing signed by each of the Applicable FMV Parties (and any such agreement will be final and binding on the relevant parties), and (B) if no such agreement is reached by the Applicable FMV Parties within such thirty (30)-day time period, then a third Qualified Appraiser (acting as expert and not arbitrator) that is selected (within fifteen (15) days following the expiration of the thirty (30)-day time period for good faith negotiations) by mutual agreement of the original two Qualified Appraisers will determine its own valuation of the Call Notice/Optional SoftBank Conversion Notice Fair Market Value in accordance with the methodologies set forth below within forty-five (45) days following its appointment and the Call Notice/Optional SoftBank Conversion Notice Fair Market Value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II-1</w:t>
      </w:r>
    </w:p>
    <w:p>
      <w:pPr>
        <w:sectPr>
          <w:pgSz w:w="11900" w:h="16838" w:orient="portrait"/>
          <w:cols w:equalWidth="0" w:num="1">
            <w:col w:w="11240"/>
          </w:cols>
          <w:pgMar w:left="320" w:top="1384" w:right="339" w:bottom="1440" w:gutter="0" w:footer="0" w:header="0"/>
        </w:sectPr>
      </w:pPr>
    </w:p>
    <w:bookmarkStart w:id="150" w:name="page151"/>
    <w:bookmarkEnd w:id="150"/>
    <w:p>
      <w:pPr>
        <w:jc w:val="both"/>
        <w:spacing w:after="0" w:line="235" w:lineRule="auto"/>
        <w:rPr>
          <w:sz w:val="20"/>
          <w:szCs w:val="20"/>
          <w:color w:val="auto"/>
        </w:rPr>
      </w:pPr>
      <w:r>
        <w:rPr>
          <w:rFonts w:ascii="Times New Roman" w:cs="Times New Roman" w:eastAsia="Times New Roman" w:hAnsi="Times New Roman"/>
          <w:sz w:val="21"/>
          <w:szCs w:val="21"/>
          <w:color w:val="auto"/>
        </w:rPr>
        <w:t>be the average of (1) such third Qualified Appraiser’s determination of the Call Notice/Optional SoftBank Conversion Notice Fair Market Value and (2) the valuation of the original Qualified Appraiser that is numerically closest to the third Qualified Appraiser’s valuation.</w:t>
      </w:r>
    </w:p>
    <w:p>
      <w:pPr>
        <w:spacing w:after="0" w:line="151" w:lineRule="exact"/>
        <w:rPr>
          <w:sz w:val="20"/>
          <w:szCs w:val="20"/>
          <w:color w:val="auto"/>
        </w:rPr>
      </w:pPr>
    </w:p>
    <w:p>
      <w:pPr>
        <w:jc w:val="both"/>
        <w:ind w:firstLine="1297"/>
        <w:spacing w:after="0" w:line="235" w:lineRule="auto"/>
        <w:tabs>
          <w:tab w:leader="none" w:pos="1799"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third Qualified Appraiser shall have the same access to the Company, its Subsidiaries, their employees and officers and the source documents, books and records (including financial and operating data) and information as the original Qualified Appraisers.</w:t>
      </w:r>
    </w:p>
    <w:p>
      <w:pPr>
        <w:spacing w:after="0" w:line="150" w:lineRule="exact"/>
        <w:rPr>
          <w:rFonts w:ascii="Times New Roman" w:cs="Times New Roman" w:eastAsia="Times New Roman" w:hAnsi="Times New Roman"/>
          <w:sz w:val="21"/>
          <w:szCs w:val="21"/>
          <w:color w:val="auto"/>
        </w:rPr>
      </w:pPr>
    </w:p>
    <w:p>
      <w:pPr>
        <w:jc w:val="both"/>
        <w:ind w:firstLine="1297"/>
        <w:spacing w:after="0" w:line="235" w:lineRule="auto"/>
        <w:tabs>
          <w:tab w:leader="none" w:pos="1781"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Applicable FMV Party will bear the cost of the Qualified Appraiser selected by it and one-half of the cost of any third Qualified Appraiser that may be required in accordance with the preceding sentence (and, if an Applicable FMV Party consists of more than one Member, then such costs will be shared equally by such Members).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Methodologies</w:t>
      </w:r>
    </w:p>
    <w:p>
      <w:pPr>
        <w:spacing w:after="0" w:line="188" w:lineRule="exact"/>
        <w:rPr>
          <w:sz w:val="20"/>
          <w:szCs w:val="20"/>
          <w:color w:val="auto"/>
        </w:rPr>
      </w:pPr>
    </w:p>
    <w:p>
      <w:pPr>
        <w:jc w:val="both"/>
        <w:ind w:firstLine="645"/>
        <w:spacing w:after="0" w:line="229" w:lineRule="auto"/>
        <w:rPr>
          <w:sz w:val="20"/>
          <w:szCs w:val="20"/>
          <w:color w:val="auto"/>
        </w:rPr>
      </w:pPr>
      <w:r>
        <w:rPr>
          <w:rFonts w:ascii="Times New Roman" w:cs="Times New Roman" w:eastAsia="Times New Roman" w:hAnsi="Times New Roman"/>
          <w:sz w:val="21"/>
          <w:szCs w:val="21"/>
          <w:color w:val="auto"/>
        </w:rPr>
        <w:t>In calculating Call Notice/Optional SoftBank Conversion Notice Fair Market Value, each Qualified Appraiser will utilize customary valuation methodologies in their respective professional judgments, subject to such instructions mutually agreed by the Applicable FMV Parties within ten (10) days following the selection of the initial Qualified Appraisers, which shall include at a minimum the following:</w:t>
      </w:r>
    </w:p>
    <w:p>
      <w:pPr>
        <w:spacing w:after="0" w:line="153" w:lineRule="exact"/>
        <w:rPr>
          <w:sz w:val="20"/>
          <w:szCs w:val="20"/>
          <w:color w:val="auto"/>
        </w:rPr>
      </w:pPr>
    </w:p>
    <w:p>
      <w:pPr>
        <w:jc w:val="both"/>
        <w:ind w:firstLine="1297"/>
        <w:spacing w:after="0" w:line="224" w:lineRule="auto"/>
        <w:tabs>
          <w:tab w:leader="none" w:pos="1781"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Qualified Appraisers shall take into consideration the Company’s and its Subsidiaries’ historic financial and operating results, current balance sheet, future business prospects and projected financial and operating results, public market and industry conditions, prior financing transactions and the valuation of the Company as of such transaction (if the same is considered relevant, and requested, by the Qualified Appraisers), the valuation and performance of comparable companies and such other factors as they may determine relevant to such determination, in each case as existing as of the date the appraisal process was initiated;</w:t>
      </w:r>
    </w:p>
    <w:p>
      <w:pPr>
        <w:spacing w:after="0" w:line="152" w:lineRule="exact"/>
        <w:rPr>
          <w:rFonts w:ascii="Times New Roman" w:cs="Times New Roman" w:eastAsia="Times New Roman" w:hAnsi="Times New Roman"/>
          <w:sz w:val="21"/>
          <w:szCs w:val="21"/>
          <w:color w:val="auto"/>
        </w:rPr>
      </w:pPr>
    </w:p>
    <w:p>
      <w:pPr>
        <w:jc w:val="both"/>
        <w:ind w:firstLine="1297"/>
        <w:spacing w:after="0" w:line="220" w:lineRule="auto"/>
        <w:tabs>
          <w:tab w:leader="none" w:pos="1973"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future business prospects and projected financial and operating results of the Company and its Subsidiaries provided to the Qualified Appraisers shall (i) be prepared by the Company’s management in good faith based on assumptions consistent with those used in the Company’s ordinary course forecasting, (ii) if the projected financial and operating results of the Company and its Subsidiaries provided to the Qualified Appraisers cover a period of ten (10) years or less, and the Qualified Appraisers so request, be extended (in the case of the projected financial and operating results) for reasonable period exceeding ten (10) years, and (iii) take into account, consistent with the Company’s ordinary course forecasting and subject to the restrictions in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(except as otherwise expressly stated in this </w:t>
      </w:r>
      <w:r>
        <w:rPr>
          <w:rFonts w:ascii="Times New Roman" w:cs="Times New Roman" w:eastAsia="Times New Roman" w:hAnsi="Times New Roman"/>
          <w:sz w:val="21"/>
          <w:szCs w:val="21"/>
          <w:b w:val="1"/>
          <w:bCs w:val="1"/>
          <w:u w:val="single" w:color="auto"/>
          <w:color w:val="010000"/>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II</w:t>
      </w:r>
      <w:r>
        <w:rPr>
          <w:rFonts w:ascii="Times New Roman" w:cs="Times New Roman" w:eastAsia="Times New Roman" w:hAnsi="Times New Roman"/>
          <w:sz w:val="21"/>
          <w:szCs w:val="21"/>
          <w:color w:val="auto"/>
        </w:rPr>
        <w:t xml:space="preserve"> in connection with the IP Upsizing), the scope of the intellectual property portfolio of the Company and its Subsidiaries. SoftBank will have opportunity to review the future business prospects and projected financial and operating results for a reasonable period of time (not to exceed ten (10) days) before such projections are submitted to the Qualified Appraisers and to discuss such projections with the Company.</w:t>
      </w:r>
    </w:p>
    <w:p>
      <w:pPr>
        <w:spacing w:after="0" w:line="151" w:lineRule="exact"/>
        <w:rPr>
          <w:rFonts w:ascii="Times New Roman" w:cs="Times New Roman" w:eastAsia="Times New Roman" w:hAnsi="Times New Roman"/>
          <w:sz w:val="21"/>
          <w:szCs w:val="21"/>
          <w:color w:val="auto"/>
        </w:rPr>
      </w:pPr>
    </w:p>
    <w:p>
      <w:pPr>
        <w:jc w:val="both"/>
        <w:ind w:firstLine="1297"/>
        <w:spacing w:after="0" w:line="235" w:lineRule="auto"/>
        <w:tabs>
          <w:tab w:leader="none" w:pos="1745"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Qualified Appraisers shall value the Company as a going concern, including taking into consideration the remainder of the term, if any, of the Commercial Agreements and any agreements that the Commercial Agreements require to be put into place upon termination or amendment of the Commercial Agreements;</w:t>
      </w:r>
    </w:p>
    <w:p>
      <w:pPr>
        <w:spacing w:after="0" w:line="150" w:lineRule="exact"/>
        <w:rPr>
          <w:rFonts w:ascii="Times New Roman" w:cs="Times New Roman" w:eastAsia="Times New Roman" w:hAnsi="Times New Roman"/>
          <w:sz w:val="21"/>
          <w:szCs w:val="21"/>
          <w:color w:val="auto"/>
        </w:rPr>
      </w:pPr>
    </w:p>
    <w:p>
      <w:pPr>
        <w:ind w:left="1760" w:hanging="463"/>
        <w:spacing w:after="0"/>
        <w:tabs>
          <w:tab w:leader="none" w:pos="176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Qualified Appraisers shall assume an arms-length sale between a willing buyer and a willing seller;</w:t>
      </w:r>
    </w:p>
    <w:p>
      <w:pPr>
        <w:spacing w:after="0" w:line="188" w:lineRule="exact"/>
        <w:rPr>
          <w:rFonts w:ascii="Times New Roman" w:cs="Times New Roman" w:eastAsia="Times New Roman" w:hAnsi="Times New Roman"/>
          <w:sz w:val="21"/>
          <w:szCs w:val="21"/>
          <w:color w:val="auto"/>
        </w:rPr>
      </w:pPr>
    </w:p>
    <w:p>
      <w:pPr>
        <w:ind w:right="20" w:firstLine="1297"/>
        <w:spacing w:after="0" w:line="251" w:lineRule="auto"/>
        <w:tabs>
          <w:tab w:leader="none" w:pos="1885"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contemplated by section (a) under “Methodologies,” the Qualified Appraisers shall disregard any prior appraisals or valuations of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II-2</w:t>
      </w:r>
    </w:p>
    <w:p>
      <w:pPr>
        <w:sectPr>
          <w:pgSz w:w="11900" w:h="16838" w:orient="portrait"/>
          <w:cols w:equalWidth="0" w:num="1">
            <w:col w:w="11240"/>
          </w:cols>
          <w:pgMar w:left="320" w:top="1388" w:right="339" w:bottom="1440" w:gutter="0" w:footer="0" w:header="0"/>
        </w:sectPr>
      </w:pPr>
    </w:p>
    <w:bookmarkStart w:id="151" w:name="page152"/>
    <w:bookmarkEnd w:id="151"/>
    <w:p>
      <w:pPr>
        <w:spacing w:after="0" w:line="251" w:lineRule="auto"/>
        <w:rPr>
          <w:sz w:val="20"/>
          <w:szCs w:val="20"/>
          <w:color w:val="auto"/>
        </w:rPr>
      </w:pPr>
      <w:r>
        <w:rPr>
          <w:rFonts w:ascii="Times New Roman" w:cs="Times New Roman" w:eastAsia="Times New Roman" w:hAnsi="Times New Roman"/>
          <w:sz w:val="21"/>
          <w:szCs w:val="21"/>
          <w:color w:val="auto"/>
        </w:rPr>
        <w:t>Subsidiaries, including any such appraisals or valuations conducted for the purpose of valuing any rights associated with or tied or indexed to the value of the Shares of the Company or its Subsidiaries;</w:t>
      </w:r>
    </w:p>
    <w:p>
      <w:pPr>
        <w:spacing w:after="0" w:line="140" w:lineRule="exact"/>
        <w:rPr>
          <w:sz w:val="20"/>
          <w:szCs w:val="20"/>
          <w:color w:val="auto"/>
        </w:rPr>
      </w:pPr>
    </w:p>
    <w:p>
      <w:pPr>
        <w:ind w:firstLine="1297"/>
        <w:spacing w:after="0" w:line="251" w:lineRule="auto"/>
        <w:tabs>
          <w:tab w:leader="none" w:pos="1779"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Qualified Appraisers shall value the Company as at the date of delivery of the Call Notice or Optional SoftBank Conversion Notice (as applicable); and</w:t>
      </w:r>
    </w:p>
    <w:p>
      <w:pPr>
        <w:spacing w:after="0" w:line="139" w:lineRule="exact"/>
        <w:rPr>
          <w:rFonts w:ascii="Times New Roman" w:cs="Times New Roman" w:eastAsia="Times New Roman" w:hAnsi="Times New Roman"/>
          <w:sz w:val="21"/>
          <w:szCs w:val="21"/>
          <w:color w:val="auto"/>
        </w:rPr>
      </w:pPr>
    </w:p>
    <w:p>
      <w:pPr>
        <w:ind w:firstLine="1297"/>
        <w:spacing w:after="0" w:line="251" w:lineRule="auto"/>
        <w:tabs>
          <w:tab w:leader="none" w:pos="1837"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Qualified Appraisers shall take into account only such tax depreciation and amortization as would be allowable to the Company in respect of the Company’s assets immediately prior to such deemed sale.</w:t>
      </w:r>
    </w:p>
    <w:p>
      <w:pPr>
        <w:spacing w:after="0" w:line="14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The Qualified Appraisers shall contemporaneously calculate </w:t>
      </w:r>
      <w:r>
        <w:rPr>
          <w:rFonts w:ascii="Times New Roman" w:cs="Times New Roman" w:eastAsia="Times New Roman" w:hAnsi="Times New Roman"/>
          <w:sz w:val="21"/>
          <w:szCs w:val="21"/>
          <w:u w:val="single" w:color="auto"/>
          <w:color w:val="auto"/>
        </w:rPr>
        <w:t>two</w:t>
      </w:r>
      <w:r>
        <w:rPr>
          <w:rFonts w:ascii="Times New Roman" w:cs="Times New Roman" w:eastAsia="Times New Roman" w:hAnsi="Times New Roman"/>
          <w:sz w:val="21"/>
          <w:szCs w:val="21"/>
          <w:color w:val="auto"/>
        </w:rPr>
        <w:t xml:space="preserve"> valuations: (A) a valuation based on the Commercial Agreements as in force at the time (the “</w:t>
      </w:r>
      <w:r>
        <w:rPr>
          <w:rFonts w:ascii="Times New Roman" w:cs="Times New Roman" w:eastAsia="Times New Roman" w:hAnsi="Times New Roman"/>
          <w:sz w:val="21"/>
          <w:szCs w:val="21"/>
          <w:b w:val="1"/>
          <w:bCs w:val="1"/>
          <w:color w:val="auto"/>
        </w:rPr>
        <w:t>Standardized FMV</w:t>
      </w:r>
      <w:r>
        <w:rPr>
          <w:rFonts w:ascii="Times New Roman" w:cs="Times New Roman" w:eastAsia="Times New Roman" w:hAnsi="Times New Roman"/>
          <w:sz w:val="21"/>
          <w:szCs w:val="21"/>
          <w:color w:val="auto"/>
        </w:rPr>
        <w:t>”), and (B) a valuation (the “</w:t>
      </w:r>
      <w:r>
        <w:rPr>
          <w:rFonts w:ascii="Times New Roman" w:cs="Times New Roman" w:eastAsia="Times New Roman" w:hAnsi="Times New Roman"/>
          <w:sz w:val="21"/>
          <w:szCs w:val="21"/>
          <w:b w:val="1"/>
          <w:bCs w:val="1"/>
          <w:color w:val="auto"/>
        </w:rPr>
        <w:t>IP Upsized FMV</w:t>
      </w:r>
      <w:r>
        <w:rPr>
          <w:rFonts w:ascii="Times New Roman" w:cs="Times New Roman" w:eastAsia="Times New Roman" w:hAnsi="Times New Roman"/>
          <w:sz w:val="21"/>
          <w:szCs w:val="21"/>
          <w:color w:val="auto"/>
        </w:rPr>
        <w:t xml:space="preserve">”) as if the Transferred Assets (as defined in the IPMA) had been assigned, transferred, conveyed, and delivered to the Company (pursuant to Section 2.2 of the IPMA) immediately prior to the calculation of Call Notice/Optional SoftBank Conversion Notice Fair Market Value and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does not apply (the “</w:t>
      </w:r>
      <w:r>
        <w:rPr>
          <w:rFonts w:ascii="Times New Roman" w:cs="Times New Roman" w:eastAsia="Times New Roman" w:hAnsi="Times New Roman"/>
          <w:sz w:val="21"/>
          <w:szCs w:val="21"/>
          <w:b w:val="1"/>
          <w:bCs w:val="1"/>
          <w:color w:val="auto"/>
        </w:rPr>
        <w:t>IP Upsizing</w:t>
      </w:r>
      <w:r>
        <w:rPr>
          <w:rFonts w:ascii="Times New Roman" w:cs="Times New Roman" w:eastAsia="Times New Roman" w:hAnsi="Times New Roman"/>
          <w:sz w:val="21"/>
          <w:szCs w:val="21"/>
          <w:color w:val="auto"/>
        </w:rPr>
        <w:t>”). The Standardized FMV and the IP Upsized FMV shall be identical other than the value attributable to the IP Upsizing.</w:t>
      </w:r>
    </w:p>
    <w:p>
      <w:pPr>
        <w:spacing w:after="0" w:line="15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For purposes of the definition of Optional SoftBank Conversion Share Price, if the Standardized FMV is less than the Class A-1 Liquidation Preference Amount, then the Call Notice/Optional SoftBank Conversion Notice Fair Market Value will equal the IP Upsized FMV;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following the application of the IP Upsized FMV, in no event will, with respect to each Class A-1-A Preferred Share and Class A-1-B Preferred Share, the Optional SoftBank Conversion Share Price be greater than the applicable Class A-1 Liquidation Preference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II-3</w:t>
      </w:r>
    </w:p>
    <w:p>
      <w:pPr>
        <w:sectPr>
          <w:pgSz w:w="11900" w:h="16838" w:orient="portrait"/>
          <w:cols w:equalWidth="0" w:num="1">
            <w:col w:w="11240"/>
          </w:cols>
          <w:pgMar w:left="320" w:top="1388"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0460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26, 2022</w:t>
      </w:r>
    </w:p>
    <w:p>
      <w:pPr>
        <w:sectPr>
          <w:pgSz w:w="11900" w:h="16838" w:orient="portrait"/>
          <w:cols w:equalWidth="0" w:num="1">
            <w:col w:w="11240"/>
          </w:cols>
          <w:pgMar w:left="320" w:top="359"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046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26, 2022</w:t>
      </w:r>
    </w:p>
    <w:p>
      <w:pPr>
        <w:sectPr>
          <w:pgSz w:w="11900" w:h="16838" w:orient="portrait"/>
          <w:cols w:equalWidth="0" w:num="1">
            <w:col w:w="11240"/>
          </w:cols>
          <w:pgMar w:left="320" w:top="359"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June 30, 2022 as filed with the Securities and Exchange Commission on the date hereof (the “Report”), each of the undersigned officers of the Company, certify, pursuant to 18 U.S.C.</w:t>
      </w:r>
    </w:p>
    <w:p>
      <w:pPr>
        <w:ind w:left="140" w:hanging="133"/>
        <w:spacing w:after="0"/>
        <w:tabs>
          <w:tab w:leader="none" w:pos="1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such officer's knowledge:</w:t>
      </w:r>
    </w:p>
    <w:p>
      <w:pPr>
        <w:spacing w:after="0" w:line="231"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0460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046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26, 2022</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1)"/>
      <w:numFmt w:val="lowerLetter"/>
      <w:start w:val="1"/>
    </w:lvl>
  </w:abstractNum>
  <w:abstractNum w:abstractNumId="3">
    <w:nsid w:val="2DF6D648"/>
    <w:multiLevelType w:val="hybridMultilevel"/>
    <w:lvl w:ilvl="0">
      <w:lvlJc w:val="left"/>
      <w:lvlText w:val="(%1)"/>
      <w:numFmt w:val="lowerLetter"/>
      <w:start w:val="1"/>
    </w:lvl>
  </w:abstractNum>
  <w:abstractNum w:abstractNumId="4">
    <w:nsid w:val="46B7D447"/>
    <w:multiLevelType w:val="hybridMultilevel"/>
    <w:lvl w:ilvl="0">
      <w:lvlJc w:val="left"/>
      <w:lvlText w:val="(%1)"/>
      <w:numFmt w:val="lowerLetter"/>
      <w:start w:val="1"/>
    </w:lvl>
  </w:abstractNum>
  <w:abstractNum w:abstractNumId="5">
    <w:nsid w:val="4A2AC315"/>
    <w:multiLevelType w:val="hybridMultilevel"/>
    <w:lvl w:ilvl="0">
      <w:lvlJc w:val="left"/>
      <w:lvlText w:val="(%1)"/>
      <w:numFmt w:val="lowerLetter"/>
      <w:start w:val="1"/>
    </w:lvl>
  </w:abstractNum>
  <w:abstractNum w:abstractNumId="6">
    <w:nsid w:val="39EE015C"/>
    <w:multiLevelType w:val="hybridMultilevel"/>
    <w:lvl w:ilvl="0">
      <w:lvlJc w:val="left"/>
      <w:lvlText w:val="(%1)"/>
      <w:numFmt w:val="lowerLetter"/>
      <w:start w:val="1"/>
    </w:lvl>
  </w:abstractNum>
  <w:abstractNum w:abstractNumId="7">
    <w:nsid w:val="57FC4FBB"/>
    <w:multiLevelType w:val="hybridMultilevel"/>
    <w:lvl w:ilvl="0">
      <w:lvlJc w:val="left"/>
      <w:lvlText w:val="(%1)"/>
      <w:numFmt w:val="lowerLetter"/>
      <w:start w:val="1"/>
    </w:lvl>
  </w:abstractNum>
  <w:abstractNum w:abstractNumId="8">
    <w:nsid w:val="CC1016F"/>
    <w:multiLevelType w:val="hybridMultilevel"/>
    <w:lvl w:ilvl="0">
      <w:lvlJc w:val="left"/>
      <w:lvlText w:val="(%1)"/>
      <w:numFmt w:val="lowerLetter"/>
      <w:start w:val="1"/>
    </w:lvl>
  </w:abstractNum>
  <w:abstractNum w:abstractNumId="9">
    <w:nsid w:val="43F18422"/>
    <w:multiLevelType w:val="hybridMultilevel"/>
    <w:lvl w:ilvl="0">
      <w:lvlJc w:val="left"/>
      <w:lvlText w:val="(%1)"/>
      <w:numFmt w:val="lowerLetter"/>
      <w:start w:val="1"/>
    </w:lvl>
  </w:abstractNum>
  <w:abstractNum w:abstractNumId="10">
    <w:nsid w:val="60EF0119"/>
    <w:multiLevelType w:val="hybridMultilevel"/>
    <w:lvl w:ilvl="0">
      <w:lvlJc w:val="left"/>
      <w:lvlText w:val="(%1)"/>
      <w:numFmt w:val="lowerLetter"/>
      <w:start w:val="1"/>
    </w:lvl>
  </w:abstractNum>
  <w:abstractNum w:abstractNumId="11">
    <w:nsid w:val="26F324BA"/>
    <w:multiLevelType w:val="hybridMultilevel"/>
    <w:lvl w:ilvl="0">
      <w:lvlJc w:val="left"/>
      <w:lvlText w:val="(%1)"/>
      <w:numFmt w:val="lowerLetter"/>
      <w:start w:val="1"/>
    </w:lvl>
  </w:abstractNum>
  <w:abstractNum w:abstractNumId="12">
    <w:nsid w:val="7F01579B"/>
    <w:multiLevelType w:val="hybridMultilevel"/>
    <w:lvl w:ilvl="0">
      <w:lvlJc w:val="left"/>
      <w:lvlText w:val="(%1)"/>
      <w:numFmt w:val="lowerLetter"/>
      <w:start w:val="1"/>
    </w:lvl>
  </w:abstractNum>
  <w:abstractNum w:abstractNumId="13">
    <w:nsid w:val="49DA307D"/>
    <w:multiLevelType w:val="hybridMultilevel"/>
    <w:lvl w:ilvl="0">
      <w:lvlJc w:val="left"/>
      <w:lvlText w:val="(%1)"/>
      <w:numFmt w:val="lowerLetter"/>
      <w:start w:val="1"/>
    </w:lvl>
  </w:abstractNum>
  <w:abstractNum w:abstractNumId="14">
    <w:nsid w:val="7055A5F5"/>
    <w:multiLevelType w:val="hybridMultilevel"/>
    <w:lvl w:ilvl="0">
      <w:lvlJc w:val="left"/>
      <w:lvlText w:val="(%1)"/>
      <w:numFmt w:val="lowerLetter"/>
      <w:start w:val="1"/>
    </w:lvl>
  </w:abstractNum>
  <w:abstractNum w:abstractNumId="15">
    <w:nsid w:val="5FB8370B"/>
    <w:multiLevelType w:val="hybridMultilevel"/>
    <w:lvl w:ilvl="0">
      <w:lvlJc w:val="left"/>
      <w:lvlText w:val="(%1)"/>
      <w:numFmt w:val="lowerLetter"/>
      <w:start w:val="1"/>
    </w:lvl>
  </w:abstractNum>
  <w:abstractNum w:abstractNumId="16">
    <w:nsid w:val="50801EE1"/>
    <w:multiLevelType w:val="hybridMultilevel"/>
    <w:lvl w:ilvl="0">
      <w:lvlJc w:val="left"/>
      <w:lvlText w:val="(%1)"/>
      <w:numFmt w:val="lowerLetter"/>
      <w:start w:val="1"/>
    </w:lvl>
  </w:abstractNum>
  <w:abstractNum w:abstractNumId="17">
    <w:nsid w:val="488AC1A"/>
    <w:multiLevelType w:val="hybridMultilevel"/>
    <w:lvl w:ilvl="0">
      <w:lvlJc w:val="left"/>
      <w:lvlText w:val="(%1)"/>
      <w:numFmt w:val="lowerLetter"/>
      <w:start w:val="1"/>
    </w:lvl>
  </w:abstractNum>
  <w:abstractNum w:abstractNumId="18">
    <w:nsid w:val="5FB8011C"/>
    <w:multiLevelType w:val="hybridMultilevel"/>
    <w:lvl w:ilvl="0">
      <w:lvlJc w:val="left"/>
      <w:lvlText w:val="(%1)"/>
      <w:numFmt w:val="lowerLetter"/>
      <w:start w:val="1"/>
    </w:lvl>
  </w:abstractNum>
  <w:abstractNum w:abstractNumId="19">
    <w:nsid w:val="6AA78F7F"/>
    <w:multiLevelType w:val="hybridMultilevel"/>
    <w:lvl w:ilvl="0">
      <w:lvlJc w:val="left"/>
      <w:lvlText w:val="(%1)"/>
      <w:numFmt w:val="lowerLetter"/>
      <w:start w:val="1"/>
    </w:lvl>
  </w:abstractNum>
  <w:abstractNum w:abstractNumId="20">
    <w:nsid w:val="7672BD23"/>
    <w:multiLevelType w:val="hybridMultilevel"/>
    <w:lvl w:ilvl="0">
      <w:lvlJc w:val="left"/>
      <w:lvlText w:val="(%1)"/>
      <w:numFmt w:val="lowerLetter"/>
      <w:start w:val="1"/>
    </w:lvl>
  </w:abstractNum>
  <w:abstractNum w:abstractNumId="21">
    <w:nsid w:val="6FC75AF8"/>
    <w:multiLevelType w:val="hybridMultilevel"/>
    <w:lvl w:ilvl="0">
      <w:lvlJc w:val="left"/>
      <w:lvlText w:val="(%1)"/>
      <w:numFmt w:val="lowerLetter"/>
      <w:start w:val="1"/>
    </w:lvl>
  </w:abstractNum>
  <w:abstractNum w:abstractNumId="22">
    <w:nsid w:val="6A5F7029"/>
    <w:multiLevelType w:val="hybridMultilevel"/>
    <w:lvl w:ilvl="0">
      <w:lvlJc w:val="left"/>
      <w:lvlText w:val="(%1)"/>
      <w:numFmt w:val="lowerLetter"/>
      <w:start w:val="1"/>
    </w:lvl>
  </w:abstractNum>
  <w:abstractNum w:abstractNumId="23">
    <w:nsid w:val="7D5E18F8"/>
    <w:multiLevelType w:val="hybridMultilevel"/>
    <w:lvl w:ilvl="0">
      <w:lvlJc w:val="left"/>
      <w:lvlText w:val="(%1)"/>
      <w:numFmt w:val="lowerLetter"/>
      <w:start w:val="1"/>
    </w:lvl>
  </w:abstractNum>
  <w:abstractNum w:abstractNumId="24">
    <w:nsid w:val="5F3534A4"/>
    <w:multiLevelType w:val="hybridMultilevel"/>
    <w:lvl w:ilvl="0">
      <w:lvlJc w:val="left"/>
      <w:lvlText w:val="(%1)"/>
      <w:numFmt w:val="lowerLetter"/>
      <w:start w:val="1"/>
    </w:lvl>
  </w:abstractNum>
  <w:abstractNum w:abstractNumId="25">
    <w:nsid w:val="73A1821B"/>
    <w:multiLevelType w:val="hybridMultilevel"/>
    <w:lvl w:ilvl="0">
      <w:lvlJc w:val="left"/>
      <w:lvlText w:val="(%1)"/>
      <w:numFmt w:val="lowerLetter"/>
      <w:start w:val="1"/>
    </w:lvl>
  </w:abstractNum>
  <w:abstractNum w:abstractNumId="26">
    <w:nsid w:val="7DE67713"/>
    <w:multiLevelType w:val="hybridMultilevel"/>
    <w:lvl w:ilvl="0">
      <w:lvlJc w:val="left"/>
      <w:lvlText w:val="(%1)"/>
      <w:numFmt w:val="decimal"/>
      <w:start w:val="1"/>
    </w:lvl>
  </w:abstractNum>
  <w:abstractNum w:abstractNumId="27">
    <w:nsid w:val="555C55B5"/>
    <w:multiLevelType w:val="hybridMultilevel"/>
    <w:lvl w:ilvl="0">
      <w:lvlJc w:val="left"/>
      <w:lvlText w:val="(%1)"/>
      <w:numFmt w:val="lowerLetter"/>
      <w:start w:val="1"/>
    </w:lvl>
    <w:lvl w:ilvl="1">
      <w:lvlJc w:val="left"/>
      <w:lvlText w:val="*"/>
      <w:numFmt w:val="bullet"/>
      <w:start w:val="1"/>
    </w:lvl>
  </w:abstractNum>
  <w:abstractNum w:abstractNumId="28">
    <w:nsid w:val="3FA62ACA"/>
    <w:multiLevelType w:val="hybridMultilevel"/>
    <w:lvl w:ilvl="0">
      <w:lvlJc w:val="left"/>
      <w:lvlText w:val="†"/>
      <w:numFmt w:val="bullet"/>
      <w:start w:val="1"/>
    </w:lvl>
    <w:lvl w:ilvl="1">
      <w:lvlJc w:val="left"/>
      <w:lvlText w:val="*"/>
      <w:numFmt w:val="bullet"/>
      <w:start w:val="1"/>
    </w:lvl>
  </w:abstractNum>
  <w:abstractNum w:abstractNumId="29">
    <w:nsid w:val="14FCE74E"/>
    <w:multiLevelType w:val="hybridMultilevel"/>
    <w:lvl w:ilvl="0">
      <w:lvlJc w:val="left"/>
      <w:lvlText w:val="%1."/>
      <w:numFmt w:val="upperLetter"/>
      <w:start w:val="1"/>
    </w:lvl>
  </w:abstractNum>
  <w:abstractNum w:abstractNumId="30">
    <w:nsid w:val="6A3DD3E8"/>
    <w:multiLevelType w:val="hybridMultilevel"/>
    <w:lvl w:ilvl="0">
      <w:lvlJc w:val="left"/>
      <w:lvlText w:val="%1."/>
      <w:numFmt w:val="upperLetter"/>
      <w:start w:val="11"/>
    </w:lvl>
  </w:abstractNum>
  <w:abstractNum w:abstractNumId="31">
    <w:nsid w:val="71C91298"/>
    <w:multiLevelType w:val="hybridMultilevel"/>
    <w:lvl w:ilvl="0">
      <w:lvlJc w:val="left"/>
      <w:lvlText w:val="(%1)"/>
      <w:numFmt w:val="lowerLetter"/>
      <w:start w:val="1"/>
    </w:lvl>
  </w:abstractNum>
  <w:abstractNum w:abstractNumId="32">
    <w:nsid w:val="9DAF632"/>
    <w:multiLevelType w:val="hybridMultilevel"/>
    <w:lvl w:ilvl="0">
      <w:lvlJc w:val="left"/>
      <w:lvlText w:val="(%1)"/>
      <w:numFmt w:val="lowerLetter"/>
      <w:start w:val="1"/>
    </w:lvl>
  </w:abstractNum>
  <w:abstractNum w:abstractNumId="33">
    <w:nsid w:val="53299938"/>
    <w:multiLevelType w:val="hybridMultilevel"/>
    <w:lvl w:ilvl="0">
      <w:lvlJc w:val="left"/>
      <w:lvlText w:val="(%1)"/>
      <w:numFmt w:val="lowerLetter"/>
      <w:start w:val="1"/>
    </w:lvl>
  </w:abstractNum>
  <w:abstractNum w:abstractNumId="34">
    <w:nsid w:val="1FBFE8E0"/>
    <w:multiLevelType w:val="hybridMultilevel"/>
    <w:lvl w:ilvl="0">
      <w:lvlJc w:val="left"/>
      <w:lvlText w:val="(%1)"/>
      <w:numFmt w:val="lowerRoman"/>
      <w:start w:val="1"/>
    </w:lvl>
  </w:abstractNum>
  <w:abstractNum w:abstractNumId="35">
    <w:nsid w:val="5092CA79"/>
    <w:multiLevelType w:val="hybridMultilevel"/>
    <w:lvl w:ilvl="0">
      <w:lvlJc w:val="left"/>
      <w:lvlText w:val="(%1)"/>
      <w:numFmt w:val="lowerRoman"/>
      <w:start w:val="1"/>
    </w:lvl>
  </w:abstractNum>
  <w:abstractNum w:abstractNumId="36">
    <w:nsid w:val="1D545C4D"/>
    <w:multiLevelType w:val="hybridMultilevel"/>
    <w:lvl w:ilvl="0">
      <w:lvlJc w:val="left"/>
      <w:lvlText w:val="%1"/>
      <w:numFmt w:val="lowerLetter"/>
      <w:start w:val="1"/>
    </w:lvl>
    <w:lvl w:ilvl="1">
      <w:lvlJc w:val="left"/>
      <w:lvlText w:val="(%2)"/>
      <w:numFmt w:val="lowerLetter"/>
      <w:start w:val="61"/>
    </w:lvl>
  </w:abstractNum>
  <w:abstractNum w:abstractNumId="37">
    <w:nsid w:val="59ADEA3D"/>
    <w:multiLevelType w:val="hybridMultilevel"/>
    <w:lvl w:ilvl="0">
      <w:lvlJc w:val="left"/>
      <w:lvlText w:val="(%1)"/>
      <w:numFmt w:val="lowerLetter"/>
      <w:start w:val="4"/>
    </w:lvl>
    <w:lvl w:ilvl="1">
      <w:lvlJc w:val="left"/>
      <w:lvlText w:val="(%2)"/>
      <w:numFmt w:val="lowerLetter"/>
      <w:start w:val="9"/>
    </w:lvl>
  </w:abstractNum>
  <w:abstractNum w:abstractNumId="38">
    <w:nsid w:val="288F1A34"/>
    <w:multiLevelType w:val="hybridMultilevel"/>
    <w:lvl w:ilvl="0">
      <w:lvlJc w:val="left"/>
      <w:lvlText w:val="(%1)"/>
      <w:numFmt w:val="lowerRoman"/>
      <w:start w:val="2"/>
    </w:lvl>
  </w:abstractNum>
  <w:abstractNum w:abstractNumId="39">
    <w:nsid w:val="2A155DBC"/>
    <w:multiLevelType w:val="hybridMultilevel"/>
    <w:lvl w:ilvl="0">
      <w:lvlJc w:val="left"/>
      <w:lvlText w:val="(%1)"/>
      <w:numFmt w:val="lowerLetter"/>
      <w:start w:val="5"/>
    </w:lvl>
  </w:abstractNum>
  <w:abstractNum w:abstractNumId="40">
    <w:nsid w:val="1D9F6E5F"/>
    <w:multiLevelType w:val="hybridMultilevel"/>
    <w:lvl w:ilvl="0">
      <w:lvlJc w:val="left"/>
      <w:lvlText w:val="(%1)"/>
      <w:numFmt w:val="lowerLetter"/>
      <w:start w:val="6"/>
    </w:lvl>
  </w:abstractNum>
  <w:abstractNum w:abstractNumId="41">
    <w:nsid w:val="97E1B4E"/>
    <w:multiLevelType w:val="hybridMultilevel"/>
    <w:lvl w:ilvl="0">
      <w:lvlJc w:val="left"/>
      <w:lvlText w:val="(%1)"/>
      <w:numFmt w:val="lowerLetter"/>
      <w:start w:val="1"/>
    </w:lvl>
  </w:abstractNum>
  <w:abstractNum w:abstractNumId="42">
    <w:nsid w:val="51088277"/>
    <w:multiLevelType w:val="hybridMultilevel"/>
    <w:lvl w:ilvl="0">
      <w:lvlJc w:val="left"/>
      <w:lvlText w:val="(%1)"/>
      <w:numFmt w:val="lowerLetter"/>
      <w:start w:val="1"/>
    </w:lvl>
  </w:abstractNum>
  <w:abstractNum w:abstractNumId="43">
    <w:nsid w:val="1CA0C5FA"/>
    <w:multiLevelType w:val="hybridMultilevel"/>
    <w:lvl w:ilvl="0">
      <w:lvlJc w:val="left"/>
      <w:lvlText w:val="(%1)"/>
      <w:numFmt w:val="lowerLetter"/>
      <w:start w:val="4"/>
    </w:lvl>
  </w:abstractNum>
  <w:abstractNum w:abstractNumId="44">
    <w:nsid w:val="53584BCB"/>
    <w:multiLevelType w:val="hybridMultilevel"/>
    <w:lvl w:ilvl="0">
      <w:lvlJc w:val="left"/>
      <w:lvlText w:val="(%1)"/>
      <w:numFmt w:val="lowerLetter"/>
      <w:start w:val="1"/>
    </w:lvl>
  </w:abstractNum>
  <w:abstractNum w:abstractNumId="45">
    <w:nsid w:val="415E286C"/>
    <w:multiLevelType w:val="hybridMultilevel"/>
    <w:lvl w:ilvl="0">
      <w:lvlJc w:val="left"/>
      <w:lvlText w:val="(%1)"/>
      <w:numFmt w:val="lowerLetter"/>
      <w:start w:val="2"/>
    </w:lvl>
    <w:lvl w:ilvl="1">
      <w:lvlJc w:val="left"/>
      <w:lvlText w:val="(%2)"/>
      <w:numFmt w:val="lowerRoman"/>
      <w:start w:val="1"/>
    </w:lvl>
  </w:abstractNum>
  <w:abstractNum w:abstractNumId="46">
    <w:nsid w:val="7C58FD05"/>
    <w:multiLevelType w:val="hybridMultilevel"/>
    <w:lvl w:ilvl="0">
      <w:lvlJc w:val="left"/>
      <w:lvlText w:val="(%1)"/>
      <w:numFmt w:val="lowerLetter"/>
      <w:start w:val="8"/>
    </w:lvl>
    <w:lvl w:ilvl="1">
      <w:lvlJc w:val="left"/>
      <w:lvlText w:val="(%2)"/>
      <w:numFmt w:val="lowerRoman"/>
      <w:start w:val="1"/>
    </w:lvl>
  </w:abstractNum>
  <w:abstractNum w:abstractNumId="47">
    <w:nsid w:val="23D86AAC"/>
    <w:multiLevelType w:val="hybridMultilevel"/>
    <w:lvl w:ilvl="0">
      <w:lvlJc w:val="left"/>
      <w:lvlText w:val="(%1)"/>
      <w:numFmt w:val="lowerLetter"/>
      <w:start w:val="1"/>
    </w:lvl>
  </w:abstractNum>
  <w:abstractNum w:abstractNumId="48">
    <w:nsid w:val="45E6D486"/>
    <w:multiLevelType w:val="hybridMultilevel"/>
    <w:lvl w:ilvl="0">
      <w:lvlJc w:val="left"/>
      <w:lvlText w:val="(%1)"/>
      <w:numFmt w:val="lowerLetter"/>
      <w:start w:val="2"/>
    </w:lvl>
  </w:abstractNum>
  <w:abstractNum w:abstractNumId="49">
    <w:nsid w:val="5C10FE21"/>
    <w:multiLevelType w:val="hybridMultilevel"/>
    <w:lvl w:ilvl="0">
      <w:lvlJc w:val="left"/>
      <w:lvlText w:val="(%1)"/>
      <w:numFmt w:val="lowerLetter"/>
      <w:start w:val="1"/>
    </w:lvl>
  </w:abstractNum>
  <w:abstractNum w:abstractNumId="50">
    <w:nsid w:val="E7FFA2B"/>
    <w:multiLevelType w:val="hybridMultilevel"/>
    <w:lvl w:ilvl="0">
      <w:lvlJc w:val="left"/>
      <w:lvlText w:val="(%1)"/>
      <w:numFmt w:val="lowerLetter"/>
      <w:start w:val="1"/>
    </w:lvl>
  </w:abstractNum>
  <w:abstractNum w:abstractNumId="51">
    <w:nsid w:val="3C5991AA"/>
    <w:multiLevelType w:val="hybridMultilevel"/>
    <w:lvl w:ilvl="0">
      <w:lvlJc w:val="left"/>
      <w:lvlText w:val="(%1)"/>
      <w:numFmt w:val="lowerLetter"/>
      <w:start w:val="1"/>
    </w:lvl>
  </w:abstractNum>
  <w:abstractNum w:abstractNumId="52">
    <w:nsid w:val="4BD8591A"/>
    <w:multiLevelType w:val="hybridMultilevel"/>
    <w:lvl w:ilvl="0">
      <w:lvlJc w:val="left"/>
      <w:lvlText w:val="(%1)"/>
      <w:numFmt w:val="lowerLetter"/>
      <w:start w:val="2"/>
    </w:lvl>
    <w:lvl w:ilvl="1">
      <w:lvlJc w:val="left"/>
      <w:lvlText w:val="(%2)"/>
      <w:numFmt w:val="lowerRoman"/>
      <w:start w:val="1"/>
    </w:lvl>
  </w:abstractNum>
  <w:abstractNum w:abstractNumId="53">
    <w:nsid w:val="78DF6A55"/>
    <w:multiLevelType w:val="hybridMultilevel"/>
    <w:lvl w:ilvl="0">
      <w:lvlJc w:val="left"/>
      <w:lvlText w:val="(%1)"/>
      <w:numFmt w:val="lowerLetter"/>
      <w:start w:val="4"/>
    </w:lvl>
  </w:abstractNum>
  <w:abstractNum w:abstractNumId="54">
    <w:nsid w:val="39B7AAA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5">
    <w:nsid w:val="2B0D8DB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6">
    <w:nsid w:val="6C80EC70"/>
    <w:multiLevelType w:val="hybridMultilevel"/>
    <w:lvl w:ilvl="0">
      <w:lvlJc w:val="left"/>
      <w:lvlText w:val="%1"/>
      <w:numFmt w:val="lowerLetter"/>
      <w:start w:val="1"/>
    </w:lvl>
    <w:lvl w:ilvl="1">
      <w:lvlJc w:val="left"/>
      <w:lvlText w:val="(%2)"/>
      <w:numFmt w:val="lowerLetter"/>
      <w:start w:val="61"/>
    </w:lvl>
  </w:abstractNum>
  <w:abstractNum w:abstractNumId="57">
    <w:nsid w:val="379E21B5"/>
    <w:multiLevelType w:val="hybridMultilevel"/>
    <w:lvl w:ilvl="0">
      <w:lvlJc w:val="left"/>
      <w:lvlText w:val="(%1)"/>
      <w:numFmt w:val="lowerLetter"/>
      <w:start w:val="2"/>
    </w:lvl>
    <w:lvl w:ilvl="1">
      <w:lvlJc w:val="left"/>
      <w:lvlText w:val="%2"/>
      <w:numFmt w:val="lowerLetter"/>
      <w:start w:val="1"/>
    </w:lvl>
  </w:abstractNum>
  <w:abstractNum w:abstractNumId="58">
    <w:nsid w:val="69E373"/>
    <w:multiLevelType w:val="hybridMultilevel"/>
    <w:lvl w:ilvl="0">
      <w:lvlJc w:val="left"/>
      <w:lvlText w:val="(%1)"/>
      <w:numFmt w:val="lowerLetter"/>
      <w:start w:val="1"/>
    </w:lvl>
    <w:lvl w:ilvl="1">
      <w:lvlJc w:val="left"/>
      <w:lvlText w:val="(%2)"/>
      <w:numFmt w:val="lowerRoman"/>
      <w:start w:val="1"/>
    </w:lvl>
  </w:abstractNum>
  <w:abstractNum w:abstractNumId="59">
    <w:nsid w:val="2C27173B"/>
    <w:multiLevelType w:val="hybridMultilevel"/>
    <w:lvl w:ilvl="0">
      <w:lvlJc w:val="left"/>
      <w:lvlText w:val="%1"/>
      <w:numFmt w:val="lowerLetter"/>
      <w:start w:val="1"/>
    </w:lvl>
    <w:lvl w:ilvl="1">
      <w:lvlJc w:val="left"/>
      <w:lvlText w:val="(%2)"/>
      <w:numFmt w:val="lowerLetter"/>
      <w:start w:val="61"/>
    </w:lvl>
  </w:abstractNum>
  <w:abstractNum w:abstractNumId="60">
    <w:nsid w:val="4C9B0904"/>
    <w:multiLevelType w:val="hybridMultilevel"/>
    <w:lvl w:ilvl="0">
      <w:lvlJc w:val="left"/>
      <w:lvlText w:val="(%1)"/>
      <w:numFmt w:val="lowerLetter"/>
      <w:start w:val="3"/>
    </w:lvl>
    <w:lvl w:ilvl="1">
      <w:lvlJc w:val="left"/>
      <w:lvlText w:val="(%2)"/>
      <w:numFmt w:val="lowerLetter"/>
      <w:start w:val="9"/>
    </w:lvl>
  </w:abstractNum>
  <w:abstractNum w:abstractNumId="61">
    <w:nsid w:val="6AA7B75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2">
    <w:nsid w:val="1DF029D3"/>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63">
    <w:nsid w:val="5675FF3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4">
    <w:nsid w:val="3DD15094"/>
    <w:multiLevelType w:val="hybridMultilevel"/>
    <w:lvl w:ilvl="0">
      <w:lvlJc w:val="left"/>
      <w:lvlText w:val="%1"/>
      <w:numFmt w:val="upperLetter"/>
      <w:start w:val="1"/>
    </w:lvl>
    <w:lvl w:ilvl="1">
      <w:lvlJc w:val="left"/>
      <w:lvlText w:val="(%2)"/>
      <w:numFmt w:val="lowerRoman"/>
      <w:start w:val="2"/>
    </w:lvl>
  </w:abstractNum>
  <w:abstractNum w:abstractNumId="65">
    <w:nsid w:val="3DB012B3"/>
    <w:multiLevelType w:val="hybridMultilevel"/>
    <w:lvl w:ilvl="0">
      <w:lvlJc w:val="left"/>
      <w:lvlText w:val="(%1)"/>
      <w:numFmt w:val="upperLetter"/>
      <w:start w:val="1"/>
    </w:lvl>
    <w:lvl w:ilvl="1">
      <w:lvlJc w:val="left"/>
      <w:lvlText w:val="%2"/>
      <w:numFmt w:val="lowerRoman"/>
      <w:start w:val="1"/>
    </w:lvl>
  </w:abstractNum>
  <w:abstractNum w:abstractNumId="66">
    <w:nsid w:val="2708C9AF"/>
    <w:multiLevelType w:val="hybridMultilevel"/>
    <w:lvl w:ilvl="0">
      <w:lvlJc w:val="left"/>
      <w:lvlText w:val="(%1)"/>
      <w:numFmt w:val="lowerLetter"/>
      <w:start w:val="5"/>
    </w:lvl>
  </w:abstractNum>
  <w:abstractNum w:abstractNumId="67">
    <w:nsid w:val="5B25ACE2"/>
    <w:multiLevelType w:val="hybridMultilevel"/>
    <w:lvl w:ilvl="0">
      <w:lvlJc w:val="left"/>
      <w:lvlText w:val="(%1)"/>
      <w:numFmt w:val="lowerLetter"/>
      <w:start w:val="9"/>
    </w:lvl>
    <w:lvl w:ilvl="1">
      <w:lvlJc w:val="left"/>
      <w:lvlText w:val="(%2)"/>
      <w:numFmt w:val="lowerRoman"/>
      <w:start w:val="1"/>
    </w:lvl>
  </w:abstractNum>
  <w:abstractNum w:abstractNumId="68">
    <w:nsid w:val="175DFCF0"/>
    <w:multiLevelType w:val="hybridMultilevel"/>
    <w:lvl w:ilvl="0">
      <w:lvlJc w:val="left"/>
      <w:lvlText w:val="(%1)"/>
      <w:numFmt w:val="lowerRoman"/>
      <w:start w:val="3"/>
    </w:lvl>
  </w:abstractNum>
  <w:abstractNum w:abstractNumId="69">
    <w:nsid w:val="4F97E3E4"/>
    <w:multiLevelType w:val="hybridMultilevel"/>
    <w:lvl w:ilvl="0">
      <w:lvlJc w:val="left"/>
      <w:lvlText w:val="(%1)"/>
      <w:numFmt w:val="lowerRoman"/>
      <w:start w:val="4"/>
    </w:lvl>
  </w:abstractNum>
  <w:abstractNum w:abstractNumId="70">
    <w:nsid w:val="53B0A9E"/>
    <w:multiLevelType w:val="hybridMultilevel"/>
    <w:lvl w:ilvl="0">
      <w:lvlJc w:val="left"/>
      <w:lvlText w:val="(%1)"/>
      <w:numFmt w:val="lowerRoman"/>
      <w:start w:val="12"/>
    </w:lvl>
  </w:abstractNum>
  <w:abstractNum w:abstractNumId="71">
    <w:nsid w:val="34FD6B4F"/>
    <w:multiLevelType w:val="hybridMultilevel"/>
    <w:lvl w:ilvl="0">
      <w:lvlJc w:val="left"/>
      <w:lvlText w:val="(%1)"/>
      <w:numFmt w:val="lowerLetter"/>
      <w:start w:val="1"/>
    </w:lvl>
  </w:abstractNum>
  <w:abstractNum w:abstractNumId="72">
    <w:nsid w:val="5915FF32"/>
    <w:multiLevelType w:val="hybridMultilevel"/>
    <w:lvl w:ilvl="0">
      <w:lvlJc w:val="left"/>
      <w:lvlText w:val="(%1)"/>
      <w:numFmt w:val="lowerLetter"/>
      <w:start w:val="2"/>
    </w:lvl>
  </w:abstractNum>
  <w:abstractNum w:abstractNumId="73">
    <w:nsid w:val="56438D15"/>
    <w:multiLevelType w:val="hybridMultilevel"/>
    <w:lvl w:ilvl="0">
      <w:lvlJc w:val="left"/>
      <w:lvlText w:val="(%1)"/>
      <w:numFmt w:val="lowerLetter"/>
      <w:start w:val="1"/>
    </w:lvl>
  </w:abstractNum>
  <w:abstractNum w:abstractNumId="74">
    <w:nsid w:val="519E314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5">
    <w:nsid w:val="2C6E4AFD"/>
    <w:multiLevelType w:val="hybridMultilevel"/>
    <w:lvl w:ilvl="0">
      <w:lvlJc w:val="left"/>
      <w:lvlText w:val="(%1)"/>
      <w:numFmt w:val="lowerLetter"/>
      <w:start w:val="3"/>
    </w:lvl>
  </w:abstractNum>
  <w:abstractNum w:abstractNumId="76">
    <w:nsid w:val="17A1B582"/>
    <w:multiLevelType w:val="hybridMultilevel"/>
    <w:lvl w:ilvl="0">
      <w:lvlJc w:val="left"/>
      <w:lvlText w:val="(%1)"/>
      <w:numFmt w:val="lowerRoman"/>
      <w:start w:val="2"/>
    </w:lvl>
  </w:abstractNum>
  <w:abstractNum w:abstractNumId="77">
    <w:nsid w:val="4DF72E4E"/>
    <w:multiLevelType w:val="hybridMultilevel"/>
    <w:lvl w:ilvl="0">
      <w:lvlJc w:val="left"/>
      <w:lvlText w:val="(%1)"/>
      <w:numFmt w:val="lowerLetter"/>
      <w:start w:val="1"/>
    </w:lvl>
  </w:abstractNum>
  <w:abstractNum w:abstractNumId="78">
    <w:nsid w:val="5046B5A9"/>
    <w:multiLevelType w:val="hybridMultilevel"/>
    <w:lvl w:ilvl="0">
      <w:lvlJc w:val="left"/>
      <w:lvlText w:val="(%1)"/>
      <w:numFmt w:val="lowerLetter"/>
      <w:start w:val="1"/>
    </w:lvl>
  </w:abstractNum>
  <w:abstractNum w:abstractNumId="79">
    <w:nsid w:val="5D888A08"/>
    <w:multiLevelType w:val="hybridMultilevel"/>
    <w:lvl w:ilvl="0">
      <w:lvlJc w:val="left"/>
      <w:lvlText w:val="(%1)"/>
      <w:numFmt w:val="lowerLetter"/>
      <w:start w:val="4"/>
    </w:lvl>
  </w:abstractNum>
  <w:abstractNum w:abstractNumId="80">
    <w:nsid w:val="2A082C70"/>
    <w:multiLevelType w:val="hybridMultilevel"/>
    <w:lvl w:ilvl="0">
      <w:lvlJc w:val="left"/>
      <w:lvlText w:val="(%1)"/>
      <w:numFmt w:val="lowerRoman"/>
      <w:start w:val="1"/>
    </w:lvl>
  </w:abstractNum>
  <w:abstractNum w:abstractNumId="81">
    <w:nsid w:val="5EC6AFD4"/>
    <w:multiLevelType w:val="hybridMultilevel"/>
    <w:lvl w:ilvl="0">
      <w:lvlJc w:val="left"/>
      <w:lvlText w:val="%1"/>
      <w:numFmt w:val="lowerLetter"/>
      <w:start w:val="1"/>
    </w:lvl>
    <w:lvl w:ilvl="1">
      <w:lvlJc w:val="left"/>
      <w:lvlText w:val="(%2)"/>
      <w:numFmt w:val="lowerLetter"/>
      <w:start w:val="1"/>
    </w:lvl>
  </w:abstractNum>
  <w:abstractNum w:abstractNumId="82">
    <w:nsid w:val="19E21BB2"/>
    <w:multiLevelType w:val="hybridMultilevel"/>
    <w:lvl w:ilvl="0">
      <w:lvlJc w:val="left"/>
      <w:lvlText w:val="(%1)"/>
      <w:numFmt w:val="lowerLetter"/>
      <w:start w:val="9"/>
    </w:lvl>
    <w:lvl w:ilvl="1">
      <w:lvlJc w:val="left"/>
      <w:lvlText w:val="(%2)"/>
      <w:numFmt w:val="lowerLetter"/>
      <w:start w:val="3"/>
    </w:lvl>
  </w:abstractNum>
  <w:abstractNum w:abstractNumId="83">
    <w:nsid w:val="75E0858A"/>
    <w:multiLevelType w:val="hybridMultilevel"/>
    <w:lvl w:ilvl="0">
      <w:lvlJc w:val="left"/>
      <w:lvlText w:val="(%1)"/>
      <w:numFmt w:val="lowerLetter"/>
      <w:start w:val="9"/>
    </w:lvl>
  </w:abstractNum>
  <w:abstractNum w:abstractNumId="84">
    <w:nsid w:val="57A61A29"/>
    <w:multiLevelType w:val="hybridMultilevel"/>
    <w:lvl w:ilvl="0">
      <w:lvlJc w:val="left"/>
      <w:lvlText w:val="(%1)"/>
      <w:numFmt w:val="lowerLetter"/>
      <w:start w:val="1"/>
    </w:lvl>
  </w:abstractNum>
  <w:abstractNum w:abstractNumId="85">
    <w:nsid w:val="5399C654"/>
    <w:multiLevelType w:val="hybridMultilevel"/>
    <w:lvl w:ilvl="0">
      <w:lvlJc w:val="left"/>
      <w:lvlText w:val="(%1)"/>
      <w:numFmt w:val="lowerLetter"/>
      <w:start w:val="1"/>
    </w:lvl>
  </w:abstractNum>
  <w:abstractNum w:abstractNumId="86">
    <w:nsid w:val="20EE1348"/>
    <w:multiLevelType w:val="hybridMultilevel"/>
    <w:lvl w:ilvl="0">
      <w:lvlJc w:val="left"/>
      <w:lvlText w:val="(%1)"/>
      <w:numFmt w:val="lowerLetter"/>
      <w:start w:val="2"/>
    </w:lvl>
    <w:lvl w:ilvl="1">
      <w:lvlJc w:val="left"/>
      <w:lvlText w:val="(%2)"/>
      <w:numFmt w:val="lowerRoman"/>
      <w:start w:val="1"/>
    </w:lvl>
  </w:abstractNum>
  <w:abstractNum w:abstractNumId="87">
    <w:nsid w:val="4427069A"/>
    <w:multiLevelType w:val="hybridMultilevel"/>
    <w:lvl w:ilvl="0">
      <w:lvlJc w:val="left"/>
      <w:lvlText w:val="%1"/>
      <w:numFmt w:val="decimal"/>
      <w:start w:val="1"/>
    </w:lvl>
    <w:lvl w:ilvl="1">
      <w:lvlJc w:val="left"/>
      <w:lvlText w:val="(%2)"/>
      <w:numFmt w:val="lowerLetter"/>
      <w:start w:val="1"/>
    </w:lvl>
  </w:abstractNum>
  <w:abstractNum w:abstractNumId="88">
    <w:nsid w:val="B37E80A"/>
    <w:multiLevelType w:val="hybridMultilevel"/>
    <w:lvl w:ilvl="0">
      <w:lvlJc w:val="left"/>
      <w:lvlText w:val="(%1)"/>
      <w:numFmt w:val="decimal"/>
      <w:start w:val="1"/>
    </w:lvl>
    <w:lvl w:ilvl="1">
      <w:lvlJc w:val="left"/>
      <w:lvlText w:val="(%2)"/>
      <w:numFmt w:val="lowerLetter"/>
      <w:start w:val="2"/>
    </w:lvl>
  </w:abstractNum>
  <w:abstractNum w:abstractNumId="89">
    <w:nsid w:val="2157F6BC"/>
    <w:multiLevelType w:val="hybridMultilevel"/>
    <w:lvl w:ilvl="0">
      <w:lvlJc w:val="left"/>
      <w:lvlText w:val="(%1)"/>
      <w:numFmt w:val="lowerLetter"/>
      <w:start w:val="1"/>
    </w:lvl>
  </w:abstractNum>
  <w:abstractNum w:abstractNumId="90">
    <w:nsid w:val="704E1DD5"/>
    <w:multiLevelType w:val="hybridMultilevel"/>
    <w:lvl w:ilvl="0">
      <w:lvlJc w:val="left"/>
      <w:lvlText w:val="(%1)"/>
      <w:numFmt w:val="lowerLetter"/>
      <w:start w:val="2"/>
    </w:lvl>
  </w:abstractNum>
  <w:abstractNum w:abstractNumId="91">
    <w:nsid w:val="57D2F10E"/>
    <w:multiLevelType w:val="hybridMultilevel"/>
    <w:lvl w:ilvl="0">
      <w:lvlJc w:val="left"/>
      <w:lvlText w:val="(%1)"/>
      <w:numFmt w:val="lowerLetter"/>
      <w:start w:val="6"/>
    </w:lvl>
  </w:abstractNum>
  <w:abstractNum w:abstractNumId="92">
    <w:nsid w:val="BFFAE18"/>
    <w:multiLevelType w:val="hybridMultilevel"/>
    <w:lvl w:ilvl="0">
      <w:lvlJc w:val="left"/>
      <w:lvlText w:val="(%1)"/>
      <w:numFmt w:val="lowerLetter"/>
      <w:start w:val="1"/>
    </w:lvl>
    <w:lvl w:ilvl="1">
      <w:lvlJc w:val="left"/>
      <w:lvlText w:val="(%2)"/>
      <w:numFmt w:val="lowerLetter"/>
      <w:start w:val="9"/>
    </w:lvl>
  </w:abstractNum>
  <w:abstractNum w:abstractNumId="93">
    <w:nsid w:val="E3E47A8"/>
    <w:multiLevelType w:val="hybridMultilevel"/>
    <w:lvl w:ilvl="0">
      <w:lvlJc w:val="left"/>
      <w:lvlText w:val="(%1)"/>
      <w:numFmt w:val="lowerRoman"/>
      <w:start w:val="2"/>
    </w:lvl>
  </w:abstractNum>
  <w:abstractNum w:abstractNumId="94">
    <w:nsid w:val="2E48F044"/>
    <w:multiLevelType w:val="hybridMultilevel"/>
    <w:lvl w:ilvl="0">
      <w:lvlJc w:val="left"/>
      <w:lvlText w:val="(%1)"/>
      <w:numFmt w:val="lowerLetter"/>
      <w:start w:val="1"/>
    </w:lvl>
  </w:abstractNum>
  <w:abstractNum w:abstractNumId="95">
    <w:nsid w:val="49D0FEAC"/>
    <w:multiLevelType w:val="hybridMultilevel"/>
    <w:lvl w:ilvl="0">
      <w:lvlJc w:val="left"/>
      <w:lvlText w:val="(%1)"/>
      <w:numFmt w:val="lowerLetter"/>
      <w:start w:val="3"/>
    </w:lvl>
  </w:abstractNum>
  <w:abstractNum w:abstractNumId="96">
    <w:nsid w:val="4BEE5A5B"/>
    <w:multiLevelType w:val="hybridMultilevel"/>
    <w:lvl w:ilvl="0">
      <w:lvlJc w:val="left"/>
      <w:lvlText w:val="(%1)"/>
      <w:numFmt w:val="lowerRoman"/>
      <w:start w:val="1"/>
    </w:lvl>
  </w:abstractNum>
  <w:abstractNum w:abstractNumId="97">
    <w:nsid w:val="5551B9F3"/>
    <w:multiLevelType w:val="hybridMultilevel"/>
    <w:lvl w:ilvl="0">
      <w:lvlJc w:val="left"/>
      <w:lvlText w:val="(%1)"/>
      <w:numFmt w:val="lowerRoman"/>
      <w:start w:val="2"/>
    </w:lvl>
  </w:abstractNum>
  <w:abstractNum w:abstractNumId="98">
    <w:nsid w:val="24F6AB8E"/>
    <w:multiLevelType w:val="hybridMultilevel"/>
    <w:lvl w:ilvl="0">
      <w:lvlJc w:val="left"/>
      <w:lvlText w:val="%1"/>
      <w:numFmt w:val="upperLetter"/>
      <w:start w:val="1"/>
    </w:lvl>
    <w:lvl w:ilvl="1">
      <w:lvlJc w:val="left"/>
      <w:lvlText w:val="(%2)"/>
      <w:numFmt w:val="lowerRoman"/>
      <w:start w:val="8"/>
    </w:lvl>
  </w:abstractNum>
  <w:abstractNum w:abstractNumId="99">
    <w:nsid w:val="634C574C"/>
    <w:multiLevelType w:val="hybridMultilevel"/>
    <w:lvl w:ilvl="0">
      <w:lvlJc w:val="left"/>
      <w:lvlText w:val="(%1)"/>
      <w:numFmt w:val="upperLetter"/>
      <w:start w:val="5"/>
    </w:lvl>
    <w:lvl w:ilvl="1">
      <w:lvlJc w:val="left"/>
      <w:lvlText w:val="%2"/>
      <w:numFmt w:val="lowerRoman"/>
      <w:start w:val="1"/>
    </w:lvl>
  </w:abstractNum>
  <w:abstractNum w:abstractNumId="100">
    <w:nsid w:val="24E99DD7"/>
    <w:multiLevelType w:val="hybridMultilevel"/>
    <w:lvl w:ilvl="0">
      <w:lvlJc w:val="left"/>
      <w:lvlText w:val="%1"/>
      <w:numFmt w:val="upperLetter"/>
      <w:start w:val="1"/>
    </w:lvl>
    <w:lvl w:ilvl="1">
      <w:lvlJc w:val="left"/>
      <w:lvlText w:val="(%2)"/>
      <w:numFmt w:val="lowerLetter"/>
      <w:start w:val="2"/>
    </w:lvl>
  </w:abstractNum>
  <w:abstractNum w:abstractNumId="101">
    <w:nsid w:val="2A31B62D"/>
    <w:multiLevelType w:val="hybridMultilevel"/>
    <w:lvl w:ilvl="0">
      <w:lvlJc w:val="left"/>
      <w:lvlText w:val="(%1)"/>
      <w:numFmt w:val="upperLetter"/>
      <w:start w:val="2"/>
    </w:lvl>
    <w:lvl w:ilvl="1">
      <w:lvlJc w:val="left"/>
      <w:lvlText w:val="(%2)"/>
      <w:numFmt w:val="lowerLetter"/>
      <w:start w:val="3"/>
    </w:lvl>
  </w:abstractNum>
  <w:abstractNum w:abstractNumId="102">
    <w:nsid w:val="1849C29B"/>
    <w:multiLevelType w:val="hybridMultilevel"/>
    <w:lvl w:ilvl="0">
      <w:lvlJc w:val="left"/>
      <w:lvlText w:val="(%1)"/>
      <w:numFmt w:val="lowerLetter"/>
      <w:start w:val="1"/>
    </w:lvl>
    <w:lvl w:ilvl="1">
      <w:lvlJc w:val="left"/>
      <w:lvlText w:val="(%2)"/>
      <w:numFmt w:val="lowerRoman"/>
      <w:start w:val="1"/>
    </w:lvl>
  </w:abstractNum>
  <w:abstractNum w:abstractNumId="103">
    <w:nsid w:val="7DFF9D09"/>
    <w:multiLevelType w:val="hybridMultilevel"/>
    <w:lvl w:ilvl="0">
      <w:lvlJc w:val="left"/>
      <w:lvlText w:val="(%1)"/>
      <w:numFmt w:val="lowerLetter"/>
      <w:start w:val="2"/>
    </w:lvl>
  </w:abstractNum>
  <w:abstractNum w:abstractNumId="104">
    <w:nsid w:val="754342"/>
    <w:multiLevelType w:val="hybridMultilevel"/>
    <w:lvl w:ilvl="0">
      <w:lvlJc w:val="left"/>
      <w:lvlText w:val="(%1)"/>
      <w:numFmt w:val="lowerLetter"/>
      <w:start w:val="1"/>
    </w:lvl>
  </w:abstractNum>
  <w:abstractNum w:abstractNumId="105">
    <w:nsid w:val="69E7F3E5"/>
    <w:multiLevelType w:val="hybridMultilevel"/>
    <w:lvl w:ilvl="0">
      <w:lvlJc w:val="left"/>
      <w:lvlText w:val="(%1)"/>
      <w:numFmt w:val="lowerLetter"/>
      <w:start w:val="1"/>
    </w:lvl>
  </w:abstractNum>
  <w:abstractNum w:abstractNumId="106">
    <w:nsid w:val="2A6DE806"/>
    <w:multiLevelType w:val="hybridMultilevel"/>
    <w:lvl w:ilvl="0">
      <w:lvlJc w:val="left"/>
      <w:lvlText w:val="(%1)"/>
      <w:numFmt w:val="lowerLetter"/>
      <w:start w:val="2"/>
    </w:lvl>
  </w:abstractNum>
  <w:abstractNum w:abstractNumId="107">
    <w:nsid w:val="1816F8C4"/>
    <w:multiLevelType w:val="hybridMultilevel"/>
    <w:lvl w:ilvl="0">
      <w:lvlJc w:val="left"/>
      <w:lvlText w:val="(%1)"/>
      <w:numFmt w:val="lowerLetter"/>
      <w:start w:val="1"/>
    </w:lvl>
  </w:abstractNum>
  <w:abstractNum w:abstractNumId="108">
    <w:nsid w:val="37DF2233"/>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09">
    <w:nsid w:val="7AB49DA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110">
    <w:nsid w:val="759F82CD"/>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5"/>
    </w:lvl>
  </w:abstractNum>
  <w:abstractNum w:abstractNumId="111">
    <w:nsid w:val="61E74EA3"/>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12">
    <w:nsid w:val="597B4D8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6"/>
    </w:lvl>
  </w:abstractNum>
  <w:abstractNum w:abstractNumId="113">
    <w:nsid w:val="F819E7F"/>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114">
    <w:nsid w:val="57C7D42D"/>
    <w:multiLevelType w:val="hybridMultilevel"/>
    <w:lvl w:ilvl="0">
      <w:lvlJc w:val="left"/>
      <w:lvlText w:val="(%1)"/>
      <w:numFmt w:val="lowerLetter"/>
      <w:start w:val="1"/>
    </w:lvl>
  </w:abstractNum>
  <w:abstractNum w:abstractNumId="115">
    <w:nsid w:val="312167AD"/>
    <w:multiLevelType w:val="hybridMultilevel"/>
    <w:lvl w:ilvl="0">
      <w:lvlJc w:val="left"/>
      <w:lvlText w:val="(%1)"/>
      <w:numFmt w:val="lowerLetter"/>
      <w:start w:val="3"/>
    </w:lvl>
  </w:abstractNum>
  <w:abstractNum w:abstractNumId="116">
    <w:nsid w:val="631B64D4"/>
    <w:multiLevelType w:val="hybridMultilevel"/>
    <w:lvl w:ilvl="0">
      <w:lvlJc w:val="left"/>
      <w:lvlText w:val="(%1)"/>
      <w:numFmt w:val="lowerLetter"/>
      <w:start w:val="7"/>
    </w:lvl>
  </w:abstractNum>
  <w:abstractNum w:abstractNumId="117">
    <w:nsid w:val="78B5E776"/>
    <w:multiLevelType w:val="hybridMultilevel"/>
    <w:lvl w:ilvl="0">
      <w:lvlJc w:val="left"/>
      <w:lvlText w:val="(%1)"/>
      <w:numFmt w:val="lowerLetter"/>
      <w:start w:val="1"/>
    </w:lvl>
  </w:abstractNum>
  <w:abstractNum w:abstractNumId="118">
    <w:nsid w:val="75486E47"/>
    <w:multiLevelType w:val="hybridMultilevel"/>
    <w:lvl w:ilvl="0">
      <w:lvlJc w:val="left"/>
      <w:lvlText w:val="(%1)"/>
      <w:numFmt w:val="lowerLetter"/>
      <w:start w:val="2"/>
    </w:lvl>
  </w:abstractNum>
  <w:abstractNum w:abstractNumId="119">
    <w:nsid w:val="6E534CDE"/>
    <w:multiLevelType w:val="hybridMultilevel"/>
    <w:lvl w:ilvl="0">
      <w:lvlJc w:val="left"/>
      <w:lvlText w:val="(%1)"/>
      <w:numFmt w:val="lowerLetter"/>
      <w:start w:val="1"/>
    </w:lvl>
  </w:abstractNum>
  <w:abstractNum w:abstractNumId="120">
    <w:nsid w:val="1A0DDE32"/>
    <w:multiLevelType w:val="hybridMultilevel"/>
    <w:lvl w:ilvl="0">
      <w:lvlJc w:val="left"/>
      <w:lvlText w:val="(%1)"/>
      <w:numFmt w:val="lowerLetter"/>
      <w:start w:val="9"/>
    </w:lvl>
    <w:lvl w:ilvl="1">
      <w:lvlJc w:val="left"/>
      <w:lvlText w:val="(%2)"/>
      <w:numFmt w:val="lowerLetter"/>
      <w:start w:val="2"/>
    </w:lvl>
  </w:abstractNum>
  <w:abstractNum w:abstractNumId="121">
    <w:nsid w:val="65968C1C"/>
    <w:multiLevelType w:val="hybridMultilevel"/>
    <w:lvl w:ilvl="0">
      <w:lvlJc w:val="left"/>
      <w:lvlText w:val="%1"/>
      <w:numFmt w:val="upperLetter"/>
      <w:start w:val="1"/>
    </w:lvl>
    <w:lvl w:ilvl="1">
      <w:lvlJc w:val="left"/>
      <w:lvlText w:val="(%2)"/>
      <w:numFmt w:val="lowerLetter"/>
      <w:start w:val="1"/>
    </w:lvl>
  </w:abstractNum>
  <w:abstractNum w:abstractNumId="122">
    <w:nsid w:val="46263DEC"/>
    <w:multiLevelType w:val="hybridMultilevel"/>
    <w:lvl w:ilvl="0">
      <w:lvlJc w:val="left"/>
      <w:lvlText w:val="(%1)"/>
      <w:numFmt w:val="upperLetter"/>
      <w:start w:val="2"/>
    </w:lvl>
    <w:lvl w:ilvl="1">
      <w:lvlJc w:val="left"/>
      <w:lvlText w:val="(%2)"/>
      <w:numFmt w:val="lowerLetter"/>
      <w:start w:val="2"/>
    </w:lvl>
  </w:abstractNum>
  <w:abstractNum w:abstractNumId="123">
    <w:nsid w:val="260D8C4A"/>
    <w:multiLevelType w:val="hybridMultilevel"/>
    <w:lvl w:ilvl="0">
      <w:lvlJc w:val="left"/>
      <w:lvlText w:val="(%1)"/>
      <w:numFmt w:val="lowerLetter"/>
      <w:start w:val="1"/>
    </w:lvl>
  </w:abstractNum>
  <w:abstractNum w:abstractNumId="124">
    <w:nsid w:val="73D4D3C4"/>
    <w:multiLevelType w:val="hybridMultilevel"/>
    <w:lvl w:ilvl="0">
      <w:lvlJc w:val="left"/>
      <w:lvlText w:val="(%1)"/>
      <w:numFmt w:val="lowerLetter"/>
      <w:start w:val="3"/>
    </w:lvl>
  </w:abstractNum>
  <w:abstractNum w:abstractNumId="125">
    <w:nsid w:val="746F2E30"/>
    <w:multiLevelType w:val="hybridMultilevel"/>
    <w:lvl w:ilvl="0">
      <w:lvlJc w:val="left"/>
      <w:lvlText w:val="%1"/>
      <w:numFmt w:val="lowerLetter"/>
      <w:start w:val="1"/>
    </w:lvl>
    <w:lvl w:ilvl="1">
      <w:lvlJc w:val="left"/>
      <w:lvlText w:val="(%2)"/>
      <w:numFmt w:val="lowerLetter"/>
      <w:start w:val="1"/>
    </w:lvl>
  </w:abstractNum>
  <w:abstractNum w:abstractNumId="126">
    <w:nsid w:val="6FDE8AF6"/>
    <w:multiLevelType w:val="hybridMultilevel"/>
    <w:lvl w:ilvl="0">
      <w:lvlJc w:val="left"/>
      <w:lvlText w:val="(%1)"/>
      <w:numFmt w:val="lowerLetter"/>
      <w:start w:val="35"/>
    </w:lvl>
    <w:lvl w:ilvl="1">
      <w:lvlJc w:val="left"/>
      <w:lvlText w:val="(%2)"/>
      <w:numFmt w:val="lowerLetter"/>
      <w:start w:val="2"/>
    </w:lvl>
  </w:abstractNum>
  <w:abstractNum w:abstractNumId="127">
    <w:nsid w:val="3FC32E20"/>
    <w:multiLevelType w:val="hybridMultilevel"/>
    <w:lvl w:ilvl="0">
      <w:lvlJc w:val="left"/>
      <w:lvlText w:val="(%1)"/>
      <w:numFmt w:val="lowerLetter"/>
      <w:start w:val="5"/>
    </w:lvl>
  </w:abstractNum>
  <w:abstractNum w:abstractNumId="128">
    <w:nsid w:val="49C0E823"/>
    <w:multiLevelType w:val="hybridMultilevel"/>
    <w:lvl w:ilvl="0">
      <w:lvlJc w:val="left"/>
      <w:lvlText w:val="(%1)"/>
      <w:numFmt w:val="lowerLetter"/>
      <w:start w:val="1"/>
    </w:lvl>
  </w:abstractNum>
  <w:abstractNum w:abstractNumId="129">
    <w:nsid w:val="14D53685"/>
    <w:multiLevelType w:val="hybridMultilevel"/>
    <w:lvl w:ilvl="0">
      <w:lvlJc w:val="left"/>
      <w:lvlText w:val="(%1)"/>
      <w:numFmt w:val="lowerLetter"/>
      <w:start w:val="1"/>
    </w:lvl>
  </w:abstractNum>
  <w:abstractNum w:abstractNumId="130">
    <w:nsid w:val="230F856C"/>
    <w:multiLevelType w:val="hybridMultilevel"/>
    <w:lvl w:ilvl="0">
      <w:lvlJc w:val="left"/>
      <w:lvlText w:val="(%1)"/>
      <w:numFmt w:val="lowerLetter"/>
      <w:start w:val="2"/>
    </w:lvl>
  </w:abstractNum>
  <w:abstractNum w:abstractNumId="131">
    <w:nsid w:val="6EAA85FB"/>
    <w:multiLevelType w:val="hybridMultilevel"/>
    <w:lvl w:ilvl="0">
      <w:lvlJc w:val="left"/>
      <w:lvlText w:val="(%1)"/>
      <w:numFmt w:val="lowerLetter"/>
      <w:start w:val="1"/>
    </w:lvl>
  </w:abstractNum>
  <w:abstractNum w:abstractNumId="132">
    <w:nsid w:val="3F06ECB2"/>
    <w:multiLevelType w:val="hybridMultilevel"/>
    <w:lvl w:ilvl="0">
      <w:lvlJc w:val="left"/>
      <w:lvlText w:val="(%1)"/>
      <w:numFmt w:val="lowerLetter"/>
      <w:start w:val="2"/>
    </w:lvl>
  </w:abstractNum>
  <w:abstractNum w:abstractNumId="133">
    <w:nsid w:val="3B594807"/>
    <w:multiLevelType w:val="hybridMultilevel"/>
    <w:lvl w:ilvl="0">
      <w:lvlJc w:val="left"/>
      <w:lvlText w:val="(%1)"/>
      <w:numFmt w:val="lowerLetter"/>
      <w:start w:val="1"/>
    </w:lvl>
    <w:lvl w:ilvl="1">
      <w:lvlJc w:val="left"/>
      <w:lvlText w:val="(%2)"/>
      <w:numFmt w:val="lowerRoman"/>
      <w:start w:val="1"/>
    </w:lvl>
  </w:abstractNum>
  <w:abstractNum w:abstractNumId="134">
    <w:nsid w:val="6CAA2304"/>
    <w:multiLevelType w:val="hybridMultilevel"/>
    <w:lvl w:ilvl="0">
      <w:lvlJc w:val="left"/>
      <w:lvlText w:val="%1"/>
      <w:numFmt w:val="lowerLetter"/>
      <w:start w:val="1"/>
    </w:lvl>
    <w:lvl w:ilvl="1">
      <w:lvlJc w:val="left"/>
      <w:lvlText w:val="(%2)"/>
      <w:numFmt w:val="lowerRoman"/>
      <w:start w:val="6"/>
    </w:lvl>
  </w:abstractNum>
  <w:abstractNum w:abstractNumId="135">
    <w:nsid w:val="3F7C2FF4"/>
    <w:multiLevelType w:val="hybridMultilevel"/>
    <w:lvl w:ilvl="0">
      <w:lvlJc w:val="left"/>
      <w:lvlText w:val="(%1)"/>
      <w:numFmt w:val="lowerLetter"/>
      <w:start w:val="3"/>
    </w:lvl>
    <w:lvl w:ilvl="1">
      <w:lvlJc w:val="left"/>
      <w:lvlText w:val="%2"/>
      <w:numFmt w:val="lowerRoman"/>
      <w:start w:val="1"/>
    </w:lvl>
  </w:abstractNum>
  <w:abstractNum w:abstractNumId="136">
    <w:nsid w:val="25413BEC"/>
    <w:multiLevelType w:val="hybridMultilevel"/>
    <w:lvl w:ilvl="0">
      <w:lvlJc w:val="left"/>
      <w:lvlText w:val="(%1)"/>
      <w:numFmt w:val="lowerLetter"/>
      <w:start w:val="1"/>
    </w:lvl>
  </w:abstractNum>
  <w:abstractNum w:abstractNumId="137">
    <w:nsid w:val="17180B0B"/>
    <w:multiLevelType w:val="hybridMultilevel"/>
    <w:lvl w:ilvl="0">
      <w:lvlJc w:val="left"/>
      <w:lvlText w:val="(%1)"/>
      <w:numFmt w:val="lowerLetter"/>
      <w:start w:val="2"/>
    </w:lvl>
  </w:abstractNum>
  <w:abstractNum w:abstractNumId="138">
    <w:nsid w:val="579328B9"/>
    <w:multiLevelType w:val="hybridMultilevel"/>
    <w:lvl w:ilvl="0">
      <w:lvlJc w:val="left"/>
      <w:lvlText w:val="(%1)"/>
      <w:numFmt w:val="lowerLetter"/>
      <w:start w:val="1"/>
    </w:lvl>
  </w:abstractNum>
  <w:abstractNum w:abstractNumId="139">
    <w:nsid w:val="5D205E20"/>
    <w:multiLevelType w:val="hybridMultilevel"/>
    <w:lvl w:ilvl="0">
      <w:lvlJc w:val="left"/>
      <w:lvlText w:val="(%1)"/>
      <w:numFmt w:val="lowerLetter"/>
      <w:start w:val="2"/>
    </w:lvl>
  </w:abstractNum>
  <w:abstractNum w:abstractNumId="140">
    <w:nsid w:val="11CCA8BA"/>
    <w:multiLevelType w:val="hybridMultilevel"/>
    <w:lvl w:ilvl="0">
      <w:lvlJc w:val="left"/>
      <w:lvlText w:val="(%1)"/>
      <w:numFmt w:val="lowerLetter"/>
      <w:start w:val="1"/>
    </w:lvl>
  </w:abstractNum>
  <w:abstractNum w:abstractNumId="141">
    <w:nsid w:val="4D32AB86"/>
    <w:multiLevelType w:val="hybridMultilevel"/>
    <w:lvl w:ilvl="0">
      <w:lvlJc w:val="left"/>
      <w:lvlText w:val="(%1)"/>
      <w:numFmt w:val="lowerLetter"/>
      <w:start w:val="3"/>
    </w:lvl>
  </w:abstractNum>
  <w:abstractNum w:abstractNumId="142">
    <w:nsid w:val="3F07ACC3"/>
    <w:multiLevelType w:val="hybridMultilevel"/>
    <w:lvl w:ilvl="0">
      <w:lvlJc w:val="left"/>
      <w:lvlText w:val="(%1)"/>
      <w:numFmt w:val="lowerLetter"/>
      <w:start w:val="8"/>
    </w:lvl>
  </w:abstractNum>
  <w:abstractNum w:abstractNumId="143">
    <w:nsid w:val="6B47F63E"/>
    <w:multiLevelType w:val="hybridMultilevel"/>
    <w:lvl w:ilvl="0">
      <w:lvlJc w:val="left"/>
      <w:lvlText w:val="(%1)"/>
      <w:numFmt w:val="lowerRoman"/>
      <w:start w:val="2"/>
    </w:lvl>
  </w:abstractNum>
  <w:abstractNum w:abstractNumId="144">
    <w:nsid w:val="5CB44A05"/>
    <w:multiLevelType w:val="hybridMultilevel"/>
    <w:lvl w:ilvl="0">
      <w:lvlJc w:val="left"/>
      <w:lvlText w:val="(%1)"/>
      <w:numFmt w:val="lowerLetter"/>
      <w:start w:val="1"/>
    </w:lvl>
  </w:abstractNum>
  <w:abstractNum w:abstractNumId="145">
    <w:nsid w:val="16CF80F1"/>
    <w:multiLevelType w:val="hybridMultilevel"/>
    <w:lvl w:ilvl="0">
      <w:lvlJc w:val="left"/>
      <w:lvlText w:val="(%1)"/>
      <w:numFmt w:val="lowerLetter"/>
      <w:start w:val="10"/>
    </w:lvl>
  </w:abstractNum>
  <w:abstractNum w:abstractNumId="146">
    <w:nsid w:val="1C695DEC"/>
    <w:multiLevelType w:val="hybridMultilevel"/>
    <w:lvl w:ilvl="0">
      <w:lvlJc w:val="left"/>
      <w:lvlText w:val="(%1)"/>
      <w:numFmt w:val="lowerLetter"/>
      <w:start w:val="23"/>
    </w:lvl>
  </w:abstractNum>
  <w:abstractNum w:abstractNumId="147">
    <w:nsid w:val="3FCFAED9"/>
    <w:multiLevelType w:val="hybridMultilevel"/>
    <w:lvl w:ilvl="0">
      <w:lvlJc w:val="left"/>
      <w:lvlText w:val="(%1)"/>
      <w:numFmt w:val="lowerLetter"/>
      <w:start w:val="27"/>
    </w:lvl>
  </w:abstractNum>
  <w:abstractNum w:abstractNumId="148">
    <w:nsid w:val="F856867"/>
    <w:multiLevelType w:val="hybridMultilevel"/>
    <w:lvl w:ilvl="0">
      <w:lvlJc w:val="left"/>
      <w:lvlText w:val="(%1)"/>
      <w:numFmt w:val="lowerLetter"/>
      <w:start w:val="33"/>
    </w:lvl>
  </w:abstractNum>
  <w:abstractNum w:abstractNumId="149">
    <w:nsid w:val="11B1CC33"/>
    <w:multiLevelType w:val="hybridMultilevel"/>
    <w:lvl w:ilvl="0">
      <w:lvlJc w:val="left"/>
      <w:lvlText w:val="(%1)"/>
      <w:numFmt w:val="lowerLetter"/>
      <w:start w:val="45"/>
    </w:lvl>
  </w:abstractNum>
  <w:abstractNum w:abstractNumId="150">
    <w:nsid w:val="2E22FBB7"/>
    <w:multiLevelType w:val="hybridMultilevel"/>
    <w:lvl w:ilvl="0">
      <w:lvlJc w:val="left"/>
      <w:lvlText w:val="(%1)"/>
      <w:numFmt w:val="lowerLetter"/>
      <w:start w:val="53"/>
    </w:lvl>
  </w:abstractNum>
  <w:abstractNum w:abstractNumId="151">
    <w:nsid w:val="29934699"/>
    <w:multiLevelType w:val="hybridMultilevel"/>
    <w:lvl w:ilvl="0">
      <w:lvlJc w:val="left"/>
      <w:lvlText w:val="(%1)"/>
      <w:numFmt w:val="lowerLetter"/>
      <w:start w:val="56"/>
    </w:lvl>
  </w:abstractNum>
  <w:abstractNum w:abstractNumId="152">
    <w:nsid w:val="77485850"/>
    <w:multiLevelType w:val="hybridMultilevel"/>
    <w:lvl w:ilvl="0">
      <w:lvlJc w:val="left"/>
      <w:lvlText w:val="(%1)"/>
      <w:numFmt w:val="lowerLetter"/>
      <w:start w:val="65"/>
    </w:lvl>
  </w:abstractNum>
  <w:abstractNum w:abstractNumId="153">
    <w:nsid w:val="744939A3"/>
    <w:multiLevelType w:val="hybridMultilevel"/>
    <w:lvl w:ilvl="0">
      <w:lvlJc w:val="left"/>
      <w:lvlText w:val="(%1)"/>
      <w:numFmt w:val="lowerLetter"/>
      <w:start w:val="73"/>
    </w:lvl>
  </w:abstractNum>
  <w:abstractNum w:abstractNumId="154">
    <w:nsid w:val="4FA0D2E3"/>
    <w:multiLevelType w:val="hybridMultilevel"/>
    <w:lvl w:ilvl="0">
      <w:lvlJc w:val="left"/>
      <w:lvlText w:val="(%1)"/>
      <w:numFmt w:val="lowerLetter"/>
      <w:start w:val="79"/>
    </w:lvl>
  </w:abstractNum>
  <w:abstractNum w:abstractNumId="155">
    <w:nsid w:val="6B1D2C14"/>
    <w:multiLevelType w:val="hybridMultilevel"/>
    <w:lvl w:ilvl="0">
      <w:lvlJc w:val="left"/>
      <w:lvlText w:val="(%1)"/>
      <w:numFmt w:val="lowerLetter"/>
      <w:start w:val="83"/>
    </w:lvl>
  </w:abstractNum>
  <w:abstractNum w:abstractNumId="156">
    <w:nsid w:val="68B867D3"/>
    <w:multiLevelType w:val="hybridMultilevel"/>
    <w:lvl w:ilvl="0">
      <w:lvlJc w:val="left"/>
      <w:lvlText w:val="(%1)"/>
      <w:numFmt w:val="lowerLetter"/>
      <w:start w:val="93"/>
    </w:lvl>
  </w:abstractNum>
  <w:abstractNum w:abstractNumId="157">
    <w:nsid w:val="3F7F5DD9"/>
    <w:multiLevelType w:val="hybridMultilevel"/>
    <w:lvl w:ilvl="0">
      <w:lvlJc w:val="left"/>
      <w:lvlText w:val="(%1)"/>
      <w:numFmt w:val="lowerLetter"/>
      <w:start w:val="103"/>
    </w:lvl>
  </w:abstractNum>
  <w:abstractNum w:abstractNumId="158">
    <w:nsid w:val="2AE05A34"/>
    <w:multiLevelType w:val="hybridMultilevel"/>
    <w:lvl w:ilvl="0">
      <w:lvlJc w:val="left"/>
      <w:lvlText w:val="(%1)"/>
      <w:numFmt w:val="lowerLetter"/>
      <w:start w:val="105"/>
    </w:lvl>
  </w:abstractNum>
  <w:abstractNum w:abstractNumId="159">
    <w:nsid w:val="32794FF7"/>
    <w:multiLevelType w:val="hybridMultilevel"/>
    <w:lvl w:ilvl="0">
      <w:lvlJc w:val="left"/>
      <w:lvlText w:val="%1"/>
      <w:numFmt w:val="upperLetter"/>
      <w:start w:val="1"/>
    </w:lvl>
    <w:lvl w:ilvl="1">
      <w:lvlJc w:val="left"/>
      <w:lvlText w:val="(%2)"/>
      <w:numFmt w:val="lowerLetter"/>
      <w:start w:val="114"/>
    </w:lvl>
    <w:lvl w:ilvl="2">
      <w:lvlJc w:val="left"/>
      <w:lvlText w:val="(%3)"/>
      <w:numFmt w:val="lowerRoman"/>
      <w:start w:val="1"/>
    </w:lvl>
  </w:abstractNum>
  <w:abstractNum w:abstractNumId="160">
    <w:nsid w:val="5454945E"/>
    <w:multiLevelType w:val="hybridMultilevel"/>
    <w:lvl w:ilvl="0">
      <w:lvlJc w:val="left"/>
      <w:lvlText w:val="(%1)"/>
      <w:numFmt w:val="upperLetter"/>
      <w:start w:val="2"/>
    </w:lvl>
    <w:lvl w:ilvl="1">
      <w:lvlJc w:val="left"/>
      <w:lvlText w:val="(%2)"/>
      <w:numFmt w:val="lowerLetter"/>
      <w:start w:val="118"/>
    </w:lvl>
    <w:lvl w:ilvl="2">
      <w:lvlJc w:val="left"/>
      <w:lvlText w:val="%3"/>
      <w:numFmt w:val="lowerRoman"/>
      <w:start w:val="1"/>
    </w:lvl>
  </w:abstractNum>
  <w:abstractNum w:abstractNumId="161">
    <w:nsid w:val="4DEFDFA0"/>
    <w:multiLevelType w:val="hybridMultilevel"/>
    <w:lvl w:ilvl="0">
      <w:lvlJc w:val="left"/>
      <w:lvlText w:val="(%1)"/>
      <w:numFmt w:val="lowerLetter"/>
      <w:start w:val="120"/>
    </w:lvl>
  </w:abstractNum>
  <w:abstractNum w:abstractNumId="162">
    <w:nsid w:val="2123D5F2"/>
    <w:multiLevelType w:val="hybridMultilevel"/>
    <w:lvl w:ilvl="0">
      <w:lvlJc w:val="left"/>
      <w:lvlText w:val="%1"/>
      <w:numFmt w:val="upperLetter"/>
      <w:start w:val="1"/>
    </w:lvl>
    <w:lvl w:ilvl="1">
      <w:lvlJc w:val="left"/>
      <w:lvlText w:val="(%2)"/>
      <w:numFmt w:val="lowerLetter"/>
      <w:start w:val="128"/>
    </w:lvl>
  </w:abstractNum>
  <w:abstractNum w:abstractNumId="163">
    <w:nsid w:val="135B8110"/>
    <w:multiLevelType w:val="hybridMultilevel"/>
    <w:lvl w:ilvl="0">
      <w:lvlJc w:val="left"/>
      <w:lvlText w:val="(%1)"/>
      <w:numFmt w:val="upperLetter"/>
      <w:start w:val="1"/>
    </w:lvl>
    <w:lvl w:ilvl="1">
      <w:lvlJc w:val="left"/>
      <w:lvlText w:val="(%2)"/>
      <w:numFmt w:val="lowerLetter"/>
      <w:start w:val="131"/>
    </w:lvl>
  </w:abstractNum>
  <w:abstractNum w:abstractNumId="164">
    <w:nsid w:val="94927A8"/>
    <w:multiLevelType w:val="hybridMultilevel"/>
    <w:lvl w:ilvl="0">
      <w:lvlJc w:val="left"/>
      <w:lvlText w:val="%1"/>
      <w:numFmt w:val="lowerLetter"/>
      <w:start w:val="1"/>
    </w:lvl>
    <w:lvl w:ilvl="1">
      <w:lvlJc w:val="left"/>
      <w:lvlText w:val="(%2)"/>
      <w:numFmt w:val="lowerLetter"/>
      <w:start w:val="133"/>
    </w:lvl>
  </w:abstractNum>
  <w:abstractNum w:abstractNumId="165">
    <w:nsid w:val="DCDF8F6"/>
    <w:multiLevelType w:val="hybridMultilevel"/>
    <w:lvl w:ilvl="0">
      <w:lvlJc w:val="left"/>
      <w:lvlText w:val="(%1)"/>
      <w:numFmt w:val="lowerLetter"/>
      <w:start w:val="35"/>
    </w:lvl>
    <w:lvl w:ilvl="1">
      <w:lvlJc w:val="left"/>
      <w:lvlText w:val="%2"/>
      <w:numFmt w:val="lowerLetter"/>
      <w:start w:val="1"/>
    </w:lvl>
  </w:abstractNum>
  <w:abstractNum w:abstractNumId="166">
    <w:nsid w:val="52D7B105"/>
    <w:multiLevelType w:val="hybridMultilevel"/>
    <w:lvl w:ilvl="0">
      <w:lvlJc w:val="left"/>
      <w:lvlText w:val="(%1)."/>
      <w:numFmt w:val="lowerLetter"/>
      <w:start w:val="9"/>
    </w:lvl>
    <w:lvl w:ilvl="1">
      <w:lvlJc w:val="left"/>
      <w:lvlText w:val="(%2)"/>
      <w:numFmt w:val="lowerLetter"/>
      <w:start w:val="139"/>
    </w:lvl>
  </w:abstractNum>
  <w:abstractNum w:abstractNumId="167">
    <w:nsid w:val="2E8A6394"/>
    <w:multiLevelType w:val="hybridMultilevel"/>
    <w:lvl w:ilvl="0">
      <w:lvlJc w:val="left"/>
      <w:lvlText w:val="(%1)"/>
      <w:numFmt w:val="lowerLetter"/>
      <w:start w:val="140"/>
    </w:lvl>
  </w:abstractNum>
  <w:abstractNum w:abstractNumId="168">
    <w:nsid w:val="24E60401"/>
    <w:multiLevelType w:val="hybridMultilevel"/>
    <w:lvl w:ilvl="0">
      <w:lvlJc w:val="left"/>
      <w:lvlText w:val="(%1)"/>
      <w:numFmt w:val="lowerLetter"/>
      <w:start w:val="148"/>
    </w:lvl>
  </w:abstractNum>
  <w:abstractNum w:abstractNumId="169">
    <w:nsid w:val="2A6AD9BE"/>
    <w:multiLevelType w:val="hybridMultilevel"/>
    <w:lvl w:ilvl="0">
      <w:lvlJc w:val="left"/>
      <w:lvlText w:val="%1."/>
      <w:numFmt w:val="decimal"/>
      <w:start w:val="1"/>
    </w:lvl>
  </w:abstractNum>
  <w:abstractNum w:abstractNumId="170">
    <w:nsid w:val="BAAC1B4"/>
    <w:multiLevelType w:val="hybridMultilevel"/>
    <w:lvl w:ilvl="0">
      <w:lvlJc w:val="left"/>
      <w:lvlText w:val="(%1)"/>
      <w:numFmt w:val="lowerLetter"/>
      <w:start w:val="1"/>
    </w:lvl>
  </w:abstractNum>
  <w:abstractNum w:abstractNumId="171">
    <w:nsid w:val="36B2ACBC"/>
    <w:multiLevelType w:val="hybridMultilevel"/>
    <w:lvl w:ilvl="0">
      <w:lvlJc w:val="left"/>
      <w:lvlText w:val="(%1)"/>
      <w:numFmt w:val="lowerLetter"/>
      <w:start w:val="5"/>
    </w:lvl>
  </w:abstractNum>
  <w:abstractNum w:abstractNumId="172">
    <w:nsid w:val="779D8544"/>
    <w:multiLevelType w:val="hybridMultilevel"/>
    <w:lvl w:ilvl="0">
      <w:lvlJc w:val="left"/>
      <w:lvlText w:val="(%1)"/>
      <w:numFmt w:val="lowerLetter"/>
      <w:start w:val="1"/>
    </w:lvl>
  </w:abstractNum>
  <w:abstractNum w:abstractNumId="173">
    <w:nsid w:val="4AB26E78"/>
    <w:multiLevelType w:val="hybridMultilevel"/>
    <w:lvl w:ilvl="0">
      <w:lvlJc w:val="left"/>
      <w:lvlText w:val="(%1)"/>
      <w:numFmt w:val="lowerLetter"/>
      <w:start w:val="6"/>
    </w:lvl>
  </w:abstractNum>
  <w:abstractNum w:abstractNumId="174">
    <w:nsid w:val="21FAA2FA"/>
    <w:multiLevelType w:val="hybridMultilevel"/>
    <w:lvl w:ilvl="0">
      <w:lvlJc w:val="left"/>
      <w:lvlText w:val="%1."/>
      <w:numFmt w:val="decimal"/>
      <w:start w:val="1"/>
    </w:lvl>
    <w:lvl w:ilvl="1">
      <w:lvlJc w:val="left"/>
      <w:lvlText w:val="%2)"/>
      <w:numFmt w:val="lowerLetter"/>
      <w:start w:val="1"/>
    </w:lvl>
  </w:abstractNum>
  <w:abstractNum w:abstractNumId="175">
    <w:nsid w:val="5451CF49"/>
    <w:multiLevelType w:val="hybridMultilevel"/>
    <w:lvl w:ilvl="0">
      <w:lvlJc w:val="left"/>
      <w:lvlText w:val="%1."/>
      <w:numFmt w:val="decimal"/>
      <w:start w:val="1"/>
    </w:lvl>
    <w:lvl w:ilvl="1">
      <w:lvlJc w:val="left"/>
      <w:lvlText w:val="%2)"/>
      <w:numFmt w:val="lowerLetter"/>
      <w:start w:val="1"/>
    </w:lvl>
  </w:abstractNum>
  <w:abstractNum w:abstractNumId="176">
    <w:nsid w:val="6181EF6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74" Type="http://schemas.openxmlformats.org/officeDocument/2006/relationships/hyperlink" Target="http://www.sec.gov/Archives/edgar/data/1467858/000119312510279214/dex32.htm" TargetMode="External"/><Relationship Id="rId75" Type="http://schemas.openxmlformats.org/officeDocument/2006/relationships/hyperlink" Target="https://www.sec.gov/Archives/edgar/data/1467858/000119312521254010/d132589dex31.htm" TargetMode="External"/><Relationship Id="rId76" Type="http://schemas.openxmlformats.org/officeDocument/2006/relationships/hyperlink" Target="https://www.sec.gov/Archives/edgar/data/1467858/000119312522096284/d34520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2022-07-26T13:50:12Z</dcterms:created>
  <dcterms:modified xsi:type="dcterms:W3CDTF">2022-07-26T13:50:12Z</dcterms:modified>
</cp:coreProperties>
</file>