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September 23,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218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001-34960</w:t>
            </w:r>
          </w:p>
        </w:tc>
        <w:tc>
          <w:tcPr>
            <w:tcW w:w="4080" w:type="dxa"/>
            <w:vAlign w:val="bottom"/>
          </w:tcPr>
          <w:p>
            <w:pPr>
              <w:jc w:val="center"/>
              <w:ind w:left="90"/>
              <w:spacing w:after="0"/>
              <w:rPr>
                <w:sz w:val="20"/>
                <w:szCs w:val="20"/>
                <w:color w:val="auto"/>
              </w:rPr>
            </w:pPr>
            <w:r>
              <w:rPr>
                <w:rFonts w:ascii="Arial" w:cs="Arial" w:eastAsia="Arial" w:hAnsi="Arial"/>
                <w:sz w:val="18"/>
                <w:szCs w:val="18"/>
                <w:b w:val="1"/>
                <w:bCs w:val="1"/>
                <w:color w:val="auto"/>
                <w:w w:val="98"/>
              </w:rPr>
              <w:t>DELAWARE</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4080" w:type="dxa"/>
            <w:vAlign w:val="bottom"/>
          </w:tcPr>
          <w:p>
            <w:pPr>
              <w:jc w:val="center"/>
              <w:ind w:left="70"/>
              <w:spacing w:after="0"/>
              <w:rPr>
                <w:sz w:val="20"/>
                <w:szCs w:val="20"/>
                <w:color w:val="auto"/>
              </w:rPr>
            </w:pPr>
            <w:r>
              <w:rPr>
                <w:rFonts w:ascii="Arial" w:cs="Arial" w:eastAsia="Arial" w:hAnsi="Arial"/>
                <w:sz w:val="18"/>
                <w:szCs w:val="18"/>
                <w:color w:val="auto"/>
                <w:w w:val="92"/>
              </w:rPr>
              <w:t>(State or other jurisdiction of</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180" w:type="dxa"/>
            <w:vAlign w:val="bottom"/>
          </w:tcPr>
          <w:p>
            <w:pPr>
              <w:jc w:val="center"/>
              <w:ind w:right="110"/>
              <w:spacing w:after="0"/>
              <w:rPr>
                <w:sz w:val="20"/>
                <w:szCs w:val="20"/>
                <w:color w:val="auto"/>
              </w:rPr>
            </w:pPr>
            <w:r>
              <w:rPr>
                <w:rFonts w:ascii="Arial" w:cs="Arial" w:eastAsia="Arial" w:hAnsi="Arial"/>
                <w:sz w:val="18"/>
                <w:szCs w:val="18"/>
                <w:color w:val="auto"/>
                <w:w w:val="92"/>
              </w:rPr>
              <w:t>(Commission File Number)</w:t>
            </w:r>
          </w:p>
        </w:tc>
        <w:tc>
          <w:tcPr>
            <w:tcW w:w="4080" w:type="dxa"/>
            <w:vAlign w:val="bottom"/>
          </w:tcPr>
          <w:p>
            <w:pPr>
              <w:jc w:val="center"/>
              <w:ind w:left="70"/>
              <w:spacing w:after="0"/>
              <w:rPr>
                <w:sz w:val="20"/>
                <w:szCs w:val="20"/>
                <w:color w:val="auto"/>
              </w:rPr>
            </w:pPr>
            <w:r>
              <w:rPr>
                <w:rFonts w:ascii="Arial" w:cs="Arial" w:eastAsia="Arial" w:hAnsi="Arial"/>
                <w:sz w:val="18"/>
                <w:szCs w:val="18"/>
                <w:color w:val="auto"/>
                <w:w w:val="94"/>
              </w:rPr>
              <w:t>incorporation)</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85"/>
        </w:trPr>
        <w:tc>
          <w:tcPr>
            <w:tcW w:w="6260" w:type="dxa"/>
            <w:vAlign w:val="bottom"/>
            <w:gridSpan w:val="2"/>
          </w:tcPr>
          <w:p>
            <w:pPr>
              <w:jc w:val="center"/>
              <w:ind w:right="25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260" w:type="dxa"/>
            <w:vAlign w:val="bottom"/>
            <w:gridSpan w:val="2"/>
          </w:tcPr>
          <w:p>
            <w:pPr>
              <w:jc w:val="center"/>
              <w:ind w:right="251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58"/>
        </w:trPr>
        <w:tc>
          <w:tcPr>
            <w:tcW w:w="2180" w:type="dxa"/>
            <w:vAlign w:val="bottom"/>
          </w:tcPr>
          <w:p>
            <w:pPr>
              <w:spacing w:after="0"/>
              <w:rPr>
                <w:sz w:val="24"/>
                <w:szCs w:val="24"/>
                <w:color w:val="auto"/>
              </w:rPr>
            </w:pPr>
          </w:p>
        </w:tc>
        <w:tc>
          <w:tcPr>
            <w:tcW w:w="4080" w:type="dxa"/>
            <w:vAlign w:val="bottom"/>
          </w:tcPr>
          <w:p>
            <w:pPr>
              <w:jc w:val="center"/>
              <w:ind w:left="7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080" w:type="dxa"/>
            <w:vAlign w:val="bottom"/>
          </w:tcPr>
          <w:p>
            <w:pPr>
              <w:jc w:val="center"/>
              <w:ind w:left="70"/>
              <w:spacing w:after="0"/>
              <w:rPr>
                <w:sz w:val="20"/>
                <w:szCs w:val="20"/>
                <w:color w:val="auto"/>
              </w:rPr>
            </w:pPr>
            <w:r>
              <w:rPr>
                <w:rFonts w:ascii="Arial" w:cs="Arial" w:eastAsia="Arial" w:hAnsi="Arial"/>
                <w:sz w:val="18"/>
                <w:szCs w:val="18"/>
                <w:color w:val="auto"/>
                <w:w w:val="89"/>
              </w:rPr>
              <w:t>(Registrant's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1080" w:hanging="653"/>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1080" w:hanging="653"/>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1080" w:hanging="653"/>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1080" w:hanging="653"/>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280"/>
          </w:cols>
          <w:pgMar w:left="240" w:top="684" w:right="37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ind w:left="960" w:right="679"/>
        <w:spacing w:after="0" w:line="340" w:lineRule="auto"/>
        <w:rPr>
          <w:sz w:val="20"/>
          <w:szCs w:val="20"/>
          <w:color w:val="auto"/>
        </w:rPr>
      </w:pPr>
      <w:r>
        <w:rPr>
          <w:rFonts w:ascii="Arial" w:cs="Arial" w:eastAsia="Arial" w:hAnsi="Arial"/>
          <w:sz w:val="18"/>
          <w:szCs w:val="18"/>
          <w:color w:val="auto"/>
        </w:rPr>
        <w:t>Agreement dated September 23, 2013 between General Motors Company and the UAW Retiree Medical Benefits Trust Press Release dated September 23,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36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On September 23, 2013, General Motors Company (the “Company”) entered into an agreement with the UAW Retiree Medical Benefits Trust (the "New VEBA") to repurchase from the New VEBA 120 million shares of its Series A Fixed Rate Cumulative Perpetual Preferred Stock ("Series A Preferred Stock") for an aggregate purchase price equal to approximately $3.2 billion or $27 per share (the “Agreement”). The New VEBA currently holds 260 million shares of Series A Preferred Stock, and Canada GEN Investment Corporation currently holds another 16 million shares of Series A Preferred Stock. Each share of Series A Preferred Stock has a liquidation amount of $25 per share and accrues cumulative dividends at a 9.0% annual rate. This Agreement is contingent upon the closing of the offering of Senior Notes (“Notes”) described below on or before September 30, 2013. The Company expects to incur a loss of approximately $0.8 billion in connection with the repurchase of Series A Preferred Stock. The loss will be treated as a special item.</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copy of the Agreement is attached as Exhibit 10.1 to this Current Report on Form 8-K and incorporated by reference herein.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36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On September 23, 2013, the Company issued a press release announcing that it intends to offer Notes in three tranches maturing in 2018, 2023 and 2043, pursuant to Rule 144A and Regulation S under the Securities Act of 1933, as amended. The Company intends to use the net proceeds from the issuance of the Notes for general corporate purposes including the purchase of $3 billion of Series A Preferred Stock from the New VEBA.</w:t>
      </w:r>
    </w:p>
    <w:p>
      <w:pPr>
        <w:spacing w:after="0" w:line="16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Notes have not been registered under the Securities Act of 1933 and may not be offered or sold within the United States or to, or for the account or benefit of, U.S. persons (as defined in Regulation S under the Securities Act) except to (a) qualified institutional buyers in reliance on the exemption from the registration requirements of the Securities Act provided by Rule 144A and (b) persons in offshore transactions in reliance on Regulation 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press release does not constitute an offer to sell, or a solicitation of an offer to buy, any securities. The offer will be made only by means of a confidential offering memorandum.</w:t>
      </w:r>
    </w:p>
    <w:p>
      <w:pPr>
        <w:spacing w:after="0" w:line="170"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This Current Report and the attached press release may include or incorporate by reference “forward-looking statements” within the meaning of Section 27A of the Securities Act and Section 21E of the Exchange Act. Our use of the words "may," "will," "would," "could," "should," "believes," "estimates," "projects," "potential," "expects," "plans,""seeks," "intends," "evaluates," "pursues," "anticipates," "continues," "designs," "impacts," "forecasts," "target,""outlook,"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Current Report, the attached press release, and in related comments by our management, other than statements of historical facts, including without limitation, statements about future events or financial performance, are forward-looking statements that involve certain risks and uncertainties. 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the Company's most recent annual report on Form 10-K, which may be revised or supplement in future reports to the SEC. Consequently, all of the forward-looking statements made in this Current Report and the attached press release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copy of the press release is attached to this Current Report as Exhibit 99.1, and incorporated by reference herein.</w:t>
      </w:r>
    </w:p>
    <w:p>
      <w:pPr>
        <w:sectPr>
          <w:pgSz w:w="11900" w:h="16838" w:orient="portrait"/>
          <w:cols w:equalWidth="0" w:num="1">
            <w:col w:w="11420"/>
          </w:cols>
          <w:pgMar w:left="240" w:top="63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8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581"/>
        </w:trPr>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w:t>
            </w:r>
          </w:p>
        </w:tc>
        <w:tc>
          <w:tcPr>
            <w:tcW w:w="3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34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627"/>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3480" w:type="dxa"/>
            <w:vAlign w:val="bottom"/>
            <w:gridSpan w:val="2"/>
          </w:tcPr>
          <w:p>
            <w:pPr>
              <w:spacing w:after="0"/>
              <w:rPr>
                <w:sz w:val="20"/>
                <w:szCs w:val="20"/>
                <w:color w:val="auto"/>
              </w:rPr>
            </w:pPr>
            <w:r>
              <w:rPr>
                <w:rFonts w:ascii="Arial" w:cs="Arial" w:eastAsia="Arial" w:hAnsi="Arial"/>
                <w:sz w:val="18"/>
                <w:szCs w:val="18"/>
                <w:color w:val="auto"/>
                <w:w w:val="91"/>
              </w:rPr>
              <w:t>Agreement dated September 23, 2013 between</w:t>
            </w: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0"/>
              </w:rPr>
              <w:t>General Motors Company and the UAW Retiree</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Medical Benefits Trust</w:t>
            </w:r>
          </w:p>
        </w:tc>
      </w:tr>
      <w:tr>
        <w:trPr>
          <w:trHeight w:val="270"/>
        </w:trPr>
        <w:tc>
          <w:tcPr>
            <w:tcW w:w="40" w:type="dxa"/>
            <w:vAlign w:val="bottom"/>
          </w:tcPr>
          <w:p>
            <w:pPr>
              <w:spacing w:after="0"/>
              <w:rPr>
                <w:sz w:val="23"/>
                <w:szCs w:val="23"/>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 99.1</w:t>
            </w:r>
          </w:p>
        </w:tc>
        <w:tc>
          <w:tcPr>
            <w:tcW w:w="3480" w:type="dxa"/>
            <w:vAlign w:val="bottom"/>
            <w:gridSpan w:val="2"/>
          </w:tcPr>
          <w:p>
            <w:pPr>
              <w:spacing w:after="0"/>
              <w:rPr>
                <w:sz w:val="20"/>
                <w:szCs w:val="20"/>
                <w:color w:val="auto"/>
              </w:rPr>
            </w:pPr>
            <w:r>
              <w:rPr>
                <w:rFonts w:ascii="Arial" w:cs="Arial" w:eastAsia="Arial" w:hAnsi="Arial"/>
                <w:sz w:val="18"/>
                <w:szCs w:val="18"/>
                <w:color w:val="auto"/>
              </w:rPr>
              <w:t>Press Release dated September 23, 2013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Filing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Attached as Exhibit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Attached as Exhibit</w:t>
      </w:r>
    </w:p>
    <w:p>
      <w:pPr>
        <w:sectPr>
          <w:pgSz w:w="11900" w:h="16838" w:orient="portrait"/>
          <w:cols w:equalWidth="0" w:num="2">
            <w:col w:w="7400" w:space="520"/>
            <w:col w:w="2299"/>
          </w:cols>
          <w:pgMar w:left="240" w:top="850"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r>
      <w:tr>
        <w:trPr>
          <w:trHeight w:val="237"/>
        </w:trPr>
        <w:tc>
          <w:tcPr>
            <w:tcW w:w="2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r>
      <w:tr>
        <w:trPr>
          <w:trHeight w:val="702"/>
        </w:trPr>
        <w:tc>
          <w:tcPr>
            <w:tcW w:w="2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r>
      <w:tr>
        <w:trPr>
          <w:trHeight w:val="27"/>
        </w:trPr>
        <w:tc>
          <w:tcPr>
            <w:tcW w:w="28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Date: September 23, 2013</w:t>
            </w:r>
          </w:p>
        </w:tc>
        <w:tc>
          <w:tcPr>
            <w:tcW w:w="1440" w:type="dxa"/>
            <w:vAlign w:val="bottom"/>
          </w:tcPr>
          <w:p>
            <w:pPr>
              <w:ind w:left="1000"/>
              <w:spacing w:after="0"/>
              <w:rPr>
                <w:sz w:val="20"/>
                <w:szCs w:val="20"/>
                <w:color w:val="auto"/>
              </w:rPr>
            </w:pPr>
            <w:r>
              <w:rPr>
                <w:rFonts w:ascii="Arial" w:cs="Arial" w:eastAsia="Arial" w:hAnsi="Arial"/>
                <w:sz w:val="18"/>
                <w:szCs w:val="18"/>
                <w:color w:val="auto"/>
              </w:rPr>
              <w:t>By:</w:t>
            </w:r>
          </w:p>
        </w:tc>
        <w:tc>
          <w:tcPr>
            <w:tcW w:w="20" w:type="dxa"/>
            <w:vAlign w:val="bottom"/>
            <w:tcBorders>
              <w:top w:val="single" w:sz="8" w:color="auto"/>
            </w:tcBorders>
          </w:tcPr>
          <w:p>
            <w:pPr>
              <w:spacing w:after="0"/>
              <w:rPr>
                <w:sz w:val="19"/>
                <w:szCs w:val="19"/>
                <w:color w:val="auto"/>
              </w:rPr>
            </w:pPr>
          </w:p>
        </w:tc>
        <w:tc>
          <w:tcPr>
            <w:tcW w:w="5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Thomas S. Timko</w:t>
            </w:r>
          </w:p>
        </w:tc>
      </w:tr>
      <w:tr>
        <w:trPr>
          <w:trHeight w:val="230"/>
        </w:trPr>
        <w:tc>
          <w:tcPr>
            <w:tcW w:w="2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586740</wp:posOffset>
            </wp:positionV>
            <wp:extent cx="37719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General Motors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Davlin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September </w:t>
      </w:r>
      <w:r>
        <w:rPr>
          <w:rFonts w:ascii="Arial" w:cs="Arial" w:eastAsia="Arial" w:hAnsi="Arial"/>
          <w:sz w:val="20"/>
          <w:szCs w:val="20"/>
          <w:u w:val="single" w:color="auto"/>
          <w:color w:val="auto"/>
        </w:rPr>
        <w:t>23</w:t>
      </w:r>
      <w:r>
        <w:rPr>
          <w:rFonts w:ascii="Arial" w:cs="Arial" w:eastAsia="Arial" w:hAnsi="Arial"/>
          <w:sz w:val="20"/>
          <w:szCs w:val="20"/>
          <w:color w:val="auto"/>
        </w:rPr>
        <w:t>, 2013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UAW Retiree Medical Benefits Trust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Brock Fiduciary Services LLC, in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its capacity as fiduciary and investment</w:t>
      </w:r>
    </w:p>
    <w:p>
      <w:pPr>
        <w:spacing w:after="0"/>
        <w:rPr>
          <w:sz w:val="20"/>
          <w:szCs w:val="20"/>
          <w:color w:val="auto"/>
        </w:rPr>
      </w:pPr>
      <w:r>
        <w:rPr>
          <w:rFonts w:ascii="Arial" w:cs="Arial" w:eastAsia="Arial" w:hAnsi="Arial"/>
          <w:sz w:val="20"/>
          <w:szCs w:val="20"/>
          <w:color w:val="auto"/>
        </w:rPr>
        <w:t>advisor to the UAW Retiree Medical Benefits Trust</w:t>
      </w:r>
    </w:p>
    <w:p>
      <w:pPr>
        <w:spacing w:after="0"/>
        <w:rPr>
          <w:sz w:val="20"/>
          <w:szCs w:val="20"/>
          <w:color w:val="auto"/>
        </w:rPr>
      </w:pPr>
      <w:r>
        <w:rPr>
          <w:rFonts w:ascii="Arial" w:cs="Arial" w:eastAsia="Arial" w:hAnsi="Arial"/>
          <w:sz w:val="20"/>
          <w:szCs w:val="20"/>
          <w:color w:val="auto"/>
        </w:rPr>
        <w:t>Attn: Mr. Alain Lebec</w:t>
      </w:r>
    </w:p>
    <w:p>
      <w:pPr>
        <w:spacing w:after="0" w:line="236" w:lineRule="auto"/>
        <w:rPr>
          <w:sz w:val="20"/>
          <w:szCs w:val="20"/>
          <w:color w:val="auto"/>
        </w:rPr>
      </w:pPr>
      <w:r>
        <w:rPr>
          <w:rFonts w:ascii="Arial" w:cs="Arial" w:eastAsia="Arial" w:hAnsi="Arial"/>
          <w:sz w:val="20"/>
          <w:szCs w:val="20"/>
          <w:color w:val="auto"/>
        </w:rPr>
        <w:t>Senior Managing Director</w:t>
      </w:r>
    </w:p>
    <w:p>
      <w:pPr>
        <w:spacing w:after="0" w:line="194" w:lineRule="auto"/>
        <w:rPr>
          <w:sz w:val="20"/>
          <w:szCs w:val="20"/>
          <w:color w:val="auto"/>
        </w:rPr>
      </w:pPr>
      <w:r>
        <w:rPr>
          <w:rFonts w:ascii="Arial" w:cs="Arial" w:eastAsia="Arial" w:hAnsi="Arial"/>
          <w:sz w:val="20"/>
          <w:szCs w:val="20"/>
          <w:color w:val="auto"/>
        </w:rPr>
        <w:t>622 Third Avenue, 12</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This letter (the “Letter Agreement”) sets forth our agreement that General Motors Company (the “Company”) will purchase from the UAW Retiree Medical Benefits Trust (“VEBA”) a portion of VEBA's holdings of the Company's Series A Fixed Rate Cumulative Perpetual Preferred Stock, $0.01 par value (the “Series A Preferred”). Specifically, the Company will purchase from VEBA 120,000,000 shares of the Series A Preferred (the “Shares”) for a total cash consideration of $3,242,491,011, which amounts to a cash price per share of approximately $27.02, which is equal to approximately 108.08% of the Liquidation Amount (the “Sale”). (All capitalized terms not defined in this Letter Agreement are used as defined in the Certificate of Designation of the Series A Preferred.)</w:t>
      </w:r>
    </w:p>
    <w:p>
      <w:pPr>
        <w:spacing w:after="0" w:line="17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This Letter Agreement is conditioned upon the closing by the Company of an unsecured note(s) transaction of at least $3 billion on or before September 30, 2013 (the “Note Transaction”). We intend to consummate the Sale on or about the time of the closing of the Note Transaction. We will share with you the timing and mechanics of the closing of the Sale as soon as practicable. In consideration of VEBA's agreement to sell the Shares to the Company, the Company agrees to use its commercially reasonable efforts to comsumate the Note Transaction.</w:t>
      </w:r>
    </w:p>
    <w:p>
      <w:pPr>
        <w:spacing w:after="0" w:line="16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Please evidence your acknowledgement and agreement of this Letter Agreement by executing this Letter Agreement in the space provided below and returning a copy of the executed Letter Agreement to Mr. Davlin and Mr. Shrosbree, at which time this Letter Agreement shall be a binding agreement between the parties hereto.</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Please send your response 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Mr. James Davlin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Vice President Finance, Treasurer</w:t>
      </w:r>
    </w:p>
    <w:p>
      <w:pPr>
        <w:ind w:left="660"/>
        <w:spacing w:after="0"/>
        <w:rPr>
          <w:sz w:val="20"/>
          <w:szCs w:val="20"/>
          <w:color w:val="auto"/>
        </w:rPr>
      </w:pPr>
      <w:r>
        <w:rPr>
          <w:rFonts w:ascii="Arial" w:cs="Arial" w:eastAsia="Arial" w:hAnsi="Arial"/>
          <w:sz w:val="20"/>
          <w:szCs w:val="20"/>
          <w:color w:val="auto"/>
        </w:rPr>
        <w:t>300 Renaissance Center</w:t>
      </w:r>
    </w:p>
    <w:p>
      <w:pPr>
        <w:ind w:left="660"/>
        <w:spacing w:after="0"/>
        <w:rPr>
          <w:sz w:val="20"/>
          <w:szCs w:val="20"/>
          <w:color w:val="auto"/>
        </w:rPr>
      </w:pPr>
      <w:r>
        <w:rPr>
          <w:rFonts w:ascii="Arial" w:cs="Arial" w:eastAsia="Arial" w:hAnsi="Arial"/>
          <w:sz w:val="20"/>
          <w:szCs w:val="20"/>
          <w:color w:val="auto"/>
        </w:rPr>
        <w:t>MC 482-C37-B98</w:t>
      </w:r>
    </w:p>
    <w:p>
      <w:pPr>
        <w:ind w:left="660"/>
        <w:spacing w:after="0"/>
        <w:rPr>
          <w:sz w:val="20"/>
          <w:szCs w:val="20"/>
          <w:color w:val="auto"/>
        </w:rPr>
      </w:pPr>
      <w:r>
        <w:rPr>
          <w:rFonts w:ascii="Arial" w:cs="Arial" w:eastAsia="Arial" w:hAnsi="Arial"/>
          <w:sz w:val="20"/>
          <w:szCs w:val="20"/>
          <w:color w:val="auto"/>
        </w:rPr>
        <w:t>Detroit, MI 48265</w:t>
      </w:r>
    </w:p>
    <w:p>
      <w:pPr>
        <w:ind w:left="660"/>
        <w:spacing w:after="0"/>
        <w:rPr>
          <w:sz w:val="20"/>
          <w:szCs w:val="20"/>
          <w:color w:val="auto"/>
        </w:rPr>
      </w:pPr>
      <w:r>
        <w:rPr>
          <w:rFonts w:ascii="Arial" w:cs="Arial" w:eastAsia="Arial" w:hAnsi="Arial"/>
          <w:sz w:val="20"/>
          <w:szCs w:val="20"/>
          <w:u w:val="single" w:color="auto"/>
          <w:color w:val="0000FF"/>
        </w:rPr>
        <w:t>jim.davlin@gm.com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Renaissance Center MC 482-C37-B98 Detroit, Michigan 48265-3000</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Phone: 212-418-3500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Facsimile: 212-418-3630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Mr. Robert C. Shrosbree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Executive Director Legal, Corporate and Securities</w:t>
      </w:r>
    </w:p>
    <w:p>
      <w:pPr>
        <w:spacing w:after="0"/>
        <w:rPr>
          <w:sz w:val="20"/>
          <w:szCs w:val="20"/>
          <w:color w:val="auto"/>
        </w:rPr>
      </w:pPr>
      <w:r>
        <w:rPr>
          <w:rFonts w:ascii="Arial" w:cs="Arial" w:eastAsia="Arial" w:hAnsi="Arial"/>
          <w:sz w:val="20"/>
          <w:szCs w:val="20"/>
          <w:color w:val="auto"/>
        </w:rPr>
        <w:t>300 Renaissance Center</w:t>
      </w:r>
    </w:p>
    <w:p>
      <w:pPr>
        <w:spacing w:after="0"/>
        <w:rPr>
          <w:sz w:val="20"/>
          <w:szCs w:val="20"/>
          <w:color w:val="auto"/>
        </w:rPr>
      </w:pPr>
      <w:r>
        <w:rPr>
          <w:rFonts w:ascii="Arial" w:cs="Arial" w:eastAsia="Arial" w:hAnsi="Arial"/>
          <w:sz w:val="20"/>
          <w:szCs w:val="20"/>
          <w:color w:val="auto"/>
        </w:rPr>
        <w:t>MC 482-C23-D24</w:t>
      </w:r>
    </w:p>
    <w:p>
      <w:pPr>
        <w:spacing w:after="0"/>
        <w:rPr>
          <w:sz w:val="20"/>
          <w:szCs w:val="20"/>
          <w:color w:val="auto"/>
        </w:rPr>
      </w:pPr>
      <w:r>
        <w:rPr>
          <w:rFonts w:ascii="Arial" w:cs="Arial" w:eastAsia="Arial" w:hAnsi="Arial"/>
          <w:sz w:val="20"/>
          <w:szCs w:val="20"/>
          <w:color w:val="auto"/>
        </w:rPr>
        <w:t>Detroit, MI 48265</w:t>
      </w:r>
    </w:p>
    <w:p>
      <w:pPr>
        <w:spacing w:after="0"/>
        <w:rPr>
          <w:sz w:val="20"/>
          <w:szCs w:val="20"/>
          <w:color w:val="auto"/>
        </w:rPr>
      </w:pPr>
      <w:r>
        <w:rPr>
          <w:rFonts w:ascii="Arial" w:cs="Arial" w:eastAsia="Arial" w:hAnsi="Arial"/>
          <w:sz w:val="20"/>
          <w:szCs w:val="20"/>
          <w:u w:val="single" w:color="auto"/>
          <w:color w:val="0000FF"/>
        </w:rPr>
        <w:t>robert.shrosbree@gm.com</w:t>
      </w:r>
    </w:p>
    <w:p>
      <w:pPr>
        <w:spacing w:after="0"/>
        <w:rPr>
          <w:sz w:val="20"/>
          <w:szCs w:val="20"/>
          <w:color w:val="auto"/>
        </w:rPr>
      </w:pPr>
      <w:r>
        <w:rPr>
          <w:rFonts w:ascii="Arial" w:cs="Arial" w:eastAsia="Arial" w:hAnsi="Arial"/>
          <w:sz w:val="20"/>
          <w:szCs w:val="20"/>
          <w:color w:val="auto"/>
        </w:rPr>
        <w:t>Phone : 313-665-8452</w:t>
      </w:r>
    </w:p>
    <w:p>
      <w:pPr>
        <w:spacing w:after="0"/>
        <w:rPr>
          <w:sz w:val="20"/>
          <w:szCs w:val="20"/>
          <w:color w:val="auto"/>
        </w:rPr>
      </w:pPr>
      <w:r>
        <w:rPr>
          <w:rFonts w:ascii="Arial" w:cs="Arial" w:eastAsia="Arial" w:hAnsi="Arial"/>
          <w:sz w:val="20"/>
          <w:szCs w:val="20"/>
          <w:color w:val="auto"/>
        </w:rPr>
        <w:t>Facsimile : 313-665-4979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GENERAL MOTORS COMPANY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DAVLIN</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James Davlin</w:t>
      </w:r>
    </w:p>
    <w:p>
      <w:pPr>
        <w:ind w:left="640"/>
        <w:spacing w:after="0"/>
        <w:rPr>
          <w:sz w:val="20"/>
          <w:szCs w:val="20"/>
          <w:color w:val="auto"/>
        </w:rPr>
      </w:pPr>
      <w:r>
        <w:rPr>
          <w:rFonts w:ascii="Arial" w:cs="Arial" w:eastAsia="Arial" w:hAnsi="Arial"/>
          <w:sz w:val="20"/>
          <w:szCs w:val="20"/>
          <w:color w:val="auto"/>
        </w:rPr>
        <w:t>Vice President Finance, Treasurer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 BY: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UAW RETIREE MEDICAL BENEFITS TRUST</w:t>
      </w:r>
    </w:p>
    <w:p>
      <w:pPr>
        <w:spacing w:after="0" w:line="200" w:lineRule="exact"/>
        <w:rPr>
          <w:sz w:val="20"/>
          <w:szCs w:val="20"/>
          <w:color w:val="auto"/>
        </w:rPr>
      </w:pPr>
    </w:p>
    <w:p>
      <w:pPr>
        <w:spacing w:after="0" w:line="232"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By:</w:t>
        <w:tab/>
        <w:t>BROCK FIDUCIARY SERVICES LLC, IN ITS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CAPACITY AS FIDUCIARY AND INVESTMENT</w:t>
      </w:r>
    </w:p>
    <w:p>
      <w:pPr>
        <w:ind w:left="640"/>
        <w:spacing w:after="0"/>
        <w:rPr>
          <w:sz w:val="20"/>
          <w:szCs w:val="20"/>
          <w:color w:val="auto"/>
        </w:rPr>
      </w:pPr>
      <w:r>
        <w:rPr>
          <w:rFonts w:ascii="Arial" w:cs="Arial" w:eastAsia="Arial" w:hAnsi="Arial"/>
          <w:sz w:val="20"/>
          <w:szCs w:val="20"/>
          <w:color w:val="auto"/>
        </w:rPr>
        <w:t>ADVISOR TO THE UAW RETIREE MEDICAL</w:t>
      </w:r>
    </w:p>
    <w:p>
      <w:pPr>
        <w:ind w:left="640"/>
        <w:spacing w:after="0"/>
        <w:rPr>
          <w:sz w:val="20"/>
          <w:szCs w:val="20"/>
          <w:color w:val="auto"/>
        </w:rPr>
      </w:pPr>
      <w:r>
        <w:rPr>
          <w:rFonts w:ascii="Arial" w:cs="Arial" w:eastAsia="Arial" w:hAnsi="Arial"/>
          <w:sz w:val="20"/>
          <w:szCs w:val="20"/>
          <w:color w:val="auto"/>
        </w:rPr>
        <w:t>BENEFITS TRUST</w:t>
      </w:r>
    </w:p>
    <w:p>
      <w:pPr>
        <w:spacing w:after="0" w:line="213"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9/23/2013</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ALAIN LEBEC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Alain Lebec</w:t>
      </w:r>
    </w:p>
    <w:p>
      <w:pPr>
        <w:ind w:left="1940"/>
        <w:spacing w:after="0"/>
        <w:rPr>
          <w:sz w:val="20"/>
          <w:szCs w:val="20"/>
          <w:color w:val="auto"/>
        </w:rPr>
      </w:pPr>
      <w:r>
        <w:rPr>
          <w:rFonts w:ascii="Arial" w:cs="Arial" w:eastAsia="Arial" w:hAnsi="Arial"/>
          <w:sz w:val="20"/>
          <w:szCs w:val="20"/>
          <w:color w:val="auto"/>
        </w:rPr>
        <w:t>Title: Senior Managing Director</w:t>
      </w:r>
    </w:p>
    <w:p>
      <w:pPr>
        <w:spacing w:after="0" w:line="200" w:lineRule="exact"/>
        <w:rPr>
          <w:sz w:val="20"/>
          <w:szCs w:val="20"/>
          <w:color w:val="auto"/>
        </w:rPr>
      </w:pPr>
    </w:p>
    <w:p>
      <w:pPr>
        <w:spacing w:after="0" w:line="322" w:lineRule="exact"/>
        <w:rPr>
          <w:sz w:val="20"/>
          <w:szCs w:val="20"/>
          <w:color w:val="auto"/>
        </w:rPr>
      </w:pPr>
    </w:p>
    <w:p>
      <w:pPr>
        <w:jc w:val="right"/>
        <w:ind w:right="1739"/>
        <w:spacing w:after="0"/>
        <w:rPr>
          <w:sz w:val="20"/>
          <w:szCs w:val="20"/>
          <w:color w:val="auto"/>
        </w:rPr>
      </w:pPr>
      <w:r>
        <w:rPr>
          <w:rFonts w:ascii="Arial" w:cs="Arial" w:eastAsia="Arial" w:hAnsi="Arial"/>
          <w:sz w:val="18"/>
          <w:szCs w:val="18"/>
          <w:b w:val="1"/>
          <w:bCs w:val="1"/>
          <w:color w:val="auto"/>
        </w:rPr>
        <w:t>300 Renaissance Center MC 482-C37-B98 Detroit, Michigan 48265-3000</w:t>
      </w:r>
    </w:p>
    <w:p>
      <w:pPr>
        <w:sectPr>
          <w:pgSz w:w="11900" w:h="16838" w:orient="portrait"/>
          <w:cols w:equalWidth="0" w:num="1">
            <w:col w:w="9559"/>
          </w:cols>
          <w:pgMar w:left="900" w:top="582"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Release: Monday, Sept. 23, 2013, 8:30 a.m. EDT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General Motors Announces Refinancing Transactions</w:t>
      </w:r>
    </w:p>
    <w:p>
      <w:pPr>
        <w:spacing w:after="0" w:line="98"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announced today it has reached an agreement to repurchase 120 million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its Series A Preferred Stock from the UAW Retiree Medical Benefits Trust (UAW VEBA) for a total cash consideration of approximately $3.2 billion or $27 per share.</w:t>
      </w:r>
    </w:p>
    <w:p>
      <w:pPr>
        <w:spacing w:after="0" w:line="196"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The agreement is contingent upon the closing of an offering by GM of senior unsecured notes on or before Sept. 30, 2013. Accordingly, GM also announced today that it has launched an offering of senior unsecured notes in five, 10 and 30-year tenors. The net proceeds of the offering will be used for general corporate purposes including the repurchase of Series A Preferred Stock from UAW VEBA.</w:t>
      </w:r>
    </w:p>
    <w:p>
      <w:pPr>
        <w:spacing w:after="0" w:line="20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UAW VEBA currently holds 260 million shares of Series A Preferred Stock, with an additional 16 million shares held by Canada Holdings. The shares have a liquidation preference of $25 per share and accrue cumulative dividends at a rate equal to 9 percent annually.</w:t>
      </w:r>
    </w:p>
    <w:p>
      <w:pPr>
        <w:spacing w:after="0" w:line="206"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auto"/>
        </w:rPr>
        <w:t>In association with the purchase of Series A Preferred Stock, GM expects to record a charge of approximately $0.8 billion in the third quarter, which will be treated as a special item.</w:t>
      </w:r>
    </w:p>
    <w:p>
      <w:pPr>
        <w:spacing w:after="0" w:line="202"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notes have not been registered under the Securities Act of 1933 and may not be offered or sold within the United States or to, or for the account or benefit of, U.S. persons (as defined in Regulation S under the Securities Act) except to (a) qualified institutional buyers in reliance on the exemption from the registration requirements of the Securities Act provided by Rule 144A and (b) persons in offshore transactions in reliance on Regulation S.</w:t>
      </w:r>
    </w:p>
    <w:p>
      <w:pPr>
        <w:spacing w:after="0" w:line="207"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press release does not constitute an offer to sell, or a solicitation of an offer to buy, any securities. The offer will be made only by means of a confidential offering memorandum.</w:t>
      </w:r>
    </w:p>
    <w:p>
      <w:pPr>
        <w:spacing w:after="0" w:line="18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Dave Roman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dave.roman@gm.com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313-498-1735</w:t>
      </w:r>
    </w:p>
    <w:p>
      <w:pPr>
        <w:sectPr>
          <w:pgSz w:w="11900" w:h="16838" w:orient="portrait"/>
          <w:cols w:equalWidth="0" w:num="1">
            <w:col w:w="11420"/>
          </w:cols>
          <w:pgMar w:left="240" w:top="58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this press release and in related comments by our management, our use of the words “expect,” “anticipate,” “possible,” “potential,” “target,” “believe,” “commit,” “intend,” “continue,” “may,” “would,” “could,” “should,” “project,” “projected,”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Europe; and our ability to continue to attract new customers, particularly for our new products. GM's most recent annual report on Form 10-K provides information about these and other factors, which we may revise or supplement in future reports to the SEC.</w:t>
      </w:r>
    </w:p>
    <w:sectPr>
      <w:pgSz w:w="11900" w:h="16838" w:orient="portrait"/>
      <w:cols w:equalWidth="0" w:num="1">
        <w:col w:w="11360"/>
      </w:cols>
      <w:pgMar w:left="240" w:top="79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2019-12-07T21:08:20Z</dcterms:created>
  <dcterms:modified xsi:type="dcterms:W3CDTF">2019-12-07T21:08:20Z</dcterms:modified>
</cp:coreProperties>
</file>