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 RENAISSANCE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Barra Mary T</w:t>
      </w:r>
    </w:p>
    <w:p>
      <w:pPr>
        <w:spacing w:after="0" w:line="44" w:lineRule="exact"/>
        <w:rPr>
          <w:sz w:val="24"/>
          <w:szCs w:val="24"/>
          <w:color w:val="auto"/>
        </w:rPr>
      </w:pPr>
    </w:p>
    <w:p>
      <w:pPr>
        <w:sectPr>
          <w:pgSz w:w="11900" w:h="16871"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13110000.00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264554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35446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02/26/2024</w:t>
      </w:r>
    </w:p>
    <w:p>
      <w:pPr>
        <w:spacing w:after="0" w:line="623" w:lineRule="exact"/>
        <w:rPr>
          <w:sz w:val="20"/>
          <w:szCs w:val="20"/>
          <w:color w:val="auto"/>
        </w:rPr>
      </w:pPr>
    </w:p>
    <w:p>
      <w:pPr>
        <w:sectPr>
          <w:pgSz w:w="11900" w:h="16838" w:orient="portrait"/>
          <w:cols w:equalWidth="0" w:num="2">
            <w:col w:w="4160" w:space="80"/>
            <w:col w:w="70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4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Mary T. Barra</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2024-05-28T10:29:11Z</dcterms:created>
  <dcterms:modified xsi:type="dcterms:W3CDTF">2024-05-28T10:29:11Z</dcterms:modified>
</cp:coreProperties>
</file>