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3579495</wp:posOffset>
            </wp:positionH>
            <wp:positionV relativeFrom="page">
              <wp:posOffset>723265</wp:posOffset>
            </wp:positionV>
            <wp:extent cx="41148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6200"/>
        <w:spacing w:after="0"/>
        <w:rPr>
          <w:sz w:val="20"/>
          <w:szCs w:val="20"/>
          <w:color w:val="auto"/>
        </w:rPr>
      </w:pPr>
      <w:r>
        <w:rPr>
          <w:rFonts w:ascii="Arial" w:cs="Arial" w:eastAsia="Arial" w:hAnsi="Arial"/>
          <w:sz w:val="23"/>
          <w:szCs w:val="23"/>
          <w:i w:val="1"/>
          <w:iCs w:val="1"/>
          <w:color w:val="808080"/>
        </w:rPr>
        <w:t>Thomas S. Timko</w:t>
      </w:r>
    </w:p>
    <w:p>
      <w:pPr>
        <w:spacing w:after="0" w:line="26" w:lineRule="exact"/>
        <w:rPr>
          <w:sz w:val="24"/>
          <w:szCs w:val="24"/>
          <w:color w:val="auto"/>
        </w:rPr>
      </w:pPr>
    </w:p>
    <w:p>
      <w:pPr>
        <w:ind w:left="6200"/>
        <w:spacing w:after="0"/>
        <w:rPr>
          <w:sz w:val="20"/>
          <w:szCs w:val="20"/>
          <w:color w:val="auto"/>
        </w:rPr>
      </w:pPr>
      <w:r>
        <w:rPr>
          <w:rFonts w:ascii="Arial" w:cs="Arial" w:eastAsia="Arial" w:hAnsi="Arial"/>
          <w:sz w:val="21"/>
          <w:szCs w:val="21"/>
          <w:i w:val="1"/>
          <w:iCs w:val="1"/>
          <w:color w:val="808080"/>
        </w:rPr>
        <w:t>Vice President, Controller,</w:t>
      </w:r>
    </w:p>
    <w:p>
      <w:pPr>
        <w:spacing w:after="0" w:line="29" w:lineRule="exact"/>
        <w:rPr>
          <w:sz w:val="24"/>
          <w:szCs w:val="24"/>
          <w:color w:val="auto"/>
        </w:rPr>
      </w:pPr>
    </w:p>
    <w:p>
      <w:pPr>
        <w:ind w:left="6200"/>
        <w:spacing w:after="0"/>
        <w:rPr>
          <w:sz w:val="20"/>
          <w:szCs w:val="20"/>
          <w:color w:val="auto"/>
        </w:rPr>
      </w:pPr>
      <w:r>
        <w:rPr>
          <w:rFonts w:ascii="Arial" w:cs="Arial" w:eastAsia="Arial" w:hAnsi="Arial"/>
          <w:sz w:val="23"/>
          <w:szCs w:val="23"/>
          <w:i w:val="1"/>
          <w:iCs w:val="1"/>
          <w:color w:val="808080"/>
        </w:rPr>
        <w:t>&amp; CAO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0" w:lineRule="exact"/>
        <w:rPr>
          <w:sz w:val="24"/>
          <w:szCs w:val="24"/>
          <w:color w:val="auto"/>
        </w:rPr>
      </w:pPr>
    </w:p>
    <w:p>
      <w:pPr>
        <w:ind w:right="860"/>
        <w:spacing w:after="0" w:line="304" w:lineRule="auto"/>
        <w:rPr>
          <w:sz w:val="20"/>
          <w:szCs w:val="20"/>
          <w:color w:val="auto"/>
        </w:rPr>
      </w:pPr>
      <w:r>
        <w:rPr>
          <w:rFonts w:ascii="Arial" w:cs="Arial" w:eastAsia="Arial" w:hAnsi="Arial"/>
          <w:sz w:val="14"/>
          <w:szCs w:val="14"/>
          <w:color w:val="808080"/>
        </w:rPr>
        <w:t>General Motors Company M/C 482-C34-D71</w:t>
      </w:r>
    </w:p>
    <w:p>
      <w:pPr>
        <w:spacing w:after="0" w:line="1" w:lineRule="exact"/>
        <w:rPr>
          <w:sz w:val="24"/>
          <w:szCs w:val="24"/>
          <w:color w:val="auto"/>
        </w:rPr>
      </w:pPr>
    </w:p>
    <w:p>
      <w:pPr>
        <w:ind w:right="1000"/>
        <w:spacing w:after="0" w:line="276" w:lineRule="auto"/>
        <w:rPr>
          <w:sz w:val="20"/>
          <w:szCs w:val="20"/>
          <w:color w:val="auto"/>
        </w:rPr>
      </w:pPr>
      <w:r>
        <w:rPr>
          <w:rFonts w:ascii="Arial" w:cs="Arial" w:eastAsia="Arial" w:hAnsi="Arial"/>
          <w:sz w:val="16"/>
          <w:szCs w:val="16"/>
          <w:color w:val="808080"/>
        </w:rPr>
        <w:t>300 Renaissance Center Detroit, MI 48265 313-667-3434</w:t>
      </w:r>
    </w:p>
    <w:p>
      <w:pPr>
        <w:spacing w:after="0" w:line="200" w:lineRule="exact"/>
        <w:rPr>
          <w:sz w:val="24"/>
          <w:szCs w:val="24"/>
          <w:color w:val="auto"/>
        </w:rPr>
      </w:pPr>
    </w:p>
    <w:p>
      <w:pPr>
        <w:sectPr>
          <w:pgSz w:w="11900" w:h="16838" w:orient="portrait"/>
          <w:cols w:equalWidth="0" w:num="2">
            <w:col w:w="8680" w:space="140"/>
            <w:col w:w="2560"/>
          </w:cols>
          <w:pgMar w:left="240" w:top="1440" w:right="279" w:bottom="1440" w:gutter="0" w:footer="0" w:header="0"/>
        </w:sectPr>
      </w:pPr>
    </w:p>
    <w:p>
      <w:pPr>
        <w:spacing w:after="0" w:line="19" w:lineRule="exact"/>
        <w:rPr>
          <w:sz w:val="24"/>
          <w:szCs w:val="24"/>
          <w:color w:val="auto"/>
        </w:rPr>
      </w:pPr>
    </w:p>
    <w:p>
      <w:pPr>
        <w:spacing w:after="0"/>
        <w:rPr>
          <w:sz w:val="20"/>
          <w:szCs w:val="20"/>
          <w:color w:val="auto"/>
        </w:rPr>
      </w:pPr>
      <w:r>
        <w:rPr>
          <w:rFonts w:ascii="Arial" w:cs="Arial" w:eastAsia="Arial" w:hAnsi="Arial"/>
          <w:sz w:val="20"/>
          <w:szCs w:val="20"/>
          <w:color w:val="auto"/>
        </w:rPr>
        <w:t>June 2, 2015</w:t>
      </w:r>
    </w:p>
    <w:p>
      <w:pPr>
        <w:spacing w:after="0" w:line="210"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 AND OVERNIGHT DELIVERY</w:t>
      </w:r>
    </w:p>
    <w:p>
      <w:pPr>
        <w:spacing w:after="0" w:line="222" w:lineRule="exact"/>
        <w:rPr>
          <w:sz w:val="24"/>
          <w:szCs w:val="24"/>
          <w:color w:val="auto"/>
        </w:rPr>
      </w:pPr>
    </w:p>
    <w:p>
      <w:pPr>
        <w:spacing w:after="0"/>
        <w:rPr>
          <w:sz w:val="20"/>
          <w:szCs w:val="20"/>
          <w:color w:val="auto"/>
        </w:rPr>
      </w:pPr>
      <w:r>
        <w:rPr>
          <w:rFonts w:ascii="Arial" w:cs="Arial" w:eastAsia="Arial" w:hAnsi="Arial"/>
          <w:sz w:val="20"/>
          <w:szCs w:val="20"/>
          <w:color w:val="auto"/>
        </w:rPr>
        <w:t>Melissa Raminpour</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Branch Chief</w:t>
      </w:r>
    </w:p>
    <w:p>
      <w:pPr>
        <w:spacing w:after="0"/>
        <w:rPr>
          <w:sz w:val="20"/>
          <w:szCs w:val="20"/>
          <w:color w:val="auto"/>
        </w:rPr>
      </w:pPr>
      <w:r>
        <w:rPr>
          <w:rFonts w:ascii="Arial" w:cs="Arial" w:eastAsia="Arial" w:hAnsi="Arial"/>
          <w:sz w:val="20"/>
          <w:szCs w:val="20"/>
          <w:color w:val="auto"/>
        </w:rPr>
        <w:t>Securities and Exchange Commission</w:t>
      </w:r>
    </w:p>
    <w:p>
      <w:pPr>
        <w:spacing w:after="0"/>
        <w:rPr>
          <w:sz w:val="20"/>
          <w:szCs w:val="20"/>
          <w:color w:val="auto"/>
        </w:rPr>
      </w:pPr>
      <w:r>
        <w:rPr>
          <w:rFonts w:ascii="Arial" w:cs="Arial" w:eastAsia="Arial" w:hAnsi="Arial"/>
          <w:sz w:val="20"/>
          <w:szCs w:val="20"/>
          <w:color w:val="auto"/>
        </w:rPr>
        <w:t>Division of Corporate Finance</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line="194" w:lineRule="exact"/>
        <w:rPr>
          <w:sz w:val="24"/>
          <w:szCs w:val="24"/>
          <w:color w:val="auto"/>
        </w:rPr>
      </w:pPr>
    </w:p>
    <w:p>
      <w:pPr>
        <w:spacing w:after="0"/>
        <w:tabs>
          <w:tab w:leader="none" w:pos="50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18"/>
          <w:szCs w:val="18"/>
          <w:b w:val="1"/>
          <w:bCs w:val="1"/>
          <w:color w:val="auto"/>
        </w:rPr>
        <w:t>General Motors Company</w:t>
      </w:r>
    </w:p>
    <w:p>
      <w:pPr>
        <w:spacing w:after="0" w:line="21" w:lineRule="exact"/>
        <w:rPr>
          <w:sz w:val="24"/>
          <w:szCs w:val="24"/>
          <w:color w:val="auto"/>
        </w:rPr>
      </w:pPr>
    </w:p>
    <w:p>
      <w:pPr>
        <w:ind w:left="660"/>
        <w:spacing w:after="0"/>
        <w:rPr>
          <w:sz w:val="20"/>
          <w:szCs w:val="20"/>
          <w:color w:val="auto"/>
        </w:rPr>
      </w:pPr>
      <w:r>
        <w:rPr>
          <w:rFonts w:ascii="Arial" w:cs="Arial" w:eastAsia="Arial" w:hAnsi="Arial"/>
          <w:sz w:val="20"/>
          <w:szCs w:val="20"/>
          <w:b w:val="1"/>
          <w:bCs w:val="1"/>
          <w:color w:val="auto"/>
        </w:rPr>
        <w:t>Form 10-K for the Fiscal Year Ended December 31, 2014</w:t>
      </w:r>
    </w:p>
    <w:p>
      <w:pPr>
        <w:ind w:left="660"/>
        <w:spacing w:after="0"/>
        <w:rPr>
          <w:sz w:val="20"/>
          <w:szCs w:val="20"/>
          <w:color w:val="auto"/>
        </w:rPr>
      </w:pPr>
      <w:r>
        <w:rPr>
          <w:rFonts w:ascii="Arial" w:cs="Arial" w:eastAsia="Arial" w:hAnsi="Arial"/>
          <w:sz w:val="20"/>
          <w:szCs w:val="20"/>
          <w:b w:val="1"/>
          <w:bCs w:val="1"/>
          <w:color w:val="auto"/>
        </w:rPr>
        <w:t>Filed February 4, 2015</w:t>
      </w:r>
    </w:p>
    <w:p>
      <w:pPr>
        <w:ind w:left="660"/>
        <w:spacing w:after="0"/>
        <w:rPr>
          <w:sz w:val="20"/>
          <w:szCs w:val="20"/>
          <w:color w:val="auto"/>
        </w:rPr>
      </w:pPr>
      <w:r>
        <w:rPr>
          <w:rFonts w:ascii="Arial" w:cs="Arial" w:eastAsia="Arial" w:hAnsi="Arial"/>
          <w:sz w:val="20"/>
          <w:szCs w:val="20"/>
          <w:b w:val="1"/>
          <w:bCs w:val="1"/>
          <w:color w:val="auto"/>
        </w:rPr>
        <w:t>File No. 001-34960</w:t>
      </w:r>
    </w:p>
    <w:p>
      <w:pPr>
        <w:spacing w:after="0" w:line="200" w:lineRule="exact"/>
        <w:rPr>
          <w:sz w:val="24"/>
          <w:szCs w:val="24"/>
          <w:color w:val="auto"/>
        </w:rPr>
      </w:pPr>
    </w:p>
    <w:p>
      <w:pPr>
        <w:spacing w:after="0"/>
        <w:rPr>
          <w:sz w:val="20"/>
          <w:szCs w:val="20"/>
          <w:color w:val="auto"/>
        </w:rPr>
      </w:pPr>
      <w:r>
        <w:rPr>
          <w:rFonts w:ascii="Arial" w:cs="Arial" w:eastAsia="Arial" w:hAnsi="Arial"/>
          <w:sz w:val="20"/>
          <w:szCs w:val="20"/>
          <w:color w:val="auto"/>
        </w:rPr>
        <w:t>Dear Ms. Raminpour:</w:t>
      </w:r>
    </w:p>
    <w:p>
      <w:pPr>
        <w:spacing w:after="0" w:line="216" w:lineRule="exact"/>
        <w:rPr>
          <w:sz w:val="24"/>
          <w:szCs w:val="24"/>
          <w:color w:val="auto"/>
        </w:rPr>
      </w:pPr>
    </w:p>
    <w:p>
      <w:pPr>
        <w:ind w:right="160"/>
        <w:spacing w:after="0" w:line="291" w:lineRule="auto"/>
        <w:rPr>
          <w:sz w:val="20"/>
          <w:szCs w:val="20"/>
          <w:color w:val="auto"/>
        </w:rPr>
      </w:pPr>
      <w:r>
        <w:rPr>
          <w:rFonts w:ascii="Arial" w:cs="Arial" w:eastAsia="Arial" w:hAnsi="Arial"/>
          <w:sz w:val="18"/>
          <w:szCs w:val="18"/>
          <w:color w:val="auto"/>
        </w:rPr>
        <w:t>This letter from General Motors Company (the “Company” or “GM”) is in response to comments from the staff (the “Staff”) of the Securities and Exchange Commission (the “Commission”) received by letter dated May 26, 2015, relating to the Company’s Form 10-K for the Fiscal Year Ended December 31, 2014 (File No. 001-34960) filed with the Commission on February 4, 2015 (the “Form 10-K”).</w:t>
      </w:r>
    </w:p>
    <w:p>
      <w:pPr>
        <w:spacing w:after="0" w:line="152" w:lineRule="exact"/>
        <w:rPr>
          <w:sz w:val="24"/>
          <w:szCs w:val="24"/>
          <w:color w:val="auto"/>
        </w:rPr>
      </w:pPr>
    </w:p>
    <w:p>
      <w:pPr>
        <w:ind w:right="600"/>
        <w:spacing w:after="0" w:line="260" w:lineRule="auto"/>
        <w:rPr>
          <w:sz w:val="20"/>
          <w:szCs w:val="20"/>
          <w:color w:val="auto"/>
        </w:rPr>
      </w:pPr>
      <w:r>
        <w:rPr>
          <w:rFonts w:ascii="Arial" w:cs="Arial" w:eastAsia="Arial" w:hAnsi="Arial"/>
          <w:sz w:val="20"/>
          <w:szCs w:val="20"/>
          <w:color w:val="auto"/>
        </w:rPr>
        <w:t>In this letter, we have recited the comments from the Staff in italicized, bold type and have followed each comment with the Company’s response thereto.</w:t>
      </w:r>
    </w:p>
    <w:p>
      <w:pPr>
        <w:spacing w:after="0" w:line="171"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Form 10-K for the Year Ended December 31, 2014</w:t>
      </w:r>
    </w:p>
    <w:p>
      <w:pPr>
        <w:spacing w:after="0" w:line="222"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Exhibit 12</w:t>
      </w:r>
    </w:p>
    <w:p>
      <w:pPr>
        <w:spacing w:after="0" w:line="216" w:lineRule="exact"/>
        <w:rPr>
          <w:sz w:val="24"/>
          <w:szCs w:val="24"/>
          <w:color w:val="auto"/>
        </w:rPr>
      </w:pPr>
    </w:p>
    <w:p>
      <w:pPr>
        <w:ind w:left="660" w:hanging="328"/>
        <w:spacing w:after="0" w:line="250" w:lineRule="auto"/>
        <w:tabs>
          <w:tab w:leader="none" w:pos="6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20"/>
          <w:szCs w:val="20"/>
          <w:b w:val="1"/>
          <w:bCs w:val="1"/>
          <w:i w:val="1"/>
          <w:iCs w:val="1"/>
          <w:color w:val="auto"/>
        </w:rPr>
        <w:t>Since your ratio of earnings to fixed charges is less than 1 for the year ended December 31, 2012, please revise to disclose the dollar amount of the deficiency of earnings to cover fixed charges for this period. Refer to the guidance in Instruction 2 to Item 503(d) of Regulation S-K.</w:t>
      </w:r>
    </w:p>
    <w:p>
      <w:pPr>
        <w:spacing w:after="0" w:line="186" w:lineRule="exact"/>
        <w:rPr>
          <w:sz w:val="24"/>
          <w:szCs w:val="24"/>
          <w:color w:val="auto"/>
        </w:rPr>
      </w:pPr>
    </w:p>
    <w:p>
      <w:pPr>
        <w:ind w:right="120"/>
        <w:spacing w:after="0" w:line="316" w:lineRule="auto"/>
        <w:rPr>
          <w:sz w:val="20"/>
          <w:szCs w:val="20"/>
          <w:color w:val="auto"/>
        </w:rPr>
      </w:pPr>
      <w:r>
        <w:rPr>
          <w:rFonts w:ascii="Arial" w:cs="Arial" w:eastAsia="Arial" w:hAnsi="Arial"/>
          <w:sz w:val="18"/>
          <w:szCs w:val="18"/>
          <w:color w:val="auto"/>
        </w:rPr>
        <w:t>The Company respectfully advises the Staff that the disclosures required under the guidance in Instruction 2 to Item 503(d) of Regulation S-K are included in the following sentence under the table that includes the calculation of the ratio of earnings to fixed charges on Exhibit 12:</w:t>
      </w:r>
    </w:p>
    <w:p>
      <w:pPr>
        <w:spacing w:after="0" w:line="130" w:lineRule="exact"/>
        <w:rPr>
          <w:sz w:val="24"/>
          <w:szCs w:val="24"/>
          <w:color w:val="auto"/>
        </w:rPr>
      </w:pPr>
    </w:p>
    <w:p>
      <w:pPr>
        <w:ind w:left="340" w:right="180"/>
        <w:spacing w:after="0" w:line="260" w:lineRule="auto"/>
        <w:rPr>
          <w:sz w:val="20"/>
          <w:szCs w:val="20"/>
          <w:color w:val="auto"/>
        </w:rPr>
      </w:pPr>
      <w:r>
        <w:rPr>
          <w:rFonts w:ascii="Arial" w:cs="Arial" w:eastAsia="Arial" w:hAnsi="Arial"/>
          <w:sz w:val="20"/>
          <w:szCs w:val="20"/>
          <w:color w:val="auto"/>
        </w:rPr>
        <w:t>“Earnings in the year ended December 31, 2012 were inadequate to cover fixed charges by $28.8 billion and combined fixed charges and preferred stock dividends by $29.7 billion.”</w:t>
      </w:r>
    </w:p>
    <w:p>
      <w:pPr>
        <w:spacing w:after="0" w:line="171"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Form 8-K filed April 23, 2015</w:t>
      </w:r>
    </w:p>
    <w:p>
      <w:pPr>
        <w:sectPr>
          <w:pgSz w:w="11900" w:h="16838" w:orient="portrait"/>
          <w:cols w:equalWidth="0" w:num="1">
            <w:col w:w="11380"/>
          </w:cols>
          <w:pgMar w:left="240" w:top="1440" w:right="279" w:bottom="1440" w:gutter="0" w:footer="0" w:header="0"/>
          <w:type w:val="continuous"/>
        </w:sectPr>
      </w:pPr>
    </w:p>
    <w:bookmarkStart w:id="1" w:name="page2"/>
    <w:bookmarkEnd w:id="1"/>
    <w:p>
      <w:pPr>
        <w:ind w:left="660" w:right="120" w:hanging="328"/>
        <w:spacing w:after="0" w:line="291" w:lineRule="auto"/>
        <w:tabs>
          <w:tab w:leader="none" w:pos="660" w:val="left"/>
        </w:tabs>
        <w:numPr>
          <w:ilvl w:val="0"/>
          <w:numId w:val="2"/>
        </w:numPr>
        <w:rPr>
          <w:rFonts w:ascii="Arial" w:cs="Arial" w:eastAsia="Arial" w:hAnsi="Arial"/>
          <w:sz w:val="16"/>
          <w:szCs w:val="16"/>
          <w:b w:val="1"/>
          <w:bCs w:val="1"/>
          <w:i w:val="1"/>
          <w:iCs w:val="1"/>
          <w:color w:val="auto"/>
        </w:rPr>
      </w:pPr>
      <w:r>
        <w:rPr>
          <w:rFonts w:ascii="Arial" w:cs="Arial" w:eastAsia="Arial" w:hAnsi="Arial"/>
          <w:sz w:val="18"/>
          <w:szCs w:val="18"/>
          <w:b w:val="1"/>
          <w:bCs w:val="1"/>
          <w:i w:val="1"/>
          <w:iCs w:val="1"/>
          <w:color w:val="auto"/>
        </w:rPr>
        <w:t>We note from the press release included in exhibit 99.1 that EBIT-adjusted is the first measure presented in the exhibit, prior to net income. As required by instruction 2 of Item 2.02 of Form 8-K and Item 10(e)(1)(i)(A) of Regulation S-K, please revise to present GAAP net income with equal or greater prominence to the non-GAAP measure EBIT-adjusted.</w:t>
      </w:r>
    </w:p>
    <w:p>
      <w:pPr>
        <w:spacing w:after="0" w:line="152" w:lineRule="exact"/>
        <w:rPr>
          <w:sz w:val="20"/>
          <w:szCs w:val="20"/>
          <w:color w:val="auto"/>
        </w:rPr>
      </w:pPr>
    </w:p>
    <w:p>
      <w:pPr>
        <w:ind w:right="540"/>
        <w:spacing w:after="0" w:line="260" w:lineRule="auto"/>
        <w:rPr>
          <w:sz w:val="20"/>
          <w:szCs w:val="20"/>
          <w:color w:val="auto"/>
        </w:rPr>
      </w:pPr>
      <w:r>
        <w:rPr>
          <w:rFonts w:ascii="Arial" w:cs="Arial" w:eastAsia="Arial" w:hAnsi="Arial"/>
          <w:sz w:val="20"/>
          <w:szCs w:val="20"/>
          <w:color w:val="auto"/>
        </w:rPr>
        <w:t>In response to the Staff’s comment, the Company will ensure that its disclosures in future filings present GAAP net income with equal or greater prominence to the non-GAAP measure EBIT-adjusted.</w:t>
      </w:r>
    </w:p>
    <w:p>
      <w:pPr>
        <w:spacing w:after="0" w:line="177" w:lineRule="exact"/>
        <w:rPr>
          <w:sz w:val="20"/>
          <w:szCs w:val="20"/>
          <w:color w:val="auto"/>
        </w:rPr>
      </w:pPr>
    </w:p>
    <w:p>
      <w:pPr>
        <w:ind w:left="660" w:right="80" w:hanging="328"/>
        <w:spacing w:after="0" w:line="244" w:lineRule="auto"/>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20"/>
          <w:szCs w:val="20"/>
          <w:b w:val="1"/>
          <w:bCs w:val="1"/>
          <w:i w:val="1"/>
          <w:iCs w:val="1"/>
          <w:color w:val="auto"/>
        </w:rPr>
        <w:t>We further note from page 1 of exhibit 1 of your first quarter 2015 earnings release that you reconcile EBIT-adjusted to Income (loss) before income taxes. Please note that the most directly comparable GAAP measure would be net income (loss). Refer to Question 103.02 outlined in the Division of Corporation Finance’s Compliance and Disclosure Interpretations regarding Non-GAAP measures maintained on the Commission’s website at http://www.sec.gov/divisions/corpfin/guidance/nongaapinterp.htm and revise appropriately.</w:t>
      </w:r>
    </w:p>
    <w:p>
      <w:pPr>
        <w:spacing w:after="0" w:line="290"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In response to the Staff’s comment, the Company proposes to revise its disclosures in future filings to reconcile the non-GAAP measure EBIT-adjusted to the most directly comparable GAAP measure net income attributable to stockholders as follows:</w:t>
      </w:r>
    </w:p>
    <w:p>
      <w:pPr>
        <w:spacing w:after="0" w:line="177" w:lineRule="exact"/>
        <w:rPr>
          <w:sz w:val="20"/>
          <w:szCs w:val="20"/>
          <w:color w:val="auto"/>
        </w:rPr>
      </w:pPr>
    </w:p>
    <w:p>
      <w:pPr>
        <w:ind w:left="340" w:firstLine="162"/>
        <w:spacing w:after="0" w:line="260" w:lineRule="auto"/>
        <w:rPr>
          <w:sz w:val="20"/>
          <w:szCs w:val="20"/>
          <w:color w:val="auto"/>
        </w:rPr>
      </w:pPr>
      <w:r>
        <w:rPr>
          <w:rFonts w:ascii="Arial" w:cs="Arial" w:eastAsia="Arial" w:hAnsi="Arial"/>
          <w:sz w:val="20"/>
          <w:szCs w:val="20"/>
          <w:color w:val="auto"/>
        </w:rPr>
        <w:t>The following table summarizes the reconciliation of EBIT-adjusted to its most comparable U.S. GAAP measure, Net income attributable to stockholders (dollars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40" w:type="dxa"/>
            <w:vAlign w:val="bottom"/>
            <w:gridSpan w:val="4"/>
          </w:tcPr>
          <w:p>
            <w:pPr>
              <w:jc w:val="right"/>
              <w:ind w:right="902"/>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 2015</w:t>
            </w:r>
          </w:p>
        </w:tc>
        <w:tc>
          <w:tcPr>
            <w:tcW w:w="200" w:type="dxa"/>
            <w:vAlign w:val="bottom"/>
          </w:tcPr>
          <w:p>
            <w:pPr>
              <w:spacing w:after="0"/>
              <w:rPr>
                <w:sz w:val="20"/>
                <w:szCs w:val="20"/>
                <w:color w:val="auto"/>
              </w:rPr>
            </w:pPr>
          </w:p>
        </w:tc>
        <w:tc>
          <w:tcPr>
            <w:tcW w:w="1520" w:type="dxa"/>
            <w:vAlign w:val="bottom"/>
          </w:tcPr>
          <w:p>
            <w:pPr>
              <w:jc w:val="right"/>
              <w:ind w:right="162"/>
              <w:spacing w:after="0"/>
              <w:rPr>
                <w:sz w:val="20"/>
                <w:szCs w:val="20"/>
                <w:color w:val="auto"/>
              </w:rPr>
            </w:pPr>
            <w:r>
              <w:rPr>
                <w:rFonts w:ascii="Arial" w:cs="Arial" w:eastAsia="Arial" w:hAnsi="Arial"/>
                <w:sz w:val="18"/>
                <w:szCs w:val="18"/>
                <w:b w:val="1"/>
                <w:bCs w:val="1"/>
                <w:color w:val="auto"/>
                <w:w w:val="96"/>
              </w:rPr>
              <w:t>March 31, 2014</w:t>
            </w:r>
          </w:p>
        </w:tc>
        <w:tc>
          <w:tcPr>
            <w:tcW w:w="0" w:type="dxa"/>
            <w:vAlign w:val="bottom"/>
          </w:tcPr>
          <w:p>
            <w:pPr>
              <w:spacing w:after="0"/>
              <w:rPr>
                <w:sz w:val="1"/>
                <w:szCs w:val="1"/>
                <w:color w:val="auto"/>
              </w:rPr>
            </w:pPr>
          </w:p>
        </w:tc>
      </w:tr>
      <w:tr>
        <w:trPr>
          <w:trHeight w:val="27"/>
        </w:trPr>
        <w:tc>
          <w:tcPr>
            <w:tcW w:w="7720" w:type="dxa"/>
            <w:vAlign w:val="bottom"/>
            <w:vMerge w:val="restart"/>
          </w:tcPr>
          <w:p>
            <w:pPr>
              <w:spacing w:after="0"/>
              <w:rPr>
                <w:sz w:val="20"/>
                <w:szCs w:val="20"/>
                <w:color w:val="auto"/>
              </w:rPr>
            </w:pPr>
            <w:r>
              <w:rPr>
                <w:rFonts w:ascii="Arial" w:cs="Arial" w:eastAsia="Arial" w:hAnsi="Arial"/>
                <w:sz w:val="20"/>
                <w:szCs w:val="20"/>
                <w:b w:val="1"/>
                <w:bCs w:val="1"/>
                <w:color w:val="auto"/>
              </w:rPr>
              <w:t>Operating segments</w:t>
            </w: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77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7720" w:type="dxa"/>
            <w:vAlign w:val="bottom"/>
          </w:tcPr>
          <w:p>
            <w:pPr>
              <w:spacing w:after="0"/>
              <w:rPr>
                <w:sz w:val="20"/>
                <w:szCs w:val="20"/>
                <w:color w:val="auto"/>
              </w:rPr>
            </w:pPr>
            <w:r>
              <w:rPr>
                <w:rFonts w:ascii="Arial" w:cs="Arial" w:eastAsia="Arial" w:hAnsi="Arial"/>
                <w:sz w:val="20"/>
                <w:szCs w:val="20"/>
                <w:color w:val="auto"/>
              </w:rPr>
              <w:t>GM North America (GMNA)</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620" w:type="dxa"/>
            <w:vAlign w:val="bottom"/>
          </w:tcPr>
          <w:p>
            <w:pPr>
              <w:jc w:val="right"/>
              <w:ind w:right="22"/>
              <w:spacing w:after="0"/>
              <w:rPr>
                <w:sz w:val="20"/>
                <w:szCs w:val="20"/>
                <w:color w:val="auto"/>
              </w:rPr>
            </w:pPr>
            <w:r>
              <w:rPr>
                <w:rFonts w:ascii="Arial" w:cs="Arial" w:eastAsia="Arial" w:hAnsi="Arial"/>
                <w:sz w:val="20"/>
                <w:szCs w:val="20"/>
                <w:color w:val="auto"/>
              </w:rPr>
              <w:t>2,182</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520" w:type="dxa"/>
            <w:vAlign w:val="bottom"/>
          </w:tcPr>
          <w:p>
            <w:pPr>
              <w:jc w:val="right"/>
              <w:ind w:right="2"/>
              <w:spacing w:after="0"/>
              <w:rPr>
                <w:sz w:val="20"/>
                <w:szCs w:val="20"/>
                <w:color w:val="auto"/>
              </w:rPr>
            </w:pPr>
            <w:r>
              <w:rPr>
                <w:rFonts w:ascii="Arial" w:cs="Arial" w:eastAsia="Arial" w:hAnsi="Arial"/>
                <w:sz w:val="20"/>
                <w:szCs w:val="20"/>
                <w:color w:val="auto"/>
              </w:rPr>
              <w:t>557</w:t>
            </w:r>
          </w:p>
        </w:tc>
        <w:tc>
          <w:tcPr>
            <w:tcW w:w="0" w:type="dxa"/>
            <w:vAlign w:val="bottom"/>
          </w:tcPr>
          <w:p>
            <w:pPr>
              <w:spacing w:after="0"/>
              <w:rPr>
                <w:sz w:val="1"/>
                <w:szCs w:val="1"/>
                <w:color w:val="auto"/>
              </w:rPr>
            </w:pPr>
          </w:p>
        </w:tc>
      </w:tr>
      <w:tr>
        <w:trPr>
          <w:trHeight w:val="284"/>
        </w:trPr>
        <w:tc>
          <w:tcPr>
            <w:tcW w:w="7720" w:type="dxa"/>
            <w:vAlign w:val="bottom"/>
          </w:tcPr>
          <w:p>
            <w:pPr>
              <w:spacing w:after="0"/>
              <w:rPr>
                <w:sz w:val="20"/>
                <w:szCs w:val="20"/>
                <w:color w:val="auto"/>
              </w:rPr>
            </w:pPr>
            <w:r>
              <w:rPr>
                <w:rFonts w:ascii="Arial" w:cs="Arial" w:eastAsia="Arial" w:hAnsi="Arial"/>
                <w:sz w:val="20"/>
                <w:szCs w:val="20"/>
                <w:color w:val="auto"/>
              </w:rPr>
              <w:t>GM Europe (GME)</w:t>
            </w: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(239)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(284)</w:t>
            </w:r>
          </w:p>
        </w:tc>
        <w:tc>
          <w:tcPr>
            <w:tcW w:w="0" w:type="dxa"/>
            <w:vAlign w:val="bottom"/>
          </w:tcPr>
          <w:p>
            <w:pPr>
              <w:spacing w:after="0"/>
              <w:rPr>
                <w:sz w:val="1"/>
                <w:szCs w:val="1"/>
                <w:color w:val="auto"/>
              </w:rPr>
            </w:pPr>
          </w:p>
        </w:tc>
      </w:tr>
      <w:tr>
        <w:trPr>
          <w:trHeight w:val="284"/>
        </w:trPr>
        <w:tc>
          <w:tcPr>
            <w:tcW w:w="7720" w:type="dxa"/>
            <w:vAlign w:val="bottom"/>
          </w:tcPr>
          <w:p>
            <w:pPr>
              <w:spacing w:after="0"/>
              <w:rPr>
                <w:sz w:val="20"/>
                <w:szCs w:val="20"/>
                <w:color w:val="auto"/>
              </w:rPr>
            </w:pPr>
            <w:r>
              <w:rPr>
                <w:rFonts w:ascii="Arial" w:cs="Arial" w:eastAsia="Arial" w:hAnsi="Arial"/>
                <w:sz w:val="20"/>
                <w:szCs w:val="20"/>
                <w:color w:val="auto"/>
              </w:rPr>
              <w:t>GM International Operations (GMIO)</w:t>
            </w:r>
          </w:p>
        </w:tc>
        <w:tc>
          <w:tcPr>
            <w:tcW w:w="220" w:type="dxa"/>
            <w:vAlign w:val="bottom"/>
          </w:tcPr>
          <w:p>
            <w:pPr>
              <w:spacing w:after="0"/>
              <w:rPr>
                <w:sz w:val="24"/>
                <w:szCs w:val="24"/>
                <w:color w:val="auto"/>
              </w:rPr>
            </w:pPr>
          </w:p>
        </w:tc>
        <w:tc>
          <w:tcPr>
            <w:tcW w:w="1620" w:type="dxa"/>
            <w:vAlign w:val="bottom"/>
          </w:tcPr>
          <w:p>
            <w:pPr>
              <w:jc w:val="right"/>
              <w:ind w:right="22"/>
              <w:spacing w:after="0"/>
              <w:rPr>
                <w:sz w:val="20"/>
                <w:szCs w:val="20"/>
                <w:color w:val="auto"/>
              </w:rPr>
            </w:pPr>
            <w:r>
              <w:rPr>
                <w:rFonts w:ascii="Arial" w:cs="Arial" w:eastAsia="Arial" w:hAnsi="Arial"/>
                <w:sz w:val="20"/>
                <w:szCs w:val="20"/>
                <w:color w:val="auto"/>
              </w:rPr>
              <w:t>371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2"/>
              <w:spacing w:after="0"/>
              <w:rPr>
                <w:sz w:val="20"/>
                <w:szCs w:val="20"/>
                <w:color w:val="auto"/>
              </w:rPr>
            </w:pPr>
            <w:r>
              <w:rPr>
                <w:rFonts w:ascii="Arial" w:cs="Arial" w:eastAsia="Arial" w:hAnsi="Arial"/>
                <w:sz w:val="20"/>
                <w:szCs w:val="20"/>
                <w:color w:val="auto"/>
              </w:rPr>
              <w:t>252</w:t>
            </w:r>
          </w:p>
        </w:tc>
        <w:tc>
          <w:tcPr>
            <w:tcW w:w="0" w:type="dxa"/>
            <w:vAlign w:val="bottom"/>
          </w:tcPr>
          <w:p>
            <w:pPr>
              <w:spacing w:after="0"/>
              <w:rPr>
                <w:sz w:val="1"/>
                <w:szCs w:val="1"/>
                <w:color w:val="auto"/>
              </w:rPr>
            </w:pPr>
          </w:p>
        </w:tc>
      </w:tr>
      <w:tr>
        <w:trPr>
          <w:trHeight w:val="284"/>
        </w:trPr>
        <w:tc>
          <w:tcPr>
            <w:tcW w:w="7720" w:type="dxa"/>
            <w:vAlign w:val="bottom"/>
          </w:tcPr>
          <w:p>
            <w:pPr>
              <w:spacing w:after="0"/>
              <w:rPr>
                <w:sz w:val="20"/>
                <w:szCs w:val="20"/>
                <w:color w:val="auto"/>
              </w:rPr>
            </w:pPr>
            <w:r>
              <w:rPr>
                <w:rFonts w:ascii="Arial" w:cs="Arial" w:eastAsia="Arial" w:hAnsi="Arial"/>
                <w:sz w:val="20"/>
                <w:szCs w:val="20"/>
                <w:color w:val="auto"/>
              </w:rPr>
              <w:t>GM South America (GMSA)</w:t>
            </w: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(214)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(156)</w:t>
            </w:r>
          </w:p>
        </w:tc>
        <w:tc>
          <w:tcPr>
            <w:tcW w:w="0" w:type="dxa"/>
            <w:vAlign w:val="bottom"/>
          </w:tcPr>
          <w:p>
            <w:pPr>
              <w:spacing w:after="0"/>
              <w:rPr>
                <w:sz w:val="1"/>
                <w:szCs w:val="1"/>
                <w:color w:val="auto"/>
              </w:rPr>
            </w:pPr>
          </w:p>
        </w:tc>
      </w:tr>
      <w:tr>
        <w:trPr>
          <w:trHeight w:val="284"/>
        </w:trPr>
        <w:tc>
          <w:tcPr>
            <w:tcW w:w="7720" w:type="dxa"/>
            <w:vAlign w:val="bottom"/>
          </w:tcPr>
          <w:p>
            <w:pPr>
              <w:spacing w:after="0"/>
              <w:rPr>
                <w:sz w:val="20"/>
                <w:szCs w:val="20"/>
                <w:color w:val="auto"/>
              </w:rPr>
            </w:pPr>
            <w:r>
              <w:rPr>
                <w:rFonts w:ascii="Arial" w:cs="Arial" w:eastAsia="Arial" w:hAnsi="Arial"/>
                <w:sz w:val="20"/>
                <w:szCs w:val="20"/>
                <w:color w:val="auto"/>
              </w:rPr>
              <w:t>General Motors Financial Company, Inc. (GM Financial)(a)</w:t>
            </w:r>
          </w:p>
        </w:tc>
        <w:tc>
          <w:tcPr>
            <w:tcW w:w="220" w:type="dxa"/>
            <w:vAlign w:val="bottom"/>
          </w:tcPr>
          <w:p>
            <w:pPr>
              <w:spacing w:after="0"/>
              <w:rPr>
                <w:sz w:val="24"/>
                <w:szCs w:val="24"/>
                <w:color w:val="auto"/>
              </w:rPr>
            </w:pPr>
          </w:p>
        </w:tc>
        <w:tc>
          <w:tcPr>
            <w:tcW w:w="1620" w:type="dxa"/>
            <w:vAlign w:val="bottom"/>
          </w:tcPr>
          <w:p>
            <w:pPr>
              <w:jc w:val="right"/>
              <w:ind w:right="22"/>
              <w:spacing w:after="0"/>
              <w:rPr>
                <w:sz w:val="20"/>
                <w:szCs w:val="20"/>
                <w:color w:val="auto"/>
              </w:rPr>
            </w:pPr>
            <w:r>
              <w:rPr>
                <w:rFonts w:ascii="Arial" w:cs="Arial" w:eastAsia="Arial" w:hAnsi="Arial"/>
                <w:sz w:val="20"/>
                <w:szCs w:val="20"/>
                <w:color w:val="auto"/>
              </w:rPr>
              <w:t>214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2"/>
              <w:spacing w:after="0"/>
              <w:rPr>
                <w:sz w:val="20"/>
                <w:szCs w:val="20"/>
                <w:color w:val="auto"/>
              </w:rPr>
            </w:pPr>
            <w:r>
              <w:rPr>
                <w:rFonts w:ascii="Arial" w:cs="Arial" w:eastAsia="Arial" w:hAnsi="Arial"/>
                <w:sz w:val="20"/>
                <w:szCs w:val="20"/>
                <w:color w:val="auto"/>
              </w:rPr>
              <w:t>221</w:t>
            </w:r>
          </w:p>
        </w:tc>
        <w:tc>
          <w:tcPr>
            <w:tcW w:w="0" w:type="dxa"/>
            <w:vAlign w:val="bottom"/>
          </w:tcPr>
          <w:p>
            <w:pPr>
              <w:spacing w:after="0"/>
              <w:rPr>
                <w:sz w:val="1"/>
                <w:szCs w:val="1"/>
                <w:color w:val="auto"/>
              </w:rPr>
            </w:pPr>
          </w:p>
        </w:tc>
      </w:tr>
      <w:tr>
        <w:trPr>
          <w:trHeight w:val="23"/>
        </w:trPr>
        <w:tc>
          <w:tcPr>
            <w:tcW w:w="7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20" w:type="dxa"/>
            <w:vAlign w:val="bottom"/>
          </w:tcPr>
          <w:p>
            <w:pPr>
              <w:spacing w:after="0"/>
              <w:rPr>
                <w:sz w:val="20"/>
                <w:szCs w:val="20"/>
                <w:color w:val="auto"/>
              </w:rPr>
            </w:pPr>
            <w:r>
              <w:rPr>
                <w:rFonts w:ascii="Arial" w:cs="Arial" w:eastAsia="Arial" w:hAnsi="Arial"/>
                <w:sz w:val="20"/>
                <w:szCs w:val="20"/>
                <w:color w:val="auto"/>
              </w:rPr>
              <w:t>Total operating segments(a)</w:t>
            </w:r>
          </w:p>
        </w:tc>
        <w:tc>
          <w:tcPr>
            <w:tcW w:w="220" w:type="dxa"/>
            <w:vAlign w:val="bottom"/>
          </w:tcPr>
          <w:p>
            <w:pPr>
              <w:spacing w:after="0"/>
              <w:rPr>
                <w:sz w:val="22"/>
                <w:szCs w:val="22"/>
                <w:color w:val="auto"/>
              </w:rPr>
            </w:pPr>
          </w:p>
        </w:tc>
        <w:tc>
          <w:tcPr>
            <w:tcW w:w="1620" w:type="dxa"/>
            <w:vAlign w:val="bottom"/>
          </w:tcPr>
          <w:p>
            <w:pPr>
              <w:jc w:val="right"/>
              <w:ind w:right="22"/>
              <w:spacing w:after="0"/>
              <w:rPr>
                <w:sz w:val="20"/>
                <w:szCs w:val="20"/>
                <w:color w:val="auto"/>
              </w:rPr>
            </w:pPr>
            <w:r>
              <w:rPr>
                <w:rFonts w:ascii="Arial" w:cs="Arial" w:eastAsia="Arial" w:hAnsi="Arial"/>
                <w:sz w:val="20"/>
                <w:szCs w:val="20"/>
                <w:color w:val="auto"/>
              </w:rPr>
              <w:t>2,314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2"/>
              <w:spacing w:after="0"/>
              <w:rPr>
                <w:sz w:val="20"/>
                <w:szCs w:val="20"/>
                <w:color w:val="auto"/>
              </w:rPr>
            </w:pPr>
            <w:r>
              <w:rPr>
                <w:rFonts w:ascii="Arial" w:cs="Arial" w:eastAsia="Arial" w:hAnsi="Arial"/>
                <w:sz w:val="20"/>
                <w:szCs w:val="20"/>
                <w:color w:val="auto"/>
              </w:rPr>
              <w:t>590</w:t>
            </w:r>
          </w:p>
        </w:tc>
        <w:tc>
          <w:tcPr>
            <w:tcW w:w="0" w:type="dxa"/>
            <w:vAlign w:val="bottom"/>
          </w:tcPr>
          <w:p>
            <w:pPr>
              <w:spacing w:after="0"/>
              <w:rPr>
                <w:sz w:val="1"/>
                <w:szCs w:val="1"/>
                <w:color w:val="auto"/>
              </w:rPr>
            </w:pPr>
          </w:p>
        </w:tc>
      </w:tr>
      <w:tr>
        <w:trPr>
          <w:trHeight w:val="284"/>
        </w:trPr>
        <w:tc>
          <w:tcPr>
            <w:tcW w:w="7720" w:type="dxa"/>
            <w:vAlign w:val="bottom"/>
          </w:tcPr>
          <w:p>
            <w:pPr>
              <w:spacing w:after="0"/>
              <w:rPr>
                <w:sz w:val="20"/>
                <w:szCs w:val="20"/>
                <w:color w:val="auto"/>
              </w:rPr>
            </w:pPr>
            <w:r>
              <w:rPr>
                <w:rFonts w:ascii="Arial" w:cs="Arial" w:eastAsia="Arial" w:hAnsi="Arial"/>
                <w:sz w:val="20"/>
                <w:szCs w:val="20"/>
                <w:color w:val="auto"/>
              </w:rPr>
              <w:t>Corporate and eliminations</w:t>
            </w: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(232)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(124)</w:t>
            </w:r>
          </w:p>
        </w:tc>
        <w:tc>
          <w:tcPr>
            <w:tcW w:w="0" w:type="dxa"/>
            <w:vAlign w:val="bottom"/>
          </w:tcPr>
          <w:p>
            <w:pPr>
              <w:spacing w:after="0"/>
              <w:rPr>
                <w:sz w:val="1"/>
                <w:szCs w:val="1"/>
                <w:color w:val="auto"/>
              </w:rPr>
            </w:pPr>
          </w:p>
        </w:tc>
      </w:tr>
      <w:tr>
        <w:trPr>
          <w:trHeight w:val="23"/>
        </w:trPr>
        <w:tc>
          <w:tcPr>
            <w:tcW w:w="7720" w:type="dxa"/>
            <w:vAlign w:val="bottom"/>
            <w:vMerge w:val="restart"/>
          </w:tcPr>
          <w:p>
            <w:pPr>
              <w:spacing w:after="0"/>
              <w:rPr>
                <w:sz w:val="20"/>
                <w:szCs w:val="20"/>
                <w:color w:val="auto"/>
              </w:rPr>
            </w:pPr>
            <w:r>
              <w:rPr>
                <w:rFonts w:ascii="Arial" w:cs="Arial" w:eastAsia="Arial" w:hAnsi="Arial"/>
                <w:sz w:val="20"/>
                <w:szCs w:val="20"/>
                <w:b w:val="1"/>
                <w:bCs w:val="1"/>
                <w:color w:val="auto"/>
              </w:rPr>
              <w:t>EBIT-adjusted(b)</w:t>
            </w: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2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22"/>
              <w:spacing w:after="0"/>
              <w:rPr>
                <w:sz w:val="20"/>
                <w:szCs w:val="20"/>
                <w:color w:val="auto"/>
              </w:rPr>
            </w:pPr>
            <w:r>
              <w:rPr>
                <w:rFonts w:ascii="Arial" w:cs="Arial" w:eastAsia="Arial" w:hAnsi="Arial"/>
                <w:sz w:val="20"/>
                <w:szCs w:val="20"/>
                <w:b w:val="1"/>
                <w:bCs w:val="1"/>
                <w:color w:val="auto"/>
              </w:rPr>
              <w:t>2,082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2"/>
              <w:spacing w:after="0"/>
              <w:rPr>
                <w:sz w:val="20"/>
                <w:szCs w:val="20"/>
                <w:color w:val="auto"/>
              </w:rPr>
            </w:pPr>
            <w:r>
              <w:rPr>
                <w:rFonts w:ascii="Arial" w:cs="Arial" w:eastAsia="Arial" w:hAnsi="Arial"/>
                <w:sz w:val="20"/>
                <w:szCs w:val="20"/>
                <w:b w:val="1"/>
                <w:bCs w:val="1"/>
                <w:color w:val="auto"/>
              </w:rPr>
              <w:t>466</w:t>
            </w:r>
          </w:p>
        </w:tc>
        <w:tc>
          <w:tcPr>
            <w:tcW w:w="0" w:type="dxa"/>
            <w:vAlign w:val="bottom"/>
          </w:tcPr>
          <w:p>
            <w:pPr>
              <w:spacing w:after="0"/>
              <w:rPr>
                <w:sz w:val="1"/>
                <w:szCs w:val="1"/>
                <w:color w:val="auto"/>
              </w:rPr>
            </w:pPr>
          </w:p>
        </w:tc>
      </w:tr>
      <w:tr>
        <w:trPr>
          <w:trHeight w:val="284"/>
        </w:trPr>
        <w:tc>
          <w:tcPr>
            <w:tcW w:w="7720" w:type="dxa"/>
            <w:vAlign w:val="bottom"/>
          </w:tcPr>
          <w:p>
            <w:pPr>
              <w:spacing w:after="0"/>
              <w:rPr>
                <w:sz w:val="20"/>
                <w:szCs w:val="20"/>
                <w:color w:val="auto"/>
              </w:rPr>
            </w:pPr>
            <w:r>
              <w:rPr>
                <w:rFonts w:ascii="Arial" w:cs="Arial" w:eastAsia="Arial" w:hAnsi="Arial"/>
                <w:sz w:val="20"/>
                <w:szCs w:val="20"/>
                <w:color w:val="auto"/>
              </w:rPr>
              <w:t>Special items</w:t>
            </w: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(547)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(427)</w:t>
            </w:r>
          </w:p>
        </w:tc>
        <w:tc>
          <w:tcPr>
            <w:tcW w:w="0" w:type="dxa"/>
            <w:vAlign w:val="bottom"/>
          </w:tcPr>
          <w:p>
            <w:pPr>
              <w:spacing w:after="0"/>
              <w:rPr>
                <w:sz w:val="1"/>
                <w:szCs w:val="1"/>
                <w:color w:val="auto"/>
              </w:rPr>
            </w:pPr>
          </w:p>
        </w:tc>
      </w:tr>
      <w:tr>
        <w:trPr>
          <w:trHeight w:val="284"/>
        </w:trPr>
        <w:tc>
          <w:tcPr>
            <w:tcW w:w="7720" w:type="dxa"/>
            <w:vAlign w:val="bottom"/>
          </w:tcPr>
          <w:p>
            <w:pPr>
              <w:spacing w:after="0"/>
              <w:rPr>
                <w:sz w:val="20"/>
                <w:szCs w:val="20"/>
                <w:color w:val="auto"/>
              </w:rPr>
            </w:pPr>
            <w:r>
              <w:rPr>
                <w:rFonts w:ascii="Arial" w:cs="Arial" w:eastAsia="Arial" w:hAnsi="Arial"/>
                <w:sz w:val="20"/>
                <w:szCs w:val="20"/>
                <w:color w:val="auto"/>
              </w:rPr>
              <w:t>Automotive interest income</w:t>
            </w:r>
          </w:p>
        </w:tc>
        <w:tc>
          <w:tcPr>
            <w:tcW w:w="220" w:type="dxa"/>
            <w:vAlign w:val="bottom"/>
          </w:tcPr>
          <w:p>
            <w:pPr>
              <w:spacing w:after="0"/>
              <w:rPr>
                <w:sz w:val="24"/>
                <w:szCs w:val="24"/>
                <w:color w:val="auto"/>
              </w:rPr>
            </w:pPr>
          </w:p>
        </w:tc>
        <w:tc>
          <w:tcPr>
            <w:tcW w:w="1620" w:type="dxa"/>
            <w:vAlign w:val="bottom"/>
          </w:tcPr>
          <w:p>
            <w:pPr>
              <w:jc w:val="right"/>
              <w:ind w:right="22"/>
              <w:spacing w:after="0"/>
              <w:rPr>
                <w:sz w:val="20"/>
                <w:szCs w:val="20"/>
                <w:color w:val="auto"/>
              </w:rPr>
            </w:pPr>
            <w:r>
              <w:rPr>
                <w:rFonts w:ascii="Arial" w:cs="Arial" w:eastAsia="Arial" w:hAnsi="Arial"/>
                <w:sz w:val="20"/>
                <w:szCs w:val="20"/>
                <w:color w:val="auto"/>
              </w:rPr>
              <w:t>49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2"/>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84"/>
        </w:trPr>
        <w:tc>
          <w:tcPr>
            <w:tcW w:w="7720" w:type="dxa"/>
            <w:vAlign w:val="bottom"/>
          </w:tcPr>
          <w:p>
            <w:pPr>
              <w:spacing w:after="0"/>
              <w:rPr>
                <w:sz w:val="20"/>
                <w:szCs w:val="20"/>
                <w:color w:val="auto"/>
              </w:rPr>
            </w:pPr>
            <w:r>
              <w:rPr>
                <w:rFonts w:ascii="Arial" w:cs="Arial" w:eastAsia="Arial" w:hAnsi="Arial"/>
                <w:sz w:val="20"/>
                <w:szCs w:val="20"/>
                <w:color w:val="auto"/>
              </w:rPr>
              <w:t>Automotive interest expense</w:t>
            </w: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(103)</w:t>
            </w:r>
          </w:p>
        </w:tc>
        <w:tc>
          <w:tcPr>
            <w:tcW w:w="0" w:type="dxa"/>
            <w:vAlign w:val="bottom"/>
          </w:tcPr>
          <w:p>
            <w:pPr>
              <w:spacing w:after="0"/>
              <w:rPr>
                <w:sz w:val="1"/>
                <w:szCs w:val="1"/>
                <w:color w:val="auto"/>
              </w:rPr>
            </w:pPr>
          </w:p>
        </w:tc>
      </w:tr>
      <w:tr>
        <w:trPr>
          <w:trHeight w:val="284"/>
        </w:trPr>
        <w:tc>
          <w:tcPr>
            <w:tcW w:w="7720" w:type="dxa"/>
            <w:vAlign w:val="bottom"/>
          </w:tcPr>
          <w:p>
            <w:pPr>
              <w:spacing w:after="0"/>
              <w:rPr>
                <w:sz w:val="20"/>
                <w:szCs w:val="20"/>
                <w:color w:val="auto"/>
              </w:rPr>
            </w:pPr>
            <w:r>
              <w:rPr>
                <w:rFonts w:ascii="Arial" w:cs="Arial" w:eastAsia="Arial" w:hAnsi="Arial"/>
                <w:sz w:val="20"/>
                <w:szCs w:val="20"/>
                <w:color w:val="auto"/>
              </w:rPr>
              <w:t>Income tax benefit (expense)</w:t>
            </w: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(529)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2"/>
              <w:spacing w:after="0"/>
              <w:rPr>
                <w:sz w:val="20"/>
                <w:szCs w:val="20"/>
                <w:color w:val="auto"/>
              </w:rPr>
            </w:pPr>
            <w:r>
              <w:rPr>
                <w:rFonts w:ascii="Arial" w:cs="Arial" w:eastAsia="Arial" w:hAnsi="Arial"/>
                <w:sz w:val="20"/>
                <w:szCs w:val="20"/>
                <w:color w:val="auto"/>
              </w:rPr>
              <w:t>224</w:t>
            </w:r>
          </w:p>
        </w:tc>
        <w:tc>
          <w:tcPr>
            <w:tcW w:w="0" w:type="dxa"/>
            <w:vAlign w:val="bottom"/>
          </w:tcPr>
          <w:p>
            <w:pPr>
              <w:spacing w:after="0"/>
              <w:rPr>
                <w:sz w:val="1"/>
                <w:szCs w:val="1"/>
                <w:color w:val="auto"/>
              </w:rPr>
            </w:pPr>
          </w:p>
        </w:tc>
      </w:tr>
      <w:tr>
        <w:trPr>
          <w:trHeight w:val="23"/>
        </w:trPr>
        <w:tc>
          <w:tcPr>
            <w:tcW w:w="7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720" w:type="dxa"/>
            <w:vAlign w:val="bottom"/>
          </w:tcPr>
          <w:p>
            <w:pPr>
              <w:spacing w:after="0"/>
              <w:rPr>
                <w:sz w:val="20"/>
                <w:szCs w:val="20"/>
                <w:color w:val="auto"/>
              </w:rPr>
            </w:pPr>
            <w:r>
              <w:rPr>
                <w:rFonts w:ascii="Arial" w:cs="Arial" w:eastAsia="Arial" w:hAnsi="Arial"/>
                <w:sz w:val="20"/>
                <w:szCs w:val="20"/>
                <w:b w:val="1"/>
                <w:bCs w:val="1"/>
                <w:color w:val="auto"/>
              </w:rPr>
              <w:t>Net income attributable to stockholders</w:t>
            </w: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w w:val="89"/>
              </w:rPr>
              <w:t>$</w:t>
            </w:r>
          </w:p>
        </w:tc>
        <w:tc>
          <w:tcPr>
            <w:tcW w:w="162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b w:val="1"/>
                <w:bCs w:val="1"/>
                <w:color w:val="auto"/>
              </w:rPr>
              <w:t>945</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52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213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43"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20"/>
          <w:szCs w:val="20"/>
          <w:color w:val="auto"/>
        </w:rPr>
        <w:t>GM Financial amounts represent income before income taxes-adjusted.</w:t>
      </w:r>
    </w:p>
    <w:p>
      <w:pPr>
        <w:spacing w:after="0" w:line="15"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20"/>
          <w:szCs w:val="20"/>
          <w:color w:val="auto"/>
        </w:rPr>
        <w:t>GM's automotive operations' interest income and interest expense are recorded centrally in Corporate.</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In connection with the responses to your comments we hereby acknowledge that:</w:t>
      </w:r>
    </w:p>
    <w:p>
      <w:pPr>
        <w:spacing w:after="0" w:line="36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Company is responsible for the adequacy and accuracy of the disclosure in its filing;</w:t>
      </w:r>
    </w:p>
    <w:p>
      <w:pPr>
        <w:spacing w:after="0" w:line="215" w:lineRule="exact"/>
        <w:rPr>
          <w:rFonts w:ascii="Arial" w:cs="Arial" w:eastAsia="Arial" w:hAnsi="Arial"/>
          <w:sz w:val="20"/>
          <w:szCs w:val="20"/>
          <w:color w:val="auto"/>
        </w:rPr>
      </w:pPr>
    </w:p>
    <w:p>
      <w:pPr>
        <w:ind w:left="660" w:right="100" w:hanging="328"/>
        <w:spacing w:after="0" w:line="260"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Staff comments, or changes to disclosure in response to Staff comments, do not foreclose the Commission from taking any action with respect to the filing; and</w:t>
      </w:r>
    </w:p>
    <w:p>
      <w:pPr>
        <w:sectPr>
          <w:pgSz w:w="11900" w:h="16838" w:orient="portrait"/>
          <w:cols w:equalWidth="0" w:num="1">
            <w:col w:w="11420"/>
          </w:cols>
          <w:pgMar w:left="240" w:top="1014" w:right="239" w:bottom="1440" w:gutter="0" w:footer="0" w:header="0"/>
        </w:sectPr>
      </w:pPr>
    </w:p>
    <w:bookmarkStart w:id="2" w:name="page3"/>
    <w:bookmarkEnd w:id="2"/>
    <w:p>
      <w:pPr>
        <w:ind w:left="660" w:right="460" w:hanging="328"/>
        <w:spacing w:after="0" w:line="260"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may not assert Staff comments as a defense in any proceeding initiated by the Commission or any person under the federal securities laws of the United States.</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We appreciate your assistance in our compliance with applicable disclosure requirements and in enhancing the overall disclosures in our filings.</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Should you have any questions or comments regarding the responses in this letter, please feel free to contact me at (313) 667-3434.</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6017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Thomas S. Timko</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Vice President, Controller and Chief Accounting Officer</w:t>
      </w:r>
    </w:p>
    <w:sectPr>
      <w:pgSz w:w="11900" w:h="16838" w:orient="portrait"/>
      <w:cols w:equalWidth="0" w:num="1">
        <w:col w:w="11400"/>
      </w:cols>
      <w:pgMar w:left="240" w:top="101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2019-12-08T21:50:20Z</dcterms:created>
  <dcterms:modified xsi:type="dcterms:W3CDTF">2019-12-08T21:50:20Z</dcterms:modified>
</cp:coreProperties>
</file>