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Glidden Craig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Executive Vice President &amp; GC</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11"/>
                <w:szCs w:val="11"/>
                <w:color w:val="auto"/>
              </w:rPr>
            </w:pPr>
          </w:p>
        </w:tc>
        <w:tc>
          <w:tcPr>
            <w:tcW w:w="3560" w:type="dxa"/>
            <w:vAlign w:val="bottom"/>
            <w:gridSpan w:val="9"/>
          </w:tcPr>
          <w:p>
            <w:pPr>
              <w:ind w:left="2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86,070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216,249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ind w:left="860"/>
              <w:spacing w:after="0"/>
              <w:rPr>
                <w:sz w:val="20"/>
                <w:szCs w:val="20"/>
                <w:color w:val="auto"/>
              </w:rPr>
            </w:pPr>
            <w:r>
              <w:rPr>
                <w:rFonts w:ascii="Arial" w:cs="Arial" w:eastAsia="Arial" w:hAnsi="Arial"/>
                <w:sz w:val="17"/>
                <w:szCs w:val="17"/>
                <w:color w:val="0000FF"/>
              </w:rPr>
              <w:t>02/13/2022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ind w:left="180"/>
              <w:spacing w:after="0"/>
              <w:rPr>
                <w:sz w:val="20"/>
                <w:szCs w:val="20"/>
                <w:color w:val="auto"/>
              </w:rPr>
            </w:pPr>
            <w:r>
              <w:rPr>
                <w:rFonts w:ascii="Arial" w:cs="Arial" w:eastAsia="Arial" w:hAnsi="Arial"/>
                <w:sz w:val="17"/>
                <w:szCs w:val="17"/>
                <w:color w:val="0000FF"/>
                <w:w w:val="99"/>
              </w:rPr>
              <w:t>34,489</w:t>
            </w:r>
          </w:p>
        </w:tc>
        <w:tc>
          <w:tcPr>
            <w:tcW w:w="440" w:type="dxa"/>
            <w:vAlign w:val="bottom"/>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48.83</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181,760</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2019, the Reporting Person received a grant of Performance Stock Units ("PSUs"). Under the grant, the PSUs could be earned based on the achievement of certain financial targets. The PSUs vested on February 13, 2022,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02/15/2022</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Glidden</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2022-02-15T16:16:16Z</dcterms:created>
  <dcterms:modified xsi:type="dcterms:W3CDTF">2022-02-15T16:16:16Z</dcterms:modified>
</cp:coreProperties>
</file>