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359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35940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4"/>
            <w:vMerge w:val="restart"/>
          </w:tcPr>
          <w:p>
            <w:pPr>
              <w:spacing w:after="0"/>
              <w:rPr>
                <w:rFonts w:ascii="Arial" w:cs="Arial" w:eastAsia="Arial" w:hAnsi="Arial"/>
                <w:sz w:val="22"/>
                <w:szCs w:val="22"/>
                <w:color w:val="0000EE"/>
                <w:w w:val="96"/>
              </w:rPr>
            </w:pPr>
            <w:hyperlink r:id="rId12">
              <w:r>
                <w:rPr>
                  <w:rFonts w:ascii="Arial" w:cs="Arial" w:eastAsia="Arial" w:hAnsi="Arial"/>
                  <w:sz w:val="22"/>
                  <w:szCs w:val="22"/>
                  <w:color w:val="0000EE"/>
                  <w:w w:val="96"/>
                </w:rPr>
                <w:t>Mendillo Jane L</w:t>
              </w:r>
            </w:hyperlink>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General Motors Co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GM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00" w:type="dxa"/>
            <w:vAlign w:val="bottom"/>
            <w:gridSpan w:val="4"/>
            <w:vMerge w:val="continue"/>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gridSpan w:val="4"/>
            <w:vMerge w:val="continue"/>
          </w:tcPr>
          <w:p>
            <w:pPr>
              <w:spacing w:after="0"/>
              <w:rPr>
                <w:sz w:val="2"/>
                <w:szCs w:val="2"/>
                <w:color w:val="auto"/>
              </w:rPr>
            </w:pPr>
          </w:p>
        </w:tc>
        <w:tc>
          <w:tcPr>
            <w:tcW w:w="1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gridSpan w:val="2"/>
            <w:vMerge w:val="restart"/>
          </w:tcPr>
          <w:p>
            <w:pPr>
              <w:ind w:left="2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2"/>
                <w:szCs w:val="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8"/>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8"/>
            <w:vMerge w:val="continue"/>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300 RENAISSANCE CENTER</w:t>
            </w:r>
          </w:p>
        </w:tc>
        <w:tc>
          <w:tcPr>
            <w:tcW w:w="1200" w:type="dxa"/>
            <w:vAlign w:val="bottom"/>
          </w:tcPr>
          <w:p>
            <w:pPr>
              <w:spacing w:after="0"/>
              <w:rPr>
                <w:sz w:val="19"/>
                <w:szCs w:val="19"/>
                <w:color w:val="auto"/>
              </w:rPr>
            </w:pP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12/31/2016</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4"/>
            <w:vMerge w:val="restart"/>
          </w:tcPr>
          <w:p>
            <w:pPr>
              <w:spacing w:after="0"/>
              <w:rPr>
                <w:sz w:val="20"/>
                <w:szCs w:val="20"/>
                <w:color w:val="auto"/>
              </w:rPr>
            </w:pPr>
            <w:r>
              <w:rPr>
                <w:rFonts w:ascii="Arial" w:cs="Arial" w:eastAsia="Arial" w:hAnsi="Arial"/>
                <w:sz w:val="18"/>
                <w:szCs w:val="18"/>
                <w:color w:val="0000FF"/>
                <w:w w:val="97"/>
              </w:rPr>
              <w:t>M/C: 482-C23-D24</w:t>
            </w:r>
          </w:p>
        </w:tc>
        <w:tc>
          <w:tcPr>
            <w:tcW w:w="10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4"/>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9"/>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DETROIT</w:t>
            </w:r>
          </w:p>
        </w:tc>
        <w:tc>
          <w:tcPr>
            <w:tcW w:w="220" w:type="dxa"/>
            <w:vAlign w:val="bottom"/>
            <w:gridSpan w:val="2"/>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80" w:type="dxa"/>
            <w:vAlign w:val="bottom"/>
            <w:gridSpan w:val="8"/>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ind w:left="180"/>
              <w:spacing w:after="0" w:line="136" w:lineRule="exact"/>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8"/>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3"/>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9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6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jc w:val="right"/>
              <w:ind w:right="19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460" w:type="dxa"/>
            <w:vAlign w:val="bottom"/>
            <w:tcBorders>
              <w:bottom w:val="single" w:sz="8" w:color="2C2C2C"/>
            </w:tcBorders>
            <w:gridSpan w:val="5"/>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gridSpan w:val="6"/>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8"/>
          </w:tcPr>
          <w:p>
            <w:pPr>
              <w:ind w:left="98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0" w:type="dxa"/>
            <w:vAlign w:val="bottom"/>
            <w:gridSpan w:val="16"/>
          </w:tcPr>
          <w:p>
            <w:pPr>
              <w:jc w:val="right"/>
              <w:ind w:right="194"/>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(1)</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jc w:val="right"/>
              <w:ind w:right="28"/>
              <w:spacing w:after="0"/>
              <w:rPr>
                <w:sz w:val="20"/>
                <w:szCs w:val="20"/>
                <w:color w:val="auto"/>
              </w:rPr>
            </w:pPr>
            <w:r>
              <w:rPr>
                <w:rFonts w:ascii="Arial" w:cs="Arial" w:eastAsia="Arial" w:hAnsi="Arial"/>
                <w:sz w:val="18"/>
                <w:szCs w:val="18"/>
                <w:color w:val="0000FF"/>
                <w:w w:val="93"/>
              </w:rPr>
              <w:t>4,559</w:t>
            </w:r>
          </w:p>
        </w:tc>
        <w:tc>
          <w:tcPr>
            <w:tcW w:w="180" w:type="dxa"/>
            <w:vAlign w:val="bottom"/>
          </w:tcPr>
          <w:p>
            <w:pPr>
              <w:spacing w:after="0"/>
              <w:rPr>
                <w:sz w:val="16"/>
                <w:szCs w:val="16"/>
                <w:color w:val="auto"/>
              </w:rPr>
            </w:pPr>
          </w:p>
        </w:tc>
        <w:tc>
          <w:tcPr>
            <w:tcW w:w="620" w:type="dxa"/>
            <w:vAlign w:val="bottom"/>
            <w:vMerge w:val="restart"/>
          </w:tcPr>
          <w:p>
            <w:pPr>
              <w:ind w:left="6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(1)</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Share</w:t>
            </w:r>
          </w:p>
        </w:tc>
        <w:tc>
          <w:tcPr>
            <w:tcW w:w="6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vMerge w:val="restart"/>
          </w:tcPr>
          <w:p>
            <w:pPr>
              <w:jc w:val="right"/>
              <w:ind w:right="130"/>
              <w:spacing w:after="0" w:line="146" w:lineRule="exact"/>
              <w:rPr>
                <w:sz w:val="20"/>
                <w:szCs w:val="20"/>
                <w:color w:val="auto"/>
              </w:rPr>
            </w:pPr>
            <w:r>
              <w:rPr>
                <w:rFonts w:ascii="Arial" w:cs="Arial" w:eastAsia="Arial" w:hAnsi="Arial"/>
                <w:sz w:val="14"/>
                <w:szCs w:val="14"/>
                <w:color w:val="0000FF"/>
              </w:rPr>
              <w:t>12/31/2016</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3"/>
            <w:vMerge w:val="restart"/>
          </w:tcPr>
          <w:p>
            <w:pPr>
              <w:ind w:left="80"/>
              <w:spacing w:after="0" w:line="146"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jc w:val="right"/>
              <w:ind w:right="38"/>
              <w:spacing w:after="0" w:line="146" w:lineRule="exact"/>
              <w:rPr>
                <w:sz w:val="20"/>
                <w:szCs w:val="20"/>
                <w:color w:val="auto"/>
              </w:rPr>
            </w:pPr>
            <w:r>
              <w:rPr>
                <w:rFonts w:ascii="Arial" w:cs="Arial" w:eastAsia="Arial" w:hAnsi="Arial"/>
                <w:sz w:val="14"/>
                <w:szCs w:val="14"/>
                <w:color w:val="0000FF"/>
              </w:rPr>
              <w:t>4,559</w:t>
            </w:r>
          </w:p>
        </w:tc>
        <w:tc>
          <w:tcPr>
            <w:tcW w:w="340" w:type="dxa"/>
            <w:vAlign w:val="bottom"/>
          </w:tcPr>
          <w:p>
            <w:pPr>
              <w:spacing w:after="0"/>
              <w:rPr>
                <w:sz w:val="7"/>
                <w:szCs w:val="7"/>
                <w:color w:val="auto"/>
              </w:rPr>
            </w:pPr>
          </w:p>
        </w:tc>
        <w:tc>
          <w:tcPr>
            <w:tcW w:w="820" w:type="dxa"/>
            <w:vAlign w:val="bottom"/>
            <w:gridSpan w:val="3"/>
            <w:vMerge w:val="restart"/>
          </w:tcPr>
          <w:p>
            <w:pPr>
              <w:ind w:left="28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7"/>
                <w:szCs w:val="7"/>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(1)</w:t>
            </w:r>
          </w:p>
        </w:tc>
        <w:tc>
          <w:tcPr>
            <w:tcW w:w="70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vMerge w:val="restart"/>
          </w:tcPr>
          <w:p>
            <w:pPr>
              <w:ind w:left="260"/>
              <w:spacing w:after="0" w:line="146" w:lineRule="exact"/>
              <w:rPr>
                <w:sz w:val="20"/>
                <w:szCs w:val="20"/>
                <w:color w:val="auto"/>
              </w:rPr>
            </w:pPr>
            <w:r>
              <w:rPr>
                <w:rFonts w:ascii="Arial" w:cs="Arial" w:eastAsia="Arial" w:hAnsi="Arial"/>
                <w:sz w:val="14"/>
                <w:szCs w:val="14"/>
                <w:color w:val="0000FF"/>
                <w:w w:val="96"/>
              </w:rPr>
              <w:t>4,559</w:t>
            </w:r>
          </w:p>
        </w:tc>
        <w:tc>
          <w:tcPr>
            <w:tcW w:w="280" w:type="dxa"/>
            <w:vAlign w:val="bottom"/>
          </w:tcPr>
          <w:p>
            <w:pPr>
              <w:spacing w:after="0"/>
              <w:rPr>
                <w:sz w:val="7"/>
                <w:szCs w:val="7"/>
                <w:color w:val="auto"/>
              </w:rPr>
            </w:pPr>
          </w:p>
        </w:tc>
        <w:tc>
          <w:tcPr>
            <w:tcW w:w="700" w:type="dxa"/>
            <w:vAlign w:val="bottom"/>
            <w:vMerge w:val="restart"/>
          </w:tcPr>
          <w:p>
            <w:pPr>
              <w:ind w:left="34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3" w:lineRule="exact"/>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jc w:val="right"/>
              <w:ind w:right="148"/>
              <w:spacing w:after="0"/>
              <w:rPr>
                <w:sz w:val="20"/>
                <w:szCs w:val="20"/>
                <w:color w:val="auto"/>
              </w:rPr>
            </w:pPr>
            <w:r>
              <w:rPr>
                <w:rFonts w:ascii="Arial" w:cs="Arial" w:eastAsia="Arial" w:hAnsi="Arial"/>
                <w:sz w:val="18"/>
                <w:szCs w:val="18"/>
                <w:color w:val="0000FF"/>
              </w:rPr>
              <w:t>89</w:t>
            </w:r>
          </w:p>
        </w:tc>
        <w:tc>
          <w:tcPr>
            <w:tcW w:w="180" w:type="dxa"/>
            <w:vAlign w:val="bottom"/>
          </w:tcPr>
          <w:p>
            <w:pPr>
              <w:spacing w:after="0"/>
              <w:rPr>
                <w:sz w:val="16"/>
                <w:szCs w:val="16"/>
                <w:color w:val="auto"/>
              </w:rPr>
            </w:pPr>
          </w:p>
        </w:tc>
        <w:tc>
          <w:tcPr>
            <w:tcW w:w="620" w:type="dxa"/>
            <w:vAlign w:val="bottom"/>
            <w:vMerge w:val="restart"/>
          </w:tcPr>
          <w:p>
            <w:pPr>
              <w:ind w:left="6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(2)</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Share</w:t>
            </w:r>
          </w:p>
        </w:tc>
        <w:tc>
          <w:tcPr>
            <w:tcW w:w="6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vMerge w:val="restart"/>
          </w:tcPr>
          <w:p>
            <w:pPr>
              <w:jc w:val="right"/>
              <w:ind w:right="130"/>
              <w:spacing w:after="0" w:line="146" w:lineRule="exact"/>
              <w:rPr>
                <w:sz w:val="20"/>
                <w:szCs w:val="20"/>
                <w:color w:val="auto"/>
              </w:rPr>
            </w:pPr>
            <w:r>
              <w:rPr>
                <w:rFonts w:ascii="Arial" w:cs="Arial" w:eastAsia="Arial" w:hAnsi="Arial"/>
                <w:sz w:val="14"/>
                <w:szCs w:val="14"/>
                <w:color w:val="0000FF"/>
              </w:rPr>
              <w:t>12/31/2016</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3"/>
            <w:vMerge w:val="restart"/>
          </w:tcPr>
          <w:p>
            <w:pPr>
              <w:ind w:left="80"/>
              <w:spacing w:after="0" w:line="146"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jc w:val="right"/>
              <w:ind w:right="118"/>
              <w:spacing w:after="0" w:line="146" w:lineRule="exact"/>
              <w:rPr>
                <w:sz w:val="20"/>
                <w:szCs w:val="20"/>
                <w:color w:val="auto"/>
              </w:rPr>
            </w:pPr>
            <w:r>
              <w:rPr>
                <w:rFonts w:ascii="Arial" w:cs="Arial" w:eastAsia="Arial" w:hAnsi="Arial"/>
                <w:sz w:val="14"/>
                <w:szCs w:val="14"/>
                <w:color w:val="0000FF"/>
              </w:rPr>
              <w:t>89</w:t>
            </w:r>
          </w:p>
        </w:tc>
        <w:tc>
          <w:tcPr>
            <w:tcW w:w="340" w:type="dxa"/>
            <w:vAlign w:val="bottom"/>
          </w:tcPr>
          <w:p>
            <w:pPr>
              <w:spacing w:after="0"/>
              <w:rPr>
                <w:sz w:val="7"/>
                <w:szCs w:val="7"/>
                <w:color w:val="auto"/>
              </w:rPr>
            </w:pPr>
          </w:p>
        </w:tc>
        <w:tc>
          <w:tcPr>
            <w:tcW w:w="820" w:type="dxa"/>
            <w:vAlign w:val="bottom"/>
            <w:gridSpan w:val="3"/>
            <w:vMerge w:val="restart"/>
          </w:tcPr>
          <w:p>
            <w:pPr>
              <w:ind w:left="280"/>
              <w:spacing w:after="0"/>
              <w:rPr>
                <w:sz w:val="20"/>
                <w:szCs w:val="20"/>
                <w:color w:val="auto"/>
              </w:rPr>
            </w:pPr>
            <w:r>
              <w:rPr>
                <w:rFonts w:ascii="Arial" w:cs="Arial" w:eastAsia="Arial" w:hAnsi="Arial"/>
                <w:sz w:val="11"/>
                <w:szCs w:val="11"/>
                <w:color w:val="008000"/>
              </w:rPr>
              <w:t>(2)</w:t>
            </w:r>
          </w:p>
        </w:tc>
        <w:tc>
          <w:tcPr>
            <w:tcW w:w="180" w:type="dxa"/>
            <w:vAlign w:val="bottom"/>
          </w:tcPr>
          <w:p>
            <w:pPr>
              <w:spacing w:after="0"/>
              <w:rPr>
                <w:sz w:val="7"/>
                <w:szCs w:val="7"/>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(2)</w:t>
            </w:r>
          </w:p>
        </w:tc>
        <w:tc>
          <w:tcPr>
            <w:tcW w:w="70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vMerge w:val="restart"/>
          </w:tcPr>
          <w:p>
            <w:pPr>
              <w:ind w:left="260"/>
              <w:spacing w:after="0" w:line="146" w:lineRule="exact"/>
              <w:rPr>
                <w:sz w:val="20"/>
                <w:szCs w:val="20"/>
                <w:color w:val="auto"/>
              </w:rPr>
            </w:pPr>
            <w:r>
              <w:rPr>
                <w:rFonts w:ascii="Arial" w:cs="Arial" w:eastAsia="Arial" w:hAnsi="Arial"/>
                <w:sz w:val="14"/>
                <w:szCs w:val="14"/>
                <w:color w:val="0000FF"/>
                <w:w w:val="96"/>
              </w:rPr>
              <w:t>4,648</w:t>
            </w:r>
          </w:p>
        </w:tc>
        <w:tc>
          <w:tcPr>
            <w:tcW w:w="280" w:type="dxa"/>
            <w:vAlign w:val="bottom"/>
          </w:tcPr>
          <w:p>
            <w:pPr>
              <w:spacing w:after="0"/>
              <w:rPr>
                <w:sz w:val="7"/>
                <w:szCs w:val="7"/>
                <w:color w:val="auto"/>
              </w:rPr>
            </w:pPr>
          </w:p>
        </w:tc>
        <w:tc>
          <w:tcPr>
            <w:tcW w:w="700" w:type="dxa"/>
            <w:vAlign w:val="bottom"/>
            <w:vMerge w:val="restart"/>
          </w:tcPr>
          <w:p>
            <w:pPr>
              <w:ind w:left="34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(2)</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jc w:val="both"/>
        <w:ind w:left="40" w:right="160" w:firstLine="9"/>
        <w:spacing w:after="0" w:line="27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Deferred share units of the Company's Common Stock ("DSUs") were awarded on December 31, 2016 pursuant to the General Motors Company Deferred Compensation Plan (the "Plan") for Non-Employee Directors. Each non-employee director is required to defer one-half of the $250,000 annual retainer fee for service on the Board of Directors into DSUs and may elect to defer more. The retainer fee is pro-rated for a partial year of service converted to DSUs based on the average closing price of the Common Stock for the period of service, which was $31.99. Amounts credited as DSUs will be paid in cash after the director leaves the Board, valued at the average daily closing price of the Common Stock for the quarter immediately preceding payment.</w:t>
      </w:r>
    </w:p>
    <w:p>
      <w:pPr>
        <w:spacing w:after="0" w:line="8" w:lineRule="exact"/>
        <w:rPr>
          <w:rFonts w:ascii="Arial" w:cs="Arial" w:eastAsia="Arial" w:hAnsi="Arial"/>
          <w:sz w:val="12"/>
          <w:szCs w:val="12"/>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Pursuant to the Plan, dividends on the DSUs are credited in DSUs at the end of year.</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1"/>
              </w:rPr>
              <w:t>/s/ Tia Y. Turk, Attorney-In-</w:t>
            </w:r>
          </w:p>
        </w:tc>
        <w:tc>
          <w:tcPr>
            <w:tcW w:w="140" w:type="dxa"/>
            <w:vAlign w:val="bottom"/>
          </w:tcPr>
          <w:p>
            <w:pPr>
              <w:spacing w:after="0"/>
              <w:rPr>
                <w:sz w:val="18"/>
                <w:szCs w:val="18"/>
                <w:color w:val="auto"/>
              </w:rPr>
            </w:pP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01/04/2017</w:t>
            </w:r>
          </w:p>
        </w:tc>
        <w:tc>
          <w:tcPr>
            <w:tcW w:w="0" w:type="dxa"/>
            <w:vAlign w:val="bottom"/>
          </w:tcPr>
          <w:p>
            <w:pPr>
              <w:spacing w:after="0"/>
              <w:rPr>
                <w:sz w:val="1"/>
                <w:szCs w:val="1"/>
                <w:color w:val="auto"/>
              </w:rPr>
            </w:pPr>
          </w:p>
        </w:tc>
      </w:tr>
      <w:tr>
        <w:trPr>
          <w:trHeight w:val="88"/>
        </w:trPr>
        <w:tc>
          <w:tcPr>
            <w:tcW w:w="1560" w:type="dxa"/>
            <w:vAlign w:val="bottom"/>
            <w:vMerge w:val="restart"/>
          </w:tcPr>
          <w:p>
            <w:pPr>
              <w:spacing w:after="0" w:line="196" w:lineRule="exact"/>
              <w:rPr>
                <w:sz w:val="20"/>
                <w:szCs w:val="20"/>
                <w:color w:val="auto"/>
              </w:rPr>
            </w:pPr>
            <w:r>
              <w:rPr>
                <w:rFonts w:ascii="Arial" w:cs="Arial" w:eastAsia="Arial" w:hAnsi="Arial"/>
                <w:sz w:val="18"/>
                <w:szCs w:val="18"/>
                <w:color w:val="0000FF"/>
                <w:w w:val="92"/>
              </w:rPr>
              <w:t>Fact for Ms. Mendillo</w:t>
            </w:r>
          </w:p>
        </w:tc>
        <w:tc>
          <w:tcPr>
            <w:tcW w:w="580" w:type="dxa"/>
            <w:vAlign w:val="bottom"/>
            <w:gridSpan w:val="2"/>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560" w:type="dxa"/>
            <w:vAlign w:val="bottom"/>
            <w:tcBorders>
              <w:bottom w:val="single" w:sz="8" w:color="auto"/>
            </w:tcBorders>
            <w:vMerge w:val="continue"/>
          </w:tcPr>
          <w:p>
            <w:pPr>
              <w:spacing w:after="0"/>
              <w:rPr>
                <w:sz w:val="7"/>
                <w:szCs w:val="7"/>
                <w:color w:val="auto"/>
              </w:rPr>
            </w:pPr>
          </w:p>
        </w:tc>
        <w:tc>
          <w:tcPr>
            <w:tcW w:w="58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72424"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2019-12-04T02:00:40Z</dcterms:created>
  <dcterms:modified xsi:type="dcterms:W3CDTF">2019-12-04T02:00:40Z</dcterms:modified>
</cp:coreProperties>
</file>