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7924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92416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06/30/2012</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4"/>
        <w:spacing w:after="0"/>
        <w:rPr>
          <w:sz w:val="20"/>
          <w:szCs w:val="20"/>
          <w:color w:val="auto"/>
        </w:rPr>
      </w:pPr>
      <w:r>
        <w:rPr>
          <w:rFonts w:ascii="Arial" w:cs="Arial" w:eastAsia="Arial" w:hAnsi="Arial"/>
          <w:sz w:val="17"/>
          <w:szCs w:val="17"/>
          <w:color w:val="0000FF"/>
        </w:rPr>
        <w:t>Vice President</w:t>
      </w:r>
    </w:p>
    <w:p>
      <w:pPr>
        <w:spacing w:after="0" w:line="439" w:lineRule="exact"/>
        <w:rPr>
          <w:sz w:val="24"/>
          <w:szCs w:val="24"/>
          <w:color w:val="auto"/>
        </w:rPr>
      </w:pPr>
    </w:p>
    <w:p>
      <w:pPr>
        <w:sectPr>
          <w:pgSz w:w="11900" w:h="16838" w:orient="portrait"/>
          <w:cols w:equalWidth="0" w:num="3">
            <w:col w:w="3340" w:space="720"/>
            <w:col w:w="3256" w:space="720"/>
            <w:col w:w="348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0"/>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5"/>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4,347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56,713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2,953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53,760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1,394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52,366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3"/>
              </w:rPr>
              <w:t>4,956</w:t>
            </w:r>
            <w:r>
              <w:rPr>
                <w:rFonts w:ascii="Arial" w:cs="Arial" w:eastAsia="Arial" w:hAnsi="Arial"/>
                <w:sz w:val="21"/>
                <w:szCs w:val="21"/>
                <w:color w:val="008000"/>
                <w:w w:val="83"/>
                <w:vertAlign w:val="superscript"/>
              </w:rPr>
              <w:t>(4)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57,322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3,367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53,955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1,589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52,366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(5)</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3"/>
              </w:rPr>
              <w:t>2,970</w:t>
            </w:r>
            <w:r>
              <w:rPr>
                <w:rFonts w:ascii="Arial" w:cs="Arial" w:eastAsia="Arial" w:hAnsi="Arial"/>
                <w:sz w:val="21"/>
                <w:szCs w:val="21"/>
                <w:color w:val="008000"/>
                <w:w w:val="83"/>
                <w:vertAlign w:val="superscript"/>
              </w:rPr>
              <w:t>(6)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55,336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2,018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53,318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91"/>
              </w:rPr>
              <w:t>952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52,366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4,347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0"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4,347</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9"/>
              <w:spacing w:after="0" w:line="140" w:lineRule="exact"/>
              <w:rPr>
                <w:sz w:val="20"/>
                <w:szCs w:val="20"/>
                <w:color w:val="auto"/>
              </w:rPr>
            </w:pPr>
            <w:r>
              <w:rPr>
                <w:rFonts w:ascii="Arial" w:cs="Arial" w:eastAsia="Arial" w:hAnsi="Arial"/>
                <w:sz w:val="13"/>
                <w:szCs w:val="13"/>
                <w:color w:val="0000FF"/>
                <w:w w:val="92"/>
              </w:rPr>
              <w:t>8,692</w:t>
            </w:r>
          </w:p>
        </w:tc>
        <w:tc>
          <w:tcPr>
            <w:tcW w:w="280" w:type="dxa"/>
            <w:vAlign w:val="bottom"/>
          </w:tcPr>
          <w:p>
            <w:pPr>
              <w:spacing w:after="0"/>
              <w:rPr>
                <w:sz w:val="6"/>
                <w:szCs w:val="6"/>
                <w:color w:val="auto"/>
              </w:rPr>
            </w:pPr>
          </w:p>
        </w:tc>
        <w:tc>
          <w:tcPr>
            <w:tcW w:w="68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4,956</w:t>
            </w:r>
            <w:r>
              <w:rPr>
                <w:rFonts w:ascii="Arial" w:cs="Arial" w:eastAsia="Arial" w:hAnsi="Arial"/>
                <w:sz w:val="21"/>
                <w:szCs w:val="21"/>
                <w:color w:val="008000"/>
                <w:w w:val="84"/>
                <w:vertAlign w:val="superscript"/>
              </w:rPr>
              <w:t>(4)</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4,956</w:t>
            </w:r>
            <w:r>
              <w:rPr>
                <w:rFonts w:ascii="Arial" w:cs="Arial" w:eastAsia="Arial" w:hAnsi="Arial"/>
                <w:sz w:val="21"/>
                <w:szCs w:val="21"/>
                <w:color w:val="008000"/>
                <w:w w:val="87"/>
                <w:vertAlign w:val="superscript"/>
              </w:rPr>
              <w:t>(4)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92"/>
              </w:rPr>
              <w:t>4,956</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2,970</w:t>
            </w:r>
            <w:r>
              <w:rPr>
                <w:rFonts w:ascii="Arial" w:cs="Arial" w:eastAsia="Arial" w:hAnsi="Arial"/>
                <w:sz w:val="21"/>
                <w:szCs w:val="21"/>
                <w:color w:val="008000"/>
                <w:w w:val="84"/>
                <w:vertAlign w:val="superscript"/>
              </w:rPr>
              <w:t>(6)</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2,970</w:t>
            </w:r>
            <w:r>
              <w:rPr>
                <w:rFonts w:ascii="Arial" w:cs="Arial" w:eastAsia="Arial" w:hAnsi="Arial"/>
                <w:sz w:val="21"/>
                <w:szCs w:val="21"/>
                <w:color w:val="008000"/>
                <w:w w:val="87"/>
                <w:vertAlign w:val="superscript"/>
              </w:rPr>
              <w:t>(6)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27,396</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jc w:val="right"/>
              <w:spacing w:after="0" w:line="140" w:lineRule="exact"/>
              <w:rPr>
                <w:sz w:val="20"/>
                <w:szCs w:val="20"/>
                <w:color w:val="auto"/>
              </w:rPr>
            </w:pPr>
            <w:r>
              <w:rPr>
                <w:rFonts w:ascii="Arial" w:cs="Arial" w:eastAsia="Arial" w:hAnsi="Arial"/>
                <w:sz w:val="13"/>
                <w:szCs w:val="13"/>
                <w:color w:val="0000FF"/>
              </w:rPr>
              <w:t>27,396</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27,396</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7,200</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vMerge w:val="restart"/>
          </w:tcPr>
          <w:p>
            <w:pPr>
              <w:jc w:val="right"/>
              <w:ind w:right="40"/>
              <w:spacing w:after="0" w:line="140" w:lineRule="exact"/>
              <w:rPr>
                <w:sz w:val="20"/>
                <w:szCs w:val="20"/>
                <w:color w:val="auto"/>
              </w:rPr>
            </w:pPr>
            <w:r>
              <w:rPr>
                <w:rFonts w:ascii="Arial" w:cs="Arial" w:eastAsia="Arial" w:hAnsi="Arial"/>
                <w:sz w:val="13"/>
                <w:szCs w:val="13"/>
                <w:color w:val="0000FF"/>
              </w:rPr>
              <w:t>7,200</w:t>
            </w:r>
          </w:p>
        </w:tc>
        <w:tc>
          <w:tcPr>
            <w:tcW w:w="56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9"/>
              <w:spacing w:after="0" w:line="140" w:lineRule="exact"/>
              <w:rPr>
                <w:sz w:val="20"/>
                <w:szCs w:val="20"/>
                <w:color w:val="auto"/>
              </w:rPr>
            </w:pPr>
            <w:r>
              <w:rPr>
                <w:rFonts w:ascii="Arial" w:cs="Arial" w:eastAsia="Arial" w:hAnsi="Arial"/>
                <w:sz w:val="13"/>
                <w:szCs w:val="13"/>
                <w:color w:val="0000FF"/>
                <w:w w:val="92"/>
              </w:rPr>
              <w:t>7,200</w:t>
            </w:r>
          </w:p>
        </w:tc>
        <w:tc>
          <w:tcPr>
            <w:tcW w:w="280" w:type="dxa"/>
            <w:vAlign w:val="bottom"/>
          </w:tcPr>
          <w:p>
            <w:pPr>
              <w:spacing w:after="0"/>
              <w:rPr>
                <w:sz w:val="6"/>
                <w:szCs w:val="6"/>
                <w:color w:val="auto"/>
              </w:rPr>
            </w:pPr>
          </w:p>
        </w:tc>
        <w:tc>
          <w:tcPr>
            <w:tcW w:w="68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(9)</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74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2011 pursuant to the Company's Salary Stock Plan (the "GMSSP") and vested upon grant. The portion of this award currently payable was settled on June 30, 2012 in cash, less a portion withheld for taxes.</w:t>
      </w:r>
    </w:p>
    <w:p>
      <w:pPr>
        <w:spacing w:after="0" w:line="22" w:lineRule="exact"/>
        <w:rPr>
          <w:rFonts w:ascii="Arial" w:cs="Arial" w:eastAsia="Arial" w:hAnsi="Arial"/>
          <w:sz w:val="13"/>
          <w:szCs w:val="13"/>
          <w:color w:val="008000"/>
        </w:rPr>
      </w:pPr>
    </w:p>
    <w:p>
      <w:pPr>
        <w:ind w:left="40" w:right="28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$19.62.</w:t>
      </w:r>
    </w:p>
    <w:p>
      <w:pPr>
        <w:spacing w:after="0" w:line="3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2010.</w:t>
      </w:r>
    </w:p>
    <w:p>
      <w:pPr>
        <w:spacing w:after="0" w:line="46" w:lineRule="exact"/>
        <w:rPr>
          <w:rFonts w:ascii="Arial" w:cs="Arial" w:eastAsia="Arial" w:hAnsi="Arial"/>
          <w:sz w:val="13"/>
          <w:szCs w:val="13"/>
          <w:color w:val="008000"/>
        </w:rPr>
      </w:pPr>
    </w:p>
    <w:p>
      <w:pPr>
        <w:ind w:left="40" w:right="160" w:firstLine="4"/>
        <w:spacing w:after="0" w:line="273"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2010 the employee received a grant of 4,957 SSUs, of which 1,652 SSUs were scheduled to be payable on June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14,871 SSUs granted on June 30, 2010 of which 4,956 SSUs became payable on June 30, 2012.</w:t>
      </w:r>
    </w:p>
    <w:p>
      <w:pPr>
        <w:spacing w:after="0" w:line="13"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2009.</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2009 the employee received a grant of 2,970 SSUs, of which 990 SSUs were scheduled to be payable on June 30, 2012. On November 1, 2010 the Company amended its certificate of incorporation to</w:t>
      </w:r>
    </w:p>
    <w:p>
      <w:pPr>
        <w:sectPr>
          <w:pgSz w:w="11900" w:h="16838" w:orient="portrait"/>
          <w:cols w:equalWidth="0" w:num="1">
            <w:col w:w="11520"/>
          </w:cols>
          <w:pgMar w:left="240" w:top="223" w:right="139" w:bottom="0" w:gutter="0" w:footer="0" w:header="0"/>
          <w:type w:val="continuous"/>
        </w:sectPr>
      </w:pPr>
    </w:p>
    <w:bookmarkStart w:id="1" w:name="page2"/>
    <w:bookmarkEnd w:id="1"/>
    <w:p>
      <w:pPr>
        <w:spacing w:after="0" w:line="295" w:lineRule="auto"/>
        <w:rPr>
          <w:sz w:val="20"/>
          <w:szCs w:val="20"/>
          <w:color w:val="auto"/>
        </w:rPr>
      </w:pPr>
      <w:r>
        <w:rPr>
          <w:rFonts w:ascii="Arial" w:cs="Arial" w:eastAsia="Arial" w:hAnsi="Arial"/>
          <w:sz w:val="12"/>
          <w:szCs w:val="12"/>
          <w:color w:val="008000"/>
        </w:rPr>
        <w:t>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8,910 SSUs granted on June 30, 2009 of which 2,970 SSUs became payable on June 30, 2012.</w:t>
      </w:r>
    </w:p>
    <w:p>
      <w:pPr>
        <w:spacing w:after="0" w:line="1" w:lineRule="exact"/>
        <w:rPr>
          <w:sz w:val="20"/>
          <w:szCs w:val="20"/>
          <w:color w:val="auto"/>
        </w:rPr>
      </w:pPr>
    </w:p>
    <w:p>
      <w:pPr>
        <w:ind w:left="140" w:hanging="136"/>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6" w:lineRule="exact"/>
        <w:rPr>
          <w:rFonts w:ascii="Arial" w:cs="Arial" w:eastAsia="Arial" w:hAnsi="Arial"/>
          <w:sz w:val="13"/>
          <w:szCs w:val="13"/>
          <w:color w:val="008000"/>
        </w:rPr>
      </w:pPr>
    </w:p>
    <w:p>
      <w:pPr>
        <w:ind w:left="140" w:hanging="136"/>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2012.</w:t>
      </w:r>
    </w:p>
    <w:p>
      <w:pPr>
        <w:spacing w:after="0" w:line="46" w:lineRule="exact"/>
        <w:rPr>
          <w:rFonts w:ascii="Arial" w:cs="Arial" w:eastAsia="Arial" w:hAnsi="Arial"/>
          <w:sz w:val="13"/>
          <w:szCs w:val="13"/>
          <w:color w:val="008000"/>
        </w:rPr>
      </w:pPr>
    </w:p>
    <w:p>
      <w:pPr>
        <w:ind w:left="140" w:hanging="136"/>
        <w:spacing w:after="0"/>
        <w:tabs>
          <w:tab w:leader="none" w:pos="14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 SSUs reported in this item are attributable nunc pro tunc to the first quarter 2012 and were granted on June 30, 2012. They will be settled in three equal, annual installments beginning March 31, 2013.</w:t>
      </w:r>
    </w:p>
    <w:p>
      <w:pPr>
        <w:spacing w:after="0" w:line="79"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w w:val="97"/>
              </w:rPr>
              <w:t>/s/ Anne T. Larin,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07/03/2012</w:t>
            </w:r>
          </w:p>
        </w:tc>
        <w:tc>
          <w:tcPr>
            <w:tcW w:w="0" w:type="dxa"/>
            <w:vAlign w:val="bottom"/>
          </w:tcPr>
          <w:p>
            <w:pPr>
              <w:spacing w:after="0"/>
              <w:rPr>
                <w:sz w:val="1"/>
                <w:szCs w:val="1"/>
                <w:color w:val="auto"/>
              </w:rPr>
            </w:pPr>
          </w:p>
        </w:tc>
      </w:tr>
      <w:tr>
        <w:trPr>
          <w:trHeight w:val="85"/>
        </w:trPr>
        <w:tc>
          <w:tcPr>
            <w:tcW w:w="2040" w:type="dxa"/>
            <w:vAlign w:val="bottom"/>
            <w:tcBorders>
              <w:top w:val="single" w:sz="8" w:color="auto"/>
            </w:tcBorders>
            <w:gridSpan w:val="2"/>
            <w:vMerge w:val="restart"/>
          </w:tcPr>
          <w:p>
            <w:pPr>
              <w:spacing w:after="0" w:line="189" w:lineRule="exact"/>
              <w:rPr>
                <w:sz w:val="20"/>
                <w:szCs w:val="20"/>
                <w:color w:val="auto"/>
              </w:rPr>
            </w:pPr>
            <w:r>
              <w:rPr>
                <w:rFonts w:ascii="Arial" w:cs="Arial" w:eastAsia="Arial" w:hAnsi="Arial"/>
                <w:sz w:val="17"/>
                <w:szCs w:val="17"/>
                <w:color w:val="0000FF"/>
              </w:rPr>
              <w:t>fact for Mr. Reuss</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4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3400" w:firstLine="4"/>
        <w:spacing w:after="0" w:line="313" w:lineRule="auto"/>
        <w:tabs>
          <w:tab w:leader="none" w:pos="138"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280" w:top="13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2019-12-17T01:29:15Z</dcterms:created>
  <dcterms:modified xsi:type="dcterms:W3CDTF">2019-12-17T01:29:15Z</dcterms:modified>
</cp:coreProperties>
</file>