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March 24, 2020</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ectPr>
          <w:pgSz w:w="11900" w:h="16838" w:orient="portrait"/>
          <w:cols w:equalWidth="0" w:num="1">
            <w:col w:w="11100"/>
          </w:cols>
          <w:pgMar w:left="320" w:top="1075" w:right="479" w:bottom="1440" w:gutter="0" w:footer="0" w:header="0"/>
        </w:sectPr>
      </w:pPr>
    </w:p>
    <w:p>
      <w:pPr>
        <w:spacing w:after="0" w:line="147"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90" w:lineRule="exact"/>
        <w:rPr>
          <w:sz w:val="24"/>
          <w:szCs w:val="24"/>
          <w:color w:val="auto"/>
        </w:rPr>
      </w:pPr>
    </w:p>
    <w:p>
      <w:pPr>
        <w:sectPr>
          <w:pgSz w:w="11900" w:h="16838" w:orient="portrait"/>
          <w:cols w:equalWidth="0" w:num="3">
            <w:col w:w="4740" w:space="720"/>
            <w:col w:w="2780" w:space="720"/>
            <w:col w:w="2140"/>
          </w:cols>
          <w:pgMar w:left="320" w:top="1075" w:right="47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40" w:space="720"/>
            <w:col w:w="2500" w:space="720"/>
            <w:col w:w="3020"/>
          </w:cols>
          <w:pgMar w:left="320" w:top="1075" w:right="479" w:bottom="1440" w:gutter="0" w:footer="0" w:header="0"/>
          <w:type w:val="continuous"/>
        </w:sectPr>
      </w:pPr>
    </w:p>
    <w:p>
      <w:pPr>
        <w:spacing w:after="0" w:line="6" w:lineRule="exact"/>
        <w:rPr>
          <w:sz w:val="24"/>
          <w:szCs w:val="24"/>
          <w:color w:val="auto"/>
        </w:rPr>
      </w:pPr>
    </w:p>
    <w:p>
      <w:pPr>
        <w:ind w:left="1200"/>
        <w:spacing w:after="0"/>
        <w:rPr>
          <w:sz w:val="20"/>
          <w:szCs w:val="20"/>
          <w:color w:val="auto"/>
        </w:rPr>
      </w:pPr>
      <w:r>
        <w:rPr>
          <w:rFonts w:ascii="Arial" w:cs="Arial" w:eastAsia="Arial" w:hAnsi="Arial"/>
          <w:sz w:val="15"/>
          <w:szCs w:val="15"/>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48265 -3000</w:t>
      </w:r>
    </w:p>
    <w:p>
      <w:pPr>
        <w:spacing w:after="0" w:line="90" w:lineRule="exact"/>
        <w:rPr>
          <w:sz w:val="24"/>
          <w:szCs w:val="24"/>
          <w:color w:val="auto"/>
        </w:rPr>
      </w:pPr>
    </w:p>
    <w:p>
      <w:pPr>
        <w:sectPr>
          <w:pgSz w:w="11900" w:h="16838" w:orient="portrait"/>
          <w:cols w:equalWidth="0" w:num="4">
            <w:col w:w="3060" w:space="180"/>
            <w:col w:w="600" w:space="180"/>
            <w:col w:w="3680" w:space="720"/>
            <w:col w:w="2680"/>
          </w:cols>
          <w:pgMar w:left="320" w:top="1075" w:right="47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780" w:space="720"/>
            <w:col w:w="2600"/>
          </w:cols>
          <w:pgMar w:left="320" w:top="1075" w:right="479" w:bottom="1440" w:gutter="0" w:footer="0" w:header="0"/>
          <w:type w:val="continuous"/>
        </w:sectPr>
      </w:pPr>
    </w:p>
    <w:p>
      <w:pPr>
        <w:spacing w:after="0" w:line="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(313) 667-1500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2"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3760" w:right="3260" w:hanging="3725"/>
        <w:spacing w:after="0" w:line="464" w:lineRule="auto"/>
        <w:tabs>
          <w:tab w:leader="none" w:pos="605"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32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1180" w:type="dxa"/>
            <w:vAlign w:val="bottom"/>
          </w:tcPr>
          <w:p>
            <w:pPr>
              <w:jc w:val="center"/>
              <w:spacing w:after="0" w:line="172" w:lineRule="exact"/>
              <w:rPr>
                <w:sz w:val="20"/>
                <w:szCs w:val="20"/>
                <w:color w:val="auto"/>
              </w:rPr>
            </w:pPr>
            <w:r>
              <w:rPr>
                <w:rFonts w:ascii="Arial" w:cs="Arial" w:eastAsia="Arial" w:hAnsi="Arial"/>
                <w:sz w:val="16"/>
                <w:szCs w:val="16"/>
                <w:color w:val="auto"/>
                <w:w w:val="92"/>
              </w:rPr>
              <w:t>Title of each class</w:t>
            </w:r>
          </w:p>
        </w:tc>
        <w:tc>
          <w:tcPr>
            <w:tcW w:w="1260" w:type="dxa"/>
            <w:vAlign w:val="bottom"/>
          </w:tcPr>
          <w:p>
            <w:pPr>
              <w:spacing w:after="0"/>
              <w:rPr>
                <w:sz w:val="14"/>
                <w:szCs w:val="14"/>
                <w:color w:val="auto"/>
              </w:rPr>
            </w:pPr>
          </w:p>
        </w:tc>
        <w:tc>
          <w:tcPr>
            <w:tcW w:w="2620" w:type="dxa"/>
            <w:vAlign w:val="bottom"/>
            <w:gridSpan w:val="3"/>
          </w:tcPr>
          <w:p>
            <w:pPr>
              <w:jc w:val="center"/>
              <w:ind w:left="119"/>
              <w:spacing w:after="0" w:line="172" w:lineRule="exact"/>
              <w:rPr>
                <w:sz w:val="20"/>
                <w:szCs w:val="20"/>
                <w:color w:val="auto"/>
              </w:rPr>
            </w:pPr>
            <w:r>
              <w:rPr>
                <w:rFonts w:ascii="Arial" w:cs="Arial" w:eastAsia="Arial" w:hAnsi="Arial"/>
                <w:sz w:val="16"/>
                <w:szCs w:val="16"/>
                <w:color w:val="auto"/>
                <w:w w:val="93"/>
              </w:rPr>
              <w:t>Trading Symbol(s)</w:t>
            </w:r>
          </w:p>
        </w:tc>
        <w:tc>
          <w:tcPr>
            <w:tcW w:w="3480" w:type="dxa"/>
            <w:vAlign w:val="bottom"/>
            <w:gridSpan w:val="2"/>
          </w:tcPr>
          <w:p>
            <w:pPr>
              <w:jc w:val="center"/>
              <w:ind w:left="519"/>
              <w:spacing w:after="0" w:line="172" w:lineRule="exact"/>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71"/>
        </w:trPr>
        <w:tc>
          <w:tcPr>
            <w:tcW w:w="2900" w:type="dxa"/>
            <w:vAlign w:val="bottom"/>
            <w:gridSpan w:val="3"/>
          </w:tcPr>
          <w:p>
            <w:pPr>
              <w:jc w:val="center"/>
              <w:ind w:right="800"/>
              <w:spacing w:after="0"/>
              <w:rPr>
                <w:sz w:val="20"/>
                <w:szCs w:val="20"/>
                <w:color w:val="auto"/>
              </w:rPr>
            </w:pPr>
            <w:r>
              <w:rPr>
                <w:rFonts w:ascii="Arial" w:cs="Arial" w:eastAsia="Arial" w:hAnsi="Arial"/>
                <w:sz w:val="16"/>
                <w:szCs w:val="16"/>
                <w:color w:val="auto"/>
                <w:w w:val="91"/>
              </w:rPr>
              <w:t>Common Stock, $0.01 par value</w:t>
            </w:r>
          </w:p>
        </w:tc>
        <w:tc>
          <w:tcPr>
            <w:tcW w:w="800" w:type="dxa"/>
            <w:vAlign w:val="bottom"/>
          </w:tcPr>
          <w:p>
            <w:pPr>
              <w:spacing w:after="0"/>
              <w:rPr>
                <w:sz w:val="23"/>
                <w:szCs w:val="23"/>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6"/>
                <w:szCs w:val="16"/>
                <w:color w:val="auto"/>
              </w:rPr>
              <w:t>GM</w:t>
            </w:r>
          </w:p>
        </w:tc>
        <w:tc>
          <w:tcPr>
            <w:tcW w:w="60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9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4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75"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8"/>
        <w:spacing w:after="0" w:line="254" w:lineRule="auto"/>
        <w:tabs>
          <w:tab w:leader="none" w:pos="255" w:val="left"/>
        </w:tabs>
        <w:numPr>
          <w:ilvl w:val="0"/>
          <w:numId w:val="2"/>
        </w:numPr>
        <w:rPr>
          <w:rFonts w:ascii="Arial" w:cs="Arial" w:eastAsia="Arial" w:hAnsi="Arial"/>
          <w:sz w:val="18"/>
          <w:szCs w:val="18"/>
          <w:b w:val="1"/>
          <w:bCs w:val="1"/>
          <w:color w:val="212529"/>
        </w:rPr>
      </w:pPr>
      <w:r>
        <w:rPr>
          <w:rFonts w:ascii="Arial" w:cs="Arial" w:eastAsia="Arial" w:hAnsi="Arial"/>
          <w:sz w:val="18"/>
          <w:szCs w:val="18"/>
          <w:color w:val="212529"/>
        </w:rPr>
        <w:t>As previously disclosed, General Motors Company (“GM”) entered into (i) a Third Amended and Restated 3-Year Revolving Credit Agreement and a Third Amended and Restated 5-Year Revolving Credit Agreement on April 18, 2018, and (ii) a 3-Year Revolving Credit Agreement on January 14, 2019, in each case, with JPMorgan Chase Bank, N.A., as administrative agent, Citibank, N.A., as syndication agent, and the lenders named therein (collectively, the “Lenders”). The facilities under these agreements (the “Facilities”) consist of a three-year, $4.0 billion facility (the “Three-Year Facility”), a five-year, $10.5 billion facility (the “Five-Year Facility”), and a three-year, $3.0 billion facility (the “2019 Facility”). The material terms of the Three-Year Facility and Five-Year Facility are described in the Current Report on Form 8-K filed with the U.S. Securities and Exchange Commission (“SEC”) on April 20, 2018; and the material terms of the 2019 Facility are described in the Current Report on Form 8-K filed on January 14, 2019. Such descriptions are incorporated by reference herein.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212529"/>
        </w:rPr>
        <w:t>On March 24, 2020, GM provided notice to the Lenders to borrow approximately $16.0 billion under the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12529"/>
        </w:rPr>
        <w:t>GM is suspending its 2020 guidance due to uncertainty around the business impact of the COVID-19 pandemic.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FORWARD-LOOKING STATEMENTS:</w:t>
      </w:r>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This current report on Form 8-K and related comments by our management contains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A list and description of these factors can be found in our Annual Report on Form 10-K and our subsequent filings with the U.S. Securities and Exchange Commission. 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GENERAL MOTORS COMPANY (Registrant)</w:t>
            </w:r>
          </w:p>
        </w:tc>
      </w:tr>
      <w:tr>
        <w:trPr>
          <w:trHeight w:val="702"/>
        </w:trPr>
        <w:tc>
          <w:tcPr>
            <w:tcW w:w="6040" w:type="dxa"/>
            <w:vAlign w:val="bottom"/>
          </w:tcPr>
          <w:p>
            <w:pPr>
              <w:ind w:left="540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/s/ Rick E. Hansen</w:t>
            </w:r>
          </w:p>
        </w:tc>
      </w:tr>
      <w:tr>
        <w:trPr>
          <w:trHeight w:val="27"/>
        </w:trPr>
        <w:tc>
          <w:tcPr>
            <w:tcW w:w="60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Date: March 24, 2020</w:t>
            </w:r>
          </w:p>
        </w:tc>
        <w:tc>
          <w:tcPr>
            <w:tcW w:w="560" w:type="dxa"/>
            <w:vAlign w:val="bottom"/>
          </w:tcPr>
          <w:p>
            <w:pPr>
              <w:ind w:left="40"/>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120"/>
              <w:spacing w:after="0"/>
              <w:rPr>
                <w:sz w:val="20"/>
                <w:szCs w:val="20"/>
                <w:color w:val="auto"/>
              </w:rPr>
            </w:pPr>
            <w:r>
              <w:rPr>
                <w:rFonts w:ascii="Arial" w:cs="Arial" w:eastAsia="Arial" w:hAnsi="Arial"/>
                <w:sz w:val="18"/>
                <w:szCs w:val="18"/>
                <w:color w:val="auto"/>
              </w:rPr>
              <w:t>Rick E. Hansen</w:t>
            </w:r>
          </w:p>
        </w:tc>
      </w:tr>
      <w:tr>
        <w:trPr>
          <w:trHeight w:val="270"/>
        </w:trPr>
        <w:tc>
          <w:tcPr>
            <w:tcW w:w="604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4600" w:type="dxa"/>
            <w:vAlign w:val="bottom"/>
          </w:tcPr>
          <w:p>
            <w:pPr>
              <w:ind w:left="60"/>
              <w:spacing w:after="0"/>
              <w:rPr>
                <w:sz w:val="20"/>
                <w:szCs w:val="20"/>
                <w:color w:val="auto"/>
              </w:rPr>
            </w:pPr>
            <w:r>
              <w:rPr>
                <w:rFonts w:ascii="Arial" w:cs="Arial" w:eastAsia="Arial" w:hAnsi="Arial"/>
                <w:sz w:val="18"/>
                <w:szCs w:val="18"/>
                <w:color w:val="auto"/>
              </w:rPr>
              <w:t>Assistant General Counsel and Corporate Secretary</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2020-03-24T07:14:10Z</dcterms:created>
  <dcterms:modified xsi:type="dcterms:W3CDTF">2020-03-24T07:14:10Z</dcterms:modified>
</cp:coreProperties>
</file>